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99.1 - 99.2 and 99.5 of this Form 6-K of Cybin Inc. (the "Company") are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333-289139</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20"/>
          </w:cols>
          <w:pgMar w:left="320" w:top="1440" w:right="35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74"/>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7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Interim Consolidated Financial Statements for the three and nine months ended December 31, 2025</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7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Management’s Discussion and Analysis for the three and nine months ended December 31, 2025</w:t>
            </w:r>
          </w:p>
        </w:tc>
      </w:tr>
      <w:tr>
        <w:trPr>
          <w:trHeight w:val="23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99.3</w:t>
            </w:r>
          </w:p>
        </w:tc>
        <w:tc>
          <w:tcPr>
            <w:tcW w:w="4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Interim Filings by CEO dated February 13, 2026</w:t>
            </w:r>
          </w:p>
        </w:tc>
        <w:tc>
          <w:tcPr>
            <w:tcW w:w="2300" w:type="dxa"/>
            <w:vAlign w:val="bottom"/>
            <w:tcBorders>
              <w:top w:val="single" w:sz="8" w:color="0000FF"/>
            </w:tcBorders>
            <w:gridSpan w:val="2"/>
          </w:tcPr>
          <w:p>
            <w:pPr>
              <w:spacing w:after="0"/>
              <w:rPr>
                <w:sz w:val="20"/>
                <w:szCs w:val="20"/>
                <w:color w:val="auto"/>
              </w:rPr>
            </w:pPr>
          </w:p>
        </w:tc>
        <w:tc>
          <w:tcPr>
            <w:tcW w:w="200" w:type="dxa"/>
            <w:vAlign w:val="bottom"/>
          </w:tcPr>
          <w:p>
            <w:pPr>
              <w:spacing w:after="0"/>
              <w:rPr>
                <w:sz w:val="20"/>
                <w:szCs w:val="20"/>
                <w:color w:val="auto"/>
              </w:rPr>
            </w:pPr>
          </w:p>
        </w:tc>
      </w:tr>
      <w:tr>
        <w:trPr>
          <w:trHeight w:val="23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99.4</w:t>
            </w:r>
          </w:p>
        </w:tc>
        <w:tc>
          <w:tcPr>
            <w:tcW w:w="7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Interim Filings by CFO dated February 13, 2026</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99.5</w:t>
            </w:r>
          </w:p>
        </w:tc>
        <w:tc>
          <w:tcPr>
            <w:tcW w:w="28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News Release dated February 13, 2026</w:t>
            </w:r>
          </w:p>
        </w:tc>
        <w:tc>
          <w:tcPr>
            <w:tcW w:w="1820" w:type="dxa"/>
            <w:vAlign w:val="bottom"/>
            <w:tcBorders>
              <w:top w:val="single" w:sz="8" w:color="0000FF"/>
            </w:tcBorders>
            <w:gridSpan w:val="2"/>
          </w:tcPr>
          <w:p>
            <w:pPr>
              <w:spacing w:after="0"/>
              <w:rPr>
                <w:sz w:val="20"/>
                <w:szCs w:val="20"/>
                <w:color w:val="auto"/>
              </w:rPr>
            </w:pPr>
          </w:p>
        </w:tc>
        <w:tc>
          <w:tcPr>
            <w:tcW w:w="2520" w:type="dxa"/>
            <w:vAlign w:val="bottom"/>
            <w:gridSpan w:val="4"/>
          </w:tcPr>
          <w:p>
            <w:pPr>
              <w:spacing w:after="0"/>
              <w:rPr>
                <w:sz w:val="20"/>
                <w:szCs w:val="20"/>
                <w:color w:val="auto"/>
              </w:rPr>
            </w:pP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2103755</wp:posOffset>
            </wp:positionV>
            <wp:extent cx="3291840" cy="2134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CYBIN INC. DOING BUSINESS AS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HELUS PHARMA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CONDENSED INTERIM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DECEMBER 31, 2025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SHAREHOLDERS</w:t>
      </w:r>
    </w:p>
    <w:p>
      <w:pPr>
        <w:spacing w:after="0" w:line="226" w:lineRule="exact"/>
        <w:rPr>
          <w:sz w:val="20"/>
          <w:szCs w:val="20"/>
          <w:color w:val="auto"/>
        </w:rPr>
      </w:pPr>
    </w:p>
    <w:p>
      <w:pPr>
        <w:jc w:val="both"/>
        <w:spacing w:after="0" w:line="304" w:lineRule="auto"/>
        <w:rPr>
          <w:sz w:val="20"/>
          <w:szCs w:val="20"/>
          <w:color w:val="auto"/>
        </w:rPr>
      </w:pPr>
      <w:r>
        <w:rPr>
          <w:rFonts w:ascii="Arial" w:cs="Arial" w:eastAsia="Arial" w:hAnsi="Arial"/>
          <w:sz w:val="21"/>
          <w:szCs w:val="21"/>
          <w:color w:val="auto"/>
        </w:rPr>
        <w:t>The accompanying unaudited condensed interim consolidated financial statements of Cybin Inc. doing business as Helus Pharma ("</w:t>
      </w:r>
      <w:r>
        <w:rPr>
          <w:rFonts w:ascii="Arial" w:cs="Arial" w:eastAsia="Arial" w:hAnsi="Arial"/>
          <w:sz w:val="21"/>
          <w:szCs w:val="21"/>
          <w:b w:val="1"/>
          <w:bCs w:val="1"/>
          <w:color w:val="auto"/>
        </w:rPr>
        <w:t>Helus Pharma</w:t>
      </w:r>
      <w:r>
        <w:rPr>
          <w:rFonts w:ascii="Arial" w:cs="Arial" w:eastAsia="Arial" w:hAnsi="Arial"/>
          <w:sz w:val="21"/>
          <w:szCs w:val="21"/>
          <w:color w:val="auto"/>
        </w:rPr>
        <w:t>") have been prepared by and are the responsibility of Helus Pharma's management in accordance with International Accounting Standards (“</w:t>
      </w:r>
      <w:r>
        <w:rPr>
          <w:rFonts w:ascii="Arial" w:cs="Arial" w:eastAsia="Arial" w:hAnsi="Arial"/>
          <w:sz w:val="21"/>
          <w:szCs w:val="21"/>
          <w:b w:val="1"/>
          <w:bCs w:val="1"/>
          <w:color w:val="auto"/>
        </w:rPr>
        <w:t>IAS</w:t>
      </w:r>
      <w:r>
        <w:rPr>
          <w:rFonts w:ascii="Arial" w:cs="Arial" w:eastAsia="Arial" w:hAnsi="Arial"/>
          <w:sz w:val="21"/>
          <w:szCs w:val="21"/>
          <w:color w:val="auto"/>
        </w:rPr>
        <w:t>”) 34, Interim Financial Reporting as issued by the International Accounting Standards Board ("</w:t>
      </w:r>
      <w:r>
        <w:rPr>
          <w:rFonts w:ascii="Arial" w:cs="Arial" w:eastAsia="Arial" w:hAnsi="Arial"/>
          <w:sz w:val="21"/>
          <w:szCs w:val="21"/>
          <w:b w:val="1"/>
          <w:bCs w:val="1"/>
          <w:color w:val="auto"/>
        </w:rPr>
        <w:t>IASB''</w:t>
      </w:r>
      <w:r>
        <w:rPr>
          <w:rFonts w:ascii="Arial" w:cs="Arial" w:eastAsia="Arial" w:hAnsi="Arial"/>
          <w:sz w:val="21"/>
          <w:szCs w:val="21"/>
          <w:color w:val="auto"/>
        </w:rPr>
        <w:t>). These unaudited condensed interim consolidated financial statements do not include all the information and notes required by IFRS Accounting Standards ("</w:t>
      </w:r>
      <w:r>
        <w:rPr>
          <w:rFonts w:ascii="Arial" w:cs="Arial" w:eastAsia="Arial" w:hAnsi="Arial"/>
          <w:sz w:val="21"/>
          <w:szCs w:val="21"/>
          <w:b w:val="1"/>
          <w:bCs w:val="1"/>
          <w:color w:val="auto"/>
        </w:rPr>
        <w:t>IFRS'</w:t>
      </w:r>
      <w:r>
        <w:rPr>
          <w:rFonts w:ascii="Arial" w:cs="Arial" w:eastAsia="Arial" w:hAnsi="Arial"/>
          <w:sz w:val="21"/>
          <w:szCs w:val="21"/>
          <w:color w:val="auto"/>
        </w:rPr>
        <w:t xml:space="preserve">') for annual financial statements and should be read in conjunction with Helus Pharma’s annual financial statements and notes for the year ended March 31, 2025, which are available on SEDAR+ at </w:t>
      </w:r>
      <w:r>
        <w:rPr>
          <w:rFonts w:ascii="Arial" w:cs="Arial" w:eastAsia="Arial" w:hAnsi="Arial"/>
          <w:sz w:val="21"/>
          <w:szCs w:val="21"/>
          <w:u w:val="single" w:color="auto"/>
          <w:color w:val="0000E1"/>
        </w:rPr>
        <w:t>www.sedarplus.com</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900"/>
        <w:spacing w:after="0" w:line="254" w:lineRule="auto"/>
        <w:rPr>
          <w:sz w:val="20"/>
          <w:szCs w:val="20"/>
          <w:color w:val="auto"/>
        </w:rPr>
      </w:pPr>
      <w:r>
        <w:rPr>
          <w:rFonts w:ascii="Arial" w:cs="Arial" w:eastAsia="Arial" w:hAnsi="Arial"/>
          <w:sz w:val="22"/>
          <w:szCs w:val="22"/>
          <w:b w:val="1"/>
          <w:bCs w:val="1"/>
          <w:color w:val="auto"/>
        </w:rPr>
        <w:t>CONDENSED INTERIM CONSOLIDATED STATEMENTS OF FINANCIAL POSITION (All amounts expressed in thousands of United States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As at</w:t>
            </w:r>
          </w:p>
        </w:tc>
        <w:tc>
          <w:tcPr>
            <w:tcW w:w="23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2025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 xml:space="preserve">Restated - </w:t>
            </w:r>
            <w:r>
              <w:rPr>
                <w:rFonts w:ascii="Arial" w:cs="Arial" w:eastAsia="Arial" w:hAnsi="Arial"/>
                <w:sz w:val="16"/>
                <w:szCs w:val="16"/>
                <w:i w:val="1"/>
                <w:iCs w:val="1"/>
                <w:color w:val="auto"/>
              </w:rPr>
              <w:t>Note 2</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center"/>
              <w:ind w:left="1059"/>
              <w:spacing w:after="0"/>
              <w:rPr>
                <w:sz w:val="20"/>
                <w:szCs w:val="20"/>
                <w:color w:val="auto"/>
              </w:rPr>
            </w:pPr>
            <w:r>
              <w:rPr>
                <w:rFonts w:ascii="Arial" w:cs="Arial" w:eastAsia="Arial" w:hAnsi="Arial"/>
                <w:sz w:val="16"/>
                <w:szCs w:val="16"/>
                <w:i w:val="1"/>
                <w:iCs w:val="1"/>
                <w:color w:val="auto"/>
              </w:rPr>
              <w:t>Notes</w:t>
            </w:r>
          </w:p>
        </w:tc>
        <w:tc>
          <w:tcPr>
            <w:tcW w:w="2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80"/>
              <w:spacing w:after="0"/>
              <w:rPr>
                <w:sz w:val="20"/>
                <w:szCs w:val="20"/>
                <w:color w:val="auto"/>
              </w:rPr>
            </w:pPr>
            <w:r>
              <w:rPr>
                <w:rFonts w:ascii="Arial" w:cs="Arial" w:eastAsia="Arial" w:hAnsi="Arial"/>
                <w:sz w:val="16"/>
                <w:szCs w:val="16"/>
                <w:b w:val="1"/>
                <w:bCs w:val="1"/>
                <w:color w:val="auto"/>
              </w:rPr>
              <w:t>ASSETS</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5000" w:type="dxa"/>
            <w:vAlign w:val="bottom"/>
          </w:tcPr>
          <w:p>
            <w:pPr>
              <w:ind w:left="240"/>
              <w:spacing w:after="0"/>
              <w:rPr>
                <w:sz w:val="20"/>
                <w:szCs w:val="20"/>
                <w:color w:val="auto"/>
              </w:rPr>
            </w:pPr>
            <w:r>
              <w:rPr>
                <w:rFonts w:ascii="Arial" w:cs="Arial" w:eastAsia="Arial" w:hAnsi="Arial"/>
                <w:sz w:val="16"/>
                <w:szCs w:val="16"/>
                <w:b w:val="1"/>
                <w:bCs w:val="1"/>
                <w:color w:val="auto"/>
              </w:rPr>
              <w:t>Current</w:t>
            </w:r>
          </w:p>
        </w:tc>
        <w:tc>
          <w:tcPr>
            <w:tcW w:w="2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000" w:type="dxa"/>
            <w:vAlign w:val="bottom"/>
          </w:tcPr>
          <w:p>
            <w:pPr>
              <w:ind w:left="560"/>
              <w:spacing w:after="0"/>
              <w:rPr>
                <w:sz w:val="20"/>
                <w:szCs w:val="20"/>
                <w:color w:val="auto"/>
              </w:rPr>
            </w:pPr>
            <w:r>
              <w:rPr>
                <w:rFonts w:ascii="Arial" w:cs="Arial" w:eastAsia="Arial" w:hAnsi="Arial"/>
                <w:sz w:val="16"/>
                <w:szCs w:val="16"/>
                <w:color w:val="auto"/>
              </w:rPr>
              <w:t>Cash</w:t>
            </w:r>
          </w:p>
        </w:tc>
        <w:tc>
          <w:tcPr>
            <w:tcW w:w="2360" w:type="dxa"/>
            <w:vAlign w:val="bottom"/>
          </w:tcPr>
          <w:p>
            <w:pPr>
              <w:spacing w:after="0"/>
              <w:rPr>
                <w:sz w:val="24"/>
                <w:szCs w:val="24"/>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195,128</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93,922</w:t>
            </w: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00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2360" w:type="dxa"/>
            <w:vAlign w:val="bottom"/>
          </w:tcPr>
          <w:p>
            <w:pPr>
              <w:spacing w:after="0"/>
              <w:rPr>
                <w:sz w:val="24"/>
                <w:szCs w:val="24"/>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4,766</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4,094</w:t>
            </w: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000" w:type="dxa"/>
            <w:vAlign w:val="bottom"/>
          </w:tcPr>
          <w:p>
            <w:pPr>
              <w:ind w:left="560"/>
              <w:spacing w:after="0"/>
              <w:rPr>
                <w:sz w:val="20"/>
                <w:szCs w:val="20"/>
                <w:color w:val="auto"/>
              </w:rPr>
            </w:pPr>
            <w:r>
              <w:rPr>
                <w:rFonts w:ascii="Arial" w:cs="Arial" w:eastAsia="Arial" w:hAnsi="Arial"/>
                <w:sz w:val="16"/>
                <w:szCs w:val="16"/>
                <w:color w:val="auto"/>
              </w:rPr>
              <w:t>Prepaid expenses</w:t>
            </w:r>
          </w:p>
        </w:tc>
        <w:tc>
          <w:tcPr>
            <w:tcW w:w="2360" w:type="dxa"/>
            <w:vAlign w:val="bottom"/>
          </w:tcPr>
          <w:p>
            <w:pPr>
              <w:spacing w:after="0"/>
              <w:rPr>
                <w:sz w:val="24"/>
                <w:szCs w:val="24"/>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21,578</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15,412</w:t>
            </w: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000" w:type="dxa"/>
            <w:vAlign w:val="bottom"/>
          </w:tcPr>
          <w:p>
            <w:pPr>
              <w:ind w:left="700"/>
              <w:spacing w:after="0"/>
              <w:rPr>
                <w:sz w:val="20"/>
                <w:szCs w:val="20"/>
                <w:color w:val="auto"/>
              </w:rPr>
            </w:pPr>
            <w:r>
              <w:rPr>
                <w:rFonts w:ascii="Arial" w:cs="Arial" w:eastAsia="Arial" w:hAnsi="Arial"/>
                <w:sz w:val="16"/>
                <w:szCs w:val="16"/>
                <w:color w:val="auto"/>
              </w:rPr>
              <w:t>Other current assets</w:t>
            </w:r>
          </w:p>
        </w:tc>
        <w:tc>
          <w:tcPr>
            <w:tcW w:w="2360" w:type="dxa"/>
            <w:vAlign w:val="bottom"/>
          </w:tcPr>
          <w:p>
            <w:pPr>
              <w:spacing w:after="0"/>
              <w:rPr>
                <w:sz w:val="24"/>
                <w:szCs w:val="24"/>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1,424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Assets</w:t>
            </w:r>
          </w:p>
        </w:tc>
        <w:tc>
          <w:tcPr>
            <w:tcW w:w="23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222,896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115,452</w:t>
            </w:r>
          </w:p>
        </w:tc>
        <w:tc>
          <w:tcPr>
            <w:tcW w:w="0" w:type="dxa"/>
            <w:vAlign w:val="bottom"/>
          </w:tcPr>
          <w:p>
            <w:pPr>
              <w:spacing w:after="0"/>
              <w:rPr>
                <w:sz w:val="1"/>
                <w:szCs w:val="1"/>
                <w:color w:val="auto"/>
              </w:rPr>
            </w:pPr>
          </w:p>
        </w:tc>
      </w:tr>
      <w:tr>
        <w:trPr>
          <w:trHeight w:val="472"/>
        </w:trPr>
        <w:tc>
          <w:tcPr>
            <w:tcW w:w="5000" w:type="dxa"/>
            <w:vAlign w:val="bottom"/>
          </w:tcPr>
          <w:p>
            <w:pPr>
              <w:ind w:left="240"/>
              <w:spacing w:after="0"/>
              <w:rPr>
                <w:sz w:val="20"/>
                <w:szCs w:val="20"/>
                <w:color w:val="auto"/>
              </w:rPr>
            </w:pPr>
            <w:r>
              <w:rPr>
                <w:rFonts w:ascii="Arial" w:cs="Arial" w:eastAsia="Arial" w:hAnsi="Arial"/>
                <w:sz w:val="16"/>
                <w:szCs w:val="16"/>
                <w:b w:val="1"/>
                <w:bCs w:val="1"/>
                <w:color w:val="auto"/>
              </w:rPr>
              <w:t>Non-current</w:t>
            </w:r>
          </w:p>
        </w:tc>
        <w:tc>
          <w:tcPr>
            <w:tcW w:w="2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00" w:type="dxa"/>
            <w:vAlign w:val="bottom"/>
            <w:vMerge w:val="restart"/>
          </w:tcPr>
          <w:p>
            <w:pPr>
              <w:ind w:left="560"/>
              <w:spacing w:after="0"/>
              <w:rPr>
                <w:sz w:val="20"/>
                <w:szCs w:val="20"/>
                <w:color w:val="auto"/>
              </w:rPr>
            </w:pPr>
            <w:r>
              <w:rPr>
                <w:rFonts w:ascii="Arial" w:cs="Arial" w:eastAsia="Arial" w:hAnsi="Arial"/>
                <w:sz w:val="16"/>
                <w:szCs w:val="16"/>
                <w:color w:val="auto"/>
              </w:rPr>
              <w:t>Equipment</w:t>
            </w:r>
          </w:p>
        </w:tc>
        <w:tc>
          <w:tcPr>
            <w:tcW w:w="2360" w:type="dxa"/>
            <w:vAlign w:val="bottom"/>
          </w:tcPr>
          <w:p>
            <w:pPr>
              <w:jc w:val="center"/>
              <w:ind w:left="1079"/>
              <w:spacing w:after="0"/>
              <w:rPr>
                <w:sz w:val="20"/>
                <w:szCs w:val="20"/>
                <w:color w:val="auto"/>
              </w:rPr>
            </w:pPr>
            <w:r>
              <w:rPr>
                <w:rFonts w:ascii="Arial" w:cs="Arial" w:eastAsia="Arial" w:hAnsi="Arial"/>
                <w:sz w:val="16"/>
                <w:szCs w:val="16"/>
                <w:i w:val="1"/>
                <w:iCs w:val="1"/>
                <w:color w:val="auto"/>
                <w:w w:val="89"/>
              </w:rPr>
              <w:t>3</w:t>
            </w: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186</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81"/>
        </w:trPr>
        <w:tc>
          <w:tcPr>
            <w:tcW w:w="500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vMerge w:val="restart"/>
          </w:tcPr>
          <w:p>
            <w:pPr>
              <w:jc w:val="center"/>
              <w:ind w:left="1079"/>
              <w:spacing w:after="0"/>
              <w:rPr>
                <w:sz w:val="20"/>
                <w:szCs w:val="20"/>
                <w:color w:val="auto"/>
              </w:rPr>
            </w:pPr>
            <w:r>
              <w:rPr>
                <w:rFonts w:ascii="Arial" w:cs="Arial" w:eastAsia="Arial" w:hAnsi="Arial"/>
                <w:sz w:val="16"/>
                <w:szCs w:val="16"/>
                <w:i w:val="1"/>
                <w:iCs w:val="1"/>
                <w:color w:val="auto"/>
                <w:w w:val="89"/>
              </w:rPr>
              <w:t>4</w:t>
            </w: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00" w:type="dxa"/>
            <w:vAlign w:val="bottom"/>
            <w:vMerge w:val="restart"/>
          </w:tcPr>
          <w:p>
            <w:pPr>
              <w:ind w:left="560"/>
              <w:spacing w:after="0"/>
              <w:rPr>
                <w:sz w:val="20"/>
                <w:szCs w:val="20"/>
                <w:color w:val="auto"/>
              </w:rPr>
            </w:pPr>
            <w:r>
              <w:rPr>
                <w:rFonts w:ascii="Arial" w:cs="Arial" w:eastAsia="Arial" w:hAnsi="Arial"/>
                <w:sz w:val="16"/>
                <w:szCs w:val="16"/>
                <w:color w:val="auto"/>
              </w:rPr>
              <w:t>Intangible assets</w:t>
            </w:r>
          </w:p>
        </w:tc>
        <w:tc>
          <w:tcPr>
            <w:tcW w:w="2360" w:type="dxa"/>
            <w:vAlign w:val="bottom"/>
            <w:vMerge w:val="continue"/>
          </w:tcPr>
          <w:p>
            <w:pPr>
              <w:spacing w:after="0"/>
              <w:rPr>
                <w:sz w:val="18"/>
                <w:szCs w:val="18"/>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30,439</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28,532</w:t>
            </w:r>
          </w:p>
        </w:tc>
        <w:tc>
          <w:tcPr>
            <w:tcW w:w="0" w:type="dxa"/>
            <w:vAlign w:val="bottom"/>
          </w:tcPr>
          <w:p>
            <w:pPr>
              <w:spacing w:after="0"/>
              <w:rPr>
                <w:sz w:val="1"/>
                <w:szCs w:val="1"/>
                <w:color w:val="auto"/>
              </w:rPr>
            </w:pPr>
          </w:p>
        </w:tc>
      </w:tr>
      <w:tr>
        <w:trPr>
          <w:trHeight w:val="81"/>
        </w:trPr>
        <w:tc>
          <w:tcPr>
            <w:tcW w:w="500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vMerge w:val="restart"/>
          </w:tcPr>
          <w:p>
            <w:pPr>
              <w:jc w:val="center"/>
              <w:ind w:left="1079"/>
              <w:spacing w:after="0"/>
              <w:rPr>
                <w:sz w:val="20"/>
                <w:szCs w:val="20"/>
                <w:color w:val="auto"/>
              </w:rPr>
            </w:pPr>
            <w:r>
              <w:rPr>
                <w:rFonts w:ascii="Arial" w:cs="Arial" w:eastAsia="Arial" w:hAnsi="Arial"/>
                <w:sz w:val="16"/>
                <w:szCs w:val="16"/>
                <w:i w:val="1"/>
                <w:iCs w:val="1"/>
                <w:color w:val="auto"/>
                <w:w w:val="89"/>
              </w:rPr>
              <w:t>5</w:t>
            </w: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00" w:type="dxa"/>
            <w:vAlign w:val="bottom"/>
            <w:vMerge w:val="restart"/>
          </w:tcPr>
          <w:p>
            <w:pPr>
              <w:ind w:left="560"/>
              <w:spacing w:after="0"/>
              <w:rPr>
                <w:sz w:val="20"/>
                <w:szCs w:val="20"/>
                <w:color w:val="auto"/>
              </w:rPr>
            </w:pPr>
            <w:r>
              <w:rPr>
                <w:rFonts w:ascii="Arial" w:cs="Arial" w:eastAsia="Arial" w:hAnsi="Arial"/>
                <w:sz w:val="16"/>
                <w:szCs w:val="16"/>
                <w:color w:val="auto"/>
              </w:rPr>
              <w:t>Goodwill</w:t>
            </w:r>
          </w:p>
        </w:tc>
        <w:tc>
          <w:tcPr>
            <w:tcW w:w="2360" w:type="dxa"/>
            <w:vAlign w:val="bottom"/>
            <w:vMerge w:val="continue"/>
          </w:tcPr>
          <w:p>
            <w:pPr>
              <w:spacing w:after="0"/>
              <w:rPr>
                <w:sz w:val="18"/>
                <w:szCs w:val="18"/>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36,591</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35,815</w:t>
            </w:r>
          </w:p>
        </w:tc>
        <w:tc>
          <w:tcPr>
            <w:tcW w:w="0" w:type="dxa"/>
            <w:vAlign w:val="bottom"/>
          </w:tcPr>
          <w:p>
            <w:pPr>
              <w:spacing w:after="0"/>
              <w:rPr>
                <w:sz w:val="1"/>
                <w:szCs w:val="1"/>
                <w:color w:val="auto"/>
              </w:rPr>
            </w:pPr>
          </w:p>
        </w:tc>
      </w:tr>
      <w:tr>
        <w:trPr>
          <w:trHeight w:val="81"/>
        </w:trPr>
        <w:tc>
          <w:tcPr>
            <w:tcW w:w="500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0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Non-Current Assets</w:t>
            </w:r>
          </w:p>
        </w:tc>
        <w:tc>
          <w:tcPr>
            <w:tcW w:w="23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67,216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64,445</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ASSETS</w:t>
            </w:r>
          </w:p>
        </w:tc>
        <w:tc>
          <w:tcPr>
            <w:tcW w:w="2360" w:type="dxa"/>
            <w:vAlign w:val="bottom"/>
            <w:tcBorders>
              <w:bottom w:val="single" w:sz="8" w:color="auto"/>
            </w:tcBorders>
            <w:shd w:val="clear" w:color="auto" w:fill="D9D9D9"/>
          </w:tcPr>
          <w:p>
            <w:pPr>
              <w:spacing w:after="0"/>
              <w:rPr>
                <w:sz w:val="18"/>
                <w:szCs w:val="18"/>
                <w:color w:val="auto"/>
              </w:rPr>
            </w:pPr>
          </w:p>
        </w:tc>
        <w:tc>
          <w:tcPr>
            <w:tcW w:w="2200" w:type="dxa"/>
            <w:vAlign w:val="bottom"/>
            <w:tcBorders>
              <w:bottom w:val="single" w:sz="8" w:color="auto"/>
            </w:tcBorders>
            <w:shd w:val="clear" w:color="auto" w:fill="D9D9D9"/>
          </w:tcPr>
          <w:p>
            <w:pPr>
              <w:jc w:val="right"/>
              <w:ind w:right="319"/>
              <w:spacing w:after="0"/>
              <w:rPr>
                <w:sz w:val="20"/>
                <w:szCs w:val="20"/>
                <w:color w:val="auto"/>
              </w:rPr>
            </w:pPr>
            <w:r>
              <w:rPr>
                <w:rFonts w:ascii="Arial" w:cs="Arial" w:eastAsia="Arial" w:hAnsi="Arial"/>
                <w:sz w:val="16"/>
                <w:szCs w:val="16"/>
                <w:b w:val="1"/>
                <w:bCs w:val="1"/>
                <w:color w:val="auto"/>
              </w:rPr>
              <w:t>290,112</w:t>
            </w:r>
          </w:p>
        </w:tc>
        <w:tc>
          <w:tcPr>
            <w:tcW w:w="1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179,897</w:t>
            </w:r>
          </w:p>
        </w:tc>
        <w:tc>
          <w:tcPr>
            <w:tcW w:w="0" w:type="dxa"/>
            <w:vAlign w:val="bottom"/>
          </w:tcPr>
          <w:p>
            <w:pPr>
              <w:spacing w:after="0"/>
              <w:rPr>
                <w:sz w:val="1"/>
                <w:szCs w:val="1"/>
                <w:color w:val="auto"/>
              </w:rPr>
            </w:pPr>
          </w:p>
        </w:tc>
      </w:tr>
      <w:tr>
        <w:trPr>
          <w:trHeight w:val="256"/>
        </w:trPr>
        <w:tc>
          <w:tcPr>
            <w:tcW w:w="5000" w:type="dxa"/>
            <w:vAlign w:val="bottom"/>
          </w:tcPr>
          <w:p>
            <w:pPr>
              <w:ind w:left="80"/>
              <w:spacing w:after="0"/>
              <w:rPr>
                <w:sz w:val="20"/>
                <w:szCs w:val="20"/>
                <w:color w:val="auto"/>
              </w:rPr>
            </w:pPr>
            <w:r>
              <w:rPr>
                <w:rFonts w:ascii="Arial" w:cs="Arial" w:eastAsia="Arial" w:hAnsi="Arial"/>
                <w:sz w:val="16"/>
                <w:szCs w:val="16"/>
                <w:b w:val="1"/>
                <w:bCs w:val="1"/>
                <w:color w:val="auto"/>
              </w:rPr>
              <w:t>LIABILITIES</w:t>
            </w:r>
          </w:p>
        </w:tc>
        <w:tc>
          <w:tcPr>
            <w:tcW w:w="2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00" w:type="dxa"/>
            <w:vAlign w:val="bottom"/>
          </w:tcPr>
          <w:p>
            <w:pPr>
              <w:ind w:left="240"/>
              <w:spacing w:after="0"/>
              <w:rPr>
                <w:sz w:val="20"/>
                <w:szCs w:val="20"/>
                <w:color w:val="auto"/>
              </w:rPr>
            </w:pPr>
            <w:r>
              <w:rPr>
                <w:rFonts w:ascii="Arial" w:cs="Arial" w:eastAsia="Arial" w:hAnsi="Arial"/>
                <w:sz w:val="16"/>
                <w:szCs w:val="16"/>
                <w:b w:val="1"/>
                <w:bCs w:val="1"/>
                <w:color w:val="auto"/>
              </w:rPr>
              <w:t>Current</w:t>
            </w:r>
          </w:p>
        </w:tc>
        <w:tc>
          <w:tcPr>
            <w:tcW w:w="2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000" w:type="dxa"/>
            <w:vAlign w:val="bottom"/>
          </w:tcPr>
          <w:p>
            <w:pPr>
              <w:ind w:left="560"/>
              <w:spacing w:after="0"/>
              <w:rPr>
                <w:sz w:val="20"/>
                <w:szCs w:val="20"/>
                <w:color w:val="auto"/>
              </w:rPr>
            </w:pPr>
            <w:r>
              <w:rPr>
                <w:rFonts w:ascii="Arial" w:cs="Arial" w:eastAsia="Arial" w:hAnsi="Arial"/>
                <w:sz w:val="16"/>
                <w:szCs w:val="16"/>
                <w:color w:val="auto"/>
              </w:rPr>
              <w:t>Accounts payable and accrued liabilities</w:t>
            </w:r>
          </w:p>
        </w:tc>
        <w:tc>
          <w:tcPr>
            <w:tcW w:w="2360" w:type="dxa"/>
            <w:vAlign w:val="bottom"/>
          </w:tcPr>
          <w:p>
            <w:pPr>
              <w:spacing w:after="0"/>
              <w:rPr>
                <w:sz w:val="24"/>
                <w:szCs w:val="24"/>
                <w:color w:val="auto"/>
              </w:rPr>
            </w:pPr>
          </w:p>
        </w:tc>
        <w:tc>
          <w:tcPr>
            <w:tcW w:w="2200" w:type="dxa"/>
            <w:vAlign w:val="bottom"/>
          </w:tcPr>
          <w:p>
            <w:pPr>
              <w:jc w:val="right"/>
              <w:ind w:right="319"/>
              <w:spacing w:after="0"/>
              <w:rPr>
                <w:sz w:val="20"/>
                <w:szCs w:val="20"/>
                <w:color w:val="auto"/>
              </w:rPr>
            </w:pPr>
            <w:r>
              <w:rPr>
                <w:rFonts w:ascii="Arial" w:cs="Arial" w:eastAsia="Arial" w:hAnsi="Arial"/>
                <w:sz w:val="16"/>
                <w:szCs w:val="16"/>
                <w:color w:val="auto"/>
              </w:rPr>
              <w:t>16,178</w:t>
            </w:r>
          </w:p>
        </w:tc>
        <w:tc>
          <w:tcPr>
            <w:tcW w:w="1680" w:type="dxa"/>
            <w:vAlign w:val="bottom"/>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r>
        <w:trPr>
          <w:trHeight w:val="150"/>
        </w:trPr>
        <w:tc>
          <w:tcPr>
            <w:tcW w:w="50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Current Liabilities</w:t>
            </w:r>
          </w:p>
        </w:tc>
        <w:tc>
          <w:tcPr>
            <w:tcW w:w="23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16,178</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14,900</w:t>
            </w:r>
          </w:p>
        </w:tc>
        <w:tc>
          <w:tcPr>
            <w:tcW w:w="0" w:type="dxa"/>
            <w:vAlign w:val="bottom"/>
          </w:tcPr>
          <w:p>
            <w:pPr>
              <w:spacing w:after="0"/>
              <w:rPr>
                <w:sz w:val="1"/>
                <w:szCs w:val="1"/>
                <w:color w:val="auto"/>
              </w:rPr>
            </w:pPr>
          </w:p>
        </w:tc>
      </w:tr>
      <w:tr>
        <w:trPr>
          <w:trHeight w:val="128"/>
        </w:trPr>
        <w:tc>
          <w:tcPr>
            <w:tcW w:w="50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TOTAL LIABILITIES</w:t>
            </w:r>
          </w:p>
        </w:tc>
        <w:tc>
          <w:tcPr>
            <w:tcW w:w="236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b w:val="1"/>
                <w:bCs w:val="1"/>
                <w:color w:val="auto"/>
              </w:rPr>
              <w:t>16,178</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14,900</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233" w:right="339" w:bottom="1440" w:gutter="0" w:footer="0" w:header="0"/>
        </w:sectPr>
      </w:pPr>
    </w:p>
    <w:p>
      <w:pPr>
        <w:ind w:left="80"/>
        <w:spacing w:after="0"/>
        <w:rPr>
          <w:sz w:val="20"/>
          <w:szCs w:val="20"/>
          <w:color w:val="auto"/>
        </w:rPr>
      </w:pPr>
      <w:r>
        <w:rPr>
          <w:rFonts w:ascii="Arial" w:cs="Arial" w:eastAsia="Arial" w:hAnsi="Arial"/>
          <w:sz w:val="16"/>
          <w:szCs w:val="16"/>
          <w:b w:val="1"/>
          <w:bCs w:val="1"/>
          <w:color w:val="auto"/>
        </w:rPr>
        <w:t>SHAREHOLDERS' EQUITY</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 capital</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Contributed surplus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Pre-funded warrants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Restricted share unit reserve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Options reserve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Warrants reserve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Accumulated other comprehensive income (loss)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Deficit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40" w:type="dxa"/>
            <w:vAlign w:val="bottom"/>
          </w:tcPr>
          <w:p>
            <w:pPr>
              <w:jc w:val="right"/>
              <w:ind w:right="784"/>
              <w:spacing w:after="0"/>
              <w:rPr>
                <w:sz w:val="20"/>
                <w:szCs w:val="20"/>
                <w:color w:val="auto"/>
              </w:rPr>
            </w:pPr>
            <w:r>
              <w:rPr>
                <w:rFonts w:ascii="Arial" w:cs="Arial" w:eastAsia="Arial" w:hAnsi="Arial"/>
                <w:sz w:val="15"/>
                <w:szCs w:val="15"/>
                <w:i w:val="1"/>
                <w:iCs w:val="1"/>
                <w:color w:val="auto"/>
                <w:w w:val="71"/>
              </w:rPr>
              <w:t>7</w:t>
            </w:r>
          </w:p>
        </w:tc>
        <w:tc>
          <w:tcPr>
            <w:tcW w:w="220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482,732</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344,949</w:t>
            </w:r>
          </w:p>
        </w:tc>
        <w:tc>
          <w:tcPr>
            <w:tcW w:w="0" w:type="dxa"/>
            <w:vAlign w:val="bottom"/>
          </w:tcPr>
          <w:p>
            <w:pPr>
              <w:spacing w:after="0"/>
              <w:rPr>
                <w:sz w:val="1"/>
                <w:szCs w:val="1"/>
                <w:color w:val="auto"/>
              </w:rPr>
            </w:pPr>
          </w:p>
        </w:tc>
      </w:tr>
      <w:tr>
        <w:trPr>
          <w:trHeight w:val="143"/>
        </w:trPr>
        <w:tc>
          <w:tcPr>
            <w:tcW w:w="940" w:type="dxa"/>
            <w:vAlign w:val="bottom"/>
            <w:vMerge w:val="restart"/>
          </w:tcPr>
          <w:p>
            <w:pPr>
              <w:jc w:val="right"/>
              <w:ind w:right="784"/>
              <w:spacing w:after="0"/>
              <w:rPr>
                <w:sz w:val="20"/>
                <w:szCs w:val="20"/>
                <w:color w:val="auto"/>
              </w:rPr>
            </w:pPr>
            <w:r>
              <w:rPr>
                <w:rFonts w:ascii="Arial" w:cs="Arial" w:eastAsia="Arial" w:hAnsi="Arial"/>
                <w:sz w:val="15"/>
                <w:szCs w:val="15"/>
                <w:i w:val="1"/>
                <w:iCs w:val="1"/>
                <w:color w:val="auto"/>
                <w:w w:val="71"/>
              </w:rPr>
              <w:t>7</w:t>
            </w:r>
          </w:p>
        </w:tc>
        <w:tc>
          <w:tcPr>
            <w:tcW w:w="22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940" w:type="dxa"/>
            <w:vAlign w:val="bottom"/>
            <w:vMerge w:val="continue"/>
          </w:tcPr>
          <w:p>
            <w:pPr>
              <w:spacing w:after="0"/>
              <w:rPr>
                <w:sz w:val="18"/>
                <w:szCs w:val="18"/>
                <w:color w:val="auto"/>
              </w:rPr>
            </w:pPr>
          </w:p>
        </w:tc>
        <w:tc>
          <w:tcPr>
            <w:tcW w:w="220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33,006</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32,626</w:t>
            </w: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right"/>
              <w:ind w:right="784"/>
              <w:spacing w:after="0"/>
              <w:rPr>
                <w:sz w:val="20"/>
                <w:szCs w:val="20"/>
                <w:color w:val="auto"/>
              </w:rPr>
            </w:pPr>
            <w:r>
              <w:rPr>
                <w:rFonts w:ascii="Arial" w:cs="Arial" w:eastAsia="Arial" w:hAnsi="Arial"/>
                <w:sz w:val="15"/>
                <w:szCs w:val="15"/>
                <w:i w:val="1"/>
                <w:iCs w:val="1"/>
                <w:color w:val="auto"/>
                <w:w w:val="71"/>
              </w:rPr>
              <w:t>7</w:t>
            </w:r>
          </w:p>
        </w:tc>
        <w:tc>
          <w:tcPr>
            <w:tcW w:w="2200" w:type="dxa"/>
            <w:vAlign w:val="bottom"/>
          </w:tcPr>
          <w:p>
            <w:pPr>
              <w:jc w:val="right"/>
              <w:ind w:right="619"/>
              <w:spacing w:after="0"/>
              <w:rPr>
                <w:sz w:val="20"/>
                <w:szCs w:val="20"/>
                <w:color w:val="auto"/>
              </w:rPr>
            </w:pPr>
            <w:r>
              <w:rPr>
                <w:rFonts w:ascii="Arial" w:cs="Arial" w:eastAsia="Arial" w:hAnsi="Arial"/>
                <w:sz w:val="16"/>
                <w:szCs w:val="16"/>
                <w:b w:val="1"/>
                <w:bCs w:val="1"/>
                <w:color w:val="auto"/>
              </w:rPr>
              <w:t>24,842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940" w:type="dxa"/>
            <w:vAlign w:val="bottom"/>
          </w:tcPr>
          <w:p>
            <w:pPr>
              <w:jc w:val="right"/>
              <w:ind w:right="784"/>
              <w:spacing w:after="0"/>
              <w:rPr>
                <w:sz w:val="20"/>
                <w:szCs w:val="20"/>
                <w:color w:val="auto"/>
              </w:rPr>
            </w:pPr>
            <w:r>
              <w:rPr>
                <w:rFonts w:ascii="Arial" w:cs="Arial" w:eastAsia="Arial" w:hAnsi="Arial"/>
                <w:sz w:val="15"/>
                <w:szCs w:val="15"/>
                <w:i w:val="1"/>
                <w:iCs w:val="1"/>
                <w:color w:val="auto"/>
                <w:w w:val="71"/>
              </w:rPr>
              <w:t>7</w:t>
            </w:r>
          </w:p>
        </w:tc>
        <w:tc>
          <w:tcPr>
            <w:tcW w:w="2200" w:type="dxa"/>
            <w:vAlign w:val="bottom"/>
          </w:tcPr>
          <w:p>
            <w:pPr>
              <w:jc w:val="right"/>
              <w:ind w:right="619"/>
              <w:spacing w:after="0"/>
              <w:rPr>
                <w:sz w:val="20"/>
                <w:szCs w:val="20"/>
                <w:color w:val="auto"/>
              </w:rPr>
            </w:pPr>
            <w:r>
              <w:rPr>
                <w:rFonts w:ascii="Arial" w:cs="Arial" w:eastAsia="Arial" w:hAnsi="Arial"/>
                <w:sz w:val="16"/>
                <w:szCs w:val="16"/>
                <w:b w:val="1"/>
                <w:bCs w:val="1"/>
                <w:color w:val="auto"/>
              </w:rPr>
              <w:t>3,763</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940" w:type="dxa"/>
            <w:vAlign w:val="bottom"/>
          </w:tcPr>
          <w:p>
            <w:pPr>
              <w:jc w:val="right"/>
              <w:ind w:right="784"/>
              <w:spacing w:after="0"/>
              <w:rPr>
                <w:sz w:val="20"/>
                <w:szCs w:val="20"/>
                <w:color w:val="auto"/>
              </w:rPr>
            </w:pPr>
            <w:r>
              <w:rPr>
                <w:rFonts w:ascii="Arial" w:cs="Arial" w:eastAsia="Arial" w:hAnsi="Arial"/>
                <w:sz w:val="15"/>
                <w:szCs w:val="15"/>
                <w:i w:val="1"/>
                <w:iCs w:val="1"/>
                <w:color w:val="auto"/>
                <w:w w:val="71"/>
              </w:rPr>
              <w:t>7</w:t>
            </w:r>
          </w:p>
        </w:tc>
        <w:tc>
          <w:tcPr>
            <w:tcW w:w="220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33,059</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36,262</w:t>
            </w:r>
          </w:p>
        </w:tc>
        <w:tc>
          <w:tcPr>
            <w:tcW w:w="0" w:type="dxa"/>
            <w:vAlign w:val="bottom"/>
          </w:tcPr>
          <w:p>
            <w:pPr>
              <w:spacing w:after="0"/>
              <w:rPr>
                <w:sz w:val="1"/>
                <w:szCs w:val="1"/>
                <w:color w:val="auto"/>
              </w:rPr>
            </w:pPr>
          </w:p>
        </w:tc>
      </w:tr>
      <w:tr>
        <w:trPr>
          <w:trHeight w:val="143"/>
        </w:trPr>
        <w:tc>
          <w:tcPr>
            <w:tcW w:w="940" w:type="dxa"/>
            <w:vAlign w:val="bottom"/>
            <w:vMerge w:val="restart"/>
          </w:tcPr>
          <w:p>
            <w:pPr>
              <w:jc w:val="right"/>
              <w:ind w:right="784"/>
              <w:spacing w:after="0"/>
              <w:rPr>
                <w:sz w:val="20"/>
                <w:szCs w:val="20"/>
                <w:color w:val="auto"/>
              </w:rPr>
            </w:pPr>
            <w:r>
              <w:rPr>
                <w:rFonts w:ascii="Arial" w:cs="Arial" w:eastAsia="Arial" w:hAnsi="Arial"/>
                <w:sz w:val="15"/>
                <w:szCs w:val="15"/>
                <w:i w:val="1"/>
                <w:iCs w:val="1"/>
                <w:color w:val="auto"/>
                <w:w w:val="71"/>
              </w:rPr>
              <w:t>7</w:t>
            </w:r>
          </w:p>
        </w:tc>
        <w:tc>
          <w:tcPr>
            <w:tcW w:w="22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940" w:type="dxa"/>
            <w:vAlign w:val="bottom"/>
            <w:vMerge w:val="continue"/>
          </w:tcPr>
          <w:p>
            <w:pPr>
              <w:spacing w:after="0"/>
              <w:rPr>
                <w:sz w:val="18"/>
                <w:szCs w:val="18"/>
                <w:color w:val="auto"/>
              </w:rPr>
            </w:pPr>
          </w:p>
        </w:tc>
        <w:tc>
          <w:tcPr>
            <w:tcW w:w="220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38,205</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20,493</w:t>
            </w:r>
          </w:p>
        </w:tc>
        <w:tc>
          <w:tcPr>
            <w:tcW w:w="0" w:type="dxa"/>
            <w:vAlign w:val="bottom"/>
          </w:tcPr>
          <w:p>
            <w:pPr>
              <w:spacing w:after="0"/>
              <w:rPr>
                <w:sz w:val="1"/>
                <w:szCs w:val="1"/>
                <w:color w:val="auto"/>
              </w:rPr>
            </w:pPr>
          </w:p>
        </w:tc>
      </w:tr>
      <w:tr>
        <w:trPr>
          <w:trHeight w:val="143"/>
        </w:trPr>
        <w:tc>
          <w:tcPr>
            <w:tcW w:w="94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2200" w:type="dxa"/>
            <w:vAlign w:val="bottom"/>
          </w:tcPr>
          <w:p>
            <w:pPr>
              <w:jc w:val="right"/>
              <w:ind w:right="619"/>
              <w:spacing w:after="0"/>
              <w:rPr>
                <w:sz w:val="20"/>
                <w:szCs w:val="20"/>
                <w:color w:val="auto"/>
              </w:rPr>
            </w:pPr>
            <w:r>
              <w:rPr>
                <w:rFonts w:ascii="Arial" w:cs="Arial" w:eastAsia="Arial" w:hAnsi="Arial"/>
                <w:sz w:val="16"/>
                <w:szCs w:val="16"/>
                <w:b w:val="1"/>
                <w:bCs w:val="1"/>
                <w:color w:val="auto"/>
              </w:rPr>
              <w:t>867</w:t>
            </w:r>
          </w:p>
        </w:tc>
        <w:tc>
          <w:tcPr>
            <w:tcW w:w="1360" w:type="dxa"/>
            <w:vAlign w:val="bottom"/>
          </w:tcPr>
          <w:p>
            <w:pPr>
              <w:jc w:val="right"/>
              <w:spacing w:after="0"/>
              <w:rPr>
                <w:sz w:val="20"/>
                <w:szCs w:val="20"/>
                <w:color w:val="auto"/>
              </w:rPr>
            </w:pPr>
            <w:r>
              <w:rPr>
                <w:rFonts w:ascii="Arial" w:cs="Arial" w:eastAsia="Arial" w:hAnsi="Arial"/>
                <w:sz w:val="16"/>
                <w:szCs w:val="16"/>
                <w:color w:val="auto"/>
              </w:rPr>
              <w:t>(13,940)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2200" w:type="dxa"/>
            <w:vAlign w:val="bottom"/>
          </w:tcPr>
          <w:p>
            <w:pPr>
              <w:jc w:val="right"/>
              <w:ind w:right="579"/>
              <w:spacing w:after="0"/>
              <w:rPr>
                <w:sz w:val="20"/>
                <w:szCs w:val="20"/>
                <w:color w:val="auto"/>
              </w:rPr>
            </w:pPr>
            <w:r>
              <w:rPr>
                <w:rFonts w:ascii="Arial" w:cs="Arial" w:eastAsia="Arial" w:hAnsi="Arial"/>
                <w:sz w:val="16"/>
                <w:szCs w:val="16"/>
                <w:b w:val="1"/>
                <w:bCs w:val="1"/>
                <w:color w:val="auto"/>
              </w:rPr>
              <w:t>(342,540)</w:t>
            </w:r>
          </w:p>
        </w:tc>
        <w:tc>
          <w:tcPr>
            <w:tcW w:w="1360" w:type="dxa"/>
            <w:vAlign w:val="bottom"/>
          </w:tcPr>
          <w:p>
            <w:pPr>
              <w:jc w:val="right"/>
              <w:spacing w:after="0"/>
              <w:rPr>
                <w:sz w:val="20"/>
                <w:szCs w:val="20"/>
                <w:color w:val="auto"/>
              </w:rPr>
            </w:pPr>
            <w:r>
              <w:rPr>
                <w:rFonts w:ascii="Arial" w:cs="Arial" w:eastAsia="Arial" w:hAnsi="Arial"/>
                <w:sz w:val="16"/>
                <w:szCs w:val="16"/>
                <w:color w:val="auto"/>
              </w:rPr>
              <w:t>(255,393)</w:t>
            </w:r>
          </w:p>
        </w:tc>
        <w:tc>
          <w:tcPr>
            <w:tcW w:w="0" w:type="dxa"/>
            <w:vAlign w:val="bottom"/>
          </w:tcPr>
          <w:p>
            <w:pPr>
              <w:spacing w:after="0"/>
              <w:rPr>
                <w:sz w:val="1"/>
                <w:szCs w:val="1"/>
                <w:color w:val="auto"/>
              </w:rPr>
            </w:pPr>
          </w:p>
        </w:tc>
      </w:tr>
    </w:tbl>
    <w:p>
      <w:pPr>
        <w:spacing w:after="0" w:line="176" w:lineRule="exact"/>
        <w:rPr>
          <w:sz w:val="20"/>
          <w:szCs w:val="20"/>
          <w:color w:val="auto"/>
        </w:rPr>
      </w:pPr>
    </w:p>
    <w:p>
      <w:pPr>
        <w:sectPr>
          <w:pgSz w:w="11900" w:h="16838" w:orient="portrait"/>
          <w:cols w:equalWidth="0" w:num="2">
            <w:col w:w="6000" w:space="720"/>
            <w:col w:w="452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320" w:type="dxa"/>
            <w:vAlign w:val="bottom"/>
            <w:tcBorders>
              <w:top w:val="single" w:sz="8" w:color="auto"/>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SHAREHOLDERS' EQUITY</w:t>
            </w:r>
          </w:p>
        </w:tc>
        <w:tc>
          <w:tcPr>
            <w:tcW w:w="3540" w:type="dxa"/>
            <w:vAlign w:val="bottom"/>
            <w:tcBorders>
              <w:top w:val="single" w:sz="8" w:color="auto"/>
              <w:bottom w:val="single" w:sz="8" w:color="auto"/>
            </w:tcBorders>
            <w:shd w:val="clear" w:color="auto" w:fill="D9D9D9"/>
          </w:tcPr>
          <w:p>
            <w:pPr>
              <w:jc w:val="right"/>
              <w:ind w:right="619"/>
              <w:spacing w:after="0"/>
              <w:rPr>
                <w:sz w:val="20"/>
                <w:szCs w:val="20"/>
                <w:color w:val="auto"/>
              </w:rPr>
            </w:pPr>
            <w:r>
              <w:rPr>
                <w:rFonts w:ascii="Arial" w:cs="Arial" w:eastAsia="Arial" w:hAnsi="Arial"/>
                <w:sz w:val="16"/>
                <w:szCs w:val="16"/>
                <w:b w:val="1"/>
                <w:bCs w:val="1"/>
                <w:color w:val="auto"/>
              </w:rPr>
              <w:t>273,934</w:t>
            </w:r>
          </w:p>
        </w:tc>
        <w:tc>
          <w:tcPr>
            <w:tcW w:w="13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164,997</w:t>
            </w:r>
          </w:p>
        </w:tc>
      </w:tr>
      <w:tr>
        <w:trPr>
          <w:trHeight w:val="34"/>
        </w:trPr>
        <w:tc>
          <w:tcPr>
            <w:tcW w:w="6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632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TOTAL LIABILITIES AND SHAREHOLDERS' EQUITY</w:t>
            </w:r>
          </w:p>
        </w:tc>
        <w:tc>
          <w:tcPr>
            <w:tcW w:w="3540" w:type="dxa"/>
            <w:vAlign w:val="bottom"/>
            <w:tcBorders>
              <w:bottom w:val="single" w:sz="8" w:color="auto"/>
            </w:tcBorders>
            <w:shd w:val="clear" w:color="auto" w:fill="D9D9D9"/>
          </w:tcPr>
          <w:p>
            <w:pPr>
              <w:jc w:val="right"/>
              <w:ind w:right="619"/>
              <w:spacing w:after="0"/>
              <w:rPr>
                <w:sz w:val="20"/>
                <w:szCs w:val="20"/>
                <w:color w:val="auto"/>
              </w:rPr>
            </w:pPr>
            <w:r>
              <w:rPr>
                <w:rFonts w:ascii="Arial" w:cs="Arial" w:eastAsia="Arial" w:hAnsi="Arial"/>
                <w:sz w:val="16"/>
                <w:szCs w:val="16"/>
                <w:b w:val="1"/>
                <w:bCs w:val="1"/>
                <w:color w:val="auto"/>
              </w:rPr>
              <w:t>290,112</w:t>
            </w:r>
          </w:p>
        </w:tc>
        <w:tc>
          <w:tcPr>
            <w:tcW w:w="13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179,897</w:t>
            </w:r>
          </w:p>
        </w:tc>
      </w:tr>
    </w:tbl>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Corporate information (note 1); Material accounting policy information and basis of preparation (note 2); Convertible debentures (note 6); Contracts, commitments and contingencies (note 11); Subsequent events (note 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pacing w:after="0" w:line="115" w:lineRule="exact"/>
        <w:rPr>
          <w:sz w:val="20"/>
          <w:szCs w:val="20"/>
          <w:color w:val="auto"/>
        </w:rPr>
      </w:pPr>
    </w:p>
    <w:p>
      <w:pPr>
        <w:ind w:right="180" w:hanging="107"/>
        <w:spacing w:after="0" w:line="334" w:lineRule="auto"/>
        <w:rPr>
          <w:sz w:val="20"/>
          <w:szCs w:val="20"/>
          <w:color w:val="auto"/>
        </w:rPr>
      </w:pPr>
      <w:r>
        <w:rPr>
          <w:rFonts w:ascii="Arial" w:cs="Arial" w:eastAsia="Arial" w:hAnsi="Arial"/>
          <w:sz w:val="18"/>
          <w:szCs w:val="18"/>
          <w:color w:val="auto"/>
        </w:rPr>
        <w:t>ese condensed interim consolidated financial statements were approved for issue on February 12, 2026 by the board of directors and signed on its behalf by:</w:t>
      </w:r>
    </w:p>
    <w:p>
      <w:pPr>
        <w:spacing w:after="0" w:line="58"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i w:val="1"/>
          <w:iCs w:val="1"/>
          <w:color w:val="auto"/>
        </w:rPr>
        <w:t xml:space="preserve">/s/ Paul Glavine </w:t>
      </w:r>
      <w:r>
        <w:rPr>
          <w:rFonts w:ascii="Arial" w:cs="Arial" w:eastAsia="Arial" w:hAnsi="Arial"/>
          <w:sz w:val="18"/>
          <w:szCs w:val="18"/>
          <w:color w:val="auto"/>
        </w:rPr>
        <w:t>Director</w:t>
      </w:r>
      <w:r>
        <w:rPr>
          <w:sz w:val="20"/>
          <w:szCs w:val="20"/>
          <w:color w:val="auto"/>
        </w:rPr>
        <w:tab/>
      </w:r>
      <w:r>
        <w:rPr>
          <w:rFonts w:ascii="Arial" w:cs="Arial" w:eastAsia="Arial" w:hAnsi="Arial"/>
          <w:sz w:val="17"/>
          <w:szCs w:val="17"/>
          <w:i w:val="1"/>
          <w:iCs w:val="1"/>
          <w:color w:val="auto"/>
        </w:rPr>
        <w:t xml:space="preserve">/s/ Eric So </w:t>
      </w:r>
      <w:r>
        <w:rPr>
          <w:rFonts w:ascii="Arial" w:cs="Arial" w:eastAsia="Arial" w:hAnsi="Arial"/>
          <w:sz w:val="17"/>
          <w:szCs w:val="17"/>
          <w:color w:val="auto"/>
        </w:rPr>
        <w:t>Director</w:t>
      </w:r>
    </w:p>
    <w:p>
      <w:pPr>
        <w:sectPr>
          <w:pgSz w:w="11900" w:h="16838" w:orient="portrait"/>
          <w:cols w:equalWidth="0" w:num="1">
            <w:col w:w="11240"/>
          </w:cols>
          <w:pgMar w:left="320" w:top="233" w:right="3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21"/>
          <w:szCs w:val="21"/>
          <w:b w:val="1"/>
          <w:bCs w:val="1"/>
          <w:color w:val="auto"/>
        </w:rPr>
        <w:t>CYBIN INC. DOING BUSINESS AS HELUS PHARMA</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INTERIM CONSOLIDATED STATEMENTS OF LOSS AND COMPREHENSIVE LOSS</w:t>
      </w:r>
    </w:p>
    <w:p>
      <w:pPr>
        <w:ind w:left="80"/>
        <w:spacing w:after="0"/>
        <w:rPr>
          <w:sz w:val="20"/>
          <w:szCs w:val="20"/>
          <w:color w:val="auto"/>
        </w:rPr>
      </w:pPr>
      <w:r>
        <w:rPr>
          <w:rFonts w:ascii="Arial" w:cs="Arial" w:eastAsia="Arial" w:hAnsi="Arial"/>
          <w:sz w:val="20"/>
          <w:szCs w:val="20"/>
          <w:b w:val="1"/>
          <w:bCs w:val="1"/>
          <w:color w:val="auto"/>
        </w:rPr>
        <w:t>(All amounts expressed in thousands of United States dollars, except share and per share amounts)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1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For the three months ended</w:t>
            </w:r>
          </w:p>
        </w:tc>
        <w:tc>
          <w:tcPr>
            <w:tcW w:w="3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For the nine months ended December 31,</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rPr>
              <w:t xml:space="preserve">Restated - </w:t>
            </w:r>
            <w:r>
              <w:rPr>
                <w:rFonts w:ascii="Arial" w:cs="Arial" w:eastAsia="Arial" w:hAnsi="Arial"/>
                <w:sz w:val="16"/>
                <w:szCs w:val="16"/>
                <w:i w:val="1"/>
                <w:iCs w:val="1"/>
                <w:color w:val="auto"/>
              </w:rPr>
              <w:t>Note 2</w:t>
            </w:r>
          </w:p>
        </w:tc>
        <w:tc>
          <w:tcPr>
            <w:tcW w:w="17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 xml:space="preserve">Restated - </w:t>
            </w:r>
            <w:r>
              <w:rPr>
                <w:rFonts w:ascii="Arial" w:cs="Arial" w:eastAsia="Arial" w:hAnsi="Arial"/>
                <w:sz w:val="16"/>
                <w:szCs w:val="16"/>
                <w:i w:val="1"/>
                <w:iCs w:val="1"/>
                <w:color w:val="auto"/>
              </w:rPr>
              <w:t>Note 2</w:t>
            </w: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6"/>
                <w:szCs w:val="16"/>
                <w:i w:val="1"/>
                <w:iCs w:val="1"/>
                <w:color w:val="auto"/>
              </w:rPr>
              <w:t>Notes</w:t>
            </w: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1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800" w:type="dxa"/>
            <w:vAlign w:val="bottom"/>
          </w:tcPr>
          <w:p>
            <w:pPr>
              <w:ind w:left="240"/>
              <w:spacing w:after="0"/>
              <w:rPr>
                <w:sz w:val="20"/>
                <w:szCs w:val="20"/>
                <w:color w:val="auto"/>
              </w:rPr>
            </w:pPr>
            <w:r>
              <w:rPr>
                <w:rFonts w:ascii="Arial" w:cs="Arial" w:eastAsia="Arial" w:hAnsi="Arial"/>
                <w:sz w:val="16"/>
                <w:szCs w:val="16"/>
                <w:color w:val="auto"/>
              </w:rPr>
              <w:t>Research</w:t>
            </w: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rPr>
              <w:t>9</w:t>
            </w:r>
          </w:p>
        </w:tc>
        <w:tc>
          <w:tcPr>
            <w:tcW w:w="2100" w:type="dxa"/>
            <w:vAlign w:val="bottom"/>
          </w:tcPr>
          <w:p>
            <w:pPr>
              <w:jc w:val="right"/>
              <w:ind w:right="819"/>
              <w:spacing w:after="0"/>
              <w:rPr>
                <w:sz w:val="20"/>
                <w:szCs w:val="20"/>
                <w:color w:val="auto"/>
              </w:rPr>
            </w:pPr>
            <w:r>
              <w:rPr>
                <w:rFonts w:ascii="Arial" w:cs="Arial" w:eastAsia="Arial" w:hAnsi="Arial"/>
                <w:sz w:val="16"/>
                <w:szCs w:val="16"/>
                <w:b w:val="1"/>
                <w:bCs w:val="1"/>
                <w:color w:val="auto"/>
              </w:rPr>
              <w:t>23,857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13,435</w:t>
            </w:r>
          </w:p>
        </w:tc>
        <w:tc>
          <w:tcPr>
            <w:tcW w:w="17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57,702</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25,994</w:t>
            </w:r>
          </w:p>
        </w:tc>
        <w:tc>
          <w:tcPr>
            <w:tcW w:w="0" w:type="dxa"/>
            <w:vAlign w:val="bottom"/>
          </w:tcPr>
          <w:p>
            <w:pPr>
              <w:spacing w:after="0"/>
              <w:rPr>
                <w:sz w:val="1"/>
                <w:szCs w:val="1"/>
                <w:color w:val="auto"/>
              </w:rPr>
            </w:pPr>
          </w:p>
        </w:tc>
      </w:tr>
      <w:tr>
        <w:trPr>
          <w:trHeight w:val="62"/>
        </w:trPr>
        <w:tc>
          <w:tcPr>
            <w:tcW w:w="3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3800" w:type="dxa"/>
            <w:vAlign w:val="bottom"/>
          </w:tcPr>
          <w:p>
            <w:pPr>
              <w:ind w:left="240"/>
              <w:spacing w:after="0"/>
              <w:rPr>
                <w:sz w:val="20"/>
                <w:szCs w:val="20"/>
                <w:color w:val="auto"/>
              </w:rPr>
            </w:pPr>
            <w:r>
              <w:rPr>
                <w:rFonts w:ascii="Arial" w:cs="Arial" w:eastAsia="Arial" w:hAnsi="Arial"/>
                <w:sz w:val="16"/>
                <w:szCs w:val="16"/>
                <w:color w:val="auto"/>
              </w:rPr>
              <w:t>General and administrative costs</w:t>
            </w: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rPr>
              <w:t>10</w:t>
            </w:r>
          </w:p>
        </w:tc>
        <w:tc>
          <w:tcPr>
            <w:tcW w:w="2100" w:type="dxa"/>
            <w:vAlign w:val="bottom"/>
          </w:tcPr>
          <w:p>
            <w:pPr>
              <w:jc w:val="right"/>
              <w:ind w:right="819"/>
              <w:spacing w:after="0"/>
              <w:rPr>
                <w:sz w:val="20"/>
                <w:szCs w:val="20"/>
                <w:color w:val="auto"/>
              </w:rPr>
            </w:pPr>
            <w:r>
              <w:rPr>
                <w:rFonts w:ascii="Arial" w:cs="Arial" w:eastAsia="Arial" w:hAnsi="Arial"/>
                <w:sz w:val="16"/>
                <w:szCs w:val="16"/>
                <w:b w:val="1"/>
                <w:bCs w:val="1"/>
                <w:color w:val="auto"/>
              </w:rPr>
              <w:t>12,876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6,563</w:t>
            </w:r>
          </w:p>
        </w:tc>
        <w:tc>
          <w:tcPr>
            <w:tcW w:w="17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31,419</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24,124</w:t>
            </w:r>
          </w:p>
        </w:tc>
        <w:tc>
          <w:tcPr>
            <w:tcW w:w="0" w:type="dxa"/>
            <w:vAlign w:val="bottom"/>
          </w:tcPr>
          <w:p>
            <w:pPr>
              <w:spacing w:after="0"/>
              <w:rPr>
                <w:sz w:val="1"/>
                <w:szCs w:val="1"/>
                <w:color w:val="auto"/>
              </w:rPr>
            </w:pPr>
          </w:p>
        </w:tc>
      </w:tr>
      <w:tr>
        <w:trPr>
          <w:trHeight w:val="62"/>
        </w:trPr>
        <w:tc>
          <w:tcPr>
            <w:tcW w:w="3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380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rPr>
              <w:t>7</w:t>
            </w:r>
          </w:p>
        </w:tc>
        <w:tc>
          <w:tcPr>
            <w:tcW w:w="2100" w:type="dxa"/>
            <w:vAlign w:val="bottom"/>
          </w:tcPr>
          <w:p>
            <w:pPr>
              <w:jc w:val="right"/>
              <w:ind w:right="819"/>
              <w:spacing w:after="0"/>
              <w:rPr>
                <w:sz w:val="20"/>
                <w:szCs w:val="20"/>
                <w:color w:val="auto"/>
              </w:rPr>
            </w:pPr>
            <w:r>
              <w:rPr>
                <w:rFonts w:ascii="Arial" w:cs="Arial" w:eastAsia="Arial" w:hAnsi="Arial"/>
                <w:sz w:val="16"/>
                <w:szCs w:val="16"/>
                <w:b w:val="1"/>
                <w:bCs w:val="1"/>
                <w:color w:val="auto"/>
              </w:rPr>
              <w:t>4,477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2,390</w:t>
            </w:r>
          </w:p>
        </w:tc>
        <w:tc>
          <w:tcPr>
            <w:tcW w:w="17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5,607</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29,824</w:t>
            </w:r>
          </w:p>
        </w:tc>
        <w:tc>
          <w:tcPr>
            <w:tcW w:w="0" w:type="dxa"/>
            <w:vAlign w:val="bottom"/>
          </w:tcPr>
          <w:p>
            <w:pPr>
              <w:spacing w:after="0"/>
              <w:rPr>
                <w:sz w:val="1"/>
                <w:szCs w:val="1"/>
                <w:color w:val="auto"/>
              </w:rPr>
            </w:pPr>
          </w:p>
        </w:tc>
      </w:tr>
      <w:tr>
        <w:trPr>
          <w:trHeight w:val="62"/>
        </w:trPr>
        <w:tc>
          <w:tcPr>
            <w:tcW w:w="3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EXPENSES</w:t>
            </w:r>
          </w:p>
        </w:tc>
        <w:tc>
          <w:tcPr>
            <w:tcW w:w="10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41,210</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22,388</w:t>
            </w:r>
          </w:p>
        </w:tc>
        <w:tc>
          <w:tcPr>
            <w:tcW w:w="1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94,728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79,942</w:t>
            </w:r>
          </w:p>
        </w:tc>
        <w:tc>
          <w:tcPr>
            <w:tcW w:w="0" w:type="dxa"/>
            <w:vAlign w:val="bottom"/>
          </w:tcPr>
          <w:p>
            <w:pPr>
              <w:spacing w:after="0"/>
              <w:rPr>
                <w:sz w:val="1"/>
                <w:szCs w:val="1"/>
                <w:color w:val="auto"/>
              </w:rPr>
            </w:pPr>
          </w:p>
        </w:tc>
      </w:tr>
      <w:tr>
        <w:trPr>
          <w:trHeight w:val="458"/>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OTHER INCOME (EXPENSES)</w:t>
            </w: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800" w:type="dxa"/>
            <w:vAlign w:val="bottom"/>
          </w:tcPr>
          <w:p>
            <w:pPr>
              <w:ind w:left="240"/>
              <w:spacing w:after="0"/>
              <w:rPr>
                <w:sz w:val="20"/>
                <w:szCs w:val="20"/>
                <w:color w:val="auto"/>
              </w:rPr>
            </w:pPr>
            <w:r>
              <w:rPr>
                <w:rFonts w:ascii="Arial" w:cs="Arial" w:eastAsia="Arial" w:hAnsi="Arial"/>
                <w:sz w:val="16"/>
                <w:szCs w:val="16"/>
                <w:color w:val="auto"/>
              </w:rPr>
              <w:t>Foreign currency translation gain</w:t>
            </w:r>
          </w:p>
        </w:tc>
        <w:tc>
          <w:tcPr>
            <w:tcW w:w="1020" w:type="dxa"/>
            <w:vAlign w:val="bottom"/>
          </w:tcPr>
          <w:p>
            <w:pPr>
              <w:spacing w:after="0"/>
              <w:rPr>
                <w:sz w:val="24"/>
                <w:szCs w:val="24"/>
                <w:color w:val="auto"/>
              </w:rPr>
            </w:pPr>
          </w:p>
        </w:tc>
        <w:tc>
          <w:tcPr>
            <w:tcW w:w="2100" w:type="dxa"/>
            <w:vAlign w:val="bottom"/>
          </w:tcPr>
          <w:p>
            <w:pPr>
              <w:jc w:val="right"/>
              <w:ind w:right="819"/>
              <w:spacing w:after="0"/>
              <w:rPr>
                <w:sz w:val="20"/>
                <w:szCs w:val="20"/>
                <w:color w:val="auto"/>
              </w:rPr>
            </w:pPr>
            <w:r>
              <w:rPr>
                <w:rFonts w:ascii="Arial" w:cs="Arial" w:eastAsia="Arial" w:hAnsi="Arial"/>
                <w:sz w:val="16"/>
                <w:szCs w:val="16"/>
                <w:b w:val="1"/>
                <w:bCs w:val="1"/>
                <w:color w:val="auto"/>
              </w:rPr>
              <w:t>17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13,704</w:t>
            </w: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1,206</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14,676</w:t>
            </w: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80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1020" w:type="dxa"/>
            <w:vAlign w:val="bottom"/>
          </w:tcPr>
          <w:p>
            <w:pPr>
              <w:spacing w:after="0"/>
              <w:rPr>
                <w:sz w:val="24"/>
                <w:szCs w:val="24"/>
                <w:color w:val="auto"/>
              </w:rPr>
            </w:pPr>
          </w:p>
        </w:tc>
        <w:tc>
          <w:tcPr>
            <w:tcW w:w="2100" w:type="dxa"/>
            <w:vAlign w:val="bottom"/>
          </w:tcPr>
          <w:p>
            <w:pPr>
              <w:jc w:val="right"/>
              <w:ind w:right="819"/>
              <w:spacing w:after="0"/>
              <w:rPr>
                <w:sz w:val="20"/>
                <w:szCs w:val="20"/>
                <w:color w:val="auto"/>
              </w:rPr>
            </w:pPr>
            <w:r>
              <w:rPr>
                <w:rFonts w:ascii="Arial" w:cs="Arial" w:eastAsia="Arial" w:hAnsi="Arial"/>
                <w:sz w:val="16"/>
                <w:szCs w:val="16"/>
                <w:b w:val="1"/>
                <w:bCs w:val="1"/>
                <w:color w:val="auto"/>
              </w:rPr>
              <w:t>1,502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1,165</w:t>
            </w: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3,522</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240"/>
              <w:spacing w:after="0"/>
              <w:rPr>
                <w:sz w:val="20"/>
                <w:szCs w:val="20"/>
                <w:color w:val="auto"/>
              </w:rPr>
            </w:pPr>
            <w:r>
              <w:rPr>
                <w:rFonts w:ascii="Arial" w:cs="Arial" w:eastAsia="Arial" w:hAnsi="Arial"/>
                <w:sz w:val="16"/>
                <w:szCs w:val="16"/>
                <w:color w:val="auto"/>
              </w:rPr>
              <w:t>Other loss</w:t>
            </w:r>
          </w:p>
        </w:tc>
        <w:tc>
          <w:tcPr>
            <w:tcW w:w="1020" w:type="dxa"/>
            <w:vAlign w:val="bottom"/>
          </w:tcPr>
          <w:p>
            <w:pPr>
              <w:spacing w:after="0"/>
              <w:rPr>
                <w:sz w:val="18"/>
                <w:szCs w:val="18"/>
                <w:color w:val="auto"/>
              </w:rPr>
            </w:pPr>
          </w:p>
        </w:tc>
        <w:tc>
          <w:tcPr>
            <w:tcW w:w="2100" w:type="dxa"/>
            <w:vAlign w:val="bottom"/>
          </w:tcPr>
          <w:p>
            <w:pPr>
              <w:jc w:val="right"/>
              <w:ind w:right="779"/>
              <w:spacing w:after="0"/>
              <w:rPr>
                <w:sz w:val="20"/>
                <w:szCs w:val="20"/>
                <w:color w:val="auto"/>
              </w:rPr>
            </w:pPr>
            <w:r>
              <w:rPr>
                <w:rFonts w:ascii="Arial" w:cs="Arial" w:eastAsia="Arial" w:hAnsi="Arial"/>
                <w:sz w:val="16"/>
                <w:szCs w:val="16"/>
                <w:b w:val="1"/>
                <w:bCs w:val="1"/>
                <w:color w:val="auto"/>
              </w:rPr>
              <w:t>(2,615)</w:t>
            </w: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(2,586)</w:t>
            </w: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800" w:type="dxa"/>
            <w:vAlign w:val="bottom"/>
          </w:tcPr>
          <w:p>
            <w:pPr>
              <w:ind w:left="240"/>
              <w:spacing w:after="0"/>
              <w:rPr>
                <w:sz w:val="20"/>
                <w:szCs w:val="20"/>
                <w:color w:val="auto"/>
              </w:rPr>
            </w:pPr>
            <w:r>
              <w:rPr>
                <w:rFonts w:ascii="Arial" w:cs="Arial" w:eastAsia="Arial" w:hAnsi="Arial"/>
                <w:sz w:val="16"/>
                <w:szCs w:val="16"/>
                <w:color w:val="auto"/>
              </w:rPr>
              <w:t>Debt issuance costs</w:t>
            </w: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rPr>
              <w:t>6</w:t>
            </w:r>
          </w:p>
        </w:tc>
        <w:tc>
          <w:tcPr>
            <w:tcW w:w="210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(2,917)</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Fair value loss on financial instruments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rPr>
              <w:t>6</w:t>
            </w: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(362)</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(5,500)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OTHER INCOME (EXPENSES)</w:t>
            </w:r>
          </w:p>
        </w:tc>
        <w:tc>
          <w:tcPr>
            <w:tcW w:w="10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(1,458)</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14,849</w:t>
            </w: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(6,275)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19,642</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NET LOSS FOR THE PERIOD</w:t>
            </w:r>
          </w:p>
        </w:tc>
        <w:tc>
          <w:tcPr>
            <w:tcW w:w="1020" w:type="dxa"/>
            <w:vAlign w:val="bottom"/>
            <w:tcBorders>
              <w:bottom w:val="single" w:sz="8" w:color="auto"/>
            </w:tcBorders>
            <w:shd w:val="clear" w:color="auto" w:fill="DBDBDB"/>
          </w:tcPr>
          <w:p>
            <w:pPr>
              <w:spacing w:after="0"/>
              <w:rPr>
                <w:sz w:val="18"/>
                <w:szCs w:val="18"/>
                <w:color w:val="auto"/>
              </w:rPr>
            </w:pPr>
          </w:p>
        </w:tc>
        <w:tc>
          <w:tcPr>
            <w:tcW w:w="2100" w:type="dxa"/>
            <w:vAlign w:val="bottom"/>
            <w:tcBorders>
              <w:bottom w:val="single" w:sz="8" w:color="auto"/>
            </w:tcBorders>
            <w:shd w:val="clear" w:color="auto" w:fill="DBDBDB"/>
          </w:tcPr>
          <w:p>
            <w:pPr>
              <w:jc w:val="right"/>
              <w:ind w:right="779"/>
              <w:spacing w:after="0"/>
              <w:rPr>
                <w:sz w:val="20"/>
                <w:szCs w:val="20"/>
                <w:color w:val="auto"/>
              </w:rPr>
            </w:pPr>
            <w:r>
              <w:rPr>
                <w:rFonts w:ascii="Arial" w:cs="Arial" w:eastAsia="Arial" w:hAnsi="Arial"/>
                <w:sz w:val="16"/>
                <w:szCs w:val="16"/>
                <w:b w:val="1"/>
                <w:bCs w:val="1"/>
                <w:color w:val="auto"/>
              </w:rPr>
              <w:t>(42,668)</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(7,539)</w:t>
            </w:r>
          </w:p>
        </w:tc>
        <w:tc>
          <w:tcPr>
            <w:tcW w:w="176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b w:val="1"/>
                <w:bCs w:val="1"/>
                <w:color w:val="auto"/>
              </w:rPr>
              <w:t>(101,003)</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(60,300)</w:t>
            </w:r>
          </w:p>
        </w:tc>
        <w:tc>
          <w:tcPr>
            <w:tcW w:w="0" w:type="dxa"/>
            <w:vAlign w:val="bottom"/>
          </w:tcPr>
          <w:p>
            <w:pPr>
              <w:spacing w:after="0"/>
              <w:rPr>
                <w:sz w:val="1"/>
                <w:szCs w:val="1"/>
                <w:color w:val="auto"/>
              </w:rPr>
            </w:pPr>
          </w:p>
        </w:tc>
      </w:tr>
      <w:tr>
        <w:trPr>
          <w:trHeight w:val="458"/>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OTHER COMPREHENSIVE INCOME (LOSS)</w:t>
            </w: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800" w:type="dxa"/>
            <w:vAlign w:val="bottom"/>
          </w:tcPr>
          <w:p>
            <w:pPr>
              <w:ind w:left="180"/>
              <w:spacing w:after="0"/>
              <w:rPr>
                <w:sz w:val="20"/>
                <w:szCs w:val="20"/>
                <w:color w:val="auto"/>
              </w:rPr>
            </w:pPr>
            <w:r>
              <w:rPr>
                <w:rFonts w:ascii="Arial" w:cs="Arial" w:eastAsia="Arial" w:hAnsi="Arial"/>
                <w:sz w:val="16"/>
                <w:szCs w:val="16"/>
                <w:color w:val="auto"/>
              </w:rPr>
              <w:t>Unrealized gain (loss) on translation of foreign</w:t>
            </w: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1020" w:type="dxa"/>
            <w:vAlign w:val="bottom"/>
          </w:tcPr>
          <w:p>
            <w:pPr>
              <w:spacing w:after="0"/>
              <w:rPr>
                <w:sz w:val="18"/>
                <w:szCs w:val="18"/>
                <w:color w:val="auto"/>
              </w:rPr>
            </w:pPr>
          </w:p>
        </w:tc>
        <w:tc>
          <w:tcPr>
            <w:tcW w:w="2100" w:type="dxa"/>
            <w:vAlign w:val="bottom"/>
            <w:vMerge w:val="restart"/>
          </w:tcPr>
          <w:p>
            <w:pPr>
              <w:jc w:val="right"/>
              <w:ind w:right="819"/>
              <w:spacing w:after="0"/>
              <w:rPr>
                <w:sz w:val="20"/>
                <w:szCs w:val="20"/>
                <w:color w:val="auto"/>
              </w:rPr>
            </w:pPr>
            <w:r>
              <w:rPr>
                <w:rFonts w:ascii="Arial" w:cs="Arial" w:eastAsia="Arial" w:hAnsi="Arial"/>
                <w:sz w:val="16"/>
                <w:szCs w:val="16"/>
                <w:b w:val="1"/>
                <w:bCs w:val="1"/>
                <w:color w:val="auto"/>
              </w:rPr>
              <w:t>131</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(16,759)</w:t>
            </w:r>
          </w:p>
        </w:tc>
        <w:tc>
          <w:tcPr>
            <w:tcW w:w="1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425</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(17,647)</w:t>
            </w:r>
          </w:p>
        </w:tc>
        <w:tc>
          <w:tcPr>
            <w:tcW w:w="0" w:type="dxa"/>
            <w:vAlign w:val="bottom"/>
          </w:tcPr>
          <w:p>
            <w:pPr>
              <w:spacing w:after="0"/>
              <w:rPr>
                <w:sz w:val="1"/>
                <w:szCs w:val="1"/>
                <w:color w:val="auto"/>
              </w:rPr>
            </w:pPr>
          </w:p>
        </w:tc>
      </w:tr>
      <w:tr>
        <w:trPr>
          <w:trHeight w:val="70"/>
        </w:trPr>
        <w:tc>
          <w:tcPr>
            <w:tcW w:w="38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1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6"/>
                <w:szCs w:val="16"/>
                <w:b w:val="1"/>
                <w:bCs w:val="1"/>
                <w:color w:val="auto"/>
              </w:rPr>
              <w:t>COMPREHENSIVE LOSS FOR THE PERIOD</w:t>
            </w:r>
          </w:p>
        </w:tc>
        <w:tc>
          <w:tcPr>
            <w:tcW w:w="1020" w:type="dxa"/>
            <w:vAlign w:val="bottom"/>
            <w:tcBorders>
              <w:bottom w:val="single" w:sz="8" w:color="auto"/>
            </w:tcBorders>
            <w:shd w:val="clear" w:color="auto" w:fill="DBDBDB"/>
          </w:tcPr>
          <w:p>
            <w:pPr>
              <w:spacing w:after="0"/>
              <w:rPr>
                <w:sz w:val="18"/>
                <w:szCs w:val="18"/>
                <w:color w:val="auto"/>
              </w:rPr>
            </w:pPr>
          </w:p>
        </w:tc>
        <w:tc>
          <w:tcPr>
            <w:tcW w:w="2100" w:type="dxa"/>
            <w:vAlign w:val="bottom"/>
            <w:tcBorders>
              <w:bottom w:val="single" w:sz="8" w:color="auto"/>
            </w:tcBorders>
            <w:shd w:val="clear" w:color="auto" w:fill="DBDBDB"/>
          </w:tcPr>
          <w:p>
            <w:pPr>
              <w:jc w:val="right"/>
              <w:ind w:right="779"/>
              <w:spacing w:after="0"/>
              <w:rPr>
                <w:sz w:val="20"/>
                <w:szCs w:val="20"/>
                <w:color w:val="auto"/>
              </w:rPr>
            </w:pPr>
            <w:r>
              <w:rPr>
                <w:rFonts w:ascii="Arial" w:cs="Arial" w:eastAsia="Arial" w:hAnsi="Arial"/>
                <w:sz w:val="16"/>
                <w:szCs w:val="16"/>
                <w:b w:val="1"/>
                <w:bCs w:val="1"/>
                <w:color w:val="auto"/>
              </w:rPr>
              <w:t>(42,537)</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(24,298)</w:t>
            </w:r>
          </w:p>
        </w:tc>
        <w:tc>
          <w:tcPr>
            <w:tcW w:w="176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b w:val="1"/>
                <w:bCs w:val="1"/>
                <w:color w:val="auto"/>
              </w:rPr>
              <w:t>(100,578)</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(77,947)</w:t>
            </w:r>
          </w:p>
        </w:tc>
        <w:tc>
          <w:tcPr>
            <w:tcW w:w="0" w:type="dxa"/>
            <w:vAlign w:val="bottom"/>
          </w:tcPr>
          <w:p>
            <w:pPr>
              <w:spacing w:after="0"/>
              <w:rPr>
                <w:sz w:val="1"/>
                <w:szCs w:val="1"/>
                <w:color w:val="auto"/>
              </w:rPr>
            </w:pPr>
          </w:p>
        </w:tc>
      </w:tr>
      <w:tr>
        <w:trPr>
          <w:trHeight w:val="452"/>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Basic loss per share for the period</w:t>
            </w:r>
          </w:p>
        </w:tc>
        <w:tc>
          <w:tcPr>
            <w:tcW w:w="10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(3.40)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56"/>
        </w:trPr>
        <w:tc>
          <w:tcPr>
            <w:tcW w:w="3800" w:type="dxa"/>
            <w:vAlign w:val="bottom"/>
          </w:tcPr>
          <w:p>
            <w:pPr>
              <w:ind w:left="80"/>
              <w:spacing w:after="0" w:line="155" w:lineRule="exact"/>
              <w:rPr>
                <w:sz w:val="20"/>
                <w:szCs w:val="20"/>
                <w:color w:val="auto"/>
              </w:rPr>
            </w:pPr>
            <w:r>
              <w:rPr>
                <w:rFonts w:ascii="Arial" w:cs="Arial" w:eastAsia="Arial" w:hAnsi="Arial"/>
                <w:sz w:val="16"/>
                <w:szCs w:val="16"/>
                <w:b w:val="1"/>
                <w:bCs w:val="1"/>
                <w:color w:val="auto"/>
              </w:rPr>
              <w:t>Weighted average number of common shares</w:t>
            </w:r>
          </w:p>
        </w:tc>
        <w:tc>
          <w:tcPr>
            <w:tcW w:w="1020" w:type="dxa"/>
            <w:vAlign w:val="bottom"/>
          </w:tcPr>
          <w:p>
            <w:pPr>
              <w:spacing w:after="0"/>
              <w:rPr>
                <w:sz w:val="13"/>
                <w:szCs w:val="13"/>
                <w:color w:val="auto"/>
              </w:rPr>
            </w:pPr>
          </w:p>
        </w:tc>
        <w:tc>
          <w:tcPr>
            <w:tcW w:w="2100" w:type="dxa"/>
            <w:vAlign w:val="bottom"/>
            <w:vMerge w:val="restart"/>
          </w:tcPr>
          <w:p>
            <w:pPr>
              <w:jc w:val="right"/>
              <w:ind w:right="819"/>
              <w:spacing w:after="0"/>
              <w:rPr>
                <w:sz w:val="20"/>
                <w:szCs w:val="20"/>
                <w:color w:val="auto"/>
              </w:rPr>
            </w:pPr>
            <w:r>
              <w:rPr>
                <w:rFonts w:ascii="Arial" w:cs="Arial" w:eastAsia="Arial" w:hAnsi="Arial"/>
                <w:sz w:val="16"/>
                <w:szCs w:val="16"/>
                <w:b w:val="1"/>
                <w:bCs w:val="1"/>
                <w:color w:val="auto"/>
              </w:rPr>
              <w:t>42,521,389</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20,001,406</w:t>
            </w:r>
          </w:p>
        </w:tc>
        <w:tc>
          <w:tcPr>
            <w:tcW w:w="1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29,736,061</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20,001,406</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outstanding - basic</w:t>
            </w:r>
          </w:p>
        </w:tc>
        <w:tc>
          <w:tcPr>
            <w:tcW w:w="10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29"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1000"/>
        <w:spacing w:after="0" w:line="239" w:lineRule="auto"/>
        <w:rPr>
          <w:sz w:val="20"/>
          <w:szCs w:val="20"/>
          <w:color w:val="auto"/>
        </w:rPr>
      </w:pPr>
      <w:r>
        <w:rPr>
          <w:rFonts w:ascii="Arial" w:cs="Arial" w:eastAsia="Arial" w:hAnsi="Arial"/>
          <w:sz w:val="22"/>
          <w:szCs w:val="22"/>
          <w:b w:val="1"/>
          <w:bCs w:val="1"/>
          <w:color w:val="auto"/>
        </w:rPr>
        <w:t>CONDENSED INTERIM CONSOLIDATED STATEMENTS OF CHANGES IN SHAREHOLDERS’ EQUITY For the nine-month periods ended December 31, 2025 and 2024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 except share amounts)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vMerge w:val="restart"/>
          </w:tcPr>
          <w:p>
            <w:pPr>
              <w:jc w:val="right"/>
              <w:ind w:right="420"/>
              <w:spacing w:after="0"/>
              <w:rPr>
                <w:sz w:val="20"/>
                <w:szCs w:val="20"/>
                <w:color w:val="auto"/>
              </w:rPr>
            </w:pPr>
            <w:r>
              <w:rPr>
                <w:rFonts w:ascii="Arial" w:cs="Arial" w:eastAsia="Arial" w:hAnsi="Arial"/>
                <w:sz w:val="13"/>
                <w:szCs w:val="13"/>
                <w:b w:val="1"/>
                <w:bCs w:val="1"/>
                <w:color w:val="auto"/>
              </w:rPr>
              <w:t>Share capital</w:t>
            </w:r>
          </w:p>
        </w:tc>
        <w:tc>
          <w:tcPr>
            <w:tcW w:w="1480" w:type="dxa"/>
            <w:vAlign w:val="bottom"/>
            <w:gridSpan w:val="3"/>
          </w:tcPr>
          <w:p>
            <w:pPr>
              <w:ind w:left="320"/>
              <w:spacing w:after="0"/>
              <w:rPr>
                <w:sz w:val="20"/>
                <w:szCs w:val="20"/>
                <w:color w:val="auto"/>
              </w:rPr>
            </w:pPr>
            <w:r>
              <w:rPr>
                <w:rFonts w:ascii="Arial" w:cs="Arial" w:eastAsia="Arial" w:hAnsi="Arial"/>
                <w:sz w:val="13"/>
                <w:szCs w:val="13"/>
                <w:b w:val="1"/>
                <w:bCs w:val="1"/>
                <w:color w:val="auto"/>
              </w:rPr>
              <w:t>Pre Funded</w:t>
            </w:r>
          </w:p>
        </w:tc>
        <w:tc>
          <w:tcPr>
            <w:tcW w:w="760" w:type="dxa"/>
            <w:vAlign w:val="bottom"/>
          </w:tcPr>
          <w:p>
            <w:pPr>
              <w:spacing w:after="0"/>
              <w:rPr>
                <w:sz w:val="13"/>
                <w:szCs w:val="13"/>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Reserves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480" w:type="dxa"/>
            <w:vAlign w:val="bottom"/>
            <w:gridSpan w:val="3"/>
          </w:tcPr>
          <w:p>
            <w:pPr>
              <w:ind w:left="400"/>
              <w:spacing w:after="0"/>
              <w:rPr>
                <w:sz w:val="20"/>
                <w:szCs w:val="20"/>
                <w:color w:val="auto"/>
              </w:rPr>
            </w:pPr>
            <w:r>
              <w:rPr>
                <w:rFonts w:ascii="Arial" w:cs="Arial" w:eastAsia="Arial" w:hAnsi="Arial"/>
                <w:sz w:val="13"/>
                <w:szCs w:val="13"/>
                <w:b w:val="1"/>
                <w:bCs w:val="1"/>
                <w:color w:val="auto"/>
              </w:rPr>
              <w:t>Warrants</w:t>
            </w:r>
          </w:p>
        </w:tc>
        <w:tc>
          <w:tcPr>
            <w:tcW w:w="7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Restricted</w:t>
            </w: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Number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Contributed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Note</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740" w:type="dxa"/>
            <w:vAlign w:val="bottom"/>
            <w:vMerge w:val="continue"/>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Warrants</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Share</w:t>
            </w:r>
          </w:p>
        </w:tc>
        <w:tc>
          <w:tcPr>
            <w:tcW w:w="880" w:type="dxa"/>
            <w:vAlign w:val="bottom"/>
            <w:gridSpan w:val="2"/>
            <w:vMerge w:val="continue"/>
          </w:tcPr>
          <w:p>
            <w:pPr>
              <w:spacing w:after="0"/>
              <w:rPr>
                <w:sz w:val="11"/>
                <w:szCs w:val="1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Deficit</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1"/>
                <w:szCs w:val="11"/>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20" w:type="dxa"/>
            <w:vAlign w:val="bottom"/>
            <w:gridSpan w:val="2"/>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Units</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surplus</w:t>
            </w:r>
          </w:p>
        </w:tc>
        <w:tc>
          <w:tcPr>
            <w:tcW w:w="76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BDBDB"/>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gridSpan w:val="2"/>
          </w:tcPr>
          <w:p>
            <w:pPr>
              <w:jc w:val="right"/>
              <w:ind w:right="2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1"/>
        </w:trPr>
        <w:tc>
          <w:tcPr>
            <w:tcW w:w="2080" w:type="dxa"/>
            <w:vAlign w:val="bottom"/>
            <w:shd w:val="clear" w:color="auto" w:fill="D9D9D9"/>
          </w:tcPr>
          <w:p>
            <w:pPr>
              <w:ind w:left="80"/>
              <w:spacing w:after="0" w:line="131" w:lineRule="exact"/>
              <w:rPr>
                <w:sz w:val="20"/>
                <w:szCs w:val="20"/>
                <w:color w:val="auto"/>
              </w:rPr>
            </w:pPr>
            <w:r>
              <w:rPr>
                <w:rFonts w:ascii="Arial" w:cs="Arial" w:eastAsia="Arial" w:hAnsi="Arial"/>
                <w:sz w:val="13"/>
                <w:szCs w:val="13"/>
                <w:b w:val="1"/>
                <w:bCs w:val="1"/>
                <w:color w:val="auto"/>
              </w:rPr>
              <w:t>Balance as at March 31, 2024 -</w:t>
            </w:r>
          </w:p>
        </w:tc>
        <w:tc>
          <w:tcPr>
            <w:tcW w:w="380" w:type="dxa"/>
            <w:vAlign w:val="bottom"/>
            <w:shd w:val="clear" w:color="auto" w:fill="D9D9D9"/>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80" w:type="dxa"/>
            <w:vAlign w:val="bottom"/>
            <w:vMerge w:val="restart"/>
            <w:shd w:val="clear" w:color="auto" w:fill="D9D9D9"/>
          </w:tcPr>
          <w:p>
            <w:pPr>
              <w:jc w:val="right"/>
              <w:ind w:right="13"/>
              <w:spacing w:after="0"/>
              <w:rPr>
                <w:sz w:val="20"/>
                <w:szCs w:val="20"/>
                <w:color w:val="auto"/>
              </w:rPr>
            </w:pPr>
            <w:r>
              <w:rPr>
                <w:rFonts w:ascii="Arial" w:cs="Arial" w:eastAsia="Arial" w:hAnsi="Arial"/>
                <w:sz w:val="13"/>
                <w:szCs w:val="13"/>
                <w:b w:val="1"/>
                <w:bCs w:val="1"/>
                <w:color w:val="auto"/>
              </w:rPr>
              <w:t>20,001,404</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331,000</w:t>
            </w:r>
          </w:p>
        </w:tc>
        <w:tc>
          <w:tcPr>
            <w:tcW w:w="80" w:type="dxa"/>
            <w:vAlign w:val="bottom"/>
            <w:shd w:val="clear" w:color="auto" w:fill="DBDBDB"/>
          </w:tcPr>
          <w:p>
            <w:pPr>
              <w:spacing w:after="0"/>
              <w:rPr>
                <w:sz w:val="11"/>
                <w:szCs w:val="11"/>
                <w:color w:val="auto"/>
              </w:rPr>
            </w:pP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6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19,060</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30,283</w:t>
            </w: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8,756</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(173,786)</w:t>
            </w:r>
          </w:p>
        </w:tc>
        <w:tc>
          <w:tcPr>
            <w:tcW w:w="8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132</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215,445</w:t>
            </w:r>
          </w:p>
        </w:tc>
        <w:tc>
          <w:tcPr>
            <w:tcW w:w="0" w:type="dxa"/>
            <w:vAlign w:val="bottom"/>
          </w:tcPr>
          <w:p>
            <w:pPr>
              <w:spacing w:after="0"/>
              <w:rPr>
                <w:sz w:val="1"/>
                <w:szCs w:val="1"/>
                <w:color w:val="auto"/>
              </w:rPr>
            </w:pPr>
          </w:p>
        </w:tc>
      </w:tr>
      <w:tr>
        <w:trPr>
          <w:trHeight w:val="117"/>
        </w:trPr>
        <w:tc>
          <w:tcPr>
            <w:tcW w:w="2080" w:type="dxa"/>
            <w:vAlign w:val="bottom"/>
            <w:vMerge w:val="restart"/>
            <w:shd w:val="clear" w:color="auto" w:fill="D9D9D9"/>
          </w:tcPr>
          <w:p>
            <w:pPr>
              <w:ind w:left="80"/>
              <w:spacing w:after="0"/>
              <w:rPr>
                <w:sz w:val="20"/>
                <w:szCs w:val="20"/>
                <w:color w:val="auto"/>
              </w:rPr>
            </w:pPr>
            <w:r>
              <w:rPr>
                <w:rFonts w:ascii="Arial" w:cs="Arial" w:eastAsia="Arial" w:hAnsi="Arial"/>
                <w:sz w:val="13"/>
                <w:szCs w:val="13"/>
                <w:b w:val="1"/>
                <w:bCs w:val="1"/>
                <w:i w:val="1"/>
                <w:iCs w:val="1"/>
                <w:color w:val="auto"/>
              </w:rPr>
              <w:t xml:space="preserve">Restated - </w:t>
            </w:r>
            <w:r>
              <w:rPr>
                <w:rFonts w:ascii="Arial" w:cs="Arial" w:eastAsia="Arial" w:hAnsi="Arial"/>
                <w:sz w:val="13"/>
                <w:szCs w:val="13"/>
                <w:i w:val="1"/>
                <w:iCs w:val="1"/>
                <w:color w:val="auto"/>
              </w:rPr>
              <w:t>Note 2</w:t>
            </w:r>
          </w:p>
        </w:tc>
        <w:tc>
          <w:tcPr>
            <w:tcW w:w="380" w:type="dxa"/>
            <w:vAlign w:val="bottom"/>
            <w:shd w:val="clear" w:color="auto" w:fill="D9D9D9"/>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8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vMerge w:val="continue"/>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760" w:type="dxa"/>
            <w:vAlign w:val="bottom"/>
            <w:vMerge w:val="continue"/>
            <w:shd w:val="clear" w:color="auto" w:fill="DBDBDB"/>
          </w:tcPr>
          <w:p>
            <w:pPr>
              <w:spacing w:after="0"/>
              <w:rPr>
                <w:sz w:val="10"/>
                <w:szCs w:val="10"/>
                <w:color w:val="auto"/>
              </w:rPr>
            </w:pPr>
          </w:p>
        </w:tc>
        <w:tc>
          <w:tcPr>
            <w:tcW w:w="660" w:type="dxa"/>
            <w:vAlign w:val="bottom"/>
            <w:vMerge w:val="continue"/>
            <w:shd w:val="clear" w:color="auto" w:fill="DBDBDB"/>
          </w:tcPr>
          <w:p>
            <w:pPr>
              <w:spacing w:after="0"/>
              <w:rPr>
                <w:sz w:val="10"/>
                <w:szCs w:val="10"/>
                <w:color w:val="auto"/>
              </w:rPr>
            </w:pPr>
          </w:p>
        </w:tc>
        <w:tc>
          <w:tcPr>
            <w:tcW w:w="740" w:type="dxa"/>
            <w:vAlign w:val="bottom"/>
            <w:vMerge w:val="continue"/>
            <w:shd w:val="clear" w:color="auto" w:fill="DBDBDB"/>
          </w:tcPr>
          <w:p>
            <w:pPr>
              <w:spacing w:after="0"/>
              <w:rPr>
                <w:sz w:val="10"/>
                <w:szCs w:val="10"/>
                <w:color w:val="auto"/>
              </w:rPr>
            </w:pPr>
          </w:p>
        </w:tc>
        <w:tc>
          <w:tcPr>
            <w:tcW w:w="80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8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40" w:type="dxa"/>
            <w:vAlign w:val="bottom"/>
            <w:vMerge w:val="continue"/>
            <w:shd w:val="clear" w:color="auto" w:fill="DBDBDB"/>
          </w:tcPr>
          <w:p>
            <w:pPr>
              <w:spacing w:after="0"/>
              <w:rPr>
                <w:sz w:val="10"/>
                <w:szCs w:val="10"/>
                <w:color w:val="auto"/>
              </w:rPr>
            </w:pPr>
          </w:p>
        </w:tc>
        <w:tc>
          <w:tcPr>
            <w:tcW w:w="780" w:type="dxa"/>
            <w:vAlign w:val="bottom"/>
            <w:gridSpan w:val="2"/>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tcBorders>
              <w:bottom w:val="single" w:sz="8" w:color="auto"/>
            </w:tcBorders>
            <w:vMerge w:val="continue"/>
            <w:shd w:val="clear" w:color="auto" w:fill="D9D9D9"/>
          </w:tcPr>
          <w:p>
            <w:pPr>
              <w:spacing w:after="0"/>
              <w:rPr>
                <w:sz w:val="6"/>
                <w:szCs w:val="6"/>
                <w:color w:val="auto"/>
              </w:rPr>
            </w:pPr>
          </w:p>
        </w:tc>
        <w:tc>
          <w:tcPr>
            <w:tcW w:w="380" w:type="dxa"/>
            <w:vAlign w:val="bottom"/>
            <w:tcBorders>
              <w:bottom w:val="single" w:sz="8" w:color="auto"/>
            </w:tcBorders>
            <w:shd w:val="clear" w:color="auto" w:fill="D9D9D9"/>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780" w:type="dxa"/>
            <w:vAlign w:val="bottom"/>
            <w:tcBorders>
              <w:bottom w:val="single" w:sz="8" w:color="auto"/>
            </w:tcBorders>
            <w:shd w:val="clear" w:color="auto" w:fill="D9D9D9"/>
          </w:tcPr>
          <w:p>
            <w:pPr>
              <w:spacing w:after="0"/>
              <w:rPr>
                <w:sz w:val="6"/>
                <w:szCs w:val="6"/>
                <w:color w:val="auto"/>
              </w:rPr>
            </w:pPr>
          </w:p>
        </w:tc>
        <w:tc>
          <w:tcPr>
            <w:tcW w:w="74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740" w:type="dxa"/>
            <w:vAlign w:val="bottom"/>
            <w:tcBorders>
              <w:bottom w:val="single" w:sz="8" w:color="auto"/>
            </w:tcBorders>
            <w:vMerge w:val="continue"/>
            <w:shd w:val="clear" w:color="auto" w:fill="DBDBDB"/>
          </w:tcPr>
          <w:p>
            <w:pPr>
              <w:spacing w:after="0"/>
              <w:rPr>
                <w:sz w:val="6"/>
                <w:szCs w:val="6"/>
                <w:color w:val="auto"/>
              </w:rPr>
            </w:pPr>
          </w:p>
        </w:tc>
        <w:tc>
          <w:tcPr>
            <w:tcW w:w="640" w:type="dxa"/>
            <w:vAlign w:val="bottom"/>
            <w:tcBorders>
              <w:bottom w:val="single" w:sz="8" w:color="auto"/>
            </w:tcBorders>
            <w:shd w:val="clear" w:color="auto" w:fill="DBDBDB"/>
          </w:tcPr>
          <w:p>
            <w:pPr>
              <w:spacing w:after="0"/>
              <w:rPr>
                <w:sz w:val="6"/>
                <w:szCs w:val="6"/>
                <w:color w:val="auto"/>
              </w:rPr>
            </w:pPr>
          </w:p>
        </w:tc>
        <w:tc>
          <w:tcPr>
            <w:tcW w:w="100" w:type="dxa"/>
            <w:vAlign w:val="bottom"/>
            <w:tcBorders>
              <w:bottom w:val="single" w:sz="8" w:color="auto"/>
            </w:tcBorders>
            <w:shd w:val="clear" w:color="auto" w:fill="DBDBDB"/>
          </w:tcPr>
          <w:p>
            <w:pPr>
              <w:spacing w:after="0"/>
              <w:rPr>
                <w:sz w:val="6"/>
                <w:szCs w:val="6"/>
                <w:color w:val="auto"/>
              </w:rPr>
            </w:pPr>
          </w:p>
        </w:tc>
        <w:tc>
          <w:tcPr>
            <w:tcW w:w="760" w:type="dxa"/>
            <w:vAlign w:val="bottom"/>
            <w:tcBorders>
              <w:bottom w:val="single" w:sz="8" w:color="auto"/>
            </w:tcBorders>
            <w:vMerge w:val="continue"/>
            <w:shd w:val="clear" w:color="auto" w:fill="DBDBDB"/>
          </w:tcPr>
          <w:p>
            <w:pPr>
              <w:spacing w:after="0"/>
              <w:rPr>
                <w:sz w:val="6"/>
                <w:szCs w:val="6"/>
                <w:color w:val="auto"/>
              </w:rPr>
            </w:pPr>
          </w:p>
        </w:tc>
        <w:tc>
          <w:tcPr>
            <w:tcW w:w="660" w:type="dxa"/>
            <w:vAlign w:val="bottom"/>
            <w:tcBorders>
              <w:bottom w:val="single" w:sz="8" w:color="auto"/>
            </w:tcBorders>
            <w:vMerge w:val="continue"/>
            <w:shd w:val="clear" w:color="auto" w:fill="DBDBDB"/>
          </w:tcPr>
          <w:p>
            <w:pPr>
              <w:spacing w:after="0"/>
              <w:rPr>
                <w:sz w:val="6"/>
                <w:szCs w:val="6"/>
                <w:color w:val="auto"/>
              </w:rPr>
            </w:pPr>
          </w:p>
        </w:tc>
        <w:tc>
          <w:tcPr>
            <w:tcW w:w="740" w:type="dxa"/>
            <w:vAlign w:val="bottom"/>
            <w:tcBorders>
              <w:bottom w:val="single" w:sz="8" w:color="auto"/>
            </w:tcBorders>
            <w:vMerge w:val="continue"/>
            <w:shd w:val="clear" w:color="auto" w:fill="DBDBDB"/>
          </w:tcPr>
          <w:p>
            <w:pPr>
              <w:spacing w:after="0"/>
              <w:rPr>
                <w:sz w:val="6"/>
                <w:szCs w:val="6"/>
                <w:color w:val="auto"/>
              </w:rPr>
            </w:pPr>
          </w:p>
        </w:tc>
        <w:tc>
          <w:tcPr>
            <w:tcW w:w="80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68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1040" w:type="dxa"/>
            <w:vAlign w:val="bottom"/>
            <w:tcBorders>
              <w:bottom w:val="single" w:sz="8" w:color="auto"/>
            </w:tcBorders>
            <w:vMerge w:val="continue"/>
            <w:shd w:val="clear" w:color="auto" w:fill="DBDBDB"/>
          </w:tcPr>
          <w:p>
            <w:pPr>
              <w:spacing w:after="0"/>
              <w:rPr>
                <w:sz w:val="6"/>
                <w:szCs w:val="6"/>
                <w:color w:val="auto"/>
              </w:rPr>
            </w:pPr>
          </w:p>
        </w:tc>
        <w:tc>
          <w:tcPr>
            <w:tcW w:w="780" w:type="dxa"/>
            <w:vAlign w:val="bottom"/>
            <w:tcBorders>
              <w:bottom w:val="single" w:sz="8" w:color="auto"/>
            </w:tcBorders>
            <w:gridSpan w:val="2"/>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80" w:type="dxa"/>
            <w:vAlign w:val="bottom"/>
          </w:tcPr>
          <w:p>
            <w:pPr>
              <w:ind w:left="80"/>
              <w:spacing w:after="0" w:line="131" w:lineRule="exact"/>
              <w:rPr>
                <w:sz w:val="20"/>
                <w:szCs w:val="20"/>
                <w:color w:val="auto"/>
              </w:rPr>
            </w:pPr>
            <w:r>
              <w:rPr>
                <w:rFonts w:ascii="Arial" w:cs="Arial" w:eastAsia="Arial" w:hAnsi="Arial"/>
                <w:sz w:val="13"/>
                <w:szCs w:val="13"/>
                <w:color w:val="auto"/>
              </w:rPr>
              <w:t>Adjustment for fractional shares</w:t>
            </w: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82"/>
              </w:rPr>
              <w:t>7</w:t>
            </w:r>
          </w:p>
        </w:tc>
        <w:tc>
          <w:tcPr>
            <w:tcW w:w="86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80"/>
              <w:spacing w:after="0"/>
              <w:rPr>
                <w:sz w:val="20"/>
                <w:szCs w:val="20"/>
                <w:color w:val="auto"/>
              </w:rPr>
            </w:pPr>
            <w:r>
              <w:rPr>
                <w:rFonts w:ascii="Arial" w:cs="Arial" w:eastAsia="Arial" w:hAnsi="Arial"/>
                <w:sz w:val="13"/>
                <w:szCs w:val="13"/>
                <w:color w:val="auto"/>
              </w:rPr>
              <w:t>upon share consolidation</w:t>
            </w:r>
          </w:p>
        </w:tc>
        <w:tc>
          <w:tcPr>
            <w:tcW w:w="3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100"/>
              <w:spacing w:after="0"/>
              <w:rPr>
                <w:sz w:val="20"/>
                <w:szCs w:val="20"/>
                <w:color w:val="auto"/>
              </w:rPr>
            </w:pPr>
            <w:r>
              <w:rPr>
                <w:rFonts w:ascii="Arial" w:cs="Arial" w:eastAsia="Arial" w:hAnsi="Arial"/>
                <w:sz w:val="13"/>
                <w:szCs w:val="13"/>
                <w:color w:val="auto"/>
              </w:rPr>
              <w:t>Share issuance costs</w:t>
            </w: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8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80" w:type="dxa"/>
            <w:vAlign w:val="bottom"/>
          </w:tcPr>
          <w:p>
            <w:pPr>
              <w:spacing w:after="0"/>
              <w:rPr>
                <w:sz w:val="17"/>
                <w:szCs w:val="17"/>
                <w:color w:val="auto"/>
              </w:rPr>
            </w:pPr>
          </w:p>
        </w:tc>
        <w:tc>
          <w:tcPr>
            <w:tcW w:w="740" w:type="dxa"/>
            <w:vAlign w:val="bottom"/>
          </w:tcPr>
          <w:p>
            <w:pPr>
              <w:ind w:left="5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(360)</w:t>
            </w:r>
          </w:p>
        </w:tc>
        <w:tc>
          <w:tcPr>
            <w:tcW w:w="0" w:type="dxa"/>
            <w:vAlign w:val="bottom"/>
          </w:tcPr>
          <w:p>
            <w:pPr>
              <w:spacing w:after="0"/>
              <w:rPr>
                <w:sz w:val="1"/>
                <w:szCs w:val="1"/>
                <w:color w:val="auto"/>
              </w:rPr>
            </w:pPr>
          </w:p>
        </w:tc>
      </w:tr>
      <w:tr>
        <w:trPr>
          <w:trHeight w:val="189"/>
        </w:trPr>
        <w:tc>
          <w:tcPr>
            <w:tcW w:w="2080" w:type="dxa"/>
            <w:vAlign w:val="bottom"/>
          </w:tcPr>
          <w:p>
            <w:pPr>
              <w:ind w:left="100"/>
              <w:spacing w:after="0"/>
              <w:rPr>
                <w:sz w:val="20"/>
                <w:szCs w:val="20"/>
                <w:color w:val="auto"/>
              </w:rPr>
            </w:pPr>
            <w:r>
              <w:rPr>
                <w:rFonts w:ascii="Arial" w:cs="Arial" w:eastAsia="Arial" w:hAnsi="Arial"/>
                <w:sz w:val="13"/>
                <w:szCs w:val="13"/>
                <w:color w:val="auto"/>
              </w:rPr>
              <w:t>Options cancelled</w:t>
            </w: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ind w:left="5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(23,477)</w:t>
            </w:r>
          </w:p>
        </w:tc>
        <w:tc>
          <w:tcPr>
            <w:tcW w:w="74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23,477</w:t>
            </w: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9"/>
        </w:trPr>
        <w:tc>
          <w:tcPr>
            <w:tcW w:w="208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ind w:left="5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1,433</w:t>
            </w:r>
          </w:p>
        </w:tc>
        <w:tc>
          <w:tcPr>
            <w:tcW w:w="660" w:type="dxa"/>
            <w:vAlign w:val="bottom"/>
          </w:tcPr>
          <w:p>
            <w:pPr>
              <w:jc w:val="right"/>
              <w:spacing w:after="0"/>
              <w:rPr>
                <w:sz w:val="20"/>
                <w:szCs w:val="20"/>
                <w:color w:val="auto"/>
              </w:rPr>
            </w:pPr>
            <w:r>
              <w:rPr>
                <w:rFonts w:ascii="Arial" w:cs="Arial" w:eastAsia="Arial" w:hAnsi="Arial"/>
                <w:sz w:val="13"/>
                <w:szCs w:val="13"/>
                <w:color w:val="auto"/>
              </w:rPr>
              <w:t>28,391</w:t>
            </w:r>
          </w:p>
        </w:tc>
        <w:tc>
          <w:tcPr>
            <w:tcW w:w="740" w:type="dxa"/>
            <w:vAlign w:val="bottom"/>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29,824</w:t>
            </w:r>
          </w:p>
        </w:tc>
        <w:tc>
          <w:tcPr>
            <w:tcW w:w="0" w:type="dxa"/>
            <w:vAlign w:val="bottom"/>
          </w:tcPr>
          <w:p>
            <w:pPr>
              <w:spacing w:after="0"/>
              <w:rPr>
                <w:sz w:val="1"/>
                <w:szCs w:val="1"/>
                <w:color w:val="auto"/>
              </w:rPr>
            </w:pPr>
          </w:p>
        </w:tc>
      </w:tr>
      <w:tr>
        <w:trPr>
          <w:trHeight w:val="140"/>
        </w:trPr>
        <w:tc>
          <w:tcPr>
            <w:tcW w:w="2080" w:type="dxa"/>
            <w:vAlign w:val="bottom"/>
          </w:tcPr>
          <w:p>
            <w:pPr>
              <w:ind w:left="80"/>
              <w:spacing w:after="0" w:line="140" w:lineRule="exact"/>
              <w:rPr>
                <w:sz w:val="20"/>
                <w:szCs w:val="20"/>
                <w:color w:val="auto"/>
              </w:rPr>
            </w:pPr>
            <w:r>
              <w:rPr>
                <w:rFonts w:ascii="Arial" w:cs="Arial" w:eastAsia="Arial" w:hAnsi="Arial"/>
                <w:sz w:val="13"/>
                <w:szCs w:val="13"/>
                <w:color w:val="auto"/>
              </w:rPr>
              <w:t>Unrealized loss on translation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color w:val="auto"/>
              </w:rPr>
              <w:t>(17,647)</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(17,647)</w:t>
            </w:r>
          </w:p>
        </w:tc>
        <w:tc>
          <w:tcPr>
            <w:tcW w:w="0" w:type="dxa"/>
            <w:vAlign w:val="bottom"/>
          </w:tcPr>
          <w:p>
            <w:pPr>
              <w:spacing w:after="0"/>
              <w:rPr>
                <w:sz w:val="1"/>
                <w:szCs w:val="1"/>
                <w:color w:val="auto"/>
              </w:rPr>
            </w:pPr>
          </w:p>
        </w:tc>
      </w:tr>
      <w:tr>
        <w:trPr>
          <w:trHeight w:val="184"/>
        </w:trPr>
        <w:tc>
          <w:tcPr>
            <w:tcW w:w="2080" w:type="dxa"/>
            <w:vAlign w:val="bottom"/>
          </w:tcPr>
          <w:p>
            <w:pPr>
              <w:ind w:left="80"/>
              <w:spacing w:after="0"/>
              <w:rPr>
                <w:sz w:val="20"/>
                <w:szCs w:val="20"/>
                <w:color w:val="auto"/>
              </w:rPr>
            </w:pPr>
            <w:r>
              <w:rPr>
                <w:rFonts w:ascii="Arial" w:cs="Arial" w:eastAsia="Arial" w:hAnsi="Arial"/>
                <w:sz w:val="13"/>
                <w:szCs w:val="13"/>
                <w:color w:val="auto"/>
              </w:rPr>
              <w:t>foreign operations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Net loss for the period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(60,300)</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(60,300)</w:t>
            </w:r>
          </w:p>
        </w:tc>
        <w:tc>
          <w:tcPr>
            <w:tcW w:w="0" w:type="dxa"/>
            <w:vAlign w:val="bottom"/>
          </w:tcPr>
          <w:p>
            <w:pPr>
              <w:spacing w:after="0"/>
              <w:rPr>
                <w:sz w:val="1"/>
                <w:szCs w:val="1"/>
                <w:color w:val="auto"/>
              </w:rPr>
            </w:pPr>
          </w:p>
        </w:tc>
      </w:tr>
      <w:tr>
        <w:trPr>
          <w:trHeight w:val="130"/>
        </w:trPr>
        <w:tc>
          <w:tcPr>
            <w:tcW w:w="2080" w:type="dxa"/>
            <w:vAlign w:val="bottom"/>
            <w:shd w:val="clear" w:color="auto" w:fill="DBDBDB"/>
          </w:tcPr>
          <w:p>
            <w:pPr>
              <w:ind w:left="80"/>
              <w:spacing w:after="0" w:line="131" w:lineRule="exact"/>
              <w:rPr>
                <w:sz w:val="20"/>
                <w:szCs w:val="20"/>
                <w:color w:val="auto"/>
              </w:rPr>
            </w:pPr>
            <w:r>
              <w:rPr>
                <w:rFonts w:ascii="Arial" w:cs="Arial" w:eastAsia="Arial" w:hAnsi="Arial"/>
                <w:sz w:val="13"/>
                <w:szCs w:val="13"/>
                <w:b w:val="1"/>
                <w:bCs w:val="1"/>
                <w:color w:val="auto"/>
              </w:rPr>
              <w:t>Balance as at December 31,</w:t>
            </w:r>
          </w:p>
        </w:tc>
        <w:tc>
          <w:tcPr>
            <w:tcW w:w="38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20,001,406</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330,640</w:t>
            </w:r>
          </w:p>
        </w:tc>
        <w:tc>
          <w:tcPr>
            <w:tcW w:w="80" w:type="dxa"/>
            <w:vAlign w:val="bottom"/>
            <w:shd w:val="clear" w:color="auto" w:fill="DBDBDB"/>
          </w:tcPr>
          <w:p>
            <w:pPr>
              <w:spacing w:after="0"/>
              <w:rPr>
                <w:sz w:val="11"/>
                <w:szCs w:val="11"/>
                <w:color w:val="auto"/>
              </w:rPr>
            </w:pP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20,493</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35,197</w:t>
            </w: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32,233</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(234,086)</w:t>
            </w:r>
          </w:p>
        </w:tc>
        <w:tc>
          <w:tcPr>
            <w:tcW w:w="8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(17,515)</w:t>
            </w:r>
          </w:p>
        </w:tc>
        <w:tc>
          <w:tcPr>
            <w:tcW w:w="78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166,962</w:t>
            </w: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3"/>
                <w:szCs w:val="13"/>
                <w:b w:val="1"/>
                <w:bCs w:val="1"/>
                <w:color w:val="auto"/>
              </w:rPr>
              <w:t xml:space="preserve">2024 - </w:t>
            </w:r>
            <w:r>
              <w:rPr>
                <w:rFonts w:ascii="Arial" w:cs="Arial" w:eastAsia="Arial" w:hAnsi="Arial"/>
                <w:sz w:val="13"/>
                <w:szCs w:val="13"/>
                <w:b w:val="1"/>
                <w:bCs w:val="1"/>
                <w:i w:val="1"/>
                <w:iCs w:val="1"/>
                <w:color w:val="auto"/>
              </w:rPr>
              <w:t>Restated -</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Note 2</w:t>
            </w:r>
          </w:p>
        </w:tc>
        <w:tc>
          <w:tcPr>
            <w:tcW w:w="3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gridSpan w:val="2"/>
            <w:vMerge w:val="continue"/>
            <w:shd w:val="clear" w:color="auto" w:fill="DBDBDB"/>
          </w:tcPr>
          <w:p>
            <w:pPr>
              <w:spacing w:after="0"/>
              <w:rPr>
                <w:sz w:val="16"/>
                <w:szCs w:val="16"/>
                <w:color w:val="auto"/>
              </w:rPr>
            </w:pPr>
          </w:p>
        </w:tc>
        <w:tc>
          <w:tcPr>
            <w:tcW w:w="740" w:type="dxa"/>
            <w:vAlign w:val="bottom"/>
            <w:tcBorders>
              <w:bottom w:val="single" w:sz="8" w:color="auto"/>
            </w:tcBorders>
            <w:vMerge w:val="continue"/>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vMerge w:val="continue"/>
            <w:shd w:val="clear" w:color="auto" w:fill="DBDBDB"/>
          </w:tcPr>
          <w:p>
            <w:pPr>
              <w:spacing w:after="0"/>
              <w:rPr>
                <w:sz w:val="16"/>
                <w:szCs w:val="16"/>
                <w:color w:val="auto"/>
              </w:rPr>
            </w:pPr>
          </w:p>
        </w:tc>
        <w:tc>
          <w:tcPr>
            <w:tcW w:w="740" w:type="dxa"/>
            <w:vAlign w:val="bottom"/>
            <w:tcBorders>
              <w:bottom w:val="single" w:sz="8" w:color="auto"/>
            </w:tcBorders>
            <w:gridSpan w:val="2"/>
            <w:vMerge w:val="continue"/>
            <w:shd w:val="clear" w:color="auto" w:fill="DBDBDB"/>
          </w:tcPr>
          <w:p>
            <w:pPr>
              <w:spacing w:after="0"/>
              <w:rPr>
                <w:sz w:val="16"/>
                <w:szCs w:val="16"/>
                <w:color w:val="auto"/>
              </w:rPr>
            </w:pPr>
          </w:p>
        </w:tc>
        <w:tc>
          <w:tcPr>
            <w:tcW w:w="760" w:type="dxa"/>
            <w:vAlign w:val="bottom"/>
            <w:tcBorders>
              <w:bottom w:val="single" w:sz="8" w:color="auto"/>
            </w:tcBorders>
            <w:vMerge w:val="continue"/>
            <w:shd w:val="clear" w:color="auto" w:fill="DBDBDB"/>
          </w:tcPr>
          <w:p>
            <w:pPr>
              <w:spacing w:after="0"/>
              <w:rPr>
                <w:sz w:val="16"/>
                <w:szCs w:val="16"/>
                <w:color w:val="auto"/>
              </w:rPr>
            </w:pPr>
          </w:p>
        </w:tc>
        <w:tc>
          <w:tcPr>
            <w:tcW w:w="660" w:type="dxa"/>
            <w:vAlign w:val="bottom"/>
            <w:tcBorders>
              <w:bottom w:val="single" w:sz="8" w:color="auto"/>
            </w:tcBorders>
            <w:vMerge w:val="continue"/>
            <w:shd w:val="clear" w:color="auto" w:fill="DBDBDB"/>
          </w:tcPr>
          <w:p>
            <w:pPr>
              <w:spacing w:after="0"/>
              <w:rPr>
                <w:sz w:val="16"/>
                <w:szCs w:val="16"/>
                <w:color w:val="auto"/>
              </w:rPr>
            </w:pPr>
          </w:p>
        </w:tc>
        <w:tc>
          <w:tcPr>
            <w:tcW w:w="740" w:type="dxa"/>
            <w:vAlign w:val="bottom"/>
            <w:tcBorders>
              <w:bottom w:val="single" w:sz="8" w:color="auto"/>
            </w:tcBorders>
            <w:vMerge w:val="continue"/>
            <w:shd w:val="clear" w:color="auto" w:fill="DBDBDB"/>
          </w:tcPr>
          <w:p>
            <w:pPr>
              <w:spacing w:after="0"/>
              <w:rPr>
                <w:sz w:val="16"/>
                <w:szCs w:val="16"/>
                <w:color w:val="auto"/>
              </w:rPr>
            </w:pPr>
          </w:p>
        </w:tc>
        <w:tc>
          <w:tcPr>
            <w:tcW w:w="800" w:type="dxa"/>
            <w:vAlign w:val="bottom"/>
            <w:tcBorders>
              <w:bottom w:val="single" w:sz="8" w:color="auto"/>
            </w:tcBorders>
            <w:vMerge w:val="continue"/>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vMerge w:val="continue"/>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vMerge w:val="continue"/>
            <w:shd w:val="clear" w:color="auto" w:fill="DBDBDB"/>
          </w:tcPr>
          <w:p>
            <w:pPr>
              <w:spacing w:after="0"/>
              <w:rPr>
                <w:sz w:val="16"/>
                <w:szCs w:val="16"/>
                <w:color w:val="auto"/>
              </w:rPr>
            </w:pPr>
          </w:p>
        </w:tc>
        <w:tc>
          <w:tcPr>
            <w:tcW w:w="78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D9D9D9"/>
          </w:tcPr>
          <w:p>
            <w:pPr>
              <w:ind w:left="80"/>
              <w:spacing w:after="0" w:line="129" w:lineRule="exact"/>
              <w:rPr>
                <w:sz w:val="20"/>
                <w:szCs w:val="20"/>
                <w:color w:val="auto"/>
              </w:rPr>
            </w:pPr>
            <w:r>
              <w:rPr>
                <w:rFonts w:ascii="Arial" w:cs="Arial" w:eastAsia="Arial" w:hAnsi="Arial"/>
                <w:sz w:val="13"/>
                <w:szCs w:val="13"/>
                <w:b w:val="1"/>
                <w:bCs w:val="1"/>
                <w:color w:val="auto"/>
              </w:rPr>
              <w:t>Balance as at March 31,2025 -</w:t>
            </w:r>
          </w:p>
        </w:tc>
        <w:tc>
          <w:tcPr>
            <w:tcW w:w="380" w:type="dxa"/>
            <w:vAlign w:val="bottom"/>
            <w:shd w:val="clear" w:color="auto" w:fill="D9D9D9"/>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80" w:type="dxa"/>
            <w:vAlign w:val="bottom"/>
            <w:vMerge w:val="restart"/>
            <w:shd w:val="clear" w:color="auto" w:fill="D9D9D9"/>
          </w:tcPr>
          <w:p>
            <w:pPr>
              <w:jc w:val="right"/>
              <w:ind w:right="13"/>
              <w:spacing w:after="0"/>
              <w:rPr>
                <w:sz w:val="20"/>
                <w:szCs w:val="20"/>
                <w:color w:val="auto"/>
              </w:rPr>
            </w:pPr>
            <w:r>
              <w:rPr>
                <w:rFonts w:ascii="Arial" w:cs="Arial" w:eastAsia="Arial" w:hAnsi="Arial"/>
                <w:sz w:val="13"/>
                <w:szCs w:val="13"/>
                <w:b w:val="1"/>
                <w:bCs w:val="1"/>
                <w:color w:val="auto"/>
              </w:rPr>
              <w:t>21,610,704</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344,949</w:t>
            </w:r>
          </w:p>
        </w:tc>
        <w:tc>
          <w:tcPr>
            <w:tcW w:w="80" w:type="dxa"/>
            <w:vAlign w:val="bottom"/>
            <w:shd w:val="clear" w:color="auto" w:fill="DBDBDB"/>
          </w:tcPr>
          <w:p>
            <w:pPr>
              <w:spacing w:after="0"/>
              <w:rPr>
                <w:sz w:val="11"/>
                <w:szCs w:val="11"/>
                <w:color w:val="auto"/>
              </w:rPr>
            </w:pP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20,493</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36,262</w:t>
            </w:r>
          </w:p>
        </w:tc>
        <w:tc>
          <w:tcPr>
            <w:tcW w:w="740" w:type="dxa"/>
            <w:vAlign w:val="bottom"/>
            <w:vMerge w:val="restart"/>
            <w:shd w:val="clear" w:color="auto" w:fill="DBDBDB"/>
          </w:tcPr>
          <w:p>
            <w:pPr>
              <w:ind w:left="52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32,626</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(255,393)</w:t>
            </w:r>
          </w:p>
        </w:tc>
        <w:tc>
          <w:tcPr>
            <w:tcW w:w="8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b w:val="1"/>
                <w:bCs w:val="1"/>
                <w:color w:val="auto"/>
              </w:rPr>
              <w:t>(13,940)</w:t>
            </w:r>
          </w:p>
        </w:tc>
        <w:tc>
          <w:tcPr>
            <w:tcW w:w="80" w:type="dxa"/>
            <w:vAlign w:val="bottom"/>
            <w:shd w:val="clear" w:color="auto" w:fill="D9D9D9"/>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164,997</w:t>
            </w:r>
          </w:p>
        </w:tc>
        <w:tc>
          <w:tcPr>
            <w:tcW w:w="0" w:type="dxa"/>
            <w:vAlign w:val="bottom"/>
          </w:tcPr>
          <w:p>
            <w:pPr>
              <w:spacing w:after="0"/>
              <w:rPr>
                <w:sz w:val="1"/>
                <w:szCs w:val="1"/>
                <w:color w:val="auto"/>
              </w:rPr>
            </w:pPr>
          </w:p>
        </w:tc>
      </w:tr>
      <w:tr>
        <w:trPr>
          <w:trHeight w:val="117"/>
        </w:trPr>
        <w:tc>
          <w:tcPr>
            <w:tcW w:w="2080" w:type="dxa"/>
            <w:vAlign w:val="bottom"/>
            <w:vMerge w:val="restart"/>
            <w:shd w:val="clear" w:color="auto" w:fill="D9D9D9"/>
          </w:tcPr>
          <w:p>
            <w:pPr>
              <w:ind w:left="80"/>
              <w:spacing w:after="0"/>
              <w:rPr>
                <w:sz w:val="20"/>
                <w:szCs w:val="20"/>
                <w:color w:val="auto"/>
              </w:rPr>
            </w:pPr>
            <w:r>
              <w:rPr>
                <w:rFonts w:ascii="Arial" w:cs="Arial" w:eastAsia="Arial" w:hAnsi="Arial"/>
                <w:sz w:val="13"/>
                <w:szCs w:val="13"/>
                <w:b w:val="1"/>
                <w:bCs w:val="1"/>
                <w:i w:val="1"/>
                <w:iCs w:val="1"/>
                <w:color w:val="auto"/>
              </w:rPr>
              <w:t xml:space="preserve">Restated </w:t>
            </w:r>
            <w:r>
              <w:rPr>
                <w:rFonts w:ascii="Arial" w:cs="Arial" w:eastAsia="Arial" w:hAnsi="Arial"/>
                <w:sz w:val="13"/>
                <w:szCs w:val="13"/>
                <w:i w:val="1"/>
                <w:iCs w:val="1"/>
                <w:color w:val="auto"/>
              </w:rPr>
              <w:t>- Note 2</w:t>
            </w:r>
          </w:p>
        </w:tc>
        <w:tc>
          <w:tcPr>
            <w:tcW w:w="380" w:type="dxa"/>
            <w:vAlign w:val="bottom"/>
            <w:shd w:val="clear" w:color="auto" w:fill="D9D9D9"/>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8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40" w:type="dxa"/>
            <w:vAlign w:val="bottom"/>
            <w:vMerge w:val="continue"/>
            <w:shd w:val="clear" w:color="auto" w:fill="DBDBDB"/>
          </w:tcPr>
          <w:p>
            <w:pPr>
              <w:spacing w:after="0"/>
              <w:rPr>
                <w:sz w:val="10"/>
                <w:szCs w:val="10"/>
                <w:color w:val="auto"/>
              </w:rPr>
            </w:pPr>
          </w:p>
        </w:tc>
        <w:tc>
          <w:tcPr>
            <w:tcW w:w="740" w:type="dxa"/>
            <w:vAlign w:val="bottom"/>
            <w:gridSpan w:val="2"/>
            <w:vMerge w:val="continue"/>
            <w:shd w:val="clear" w:color="auto" w:fill="DBDBDB"/>
          </w:tcPr>
          <w:p>
            <w:pPr>
              <w:spacing w:after="0"/>
              <w:rPr>
                <w:sz w:val="10"/>
                <w:szCs w:val="10"/>
                <w:color w:val="auto"/>
              </w:rPr>
            </w:pPr>
          </w:p>
        </w:tc>
        <w:tc>
          <w:tcPr>
            <w:tcW w:w="760" w:type="dxa"/>
            <w:vAlign w:val="bottom"/>
            <w:vMerge w:val="continue"/>
            <w:shd w:val="clear" w:color="auto" w:fill="DBDBDB"/>
          </w:tcPr>
          <w:p>
            <w:pPr>
              <w:spacing w:after="0"/>
              <w:rPr>
                <w:sz w:val="10"/>
                <w:szCs w:val="10"/>
                <w:color w:val="auto"/>
              </w:rPr>
            </w:pPr>
          </w:p>
        </w:tc>
        <w:tc>
          <w:tcPr>
            <w:tcW w:w="660" w:type="dxa"/>
            <w:vAlign w:val="bottom"/>
            <w:vMerge w:val="continue"/>
            <w:shd w:val="clear" w:color="auto" w:fill="DBDBDB"/>
          </w:tcPr>
          <w:p>
            <w:pPr>
              <w:spacing w:after="0"/>
              <w:rPr>
                <w:sz w:val="10"/>
                <w:szCs w:val="10"/>
                <w:color w:val="auto"/>
              </w:rPr>
            </w:pPr>
          </w:p>
        </w:tc>
        <w:tc>
          <w:tcPr>
            <w:tcW w:w="740" w:type="dxa"/>
            <w:vAlign w:val="bottom"/>
            <w:vMerge w:val="continue"/>
            <w:shd w:val="clear" w:color="auto" w:fill="DBDBDB"/>
          </w:tcPr>
          <w:p>
            <w:pPr>
              <w:spacing w:after="0"/>
              <w:rPr>
                <w:sz w:val="10"/>
                <w:szCs w:val="10"/>
                <w:color w:val="auto"/>
              </w:rPr>
            </w:pPr>
          </w:p>
        </w:tc>
        <w:tc>
          <w:tcPr>
            <w:tcW w:w="80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68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040" w:type="dxa"/>
            <w:vAlign w:val="bottom"/>
            <w:vMerge w:val="continue"/>
            <w:shd w:val="clear" w:color="auto" w:fill="DBDBDB"/>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0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80" w:type="dxa"/>
            <w:vAlign w:val="bottom"/>
            <w:tcBorders>
              <w:bottom w:val="single" w:sz="8" w:color="auto"/>
            </w:tcBorders>
            <w:vMerge w:val="continue"/>
            <w:shd w:val="clear" w:color="auto" w:fill="D9D9D9"/>
          </w:tcPr>
          <w:p>
            <w:pPr>
              <w:spacing w:after="0"/>
              <w:rPr>
                <w:sz w:val="6"/>
                <w:szCs w:val="6"/>
                <w:color w:val="auto"/>
              </w:rPr>
            </w:pPr>
          </w:p>
        </w:tc>
        <w:tc>
          <w:tcPr>
            <w:tcW w:w="380" w:type="dxa"/>
            <w:vAlign w:val="bottom"/>
            <w:tcBorders>
              <w:bottom w:val="single" w:sz="8" w:color="auto"/>
            </w:tcBorders>
            <w:shd w:val="clear" w:color="auto" w:fill="D9D9D9"/>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780" w:type="dxa"/>
            <w:vAlign w:val="bottom"/>
            <w:tcBorders>
              <w:bottom w:val="single" w:sz="8" w:color="auto"/>
            </w:tcBorders>
            <w:shd w:val="clear" w:color="auto" w:fill="D9D9D9"/>
          </w:tcPr>
          <w:p>
            <w:pPr>
              <w:spacing w:after="0"/>
              <w:rPr>
                <w:sz w:val="6"/>
                <w:szCs w:val="6"/>
                <w:color w:val="auto"/>
              </w:rPr>
            </w:pPr>
          </w:p>
        </w:tc>
        <w:tc>
          <w:tcPr>
            <w:tcW w:w="74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740" w:type="dxa"/>
            <w:vAlign w:val="bottom"/>
            <w:tcBorders>
              <w:bottom w:val="single" w:sz="8" w:color="auto"/>
            </w:tcBorders>
            <w:vMerge w:val="continue"/>
            <w:shd w:val="clear" w:color="auto" w:fill="DBDBDB"/>
          </w:tcPr>
          <w:p>
            <w:pPr>
              <w:spacing w:after="0"/>
              <w:rPr>
                <w:sz w:val="6"/>
                <w:szCs w:val="6"/>
                <w:color w:val="auto"/>
              </w:rPr>
            </w:pPr>
          </w:p>
        </w:tc>
        <w:tc>
          <w:tcPr>
            <w:tcW w:w="740" w:type="dxa"/>
            <w:vAlign w:val="bottom"/>
            <w:tcBorders>
              <w:bottom w:val="single" w:sz="8" w:color="auto"/>
            </w:tcBorders>
            <w:gridSpan w:val="2"/>
            <w:vMerge w:val="continue"/>
            <w:shd w:val="clear" w:color="auto" w:fill="DBDBDB"/>
          </w:tcPr>
          <w:p>
            <w:pPr>
              <w:spacing w:after="0"/>
              <w:rPr>
                <w:sz w:val="6"/>
                <w:szCs w:val="6"/>
                <w:color w:val="auto"/>
              </w:rPr>
            </w:pPr>
          </w:p>
        </w:tc>
        <w:tc>
          <w:tcPr>
            <w:tcW w:w="760" w:type="dxa"/>
            <w:vAlign w:val="bottom"/>
            <w:tcBorders>
              <w:bottom w:val="single" w:sz="8" w:color="auto"/>
            </w:tcBorders>
            <w:vMerge w:val="continue"/>
            <w:shd w:val="clear" w:color="auto" w:fill="DBDBDB"/>
          </w:tcPr>
          <w:p>
            <w:pPr>
              <w:spacing w:after="0"/>
              <w:rPr>
                <w:sz w:val="6"/>
                <w:szCs w:val="6"/>
                <w:color w:val="auto"/>
              </w:rPr>
            </w:pPr>
          </w:p>
        </w:tc>
        <w:tc>
          <w:tcPr>
            <w:tcW w:w="660" w:type="dxa"/>
            <w:vAlign w:val="bottom"/>
            <w:tcBorders>
              <w:bottom w:val="single" w:sz="8" w:color="auto"/>
            </w:tcBorders>
            <w:vMerge w:val="continue"/>
            <w:shd w:val="clear" w:color="auto" w:fill="DBDBDB"/>
          </w:tcPr>
          <w:p>
            <w:pPr>
              <w:spacing w:after="0"/>
              <w:rPr>
                <w:sz w:val="6"/>
                <w:szCs w:val="6"/>
                <w:color w:val="auto"/>
              </w:rPr>
            </w:pPr>
          </w:p>
        </w:tc>
        <w:tc>
          <w:tcPr>
            <w:tcW w:w="740" w:type="dxa"/>
            <w:vAlign w:val="bottom"/>
            <w:tcBorders>
              <w:bottom w:val="single" w:sz="8" w:color="auto"/>
            </w:tcBorders>
            <w:vMerge w:val="continue"/>
            <w:shd w:val="clear" w:color="auto" w:fill="DBDBDB"/>
          </w:tcPr>
          <w:p>
            <w:pPr>
              <w:spacing w:after="0"/>
              <w:rPr>
                <w:sz w:val="6"/>
                <w:szCs w:val="6"/>
                <w:color w:val="auto"/>
              </w:rPr>
            </w:pPr>
          </w:p>
        </w:tc>
        <w:tc>
          <w:tcPr>
            <w:tcW w:w="80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68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1040" w:type="dxa"/>
            <w:vAlign w:val="bottom"/>
            <w:tcBorders>
              <w:bottom w:val="single" w:sz="8" w:color="auto"/>
            </w:tcBorders>
            <w:vMerge w:val="continue"/>
            <w:shd w:val="clear" w:color="auto" w:fill="DBDBDB"/>
          </w:tcPr>
          <w:p>
            <w:pPr>
              <w:spacing w:after="0"/>
              <w:rPr>
                <w:sz w:val="6"/>
                <w:szCs w:val="6"/>
                <w:color w:val="auto"/>
              </w:rPr>
            </w:pPr>
          </w:p>
        </w:tc>
        <w:tc>
          <w:tcPr>
            <w:tcW w:w="80" w:type="dxa"/>
            <w:vAlign w:val="bottom"/>
            <w:tcBorders>
              <w:bottom w:val="single" w:sz="8" w:color="auto"/>
            </w:tcBorders>
            <w:shd w:val="clear" w:color="auto" w:fill="D9D9D9"/>
          </w:tcPr>
          <w:p>
            <w:pPr>
              <w:spacing w:after="0"/>
              <w:rPr>
                <w:sz w:val="6"/>
                <w:szCs w:val="6"/>
                <w:color w:val="auto"/>
              </w:rPr>
            </w:pPr>
          </w:p>
        </w:tc>
        <w:tc>
          <w:tcPr>
            <w:tcW w:w="700" w:type="dxa"/>
            <w:vAlign w:val="bottom"/>
            <w:tcBorders>
              <w:bottom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ind w:left="80"/>
        <w:spacing w:after="0" w:line="259" w:lineRule="auto"/>
        <w:rPr>
          <w:sz w:val="20"/>
          <w:szCs w:val="20"/>
          <w:color w:val="auto"/>
        </w:rPr>
      </w:pPr>
      <w:r>
        <w:rPr>
          <w:rFonts w:ascii="Arial" w:cs="Arial" w:eastAsia="Arial" w:hAnsi="Arial"/>
          <w:sz w:val="13"/>
          <w:szCs w:val="13"/>
          <w:color w:val="auto"/>
        </w:rPr>
        <w:t>Foreign exchange impact of change in functional currency</w:t>
      </w:r>
    </w:p>
    <w:p>
      <w:pPr>
        <w:spacing w:after="0" w:line="1" w:lineRule="exact"/>
        <w:rPr>
          <w:sz w:val="20"/>
          <w:szCs w:val="20"/>
          <w:color w:val="auto"/>
        </w:rPr>
      </w:pPr>
    </w:p>
    <w:p>
      <w:pPr>
        <w:ind w:left="80" w:right="80"/>
        <w:spacing w:after="0" w:line="259" w:lineRule="auto"/>
        <w:rPr>
          <w:sz w:val="20"/>
          <w:szCs w:val="20"/>
          <w:color w:val="auto"/>
        </w:rPr>
      </w:pPr>
      <w:r>
        <w:rPr>
          <w:rFonts w:ascii="Arial" w:cs="Arial" w:eastAsia="Arial" w:hAnsi="Arial"/>
          <w:sz w:val="13"/>
          <w:szCs w:val="13"/>
          <w:color w:val="auto"/>
        </w:rPr>
        <w:t>Share issuance net of share issuance costs</w:t>
      </w:r>
    </w:p>
    <w:p>
      <w:pPr>
        <w:spacing w:after="0" w:line="1" w:lineRule="exact"/>
        <w:rPr>
          <w:sz w:val="20"/>
          <w:szCs w:val="20"/>
          <w:color w:val="auto"/>
        </w:rPr>
      </w:pPr>
    </w:p>
    <w:p>
      <w:pPr>
        <w:ind w:left="80" w:right="160"/>
        <w:spacing w:after="0" w:line="259" w:lineRule="auto"/>
        <w:rPr>
          <w:sz w:val="20"/>
          <w:szCs w:val="20"/>
          <w:color w:val="auto"/>
        </w:rPr>
      </w:pPr>
      <w:r>
        <w:rPr>
          <w:rFonts w:ascii="Arial" w:cs="Arial" w:eastAsia="Arial" w:hAnsi="Arial"/>
          <w:sz w:val="13"/>
          <w:szCs w:val="13"/>
          <w:color w:val="auto"/>
        </w:rPr>
        <w:t>Pre-funded warrants net of issuance costs</w:t>
      </w:r>
    </w:p>
    <w:p>
      <w:pPr>
        <w:spacing w:after="0" w:line="1" w:lineRule="exact"/>
        <w:rPr>
          <w:sz w:val="20"/>
          <w:szCs w:val="20"/>
          <w:color w:val="auto"/>
        </w:rPr>
      </w:pPr>
    </w:p>
    <w:p>
      <w:pPr>
        <w:ind w:left="80"/>
        <w:spacing w:after="0" w:line="259" w:lineRule="auto"/>
        <w:rPr>
          <w:sz w:val="20"/>
          <w:szCs w:val="20"/>
          <w:color w:val="auto"/>
        </w:rPr>
      </w:pPr>
      <w:r>
        <w:rPr>
          <w:rFonts w:ascii="Arial" w:cs="Arial" w:eastAsia="Arial" w:hAnsi="Arial"/>
          <w:sz w:val="13"/>
          <w:szCs w:val="13"/>
          <w:color w:val="auto"/>
        </w:rPr>
        <w:t>At-the-market offering - net of issuance costs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Share issuance costs</w:t>
      </w:r>
    </w:p>
    <w:p>
      <w:pPr>
        <w:spacing w:after="0" w:line="40" w:lineRule="exact"/>
        <w:rPr>
          <w:sz w:val="20"/>
          <w:szCs w:val="20"/>
          <w:color w:val="auto"/>
        </w:rPr>
      </w:pPr>
    </w:p>
    <w:p>
      <w:pPr>
        <w:ind w:left="80" w:right="60"/>
        <w:spacing w:after="0" w:line="238" w:lineRule="auto"/>
        <w:rPr>
          <w:sz w:val="20"/>
          <w:szCs w:val="20"/>
          <w:color w:val="auto"/>
        </w:rPr>
      </w:pPr>
      <w:r>
        <w:rPr>
          <w:rFonts w:ascii="Arial" w:cs="Arial" w:eastAsia="Arial" w:hAnsi="Arial"/>
          <w:sz w:val="13"/>
          <w:szCs w:val="13"/>
          <w:color w:val="auto"/>
        </w:rPr>
        <w:t>Conversion of convertible debentures - net of issuance costs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jc w:val="center"/>
              <w:ind w:right="33"/>
              <w:spacing w:after="0"/>
              <w:rPr>
                <w:sz w:val="20"/>
                <w:szCs w:val="20"/>
                <w:color w:val="auto"/>
              </w:rPr>
            </w:pPr>
            <w:r>
              <w:rPr>
                <w:rFonts w:ascii="Arial" w:cs="Arial" w:eastAsia="Arial" w:hAnsi="Arial"/>
                <w:sz w:val="13"/>
                <w:szCs w:val="13"/>
                <w:color w:val="auto"/>
                <w:w w:val="82"/>
              </w:rPr>
              <w:t>2</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(21,936)</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(1,299)</w:t>
            </w:r>
          </w:p>
        </w:tc>
        <w:tc>
          <w:tcPr>
            <w:tcW w:w="820" w:type="dxa"/>
            <w:vAlign w:val="bottom"/>
          </w:tcPr>
          <w:p>
            <w:pPr>
              <w:ind w:left="140"/>
              <w:spacing w:after="0"/>
              <w:rPr>
                <w:sz w:val="20"/>
                <w:szCs w:val="20"/>
                <w:color w:val="auto"/>
              </w:rPr>
            </w:pPr>
            <w:r>
              <w:rPr>
                <w:rFonts w:ascii="Arial" w:cs="Arial" w:eastAsia="Arial" w:hAnsi="Arial"/>
                <w:sz w:val="13"/>
                <w:szCs w:val="13"/>
                <w:color w:val="auto"/>
              </w:rPr>
              <w:t>(3,272)</w:t>
            </w:r>
          </w:p>
        </w:tc>
        <w:tc>
          <w:tcPr>
            <w:tcW w:w="620" w:type="dxa"/>
            <w:vAlign w:val="bottom"/>
          </w:tcPr>
          <w:p>
            <w:pPr>
              <w:ind w:left="280"/>
              <w:spacing w:after="0"/>
              <w:rPr>
                <w:sz w:val="20"/>
                <w:szCs w:val="20"/>
                <w:color w:val="auto"/>
              </w:rPr>
            </w:pPr>
            <w:r>
              <w:rPr>
                <w:rFonts w:ascii="Arial" w:cs="Arial" w:eastAsia="Arial" w:hAnsi="Arial"/>
                <w:sz w:val="13"/>
                <w:szCs w:val="13"/>
                <w:color w:val="auto"/>
              </w:rPr>
              <w:t>—</w:t>
            </w:r>
          </w:p>
        </w:tc>
        <w:tc>
          <w:tcPr>
            <w:tcW w:w="780" w:type="dxa"/>
            <w:vAlign w:val="bottom"/>
          </w:tcPr>
          <w:p>
            <w:pPr>
              <w:ind w:left="200"/>
              <w:spacing w:after="0"/>
              <w:rPr>
                <w:sz w:val="20"/>
                <w:szCs w:val="20"/>
                <w:color w:val="auto"/>
              </w:rPr>
            </w:pPr>
            <w:r>
              <w:rPr>
                <w:rFonts w:ascii="Arial" w:cs="Arial" w:eastAsia="Arial" w:hAnsi="Arial"/>
                <w:sz w:val="13"/>
                <w:szCs w:val="13"/>
                <w:color w:val="auto"/>
              </w:rPr>
              <w:t>(1,731)</w:t>
            </w:r>
          </w:p>
        </w:tc>
        <w:tc>
          <w:tcPr>
            <w:tcW w:w="920" w:type="dxa"/>
            <w:vAlign w:val="bottom"/>
          </w:tcPr>
          <w:p>
            <w:pPr>
              <w:jc w:val="right"/>
              <w:ind w:right="273"/>
              <w:spacing w:after="0"/>
              <w:rPr>
                <w:sz w:val="20"/>
                <w:szCs w:val="20"/>
                <w:color w:val="auto"/>
              </w:rPr>
            </w:pPr>
            <w:r>
              <w:rPr>
                <w:rFonts w:ascii="Arial" w:cs="Arial" w:eastAsia="Arial" w:hAnsi="Arial"/>
                <w:sz w:val="13"/>
                <w:szCs w:val="13"/>
                <w:color w:val="auto"/>
              </w:rPr>
              <w:t>13,856</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14,382</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324"/>
        </w:trPr>
        <w:tc>
          <w:tcPr>
            <w:tcW w:w="320" w:type="dxa"/>
            <w:vAlign w:val="bottom"/>
          </w:tcPr>
          <w:p>
            <w:pPr>
              <w:jc w:val="center"/>
              <w:ind w:right="33"/>
              <w:spacing w:after="0"/>
              <w:rPr>
                <w:sz w:val="20"/>
                <w:szCs w:val="20"/>
                <w:color w:val="auto"/>
              </w:rPr>
            </w:pPr>
            <w:r>
              <w:rPr>
                <w:rFonts w:ascii="Arial" w:cs="Arial" w:eastAsia="Arial" w:hAnsi="Arial"/>
                <w:sz w:val="13"/>
                <w:szCs w:val="13"/>
                <w:color w:val="auto"/>
                <w:w w:val="82"/>
              </w:rPr>
              <w:t>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22,277,750</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120,165</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15,754</w:t>
            </w:r>
          </w:p>
        </w:tc>
        <w:tc>
          <w:tcPr>
            <w:tcW w:w="82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135,919</w:t>
            </w:r>
          </w:p>
        </w:tc>
      </w:tr>
      <w:tr>
        <w:trPr>
          <w:trHeight w:val="324"/>
        </w:trPr>
        <w:tc>
          <w:tcPr>
            <w:tcW w:w="320" w:type="dxa"/>
            <w:vAlign w:val="bottom"/>
          </w:tcPr>
          <w:p>
            <w:pPr>
              <w:jc w:val="center"/>
              <w:ind w:right="33"/>
              <w:spacing w:after="0"/>
              <w:rPr>
                <w:sz w:val="20"/>
                <w:szCs w:val="20"/>
                <w:color w:val="auto"/>
              </w:rPr>
            </w:pPr>
            <w:r>
              <w:rPr>
                <w:rFonts w:ascii="Arial" w:cs="Arial" w:eastAsia="Arial" w:hAnsi="Arial"/>
                <w:sz w:val="13"/>
                <w:szCs w:val="13"/>
                <w:color w:val="auto"/>
                <w:w w:val="82"/>
              </w:rPr>
              <w:t>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4,605,500</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24,842</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3,257</w:t>
            </w:r>
          </w:p>
        </w:tc>
        <w:tc>
          <w:tcPr>
            <w:tcW w:w="82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28,099</w:t>
            </w:r>
          </w:p>
        </w:tc>
      </w:tr>
      <w:tr>
        <w:trPr>
          <w:trHeight w:val="324"/>
        </w:trPr>
        <w:tc>
          <w:tcPr>
            <w:tcW w:w="320" w:type="dxa"/>
            <w:vAlign w:val="bottom"/>
          </w:tcPr>
          <w:p>
            <w:pPr>
              <w:jc w:val="center"/>
              <w:ind w:right="33"/>
              <w:spacing w:after="0"/>
              <w:rPr>
                <w:sz w:val="20"/>
                <w:szCs w:val="20"/>
                <w:color w:val="auto"/>
              </w:rPr>
            </w:pPr>
            <w:r>
              <w:rPr>
                <w:rFonts w:ascii="Arial" w:cs="Arial" w:eastAsia="Arial" w:hAnsi="Arial"/>
                <w:sz w:val="13"/>
                <w:szCs w:val="13"/>
                <w:color w:val="auto"/>
                <w:w w:val="82"/>
              </w:rPr>
              <w:t>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1,422,423</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10,133</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2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10,133</w:t>
            </w:r>
          </w:p>
        </w:tc>
      </w:tr>
      <w:tr>
        <w:trPr>
          <w:trHeight w:val="257"/>
        </w:trPr>
        <w:tc>
          <w:tcPr>
            <w:tcW w:w="320" w:type="dxa"/>
            <w:vAlign w:val="bottom"/>
          </w:tcPr>
          <w:p>
            <w:pPr>
              <w:jc w:val="center"/>
              <w:ind w:right="33"/>
              <w:spacing w:after="0"/>
              <w:rPr>
                <w:sz w:val="20"/>
                <w:szCs w:val="20"/>
                <w:color w:val="auto"/>
              </w:rPr>
            </w:pPr>
            <w:r>
              <w:rPr>
                <w:rFonts w:ascii="Arial" w:cs="Arial" w:eastAsia="Arial" w:hAnsi="Arial"/>
                <w:sz w:val="13"/>
                <w:szCs w:val="13"/>
                <w:color w:val="auto"/>
                <w:w w:val="82"/>
              </w:rPr>
              <w:t>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(111)</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2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(111)</w:t>
            </w:r>
          </w:p>
        </w:tc>
      </w:tr>
      <w:tr>
        <w:trPr>
          <w:trHeight w:val="324"/>
        </w:trPr>
        <w:tc>
          <w:tcPr>
            <w:tcW w:w="320" w:type="dxa"/>
            <w:vAlign w:val="bottom"/>
          </w:tcPr>
          <w:p>
            <w:pPr>
              <w:jc w:val="center"/>
              <w:ind w:right="33"/>
              <w:spacing w:after="0"/>
              <w:rPr>
                <w:sz w:val="20"/>
                <w:szCs w:val="20"/>
                <w:color w:val="auto"/>
              </w:rPr>
            </w:pPr>
            <w:r>
              <w:rPr>
                <w:rFonts w:ascii="Arial" w:cs="Arial" w:eastAsia="Arial" w:hAnsi="Arial"/>
                <w:sz w:val="13"/>
                <w:szCs w:val="13"/>
                <w:color w:val="auto"/>
              </w:rPr>
              <w:t>6, 7</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4,584,856</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29,815</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2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29,815</w:t>
            </w:r>
          </w:p>
        </w:tc>
      </w:tr>
    </w:tbl>
    <w:p>
      <w:pPr>
        <w:spacing w:after="0" w:line="137" w:lineRule="exact"/>
        <w:rPr>
          <w:sz w:val="20"/>
          <w:szCs w:val="20"/>
          <w:color w:val="auto"/>
        </w:rPr>
      </w:pPr>
    </w:p>
    <w:p>
      <w:pPr>
        <w:sectPr>
          <w:pgSz w:w="11900" w:h="16838" w:orient="portrait"/>
          <w:cols w:equalWidth="0" w:num="2">
            <w:col w:w="1840" w:space="320"/>
            <w:col w:w="90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120" w:type="dxa"/>
            <w:vAlign w:val="bottom"/>
          </w:tcPr>
          <w:p>
            <w:pPr>
              <w:ind w:left="80"/>
              <w:spacing w:after="0"/>
              <w:rPr>
                <w:sz w:val="20"/>
                <w:szCs w:val="20"/>
                <w:color w:val="auto"/>
              </w:rPr>
            </w:pPr>
            <w:r>
              <w:rPr>
                <w:rFonts w:ascii="Arial" w:cs="Arial" w:eastAsia="Arial" w:hAnsi="Arial"/>
                <w:sz w:val="13"/>
                <w:szCs w:val="13"/>
                <w:color w:val="auto"/>
              </w:rPr>
              <w:t>Class B shares cancellation</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53"/>
              <w:spacing w:after="0"/>
              <w:rPr>
                <w:sz w:val="20"/>
                <w:szCs w:val="20"/>
                <w:color w:val="auto"/>
              </w:rPr>
            </w:pPr>
            <w:r>
              <w:rPr>
                <w:rFonts w:ascii="Arial" w:cs="Arial" w:eastAsia="Arial" w:hAnsi="Arial"/>
                <w:sz w:val="13"/>
                <w:szCs w:val="13"/>
                <w:color w:val="auto"/>
              </w:rPr>
              <w:t>(9,496)</w:t>
            </w:r>
          </w:p>
        </w:tc>
        <w:tc>
          <w:tcPr>
            <w:tcW w:w="660" w:type="dxa"/>
            <w:vAlign w:val="bottom"/>
          </w:tcPr>
          <w:p>
            <w:pPr>
              <w:jc w:val="right"/>
              <w:spacing w:after="0"/>
              <w:rPr>
                <w:sz w:val="20"/>
                <w:szCs w:val="20"/>
                <w:color w:val="auto"/>
              </w:rPr>
            </w:pPr>
            <w:r>
              <w:rPr>
                <w:rFonts w:ascii="Arial" w:cs="Arial" w:eastAsia="Arial" w:hAnsi="Arial"/>
                <w:sz w:val="13"/>
                <w:szCs w:val="13"/>
                <w:color w:val="auto"/>
              </w:rPr>
              <w:t>(373)</w:t>
            </w:r>
          </w:p>
        </w:tc>
        <w:tc>
          <w:tcPr>
            <w:tcW w:w="8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373</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9"/>
        </w:trPr>
        <w:tc>
          <w:tcPr>
            <w:tcW w:w="212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73"/>
              <w:spacing w:after="0"/>
              <w:rPr>
                <w:sz w:val="20"/>
                <w:szCs w:val="20"/>
                <w:color w:val="auto"/>
              </w:rPr>
            </w:pPr>
            <w:r>
              <w:rPr>
                <w:rFonts w:ascii="Arial" w:cs="Arial" w:eastAsia="Arial" w:hAnsi="Arial"/>
                <w:sz w:val="13"/>
                <w:szCs w:val="13"/>
                <w:color w:val="auto"/>
              </w:rPr>
              <w:t>7,894</w:t>
            </w:r>
          </w:p>
        </w:tc>
        <w:tc>
          <w:tcPr>
            <w:tcW w:w="66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(37)</w:t>
            </w: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53</w:t>
            </w:r>
          </w:p>
        </w:tc>
        <w:tc>
          <w:tcPr>
            <w:tcW w:w="0" w:type="dxa"/>
            <w:vAlign w:val="bottom"/>
          </w:tcPr>
          <w:p>
            <w:pPr>
              <w:spacing w:after="0"/>
              <w:rPr>
                <w:sz w:val="1"/>
                <w:szCs w:val="1"/>
                <w:color w:val="auto"/>
              </w:rPr>
            </w:pPr>
          </w:p>
        </w:tc>
      </w:tr>
      <w:tr>
        <w:trPr>
          <w:trHeight w:val="189"/>
        </w:trPr>
        <w:tc>
          <w:tcPr>
            <w:tcW w:w="2120" w:type="dxa"/>
            <w:vAlign w:val="bottom"/>
          </w:tcPr>
          <w:p>
            <w:pPr>
              <w:ind w:left="60"/>
              <w:spacing w:after="0"/>
              <w:rPr>
                <w:sz w:val="20"/>
                <w:szCs w:val="20"/>
                <w:color w:val="auto"/>
              </w:rPr>
            </w:pPr>
            <w:r>
              <w:rPr>
                <w:rFonts w:ascii="Arial" w:cs="Arial" w:eastAsia="Arial" w:hAnsi="Arial"/>
                <w:sz w:val="13"/>
                <w:szCs w:val="13"/>
                <w:color w:val="auto"/>
              </w:rPr>
              <w:t>Options forfeited/expired</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6"/>
                <w:szCs w:val="16"/>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(1,738)</w:t>
            </w: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1,738</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9"/>
        </w:trPr>
        <w:tc>
          <w:tcPr>
            <w:tcW w:w="212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6"/>
                <w:szCs w:val="16"/>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33"/>
              <w:spacing w:after="0"/>
              <w:rPr>
                <w:sz w:val="20"/>
                <w:szCs w:val="20"/>
                <w:color w:val="auto"/>
              </w:rPr>
            </w:pPr>
            <w:r>
              <w:rPr>
                <w:rFonts w:ascii="Arial" w:cs="Arial" w:eastAsia="Arial" w:hAnsi="Arial"/>
                <w:sz w:val="13"/>
                <w:szCs w:val="13"/>
                <w:color w:val="auto"/>
              </w:rPr>
              <w:t>1,844</w:t>
            </w: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3,763</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5,607</w:t>
            </w:r>
          </w:p>
        </w:tc>
        <w:tc>
          <w:tcPr>
            <w:tcW w:w="0" w:type="dxa"/>
            <w:vAlign w:val="bottom"/>
          </w:tcPr>
          <w:p>
            <w:pPr>
              <w:spacing w:after="0"/>
              <w:rPr>
                <w:sz w:val="1"/>
                <w:szCs w:val="1"/>
                <w:color w:val="auto"/>
              </w:rPr>
            </w:pPr>
          </w:p>
        </w:tc>
      </w:tr>
      <w:tr>
        <w:trPr>
          <w:trHeight w:val="140"/>
        </w:trPr>
        <w:tc>
          <w:tcPr>
            <w:tcW w:w="2120" w:type="dxa"/>
            <w:vAlign w:val="bottom"/>
          </w:tcPr>
          <w:p>
            <w:pPr>
              <w:ind w:left="60"/>
              <w:spacing w:after="0" w:line="140" w:lineRule="exact"/>
              <w:rPr>
                <w:sz w:val="20"/>
                <w:szCs w:val="20"/>
                <w:color w:val="auto"/>
              </w:rPr>
            </w:pPr>
            <w:r>
              <w:rPr>
                <w:rFonts w:ascii="Arial" w:cs="Arial" w:eastAsia="Arial" w:hAnsi="Arial"/>
                <w:sz w:val="13"/>
                <w:szCs w:val="13"/>
                <w:color w:val="auto"/>
              </w:rPr>
              <w:t>Unrealized gain on translation of</w:t>
            </w:r>
          </w:p>
        </w:tc>
        <w:tc>
          <w:tcPr>
            <w:tcW w:w="340" w:type="dxa"/>
            <w:vAlign w:val="bottom"/>
            <w:vMerge w:val="restart"/>
          </w:tcPr>
          <w:p>
            <w:pPr>
              <w:jc w:val="right"/>
              <w:ind w:right="93"/>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2"/>
                <w:szCs w:val="12"/>
                <w:color w:val="auto"/>
              </w:rPr>
            </w:pPr>
          </w:p>
        </w:tc>
        <w:tc>
          <w:tcPr>
            <w:tcW w:w="86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425</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425</w:t>
            </w:r>
          </w:p>
        </w:tc>
        <w:tc>
          <w:tcPr>
            <w:tcW w:w="0" w:type="dxa"/>
            <w:vAlign w:val="bottom"/>
          </w:tcPr>
          <w:p>
            <w:pPr>
              <w:spacing w:after="0"/>
              <w:rPr>
                <w:sz w:val="1"/>
                <w:szCs w:val="1"/>
                <w:color w:val="auto"/>
              </w:rPr>
            </w:pPr>
          </w:p>
        </w:tc>
      </w:tr>
      <w:tr>
        <w:trPr>
          <w:trHeight w:val="117"/>
        </w:trPr>
        <w:tc>
          <w:tcPr>
            <w:tcW w:w="2120" w:type="dxa"/>
            <w:vAlign w:val="bottom"/>
            <w:vMerge w:val="restart"/>
          </w:tcPr>
          <w:p>
            <w:pPr>
              <w:ind w:left="20"/>
              <w:spacing w:after="0"/>
              <w:rPr>
                <w:sz w:val="20"/>
                <w:szCs w:val="20"/>
                <w:color w:val="auto"/>
              </w:rPr>
            </w:pPr>
            <w:r>
              <w:rPr>
                <w:rFonts w:ascii="Arial" w:cs="Arial" w:eastAsia="Arial" w:hAnsi="Arial"/>
                <w:sz w:val="13"/>
                <w:szCs w:val="13"/>
                <w:color w:val="auto"/>
              </w:rPr>
              <w:t>foreign operations</w:t>
            </w: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1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for the period</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(101,003)</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(101,003)</w:t>
            </w:r>
          </w:p>
        </w:tc>
        <w:tc>
          <w:tcPr>
            <w:tcW w:w="0" w:type="dxa"/>
            <w:vAlign w:val="bottom"/>
          </w:tcPr>
          <w:p>
            <w:pPr>
              <w:spacing w:after="0"/>
              <w:rPr>
                <w:sz w:val="1"/>
                <w:szCs w:val="1"/>
                <w:color w:val="auto"/>
              </w:rPr>
            </w:pPr>
          </w:p>
        </w:tc>
      </w:tr>
      <w:tr>
        <w:trPr>
          <w:trHeight w:val="130"/>
        </w:trPr>
        <w:tc>
          <w:tcPr>
            <w:tcW w:w="2120" w:type="dxa"/>
            <w:vAlign w:val="bottom"/>
            <w:shd w:val="clear" w:color="auto" w:fill="D9D9D9"/>
          </w:tcPr>
          <w:p>
            <w:pPr>
              <w:ind w:left="20"/>
              <w:spacing w:after="0" w:line="131" w:lineRule="exact"/>
              <w:rPr>
                <w:sz w:val="20"/>
                <w:szCs w:val="20"/>
                <w:color w:val="auto"/>
              </w:rPr>
            </w:pPr>
            <w:r>
              <w:rPr>
                <w:rFonts w:ascii="Arial" w:cs="Arial" w:eastAsia="Arial" w:hAnsi="Arial"/>
                <w:sz w:val="13"/>
                <w:szCs w:val="13"/>
                <w:b w:val="1"/>
                <w:bCs w:val="1"/>
                <w:color w:val="auto"/>
              </w:rPr>
              <w:t>Balance as at December 31,</w:t>
            </w:r>
          </w:p>
        </w:tc>
        <w:tc>
          <w:tcPr>
            <w:tcW w:w="340" w:type="dxa"/>
            <w:vAlign w:val="bottom"/>
            <w:shd w:val="clear" w:color="auto" w:fill="D9D9D9"/>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60" w:type="dxa"/>
            <w:vAlign w:val="bottom"/>
            <w:vMerge w:val="restart"/>
            <w:shd w:val="clear" w:color="auto" w:fill="D9D9D9"/>
          </w:tcPr>
          <w:p>
            <w:pPr>
              <w:jc w:val="right"/>
              <w:ind w:right="73"/>
              <w:spacing w:after="0"/>
              <w:rPr>
                <w:sz w:val="20"/>
                <w:szCs w:val="20"/>
                <w:color w:val="auto"/>
              </w:rPr>
            </w:pPr>
            <w:r>
              <w:rPr>
                <w:rFonts w:ascii="Arial" w:cs="Arial" w:eastAsia="Arial" w:hAnsi="Arial"/>
                <w:sz w:val="13"/>
                <w:szCs w:val="13"/>
                <w:b w:val="1"/>
                <w:bCs w:val="1"/>
                <w:color w:val="auto"/>
              </w:rPr>
              <w:t>49,894,131</w:t>
            </w:r>
          </w:p>
        </w:tc>
        <w:tc>
          <w:tcPr>
            <w:tcW w:w="66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482,732</w:t>
            </w:r>
          </w:p>
        </w:tc>
        <w:tc>
          <w:tcPr>
            <w:tcW w:w="80" w:type="dxa"/>
            <w:vAlign w:val="bottom"/>
            <w:shd w:val="clear" w:color="auto" w:fill="DBDBDB"/>
          </w:tcPr>
          <w:p>
            <w:pPr>
              <w:spacing w:after="0"/>
              <w:rPr>
                <w:sz w:val="11"/>
                <w:szCs w:val="11"/>
                <w:color w:val="auto"/>
              </w:rPr>
            </w:pPr>
          </w:p>
        </w:tc>
        <w:tc>
          <w:tcPr>
            <w:tcW w:w="780" w:type="dxa"/>
            <w:vAlign w:val="bottom"/>
            <w:vMerge w:val="restart"/>
            <w:shd w:val="clear" w:color="auto" w:fill="D9D9D9"/>
          </w:tcPr>
          <w:p>
            <w:pPr>
              <w:jc w:val="right"/>
              <w:ind w:right="53"/>
              <w:spacing w:after="0"/>
              <w:rPr>
                <w:sz w:val="20"/>
                <w:szCs w:val="20"/>
                <w:color w:val="auto"/>
              </w:rPr>
            </w:pPr>
            <w:r>
              <w:rPr>
                <w:rFonts w:ascii="Arial" w:cs="Arial" w:eastAsia="Arial" w:hAnsi="Arial"/>
                <w:sz w:val="13"/>
                <w:szCs w:val="13"/>
                <w:b w:val="1"/>
                <w:bCs w:val="1"/>
                <w:color w:val="auto"/>
              </w:rPr>
              <w:t>4,605,500</w:t>
            </w:r>
          </w:p>
        </w:tc>
        <w:tc>
          <w:tcPr>
            <w:tcW w:w="60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24,842</w:t>
            </w:r>
          </w:p>
        </w:tc>
        <w:tc>
          <w:tcPr>
            <w:tcW w:w="100" w:type="dxa"/>
            <w:vAlign w:val="bottom"/>
            <w:shd w:val="clear" w:color="auto" w:fill="DBDBDB"/>
          </w:tcPr>
          <w:p>
            <w:pPr>
              <w:spacing w:after="0"/>
              <w:rPr>
                <w:sz w:val="11"/>
                <w:szCs w:val="11"/>
                <w:color w:val="auto"/>
              </w:rPr>
            </w:pPr>
          </w:p>
        </w:tc>
        <w:tc>
          <w:tcPr>
            <w:tcW w:w="820" w:type="dxa"/>
            <w:vAlign w:val="bottom"/>
            <w:vMerge w:val="restart"/>
            <w:shd w:val="clear" w:color="auto" w:fill="D9D9D9"/>
          </w:tcPr>
          <w:p>
            <w:pPr>
              <w:jc w:val="right"/>
              <w:ind w:right="73"/>
              <w:spacing w:after="0"/>
              <w:rPr>
                <w:sz w:val="20"/>
                <w:szCs w:val="20"/>
                <w:color w:val="auto"/>
              </w:rPr>
            </w:pPr>
            <w:r>
              <w:rPr>
                <w:rFonts w:ascii="Arial" w:cs="Arial" w:eastAsia="Arial" w:hAnsi="Arial"/>
                <w:sz w:val="13"/>
                <w:szCs w:val="13"/>
                <w:b w:val="1"/>
                <w:bCs w:val="1"/>
                <w:color w:val="auto"/>
              </w:rPr>
              <w:t>38,205</w:t>
            </w:r>
          </w:p>
        </w:tc>
        <w:tc>
          <w:tcPr>
            <w:tcW w:w="760" w:type="dxa"/>
            <w:vAlign w:val="bottom"/>
            <w:vMerge w:val="restart"/>
            <w:shd w:val="clear" w:color="auto" w:fill="D9D9D9"/>
          </w:tcPr>
          <w:p>
            <w:pPr>
              <w:jc w:val="right"/>
              <w:ind w:right="133"/>
              <w:spacing w:after="0"/>
              <w:rPr>
                <w:sz w:val="20"/>
                <w:szCs w:val="20"/>
                <w:color w:val="auto"/>
              </w:rPr>
            </w:pPr>
            <w:r>
              <w:rPr>
                <w:rFonts w:ascii="Arial" w:cs="Arial" w:eastAsia="Arial" w:hAnsi="Arial"/>
                <w:sz w:val="13"/>
                <w:szCs w:val="13"/>
                <w:b w:val="1"/>
                <w:bCs w:val="1"/>
                <w:color w:val="auto"/>
              </w:rPr>
              <w:t>33,059</w:t>
            </w:r>
          </w:p>
        </w:tc>
        <w:tc>
          <w:tcPr>
            <w:tcW w:w="700" w:type="dxa"/>
            <w:vAlign w:val="bottom"/>
            <w:vMerge w:val="restart"/>
            <w:shd w:val="clear" w:color="auto" w:fill="D9D9D9"/>
          </w:tcPr>
          <w:p>
            <w:pPr>
              <w:jc w:val="right"/>
              <w:ind w:right="133"/>
              <w:spacing w:after="0"/>
              <w:rPr>
                <w:sz w:val="20"/>
                <w:szCs w:val="20"/>
                <w:color w:val="auto"/>
              </w:rPr>
            </w:pPr>
            <w:r>
              <w:rPr>
                <w:rFonts w:ascii="Arial" w:cs="Arial" w:eastAsia="Arial" w:hAnsi="Arial"/>
                <w:sz w:val="13"/>
                <w:szCs w:val="13"/>
                <w:b w:val="1"/>
                <w:bCs w:val="1"/>
                <w:color w:val="auto"/>
              </w:rPr>
              <w:t>3,763</w:t>
            </w:r>
          </w:p>
        </w:tc>
        <w:tc>
          <w:tcPr>
            <w:tcW w:w="68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33,006</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(342,540)</w:t>
            </w:r>
          </w:p>
        </w:tc>
        <w:tc>
          <w:tcPr>
            <w:tcW w:w="80" w:type="dxa"/>
            <w:vAlign w:val="bottom"/>
            <w:shd w:val="clear" w:color="auto" w:fill="DBDBDB"/>
          </w:tcPr>
          <w:p>
            <w:pPr>
              <w:spacing w:after="0"/>
              <w:rPr>
                <w:sz w:val="11"/>
                <w:szCs w:val="11"/>
                <w:color w:val="auto"/>
              </w:rPr>
            </w:pPr>
          </w:p>
        </w:tc>
        <w:tc>
          <w:tcPr>
            <w:tcW w:w="104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867</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273,934</w:t>
            </w: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3"/>
                <w:szCs w:val="13"/>
                <w:b w:val="1"/>
                <w:bCs w:val="1"/>
                <w:color w:val="auto"/>
              </w:rPr>
              <w:t>2025</w:t>
            </w:r>
          </w:p>
        </w:tc>
        <w:tc>
          <w:tcPr>
            <w:tcW w:w="34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vMerge w:val="continue"/>
            <w:shd w:val="clear" w:color="auto" w:fill="D9D9D9"/>
          </w:tcPr>
          <w:p>
            <w:pPr>
              <w:spacing w:after="0"/>
              <w:rPr>
                <w:sz w:val="16"/>
                <w:szCs w:val="16"/>
                <w:color w:val="auto"/>
              </w:rPr>
            </w:pPr>
          </w:p>
        </w:tc>
        <w:tc>
          <w:tcPr>
            <w:tcW w:w="660" w:type="dxa"/>
            <w:vAlign w:val="bottom"/>
            <w:tcBorders>
              <w:bottom w:val="single" w:sz="8" w:color="auto"/>
            </w:tcBorders>
            <w:vMerge w:val="continue"/>
            <w:shd w:val="clear" w:color="auto" w:fill="D9D9D9"/>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vMerge w:val="continue"/>
            <w:shd w:val="clear" w:color="auto" w:fill="D9D9D9"/>
          </w:tcPr>
          <w:p>
            <w:pPr>
              <w:spacing w:after="0"/>
              <w:rPr>
                <w:sz w:val="16"/>
                <w:szCs w:val="16"/>
                <w:color w:val="auto"/>
              </w:rPr>
            </w:pPr>
          </w:p>
        </w:tc>
        <w:tc>
          <w:tcPr>
            <w:tcW w:w="600" w:type="dxa"/>
            <w:vAlign w:val="bottom"/>
            <w:tcBorders>
              <w:bottom w:val="single" w:sz="8" w:color="auto"/>
            </w:tcBorders>
            <w:vMerge w:val="continue"/>
            <w:shd w:val="clear" w:color="auto" w:fill="D9D9D9"/>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vMerge w:val="continue"/>
            <w:shd w:val="clear" w:color="auto" w:fill="D9D9D9"/>
          </w:tcPr>
          <w:p>
            <w:pPr>
              <w:spacing w:after="0"/>
              <w:rPr>
                <w:sz w:val="16"/>
                <w:szCs w:val="16"/>
                <w:color w:val="auto"/>
              </w:rPr>
            </w:pPr>
          </w:p>
        </w:tc>
        <w:tc>
          <w:tcPr>
            <w:tcW w:w="760" w:type="dxa"/>
            <w:vAlign w:val="bottom"/>
            <w:tcBorders>
              <w:bottom w:val="single" w:sz="8" w:color="auto"/>
            </w:tcBorders>
            <w:vMerge w:val="continue"/>
            <w:shd w:val="clear" w:color="auto" w:fill="D9D9D9"/>
          </w:tcPr>
          <w:p>
            <w:pPr>
              <w:spacing w:after="0"/>
              <w:rPr>
                <w:sz w:val="16"/>
                <w:szCs w:val="16"/>
                <w:color w:val="auto"/>
              </w:rPr>
            </w:pPr>
          </w:p>
        </w:tc>
        <w:tc>
          <w:tcPr>
            <w:tcW w:w="700" w:type="dxa"/>
            <w:vAlign w:val="bottom"/>
            <w:tcBorders>
              <w:bottom w:val="single" w:sz="8" w:color="auto"/>
            </w:tcBorders>
            <w:vMerge w:val="continue"/>
            <w:shd w:val="clear" w:color="auto" w:fill="D9D9D9"/>
          </w:tcPr>
          <w:p>
            <w:pPr>
              <w:spacing w:after="0"/>
              <w:rPr>
                <w:sz w:val="16"/>
                <w:szCs w:val="16"/>
                <w:color w:val="auto"/>
              </w:rPr>
            </w:pPr>
          </w:p>
        </w:tc>
        <w:tc>
          <w:tcPr>
            <w:tcW w:w="680" w:type="dxa"/>
            <w:vAlign w:val="bottom"/>
            <w:tcBorders>
              <w:bottom w:val="single" w:sz="8" w:color="auto"/>
            </w:tcBorders>
            <w:vMerge w:val="continue"/>
            <w:shd w:val="clear" w:color="auto" w:fill="D9D9D9"/>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vMerge w:val="continue"/>
            <w:shd w:val="clear" w:color="auto" w:fill="D9D9D9"/>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vMerge w:val="continue"/>
            <w:shd w:val="clear" w:color="auto" w:fill="D9D9D9"/>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33" w:right="339" w:bottom="1440" w:gutter="0" w:footer="0" w:header="0"/>
          <w:type w:val="continuous"/>
        </w:sectPr>
      </w:pPr>
    </w:p>
    <w:bookmarkStart w:id="8" w:name="page9"/>
    <w:bookmarkEnd w:id="8"/>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CONDENSED INTERIM CONSOLIDATED STATEMENTS OF CASH FLOWS</w:t>
      </w: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For the 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 xml:space="preserve">Restated - </w:t>
            </w:r>
            <w:r>
              <w:rPr>
                <w:rFonts w:ascii="Arial" w:cs="Arial" w:eastAsia="Arial" w:hAnsi="Arial"/>
                <w:sz w:val="16"/>
                <w:szCs w:val="16"/>
                <w:i w:val="1"/>
                <w:iCs w:val="1"/>
                <w:color w:val="auto"/>
              </w:rPr>
              <w:t>Note 2</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ind w:left="1320"/>
              <w:spacing w:after="0"/>
              <w:rPr>
                <w:sz w:val="20"/>
                <w:szCs w:val="20"/>
                <w:color w:val="auto"/>
              </w:rPr>
            </w:pPr>
            <w:r>
              <w:rPr>
                <w:rFonts w:ascii="Arial" w:cs="Arial" w:eastAsia="Arial" w:hAnsi="Arial"/>
                <w:sz w:val="16"/>
                <w:szCs w:val="16"/>
                <w:i w:val="1"/>
                <w:iCs w:val="1"/>
                <w:color w:val="auto"/>
              </w:rPr>
              <w:t>Notes</w:t>
            </w: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5720" w:type="dxa"/>
            <w:vAlign w:val="bottom"/>
          </w:tcPr>
          <w:p>
            <w:pPr>
              <w:ind w:left="80"/>
              <w:spacing w:after="0"/>
              <w:rPr>
                <w:sz w:val="20"/>
                <w:szCs w:val="20"/>
                <w:color w:val="auto"/>
              </w:rPr>
            </w:pPr>
            <w:r>
              <w:rPr>
                <w:rFonts w:ascii="Arial" w:cs="Arial" w:eastAsia="Arial" w:hAnsi="Arial"/>
                <w:sz w:val="16"/>
                <w:szCs w:val="16"/>
                <w:b w:val="1"/>
                <w:bCs w:val="1"/>
                <w:color w:val="auto"/>
              </w:rPr>
              <w:t>OPERATING ACTIVITIES</w:t>
            </w: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80"/>
              <w:spacing w:after="0"/>
              <w:rPr>
                <w:sz w:val="20"/>
                <w:szCs w:val="20"/>
                <w:color w:val="auto"/>
              </w:rPr>
            </w:pPr>
            <w:r>
              <w:rPr>
                <w:rFonts w:ascii="Arial" w:cs="Arial" w:eastAsia="Arial" w:hAnsi="Arial"/>
                <w:sz w:val="16"/>
                <w:szCs w:val="16"/>
                <w:b w:val="1"/>
                <w:bCs w:val="1"/>
                <w:color w:val="auto"/>
              </w:rPr>
              <w:t>Net loss for the period</w:t>
            </w:r>
          </w:p>
        </w:tc>
        <w:tc>
          <w:tcPr>
            <w:tcW w:w="236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(101,003)</w:t>
            </w:r>
          </w:p>
        </w:tc>
        <w:tc>
          <w:tcPr>
            <w:tcW w:w="1580" w:type="dxa"/>
            <w:vAlign w:val="bottom"/>
          </w:tcPr>
          <w:p>
            <w:pPr>
              <w:jc w:val="right"/>
              <w:spacing w:after="0"/>
              <w:rPr>
                <w:sz w:val="20"/>
                <w:szCs w:val="20"/>
                <w:color w:val="auto"/>
              </w:rPr>
            </w:pPr>
            <w:r>
              <w:rPr>
                <w:rFonts w:ascii="Arial" w:cs="Arial" w:eastAsia="Arial" w:hAnsi="Arial"/>
                <w:sz w:val="16"/>
                <w:szCs w:val="16"/>
                <w:color w:val="auto"/>
              </w:rPr>
              <w:t>(60,300)</w:t>
            </w:r>
          </w:p>
        </w:tc>
        <w:tc>
          <w:tcPr>
            <w:tcW w:w="0" w:type="dxa"/>
            <w:vAlign w:val="bottom"/>
          </w:tcPr>
          <w:p>
            <w:pPr>
              <w:spacing w:after="0"/>
              <w:rPr>
                <w:sz w:val="1"/>
                <w:szCs w:val="1"/>
                <w:color w:val="auto"/>
              </w:rPr>
            </w:pPr>
          </w:p>
        </w:tc>
      </w:tr>
      <w:tr>
        <w:trPr>
          <w:trHeight w:val="223"/>
        </w:trPr>
        <w:tc>
          <w:tcPr>
            <w:tcW w:w="5720" w:type="dxa"/>
            <w:vAlign w:val="bottom"/>
          </w:tcPr>
          <w:p>
            <w:pPr>
              <w:ind w:left="180"/>
              <w:spacing w:after="0"/>
              <w:rPr>
                <w:sz w:val="20"/>
                <w:szCs w:val="20"/>
                <w:color w:val="auto"/>
              </w:rPr>
            </w:pPr>
            <w:r>
              <w:rPr>
                <w:rFonts w:ascii="Arial" w:cs="Arial" w:eastAsia="Arial" w:hAnsi="Arial"/>
                <w:sz w:val="16"/>
                <w:szCs w:val="16"/>
                <w:b w:val="1"/>
                <w:bCs w:val="1"/>
                <w:color w:val="auto"/>
              </w:rPr>
              <w:t>Adjustments for items not affecting cash:</w:t>
            </w:r>
          </w:p>
        </w:tc>
        <w:tc>
          <w:tcPr>
            <w:tcW w:w="2360" w:type="dxa"/>
            <w:vAlign w:val="bottom"/>
            <w:vMerge w:val="restart"/>
          </w:tcPr>
          <w:p>
            <w:pPr>
              <w:jc w:val="center"/>
              <w:ind w:left="619"/>
              <w:spacing w:after="0"/>
              <w:rPr>
                <w:sz w:val="20"/>
                <w:szCs w:val="20"/>
                <w:color w:val="auto"/>
              </w:rPr>
            </w:pPr>
            <w:r>
              <w:rPr>
                <w:rFonts w:ascii="Arial" w:cs="Arial" w:eastAsia="Arial" w:hAnsi="Arial"/>
                <w:sz w:val="16"/>
                <w:szCs w:val="16"/>
                <w:i w:val="1"/>
                <w:iCs w:val="1"/>
                <w:color w:val="auto"/>
                <w:w w:val="97"/>
              </w:rPr>
              <w:t>3, 4</w:t>
            </w:r>
          </w:p>
        </w:tc>
        <w:tc>
          <w:tcPr>
            <w:tcW w:w="1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720" w:type="dxa"/>
            <w:vAlign w:val="bottom"/>
            <w:vMerge w:val="restart"/>
          </w:tcPr>
          <w:p>
            <w:pPr>
              <w:ind w:left="360"/>
              <w:spacing w:after="0"/>
              <w:rPr>
                <w:sz w:val="20"/>
                <w:szCs w:val="20"/>
                <w:color w:val="auto"/>
              </w:rPr>
            </w:pPr>
            <w:r>
              <w:rPr>
                <w:rFonts w:ascii="Arial" w:cs="Arial" w:eastAsia="Arial" w:hAnsi="Arial"/>
                <w:sz w:val="16"/>
                <w:szCs w:val="16"/>
                <w:color w:val="auto"/>
              </w:rPr>
              <w:t>Depreciation and amortization</w:t>
            </w:r>
          </w:p>
        </w:tc>
        <w:tc>
          <w:tcPr>
            <w:tcW w:w="2360" w:type="dxa"/>
            <w:vAlign w:val="bottom"/>
            <w:vMerge w:val="continue"/>
          </w:tcPr>
          <w:p>
            <w:pPr>
              <w:spacing w:after="0"/>
              <w:rPr>
                <w:sz w:val="18"/>
                <w:szCs w:val="18"/>
                <w:color w:val="auto"/>
              </w:rPr>
            </w:pPr>
          </w:p>
        </w:tc>
        <w:tc>
          <w:tcPr>
            <w:tcW w:w="15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89</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81"/>
        </w:trPr>
        <w:tc>
          <w:tcPr>
            <w:tcW w:w="572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720" w:type="dxa"/>
            <w:vAlign w:val="bottom"/>
          </w:tcPr>
          <w:p>
            <w:pPr>
              <w:spacing w:after="0"/>
              <w:rPr>
                <w:sz w:val="5"/>
                <w:szCs w:val="5"/>
                <w:color w:val="auto"/>
              </w:rPr>
            </w:pPr>
          </w:p>
        </w:tc>
        <w:tc>
          <w:tcPr>
            <w:tcW w:w="2360" w:type="dxa"/>
            <w:vAlign w:val="bottom"/>
            <w:vMerge w:val="restart"/>
          </w:tcPr>
          <w:p>
            <w:pPr>
              <w:jc w:val="center"/>
              <w:ind w:left="619"/>
              <w:spacing w:after="0"/>
              <w:rPr>
                <w:sz w:val="20"/>
                <w:szCs w:val="20"/>
                <w:color w:val="auto"/>
              </w:rPr>
            </w:pPr>
            <w:r>
              <w:rPr>
                <w:rFonts w:ascii="Arial" w:cs="Arial" w:eastAsia="Arial" w:hAnsi="Arial"/>
                <w:sz w:val="16"/>
                <w:szCs w:val="16"/>
                <w:i w:val="1"/>
                <w:iCs w:val="1"/>
                <w:color w:val="auto"/>
              </w:rPr>
              <w:t>7</w:t>
            </w:r>
          </w:p>
        </w:tc>
        <w:tc>
          <w:tcPr>
            <w:tcW w:w="158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720" w:type="dxa"/>
            <w:vAlign w:val="bottom"/>
            <w:vMerge w:val="restart"/>
          </w:tcPr>
          <w:p>
            <w:pPr>
              <w:ind w:left="360"/>
              <w:spacing w:after="0"/>
              <w:rPr>
                <w:sz w:val="20"/>
                <w:szCs w:val="20"/>
                <w:color w:val="auto"/>
              </w:rPr>
            </w:pPr>
            <w:r>
              <w:rPr>
                <w:rFonts w:ascii="Arial" w:cs="Arial" w:eastAsia="Arial" w:hAnsi="Arial"/>
                <w:sz w:val="16"/>
                <w:szCs w:val="16"/>
                <w:color w:val="auto"/>
              </w:rPr>
              <w:t>Share-based compensation</w:t>
            </w:r>
          </w:p>
        </w:tc>
        <w:tc>
          <w:tcPr>
            <w:tcW w:w="2360" w:type="dxa"/>
            <w:vAlign w:val="bottom"/>
            <w:vMerge w:val="continue"/>
          </w:tcPr>
          <w:p>
            <w:pPr>
              <w:spacing w:after="0"/>
              <w:rPr>
                <w:sz w:val="18"/>
                <w:szCs w:val="18"/>
                <w:color w:val="auto"/>
              </w:rPr>
            </w:pPr>
          </w:p>
        </w:tc>
        <w:tc>
          <w:tcPr>
            <w:tcW w:w="15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5,607</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29,824</w:t>
            </w:r>
          </w:p>
        </w:tc>
        <w:tc>
          <w:tcPr>
            <w:tcW w:w="0" w:type="dxa"/>
            <w:vAlign w:val="bottom"/>
          </w:tcPr>
          <w:p>
            <w:pPr>
              <w:spacing w:after="0"/>
              <w:rPr>
                <w:sz w:val="1"/>
                <w:szCs w:val="1"/>
                <w:color w:val="auto"/>
              </w:rPr>
            </w:pPr>
          </w:p>
        </w:tc>
      </w:tr>
      <w:tr>
        <w:trPr>
          <w:trHeight w:val="81"/>
        </w:trPr>
        <w:tc>
          <w:tcPr>
            <w:tcW w:w="572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57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6"/>
                <w:szCs w:val="16"/>
                <w:color w:val="auto"/>
              </w:rPr>
              <w:t>Lease accretion</w:t>
            </w:r>
          </w:p>
        </w:tc>
        <w:tc>
          <w:tcPr>
            <w:tcW w:w="2360" w:type="dxa"/>
            <w:vAlign w:val="bottom"/>
          </w:tcPr>
          <w:p>
            <w:pPr>
              <w:spacing w:after="0"/>
              <w:rPr>
                <w:sz w:val="18"/>
                <w:szCs w:val="18"/>
                <w:color w:val="auto"/>
              </w:rPr>
            </w:pP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6"/>
                <w:szCs w:val="16"/>
                <w:color w:val="auto"/>
              </w:rPr>
              <w:t>Other loss</w:t>
            </w:r>
          </w:p>
        </w:tc>
        <w:tc>
          <w:tcPr>
            <w:tcW w:w="2360" w:type="dxa"/>
            <w:vAlign w:val="bottom"/>
          </w:tcPr>
          <w:p>
            <w:pPr>
              <w:spacing w:after="0"/>
              <w:rPr>
                <w:sz w:val="18"/>
                <w:szCs w:val="18"/>
                <w:color w:val="auto"/>
              </w:rPr>
            </w:pP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6"/>
                <w:szCs w:val="16"/>
                <w:color w:val="auto"/>
              </w:rPr>
              <w:t>Gain on sale of lab equipment</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3</w:t>
            </w: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(7)</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6"/>
                <w:szCs w:val="16"/>
                <w:color w:val="auto"/>
              </w:rPr>
              <w:t>Fair value loss on financial instruments</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6</w:t>
            </w: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5,500</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5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Unrealized foreign currency translation gain</w:t>
            </w:r>
          </w:p>
        </w:tc>
        <w:tc>
          <w:tcPr>
            <w:tcW w:w="2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(1,206)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(14,676)</w:t>
            </w:r>
          </w:p>
        </w:tc>
        <w:tc>
          <w:tcPr>
            <w:tcW w:w="0" w:type="dxa"/>
            <w:vAlign w:val="bottom"/>
          </w:tcPr>
          <w:p>
            <w:pPr>
              <w:spacing w:after="0"/>
              <w:rPr>
                <w:sz w:val="1"/>
                <w:szCs w:val="1"/>
                <w:color w:val="auto"/>
              </w:rPr>
            </w:pPr>
          </w:p>
        </w:tc>
      </w:tr>
      <w:tr>
        <w:trPr>
          <w:trHeight w:val="216"/>
        </w:trPr>
        <w:tc>
          <w:tcPr>
            <w:tcW w:w="57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Net changes in non-cash working capital items:</w:t>
            </w:r>
          </w:p>
        </w:tc>
        <w:tc>
          <w:tcPr>
            <w:tcW w:w="236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(91,020)</w:t>
            </w:r>
          </w:p>
        </w:tc>
        <w:tc>
          <w:tcPr>
            <w:tcW w:w="1580" w:type="dxa"/>
            <w:vAlign w:val="bottom"/>
          </w:tcPr>
          <w:p>
            <w:pPr>
              <w:jc w:val="right"/>
              <w:spacing w:after="0"/>
              <w:rPr>
                <w:sz w:val="20"/>
                <w:szCs w:val="20"/>
                <w:color w:val="auto"/>
              </w:rPr>
            </w:pPr>
            <w:r>
              <w:rPr>
                <w:rFonts w:ascii="Arial" w:cs="Arial" w:eastAsia="Arial" w:hAnsi="Arial"/>
                <w:sz w:val="16"/>
                <w:szCs w:val="16"/>
                <w:color w:val="auto"/>
              </w:rPr>
              <w:t>(44,827)</w:t>
            </w:r>
          </w:p>
        </w:tc>
        <w:tc>
          <w:tcPr>
            <w:tcW w:w="0" w:type="dxa"/>
            <w:vAlign w:val="bottom"/>
          </w:tcPr>
          <w:p>
            <w:pPr>
              <w:spacing w:after="0"/>
              <w:rPr>
                <w:sz w:val="1"/>
                <w:szCs w:val="1"/>
                <w:color w:val="auto"/>
              </w:rPr>
            </w:pPr>
          </w:p>
        </w:tc>
      </w:tr>
      <w:tr>
        <w:trPr>
          <w:trHeight w:val="215"/>
        </w:trPr>
        <w:tc>
          <w:tcPr>
            <w:tcW w:w="572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72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2360" w:type="dxa"/>
            <w:vAlign w:val="bottom"/>
          </w:tcPr>
          <w:p>
            <w:pPr>
              <w:spacing w:after="0"/>
              <w:rPr>
                <w:sz w:val="24"/>
                <w:szCs w:val="24"/>
                <w:color w:val="auto"/>
              </w:rPr>
            </w:pPr>
          </w:p>
        </w:tc>
        <w:tc>
          <w:tcPr>
            <w:tcW w:w="15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(672)</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62"/>
        </w:trPr>
        <w:tc>
          <w:tcPr>
            <w:tcW w:w="57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720" w:type="dxa"/>
            <w:vAlign w:val="bottom"/>
          </w:tcPr>
          <w:p>
            <w:pPr>
              <w:ind w:left="400"/>
              <w:spacing w:after="0"/>
              <w:rPr>
                <w:sz w:val="20"/>
                <w:szCs w:val="20"/>
                <w:color w:val="auto"/>
              </w:rPr>
            </w:pPr>
            <w:r>
              <w:rPr>
                <w:rFonts w:ascii="Arial" w:cs="Arial" w:eastAsia="Arial" w:hAnsi="Arial"/>
                <w:sz w:val="16"/>
                <w:szCs w:val="16"/>
                <w:color w:val="auto"/>
              </w:rPr>
              <w:t>Prepaid expenses</w:t>
            </w:r>
          </w:p>
        </w:tc>
        <w:tc>
          <w:tcPr>
            <w:tcW w:w="2360" w:type="dxa"/>
            <w:vAlign w:val="bottom"/>
          </w:tcPr>
          <w:p>
            <w:pPr>
              <w:spacing w:after="0"/>
              <w:rPr>
                <w:sz w:val="24"/>
                <w:szCs w:val="24"/>
                <w:color w:val="auto"/>
              </w:rPr>
            </w:pPr>
          </w:p>
        </w:tc>
        <w:tc>
          <w:tcPr>
            <w:tcW w:w="15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(6,166)</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(13,775)</w:t>
            </w:r>
          </w:p>
        </w:tc>
        <w:tc>
          <w:tcPr>
            <w:tcW w:w="0" w:type="dxa"/>
            <w:vAlign w:val="bottom"/>
          </w:tcPr>
          <w:p>
            <w:pPr>
              <w:spacing w:after="0"/>
              <w:rPr>
                <w:sz w:val="1"/>
                <w:szCs w:val="1"/>
                <w:color w:val="auto"/>
              </w:rPr>
            </w:pPr>
          </w:p>
        </w:tc>
      </w:tr>
      <w:tr>
        <w:trPr>
          <w:trHeight w:val="62"/>
        </w:trPr>
        <w:tc>
          <w:tcPr>
            <w:tcW w:w="57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720" w:type="dxa"/>
            <w:vAlign w:val="bottom"/>
          </w:tcPr>
          <w:p>
            <w:pPr>
              <w:ind w:left="400"/>
              <w:spacing w:after="0"/>
              <w:rPr>
                <w:sz w:val="20"/>
                <w:szCs w:val="20"/>
                <w:color w:val="auto"/>
              </w:rPr>
            </w:pPr>
            <w:r>
              <w:rPr>
                <w:rFonts w:ascii="Arial" w:cs="Arial" w:eastAsia="Arial" w:hAnsi="Arial"/>
                <w:sz w:val="16"/>
                <w:szCs w:val="16"/>
                <w:color w:val="auto"/>
              </w:rPr>
              <w:t>Other current assets</w:t>
            </w:r>
          </w:p>
        </w:tc>
        <w:tc>
          <w:tcPr>
            <w:tcW w:w="2360" w:type="dxa"/>
            <w:vAlign w:val="bottom"/>
          </w:tcPr>
          <w:p>
            <w:pPr>
              <w:spacing w:after="0"/>
              <w:rPr>
                <w:sz w:val="24"/>
                <w:szCs w:val="24"/>
                <w:color w:val="auto"/>
              </w:rPr>
            </w:pP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600</w:t>
            </w:r>
          </w:p>
        </w:tc>
        <w:tc>
          <w:tcPr>
            <w:tcW w:w="158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89"/>
        </w:trPr>
        <w:tc>
          <w:tcPr>
            <w:tcW w:w="5720" w:type="dxa"/>
            <w:vAlign w:val="bottom"/>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360" w:type="dxa"/>
            <w:vAlign w:val="bottom"/>
          </w:tcPr>
          <w:p>
            <w:pPr>
              <w:spacing w:after="0"/>
              <w:rPr>
                <w:sz w:val="24"/>
                <w:szCs w:val="24"/>
                <w:color w:val="auto"/>
              </w:rPr>
            </w:pPr>
          </w:p>
        </w:tc>
        <w:tc>
          <w:tcPr>
            <w:tcW w:w="15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1,278</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56"/>
        </w:trPr>
        <w:tc>
          <w:tcPr>
            <w:tcW w:w="572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vMerge w:val="continue"/>
          </w:tcPr>
          <w:p>
            <w:pPr>
              <w:spacing w:after="0"/>
              <w:rPr>
                <w:sz w:val="4"/>
                <w:szCs w:val="4"/>
                <w:color w:val="auto"/>
              </w:rPr>
            </w:pPr>
          </w:p>
        </w:tc>
        <w:tc>
          <w:tcPr>
            <w:tcW w:w="15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operating activities</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(95,980)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(57,595)</w:t>
            </w:r>
          </w:p>
        </w:tc>
        <w:tc>
          <w:tcPr>
            <w:tcW w:w="0" w:type="dxa"/>
            <w:vAlign w:val="bottom"/>
          </w:tcPr>
          <w:p>
            <w:pPr>
              <w:spacing w:after="0"/>
              <w:rPr>
                <w:sz w:val="1"/>
                <w:szCs w:val="1"/>
                <w:color w:val="auto"/>
              </w:rPr>
            </w:pPr>
          </w:p>
        </w:tc>
      </w:tr>
      <w:tr>
        <w:trPr>
          <w:trHeight w:val="290"/>
        </w:trPr>
        <w:tc>
          <w:tcPr>
            <w:tcW w:w="5720" w:type="dxa"/>
            <w:vAlign w:val="bottom"/>
          </w:tcPr>
          <w:p>
            <w:pPr>
              <w:ind w:left="80"/>
              <w:spacing w:after="0"/>
              <w:rPr>
                <w:sz w:val="20"/>
                <w:szCs w:val="20"/>
                <w:color w:val="auto"/>
              </w:rPr>
            </w:pPr>
            <w:r>
              <w:rPr>
                <w:rFonts w:ascii="Arial" w:cs="Arial" w:eastAsia="Arial" w:hAnsi="Arial"/>
                <w:sz w:val="16"/>
                <w:szCs w:val="16"/>
                <w:b w:val="1"/>
                <w:bCs w:val="1"/>
                <w:color w:val="auto"/>
              </w:rPr>
              <w:t>INVESTING ACTIVITIES</w:t>
            </w: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Purchase of equipment and intangible assets</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w w:val="97"/>
              </w:rPr>
              <w:t>3, 4</w:t>
            </w: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(1,050)</w:t>
            </w:r>
          </w:p>
        </w:tc>
        <w:tc>
          <w:tcPr>
            <w:tcW w:w="158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Proceeds on sale of lab equipment</w:t>
            </w:r>
          </w:p>
        </w:tc>
        <w:tc>
          <w:tcPr>
            <w:tcW w:w="236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i w:val="1"/>
                <w:iCs w:val="1"/>
                <w:color w:val="auto"/>
              </w:rPr>
              <w:t>3</w:t>
            </w: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investing activities</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(1,040)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90"/>
        </w:trPr>
        <w:tc>
          <w:tcPr>
            <w:tcW w:w="5720" w:type="dxa"/>
            <w:vAlign w:val="bottom"/>
          </w:tcPr>
          <w:p>
            <w:pPr>
              <w:ind w:left="80"/>
              <w:spacing w:after="0"/>
              <w:rPr>
                <w:sz w:val="20"/>
                <w:szCs w:val="20"/>
                <w:color w:val="auto"/>
              </w:rPr>
            </w:pPr>
            <w:r>
              <w:rPr>
                <w:rFonts w:ascii="Arial" w:cs="Arial" w:eastAsia="Arial" w:hAnsi="Arial"/>
                <w:sz w:val="16"/>
                <w:szCs w:val="16"/>
                <w:b w:val="1"/>
                <w:bCs w:val="1"/>
                <w:color w:val="auto"/>
              </w:rPr>
              <w:t>FINANCING ACTIVITIES</w:t>
            </w: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Proceeds on issuance of common shares, net</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7</w:t>
            </w: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146,052</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Proceeds on issuance of pre-funded warrants, net</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7</w:t>
            </w: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28,099</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Proceeds on issuance of convertible debentures</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6</w:t>
            </w: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44,500</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Repayment of convertible debentures</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6</w:t>
            </w: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(20,150)</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Share issuance costs</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w w:val="97"/>
              </w:rPr>
              <w:t>6, 7</w:t>
            </w: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(146)</w:t>
            </w:r>
          </w:p>
        </w:tc>
        <w:tc>
          <w:tcPr>
            <w:tcW w:w="15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6"/>
                <w:szCs w:val="16"/>
                <w:color w:val="auto"/>
              </w:rPr>
              <w:t>Options exercised</w:t>
            </w:r>
          </w:p>
        </w:tc>
        <w:tc>
          <w:tcPr>
            <w:tcW w:w="2360" w:type="dxa"/>
            <w:vAlign w:val="bottom"/>
          </w:tcPr>
          <w:p>
            <w:pPr>
              <w:jc w:val="center"/>
              <w:ind w:left="619"/>
              <w:spacing w:after="0"/>
              <w:rPr>
                <w:sz w:val="20"/>
                <w:szCs w:val="20"/>
                <w:color w:val="auto"/>
              </w:rPr>
            </w:pPr>
            <w:r>
              <w:rPr>
                <w:rFonts w:ascii="Arial" w:cs="Arial" w:eastAsia="Arial" w:hAnsi="Arial"/>
                <w:sz w:val="16"/>
                <w:szCs w:val="16"/>
                <w:i w:val="1"/>
                <w:iCs w:val="1"/>
                <w:color w:val="auto"/>
              </w:rPr>
              <w:t>7</w:t>
            </w: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53</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Lease payments</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provided by (used in) financing activities</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198,408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Effects of exchange rate changes on cash</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(182)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546"/>
        </w:trPr>
        <w:tc>
          <w:tcPr>
            <w:tcW w:w="5720" w:type="dxa"/>
            <w:vAlign w:val="bottom"/>
          </w:tcPr>
          <w:p>
            <w:pPr>
              <w:ind w:left="80"/>
              <w:spacing w:after="0"/>
              <w:rPr>
                <w:sz w:val="20"/>
                <w:szCs w:val="20"/>
                <w:color w:val="auto"/>
              </w:rPr>
            </w:pPr>
            <w:r>
              <w:rPr>
                <w:rFonts w:ascii="Arial" w:cs="Arial" w:eastAsia="Arial" w:hAnsi="Arial"/>
                <w:sz w:val="16"/>
                <w:szCs w:val="16"/>
                <w:b w:val="1"/>
                <w:bCs w:val="1"/>
                <w:color w:val="auto"/>
              </w:rPr>
              <w:t>Net increase (decrease) in cash</w:t>
            </w:r>
          </w:p>
        </w:tc>
        <w:tc>
          <w:tcPr>
            <w:tcW w:w="2360" w:type="dxa"/>
            <w:vAlign w:val="bottom"/>
          </w:tcPr>
          <w:p>
            <w:pPr>
              <w:spacing w:after="0"/>
              <w:rPr>
                <w:sz w:val="24"/>
                <w:szCs w:val="24"/>
                <w:color w:val="auto"/>
              </w:rPr>
            </w:pP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101,206</w:t>
            </w:r>
          </w:p>
        </w:tc>
        <w:tc>
          <w:tcPr>
            <w:tcW w:w="1580" w:type="dxa"/>
            <w:vAlign w:val="bottom"/>
          </w:tcPr>
          <w:p>
            <w:pPr>
              <w:jc w:val="right"/>
              <w:spacing w:after="0"/>
              <w:rPr>
                <w:sz w:val="20"/>
                <w:szCs w:val="20"/>
                <w:color w:val="auto"/>
              </w:rPr>
            </w:pPr>
            <w:r>
              <w:rPr>
                <w:rFonts w:ascii="Arial" w:cs="Arial" w:eastAsia="Arial" w:hAnsi="Arial"/>
                <w:sz w:val="16"/>
                <w:szCs w:val="16"/>
                <w:color w:val="auto"/>
              </w:rPr>
              <w:t>(59,520)</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beginning of period</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93,922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154,238</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end of period</w:t>
            </w:r>
          </w:p>
        </w:tc>
        <w:tc>
          <w:tcPr>
            <w:tcW w:w="2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195,128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94,718</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interim consolidated financial statements.</w:t>
      </w:r>
    </w:p>
    <w:p>
      <w:pPr>
        <w:sectPr>
          <w:pgSz w:w="11900" w:h="16838" w:orient="portrait"/>
          <w:cols w:equalWidth="0" w:num="1">
            <w:col w:w="11240"/>
          </w:cols>
          <w:pgMar w:left="320" w:top="233"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CYBIN INC. DOING BUSINESS AS HELUS PHARMA</w:t>
      </w:r>
    </w:p>
    <w:p>
      <w:pPr>
        <w:ind w:left="20" w:right="2740"/>
        <w:spacing w:after="0" w:line="206"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ind w:left="20"/>
        <w:spacing w:after="0" w:line="211"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w:t>
      </w:r>
    </w:p>
    <w:p>
      <w:pPr>
        <w:ind w:left="20"/>
        <w:spacing w:after="0" w:line="198" w:lineRule="auto"/>
        <w:rPr>
          <w:sz w:val="20"/>
          <w:szCs w:val="20"/>
          <w:color w:val="auto"/>
        </w:rPr>
      </w:pPr>
      <w:r>
        <w:rPr>
          <w:rFonts w:ascii="Arial" w:cs="Arial" w:eastAsia="Arial" w:hAnsi="Arial"/>
          <w:sz w:val="20"/>
          <w:szCs w:val="20"/>
          <w:b w:val="1"/>
          <w:bCs w:val="1"/>
          <w:color w:val="auto"/>
        </w:rPr>
        <w:t>indicated as being in CAD, Euros or Great Britain Pounds which are in thousands.)</w:t>
      </w:r>
    </w:p>
    <w:p>
      <w:pPr>
        <w:ind w:left="20"/>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2D5F91"/>
        </w:rPr>
      </w:pPr>
      <w:r>
        <w:rPr>
          <w:rFonts w:ascii="Arial" w:cs="Arial" w:eastAsia="Arial" w:hAnsi="Arial"/>
          <w:sz w:val="18"/>
          <w:szCs w:val="18"/>
          <w:b w:val="1"/>
          <w:bCs w:val="1"/>
          <w:color w:val="2D5F91"/>
        </w:rPr>
        <w:t>CORPORATE INFORMATION</w:t>
      </w:r>
    </w:p>
    <w:p>
      <w:pPr>
        <w:spacing w:after="0" w:line="198" w:lineRule="exact"/>
        <w:rPr>
          <w:sz w:val="20"/>
          <w:szCs w:val="20"/>
          <w:color w:val="auto"/>
        </w:rPr>
      </w:pPr>
    </w:p>
    <w:p>
      <w:pPr>
        <w:jc w:val="both"/>
        <w:ind w:left="340"/>
        <w:spacing w:after="0" w:line="294" w:lineRule="auto"/>
        <w:rPr>
          <w:sz w:val="20"/>
          <w:szCs w:val="20"/>
          <w:color w:val="auto"/>
        </w:rPr>
      </w:pPr>
      <w:r>
        <w:rPr>
          <w:rFonts w:ascii="Arial" w:cs="Arial" w:eastAsia="Arial" w:hAnsi="Arial"/>
          <w:sz w:val="18"/>
          <w:szCs w:val="18"/>
          <w:color w:val="auto"/>
        </w:rPr>
        <w:t>Cybin Inc. doing business as Helus Pharma ("</w:t>
      </w:r>
      <w:r>
        <w:rPr>
          <w:rFonts w:ascii="Arial" w:cs="Arial" w:eastAsia="Arial" w:hAnsi="Arial"/>
          <w:sz w:val="18"/>
          <w:szCs w:val="18"/>
          <w:b w:val="1"/>
          <w:bCs w:val="1"/>
          <w:color w:val="auto"/>
        </w:rPr>
        <w:t>Helus Pharma</w:t>
      </w:r>
      <w:r>
        <w:rPr>
          <w:rFonts w:ascii="Arial" w:cs="Arial" w:eastAsia="Arial" w:hAnsi="Arial"/>
          <w:sz w:val="18"/>
          <w:szCs w:val="18"/>
          <w:color w:val="auto"/>
        </w:rPr>
        <w:t>"), was incorporated under the Business Corporations Act (British Columbia) on October 13, 2016. These consolidated financial statements include the accounts of Helus Pharma’s six wholly-owned subsidiaries (together with Helus Pharma,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Helus Pharma Corp. (formally Cybin Corp., refer to note 14,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 Helus US Inc. (formally Cybin US Holdings Inc., refer to note 14,</w:t>
      </w:r>
      <w:r>
        <w:rPr>
          <w:rFonts w:ascii="Arial" w:cs="Arial" w:eastAsia="Arial" w:hAnsi="Arial"/>
          <w:sz w:val="18"/>
          <w:szCs w:val="18"/>
          <w:i w:val="1"/>
          <w:iCs w:val="1"/>
          <w:color w:val="auto"/>
        </w:rPr>
        <w:t xml:space="preserve"> Subsequent Events</w:t>
      </w:r>
      <w:r>
        <w:rPr>
          <w:rFonts w:ascii="Arial" w:cs="Arial" w:eastAsia="Arial" w:hAnsi="Arial"/>
          <w:sz w:val="18"/>
          <w:szCs w:val="18"/>
          <w:color w:val="auto"/>
        </w:rPr>
        <w:t>) (“</w:t>
      </w:r>
      <w:r>
        <w:rPr>
          <w:rFonts w:ascii="Arial" w:cs="Arial" w:eastAsia="Arial" w:hAnsi="Arial"/>
          <w:sz w:val="18"/>
          <w:szCs w:val="18"/>
          <w:b w:val="1"/>
          <w:bCs w:val="1"/>
          <w:color w:val="auto"/>
        </w:rPr>
        <w:t>Helus US</w:t>
      </w:r>
      <w:r>
        <w:rPr>
          <w:rFonts w:ascii="Arial" w:cs="Arial" w:eastAsia="Arial" w:hAnsi="Arial"/>
          <w:sz w:val="18"/>
          <w:szCs w:val="18"/>
          <w:color w:val="auto"/>
        </w:rPr>
        <w:t>”), Adelia Therapeutics Inc.</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Adelia</w:t>
      </w:r>
      <w:r>
        <w:rPr>
          <w:rFonts w:ascii="Arial" w:cs="Arial" w:eastAsia="Arial" w:hAnsi="Arial"/>
          <w:sz w:val="18"/>
          <w:szCs w:val="18"/>
          <w:color w:val="auto"/>
        </w:rPr>
        <w:t>”) Cybin IRL Limited (“</w:t>
      </w:r>
      <w:r>
        <w:rPr>
          <w:rFonts w:ascii="Arial" w:cs="Arial" w:eastAsia="Arial" w:hAnsi="Arial"/>
          <w:sz w:val="18"/>
          <w:szCs w:val="18"/>
          <w:b w:val="1"/>
          <w:bCs w:val="1"/>
          <w:color w:val="auto"/>
        </w:rPr>
        <w:t>Cybin IRL</w:t>
      </w:r>
      <w:r>
        <w:rPr>
          <w:rFonts w:ascii="Arial" w:cs="Arial" w:eastAsia="Arial" w:hAnsi="Arial"/>
          <w:sz w:val="18"/>
          <w:szCs w:val="18"/>
          <w:color w:val="auto"/>
        </w:rPr>
        <w:t xml:space="preserve">”), Cybin UK Ltd. T/A Helus, and Helus International Limited (formally Cybin International Limited., refer to note 14, </w:t>
      </w:r>
      <w:r>
        <w:rPr>
          <w:rFonts w:ascii="Arial" w:cs="Arial" w:eastAsia="Arial" w:hAnsi="Arial"/>
          <w:sz w:val="18"/>
          <w:szCs w:val="18"/>
          <w:i w:val="1"/>
          <w:iCs w:val="1"/>
          <w:color w:val="auto"/>
        </w:rPr>
        <w:t>Subsequent Events</w:t>
      </w:r>
      <w:r>
        <w:rPr>
          <w:rFonts w:ascii="Arial" w:cs="Arial" w:eastAsia="Arial" w:hAnsi="Arial"/>
          <w:sz w:val="18"/>
          <w:szCs w:val="18"/>
          <w:color w:val="auto"/>
        </w:rPr>
        <w:t>) ("</w:t>
      </w:r>
      <w:r>
        <w:rPr>
          <w:rFonts w:ascii="Arial" w:cs="Arial" w:eastAsia="Arial" w:hAnsi="Arial"/>
          <w:sz w:val="18"/>
          <w:szCs w:val="18"/>
          <w:b w:val="1"/>
          <w:bCs w:val="1"/>
          <w:color w:val="auto"/>
        </w:rPr>
        <w:t>Helus International</w:t>
      </w:r>
      <w:r>
        <w:rPr>
          <w:rFonts w:ascii="Arial" w:cs="Arial" w:eastAsia="Arial" w:hAnsi="Arial"/>
          <w:sz w:val="18"/>
          <w:szCs w:val="18"/>
          <w:color w:val="auto"/>
        </w:rPr>
        <w:t>"). Helus Pharma’s head office, principal address and registered address and records office is 100 King Street West, Suite 5600, Toronto, Ontario M5X 1C9. The Company acquired Small Pharma Inc. and its subsidiary Small Pharma Ltd. on October 23, 2023. On April 1, 2024, Small Pharma Inc. was amalgamated with Cybin Corp. and continued as Cybin Corp. (which was renamed Helus Pharma Corp. on January 5, 2026). Effective on December 16, 2023, Small Pharma Ltd.'s name was changed to Cybin UK Ltd.</w:t>
      </w:r>
    </w:p>
    <w:p>
      <w:pPr>
        <w:spacing w:after="0" w:line="151" w:lineRule="exact"/>
        <w:rPr>
          <w:sz w:val="20"/>
          <w:szCs w:val="20"/>
          <w:color w:val="auto"/>
        </w:rPr>
      </w:pPr>
    </w:p>
    <w:p>
      <w:pPr>
        <w:jc w:val="both"/>
        <w:ind w:left="340"/>
        <w:spacing w:after="0" w:line="304" w:lineRule="auto"/>
        <w:rPr>
          <w:sz w:val="20"/>
          <w:szCs w:val="20"/>
          <w:color w:val="auto"/>
        </w:rPr>
      </w:pPr>
      <w:r>
        <w:rPr>
          <w:rFonts w:ascii="Arial" w:cs="Arial" w:eastAsia="Arial" w:hAnsi="Arial"/>
          <w:sz w:val="18"/>
          <w:szCs w:val="18"/>
          <w:color w:val="auto"/>
        </w:rPr>
        <w:t>Effective June 4, 2025, the Company completed the formal dissolution of the wholly-owned subsidiaries Natures Journey Inc. ("</w:t>
      </w:r>
      <w:r>
        <w:rPr>
          <w:rFonts w:ascii="Arial" w:cs="Arial" w:eastAsia="Arial" w:hAnsi="Arial"/>
          <w:sz w:val="18"/>
          <w:szCs w:val="18"/>
          <w:b w:val="1"/>
          <w:bCs w:val="1"/>
          <w:color w:val="auto"/>
        </w:rPr>
        <w:t>Journey</w:t>
      </w:r>
      <w:r>
        <w:rPr>
          <w:rFonts w:ascii="Arial" w:cs="Arial" w:eastAsia="Arial" w:hAnsi="Arial"/>
          <w:sz w:val="18"/>
          <w:szCs w:val="18"/>
          <w:color w:val="auto"/>
        </w:rPr>
        <w:t>") and Serenity Life Sciences Inc. ("</w:t>
      </w:r>
      <w:r>
        <w:rPr>
          <w:rFonts w:ascii="Arial" w:cs="Arial" w:eastAsia="Arial" w:hAnsi="Arial"/>
          <w:sz w:val="18"/>
          <w:szCs w:val="18"/>
          <w:b w:val="1"/>
          <w:bCs w:val="1"/>
          <w:color w:val="auto"/>
        </w:rPr>
        <w:t>Serenity</w:t>
      </w:r>
      <w:r>
        <w:rPr>
          <w:rFonts w:ascii="Arial" w:cs="Arial" w:eastAsia="Arial" w:hAnsi="Arial"/>
          <w:sz w:val="18"/>
          <w:szCs w:val="18"/>
          <w:color w:val="auto"/>
        </w:rPr>
        <w:t>"). These entities were non-operational prior to their dissolution and had no material impact on the Company’s condensed interim consolidated financial statements. Helus International was incorporated on September 1, 2025.</w:t>
      </w:r>
    </w:p>
    <w:p>
      <w:pPr>
        <w:spacing w:after="0" w:line="126"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 xml:space="preserve">On January 5, 2026, the Company started to operate under the registered business name "Helus Pharma". Refer to note 14,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p>
    <w:p>
      <w:pPr>
        <w:spacing w:after="0" w:line="112" w:lineRule="exact"/>
        <w:rPr>
          <w:sz w:val="20"/>
          <w:szCs w:val="20"/>
          <w:color w:val="auto"/>
        </w:rPr>
      </w:pPr>
    </w:p>
    <w:p>
      <w:pPr>
        <w:jc w:val="both"/>
        <w:ind w:left="340"/>
        <w:spacing w:after="0" w:line="299" w:lineRule="auto"/>
        <w:rPr>
          <w:sz w:val="20"/>
          <w:szCs w:val="20"/>
          <w:color w:val="auto"/>
        </w:rPr>
      </w:pPr>
      <w:r>
        <w:rPr>
          <w:rFonts w:ascii="Arial" w:cs="Arial" w:eastAsia="Arial" w:hAnsi="Arial"/>
          <w:sz w:val="18"/>
          <w:szCs w:val="18"/>
          <w:color w:val="auto"/>
        </w:rPr>
        <w:t>The Company is a clinical-stage pharmaceutical company focused on advancing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43"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These condensed interim consolidated financial statements as at, and for the three and nine months ended December 31, 2025 were approved and authorized for issue by the board of directors on February 12, 2026.</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Stock exchange listings</w:t>
      </w:r>
    </w:p>
    <w:p>
      <w:pPr>
        <w:spacing w:after="0" w:line="223"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Helus Pharma’s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are listed for trading on Cboe Canada Inc. (“</w:t>
      </w:r>
      <w:r>
        <w:rPr>
          <w:rFonts w:ascii="Arial" w:cs="Arial" w:eastAsia="Arial" w:hAnsi="Arial"/>
          <w:sz w:val="18"/>
          <w:szCs w:val="18"/>
          <w:b w:val="1"/>
          <w:bCs w:val="1"/>
          <w:color w:val="auto"/>
        </w:rPr>
        <w:t>Cboe Canada</w:t>
      </w:r>
      <w:r>
        <w:rPr>
          <w:rFonts w:ascii="Arial" w:cs="Arial" w:eastAsia="Arial" w:hAnsi="Arial"/>
          <w:sz w:val="18"/>
          <w:szCs w:val="18"/>
          <w:color w:val="auto"/>
        </w:rPr>
        <w:t>") under the symbol "HELP", previously "CYBN". The Common Shares were also listed for trading on the NYSE American LLC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from August 5, 2021 to January 2, 2026. Effective January 5, 2026, the Common Shares became listed for trading on the Nasdaq Global Market exchange ("</w:t>
      </w:r>
      <w:r>
        <w:rPr>
          <w:rFonts w:ascii="Arial" w:cs="Arial" w:eastAsia="Arial" w:hAnsi="Arial"/>
          <w:sz w:val="18"/>
          <w:szCs w:val="18"/>
          <w:b w:val="1"/>
          <w:bCs w:val="1"/>
          <w:color w:val="auto"/>
        </w:rPr>
        <w:t>Nasdaq</w:t>
      </w:r>
      <w:r>
        <w:rPr>
          <w:rFonts w:ascii="Arial" w:cs="Arial" w:eastAsia="Arial" w:hAnsi="Arial"/>
          <w:sz w:val="18"/>
          <w:szCs w:val="18"/>
          <w:color w:val="auto"/>
        </w:rPr>
        <w:t>") under the ticker symbol "HELP". Additionally, the Common Shares are listed for trading on the Frankfurt Stock Exchange under the symbol “R7E1”.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Share consolidation</w:t>
      </w:r>
    </w:p>
    <w:p>
      <w:pPr>
        <w:spacing w:after="0" w:line="183" w:lineRule="exact"/>
        <w:rPr>
          <w:sz w:val="20"/>
          <w:szCs w:val="20"/>
          <w:color w:val="auto"/>
        </w:rPr>
      </w:pPr>
    </w:p>
    <w:p>
      <w:pPr>
        <w:jc w:val="both"/>
        <w:ind w:left="340"/>
        <w:spacing w:after="0" w:line="312" w:lineRule="auto"/>
        <w:rPr>
          <w:sz w:val="20"/>
          <w:szCs w:val="20"/>
          <w:color w:val="auto"/>
        </w:rPr>
      </w:pPr>
      <w:r>
        <w:rPr>
          <w:rFonts w:ascii="Arial" w:cs="Arial" w:eastAsia="Arial" w:hAnsi="Arial"/>
          <w:sz w:val="18"/>
          <w:szCs w:val="18"/>
          <w:color w:val="auto"/>
        </w:rPr>
        <w:t>On September 19, 2024, the Company consolidated its outstanding Common Shares on the basis of one new Common Share for every 38 previously existing Common Shares (the "</w:t>
      </w:r>
      <w:r>
        <w:rPr>
          <w:rFonts w:ascii="Arial" w:cs="Arial" w:eastAsia="Arial" w:hAnsi="Arial"/>
          <w:sz w:val="18"/>
          <w:szCs w:val="18"/>
          <w:b w:val="1"/>
          <w:bCs w:val="1"/>
          <w:color w:val="auto"/>
        </w:rPr>
        <w:t>Consolidation</w:t>
      </w:r>
      <w:r>
        <w:rPr>
          <w:rFonts w:ascii="Arial" w:cs="Arial" w:eastAsia="Arial" w:hAnsi="Arial"/>
          <w:sz w:val="18"/>
          <w:szCs w:val="18"/>
          <w:color w:val="auto"/>
        </w:rPr>
        <w:t>"). As a result,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7 of 30</w:t>
      </w:r>
    </w:p>
    <w:p>
      <w:pPr>
        <w:sectPr>
          <w:pgSz w:w="11900" w:h="16838" w:orient="portrait"/>
          <w:cols w:equalWidth="0" w:num="1">
            <w:col w:w="11240"/>
          </w:cols>
          <w:pgMar w:left="320" w:top="137" w:right="339" w:bottom="1440" w:gutter="0" w:footer="0" w:header="0"/>
        </w:sectPr>
      </w:pPr>
    </w:p>
    <w:bookmarkStart w:id="10" w:name="page11"/>
    <w:bookmarkEnd w:id="10"/>
    <w:p>
      <w:pPr>
        <w:ind w:left="12"/>
        <w:spacing w:after="0"/>
        <w:rPr>
          <w:sz w:val="20"/>
          <w:szCs w:val="20"/>
          <w:color w:val="auto"/>
        </w:rPr>
      </w:pPr>
      <w:r>
        <w:rPr>
          <w:rFonts w:ascii="Arial" w:cs="Arial" w:eastAsia="Arial" w:hAnsi="Arial"/>
          <w:sz w:val="22"/>
          <w:szCs w:val="22"/>
          <w:b w:val="1"/>
          <w:bCs w:val="1"/>
          <w:color w:val="auto"/>
        </w:rPr>
        <w:t>CYBIN INC. DOING BUSINESS AS HELUS PHARMA</w:t>
      </w:r>
    </w:p>
    <w:p>
      <w:pPr>
        <w:ind w:left="12" w:right="2740"/>
        <w:spacing w:after="0" w:line="206"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ind w:left="12"/>
        <w:spacing w:after="0" w:line="211"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w:t>
      </w:r>
    </w:p>
    <w:p>
      <w:pPr>
        <w:ind w:left="12"/>
        <w:spacing w:after="0" w:line="198" w:lineRule="auto"/>
        <w:rPr>
          <w:sz w:val="20"/>
          <w:szCs w:val="20"/>
          <w:color w:val="auto"/>
        </w:rPr>
      </w:pPr>
      <w:r>
        <w:rPr>
          <w:rFonts w:ascii="Arial" w:cs="Arial" w:eastAsia="Arial" w:hAnsi="Arial"/>
          <w:sz w:val="20"/>
          <w:szCs w:val="20"/>
          <w:b w:val="1"/>
          <w:bCs w:val="1"/>
          <w:color w:val="auto"/>
        </w:rPr>
        <w:t>indicated as being in CAD, Euros or Great Britain Pounds which are in thousands.)</w:t>
      </w:r>
    </w:p>
    <w:p>
      <w:pPr>
        <w:ind w:left="12"/>
        <w:spacing w:after="0"/>
        <w:rPr>
          <w:sz w:val="20"/>
          <w:szCs w:val="20"/>
          <w:color w:val="auto"/>
        </w:rPr>
      </w:pPr>
      <w:r>
        <w:rPr>
          <w:rFonts w:ascii="Arial" w:cs="Arial" w:eastAsia="Arial" w:hAnsi="Arial"/>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2"/>
        <w:spacing w:after="0" w:line="318" w:lineRule="auto"/>
        <w:rPr>
          <w:sz w:val="20"/>
          <w:szCs w:val="20"/>
          <w:color w:val="auto"/>
        </w:rPr>
      </w:pPr>
      <w:r>
        <w:rPr>
          <w:rFonts w:ascii="Arial" w:cs="Arial" w:eastAsia="Arial" w:hAnsi="Arial"/>
          <w:sz w:val="18"/>
          <w:szCs w:val="18"/>
          <w:color w:val="auto"/>
        </w:rPr>
        <w:t>and issuance prices of Common Shares, the number and exercise prices of warrants and options and the earnings per share presented in these condensed interim consolidated financial statements have been restated retrospectively to reflect the Consolidation.</w:t>
      </w:r>
    </w:p>
    <w:p>
      <w:pPr>
        <w:spacing w:after="0" w:line="86" w:lineRule="exact"/>
        <w:rPr>
          <w:sz w:val="20"/>
          <w:szCs w:val="20"/>
          <w:color w:val="auto"/>
        </w:rPr>
      </w:pPr>
    </w:p>
    <w:p>
      <w:pPr>
        <w:ind w:left="352" w:hanging="352"/>
        <w:spacing w:after="0"/>
        <w:tabs>
          <w:tab w:leader="none" w:pos="352" w:val="left"/>
        </w:tabs>
        <w:numPr>
          <w:ilvl w:val="0"/>
          <w:numId w:val="2"/>
        </w:numPr>
        <w:rPr>
          <w:rFonts w:ascii="Arial" w:cs="Arial" w:eastAsia="Arial" w:hAnsi="Arial"/>
          <w:sz w:val="18"/>
          <w:szCs w:val="18"/>
          <w:b w:val="1"/>
          <w:bCs w:val="1"/>
          <w:color w:val="2D5F91"/>
        </w:rPr>
      </w:pPr>
      <w:r>
        <w:rPr>
          <w:rFonts w:ascii="Arial" w:cs="Arial" w:eastAsia="Arial" w:hAnsi="Arial"/>
          <w:sz w:val="18"/>
          <w:szCs w:val="18"/>
          <w:b w:val="1"/>
          <w:bCs w:val="1"/>
          <w:color w:val="2D5F91"/>
        </w:rPr>
        <w:t>MATERIAL ACCOUNTING POLICY INFORMATION AND BASIS OF PREPARATION</w:t>
      </w:r>
    </w:p>
    <w:p>
      <w:pPr>
        <w:spacing w:after="0" w:line="268"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u w:val="single" w:color="auto"/>
          <w:color w:val="auto"/>
        </w:rPr>
        <w:t>Statement of compliance</w:t>
      </w:r>
    </w:p>
    <w:p>
      <w:pPr>
        <w:spacing w:after="0" w:line="264" w:lineRule="exact"/>
        <w:rPr>
          <w:sz w:val="20"/>
          <w:szCs w:val="20"/>
          <w:color w:val="auto"/>
        </w:rPr>
      </w:pPr>
    </w:p>
    <w:p>
      <w:pPr>
        <w:jc w:val="both"/>
        <w:ind w:left="332"/>
        <w:spacing w:after="0" w:line="267" w:lineRule="auto"/>
        <w:rPr>
          <w:sz w:val="20"/>
          <w:szCs w:val="20"/>
          <w:color w:val="auto"/>
        </w:rPr>
      </w:pPr>
      <w:r>
        <w:rPr>
          <w:rFonts w:ascii="Arial" w:cs="Arial" w:eastAsia="Arial" w:hAnsi="Arial"/>
          <w:sz w:val="18"/>
          <w:szCs w:val="18"/>
          <w:color w:val="auto"/>
        </w:rPr>
        <w:t>These condensed interim consolidated financial statements have been prepared in accordance with IFRS Accounting Standards ("</w:t>
      </w:r>
      <w:r>
        <w:rPr>
          <w:rFonts w:ascii="Arial" w:cs="Arial" w:eastAsia="Arial" w:hAnsi="Arial"/>
          <w:sz w:val="18"/>
          <w:szCs w:val="18"/>
          <w:b w:val="1"/>
          <w:bCs w:val="1"/>
          <w:color w:val="auto"/>
        </w:rPr>
        <w:t>IFRS</w:t>
      </w:r>
      <w:r>
        <w:rPr>
          <w:rFonts w:ascii="Arial" w:cs="Arial" w:eastAsia="Arial" w:hAnsi="Arial"/>
          <w:sz w:val="18"/>
          <w:szCs w:val="18"/>
          <w:color w:val="auto"/>
        </w:rPr>
        <w:t>") as issued by the International Accounting Standards Board ("</w:t>
      </w:r>
      <w:r>
        <w:rPr>
          <w:rFonts w:ascii="Arial" w:cs="Arial" w:eastAsia="Arial" w:hAnsi="Arial"/>
          <w:sz w:val="18"/>
          <w:szCs w:val="18"/>
          <w:b w:val="1"/>
          <w:bCs w:val="1"/>
          <w:color w:val="auto"/>
        </w:rPr>
        <w:t>IASB</w:t>
      </w:r>
      <w:r>
        <w:rPr>
          <w:rFonts w:ascii="Arial" w:cs="Arial" w:eastAsia="Arial" w:hAnsi="Arial"/>
          <w:sz w:val="18"/>
          <w:szCs w:val="18"/>
          <w:color w:val="auto"/>
        </w:rPr>
        <w:t>") and International Accounting Standard 34 “Interim Financial Reporting”. Accordingly, certain information and footnote disclosure normally included in annual financial statements prepared in accordance with IFRS have been omitted or condensed.</w:t>
      </w:r>
    </w:p>
    <w:p>
      <w:pPr>
        <w:spacing w:after="0" w:line="213" w:lineRule="exact"/>
        <w:rPr>
          <w:sz w:val="20"/>
          <w:szCs w:val="20"/>
          <w:color w:val="auto"/>
        </w:rPr>
      </w:pPr>
    </w:p>
    <w:p>
      <w:pPr>
        <w:jc w:val="both"/>
        <w:ind w:left="332"/>
        <w:spacing w:after="0" w:line="276" w:lineRule="auto"/>
        <w:rPr>
          <w:sz w:val="20"/>
          <w:szCs w:val="20"/>
          <w:color w:val="auto"/>
        </w:rPr>
      </w:pPr>
      <w:r>
        <w:rPr>
          <w:rFonts w:ascii="Arial" w:cs="Arial" w:eastAsia="Arial" w:hAnsi="Arial"/>
          <w:sz w:val="18"/>
          <w:szCs w:val="18"/>
          <w:color w:val="auto"/>
        </w:rPr>
        <w:t>The accounting policies adopted in the preparation of the condensed interim consolidated financial statements are consistent with those set out in note 2 “Material accounting policy information and basis of preparation” of the Company’s consolidated financial statements as at and for the year ended March 31, 2025.</w:t>
      </w:r>
    </w:p>
    <w:p>
      <w:pPr>
        <w:spacing w:after="0" w:line="190" w:lineRule="exact"/>
        <w:rPr>
          <w:sz w:val="20"/>
          <w:szCs w:val="20"/>
          <w:color w:val="auto"/>
        </w:rPr>
      </w:pPr>
    </w:p>
    <w:p>
      <w:pPr>
        <w:jc w:val="both"/>
        <w:ind w:left="332"/>
        <w:spacing w:after="0" w:line="303" w:lineRule="auto"/>
        <w:rPr>
          <w:sz w:val="20"/>
          <w:szCs w:val="20"/>
          <w:color w:val="auto"/>
        </w:rPr>
      </w:pPr>
      <w:r>
        <w:rPr>
          <w:rFonts w:ascii="Arial" w:cs="Arial" w:eastAsia="Arial" w:hAnsi="Arial"/>
          <w:sz w:val="18"/>
          <w:szCs w:val="18"/>
          <w:color w:val="auto"/>
        </w:rPr>
        <w:t>These condensed interim consolidated financial statements should be read in conjunction with the consolidated financial statements for the year ended March 31, 2025.</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u w:val="single" w:color="auto"/>
          <w:color w:val="auto"/>
        </w:rPr>
        <w:t>Basis of measurement</w:t>
      </w:r>
    </w:p>
    <w:p>
      <w:pPr>
        <w:spacing w:after="0" w:line="277" w:lineRule="exact"/>
        <w:rPr>
          <w:sz w:val="20"/>
          <w:szCs w:val="20"/>
          <w:color w:val="auto"/>
        </w:rPr>
      </w:pPr>
    </w:p>
    <w:p>
      <w:pPr>
        <w:jc w:val="both"/>
        <w:ind w:left="332"/>
        <w:spacing w:after="0" w:line="303" w:lineRule="auto"/>
        <w:rPr>
          <w:sz w:val="20"/>
          <w:szCs w:val="20"/>
          <w:color w:val="auto"/>
        </w:rPr>
      </w:pPr>
      <w:r>
        <w:rPr>
          <w:rFonts w:ascii="Arial" w:cs="Arial" w:eastAsia="Arial" w:hAnsi="Arial"/>
          <w:sz w:val="18"/>
          <w:szCs w:val="18"/>
          <w:color w:val="auto"/>
        </w:rPr>
        <w:t>These condensed interim consolidated financial statements have been prepared on a going concern basis, under the historical cost convention, except for certain financial instruments classified at fair value upon initial recognition.</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u w:val="single" w:color="auto"/>
          <w:color w:val="auto"/>
        </w:rPr>
        <w:t>Functional and presentation currency</w:t>
      </w:r>
    </w:p>
    <w:p>
      <w:pPr>
        <w:spacing w:after="0" w:line="21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These condensed interim consolidated financial statements are presented in United States dollars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USD</w:t>
      </w:r>
      <w:r>
        <w:rPr>
          <w:rFonts w:ascii="Arial" w:cs="Arial" w:eastAsia="Arial" w:hAnsi="Arial"/>
          <w:sz w:val="18"/>
          <w:szCs w:val="18"/>
          <w:color w:val="auto"/>
        </w:rPr>
        <w:t>"), the</w:t>
      </w:r>
    </w:p>
    <w:p>
      <w:pPr>
        <w:spacing w:after="0" w:line="4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Company’s new presentation currency. The subsidiaries’ functional currencies as of April 1, 2025 are as follows:</w:t>
      </w:r>
    </w:p>
    <w:p>
      <w:pPr>
        <w:spacing w:after="0" w:line="221" w:lineRule="exact"/>
        <w:rPr>
          <w:sz w:val="20"/>
          <w:szCs w:val="20"/>
          <w:color w:val="auto"/>
        </w:rPr>
      </w:pPr>
    </w:p>
    <w:tbl>
      <w:tblPr>
        <w:tblLayout w:type="fixed"/>
        <w:tblInd w:w="332" w:type="dxa"/>
        <w:tblCellMar>
          <w:top w:w="0" w:type="dxa"/>
          <w:left w:w="0" w:type="dxa"/>
          <w:bottom w:w="0" w:type="dxa"/>
          <w:right w:w="0" w:type="dxa"/>
        </w:tblCellMar>
      </w:tblPr>
      <w:tr>
        <w:trPr>
          <w:trHeight w:val="235"/>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352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Currency</w:t>
            </w:r>
          </w:p>
        </w:tc>
        <w:tc>
          <w:tcPr>
            <w:tcW w:w="4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Ownership</w:t>
            </w:r>
          </w:p>
        </w:tc>
      </w:tr>
      <w:tr>
        <w:trPr>
          <w:trHeight w:val="215"/>
        </w:trPr>
        <w:tc>
          <w:tcPr>
            <w:tcW w:w="2880" w:type="dxa"/>
            <w:vAlign w:val="bottom"/>
          </w:tcPr>
          <w:p>
            <w:pPr>
              <w:ind w:left="20"/>
              <w:spacing w:after="0" w:line="215" w:lineRule="exact"/>
              <w:rPr>
                <w:sz w:val="20"/>
                <w:szCs w:val="20"/>
                <w:color w:val="auto"/>
              </w:rPr>
            </w:pPr>
            <w:r>
              <w:rPr>
                <w:rFonts w:ascii="Arial" w:cs="Arial" w:eastAsia="Arial" w:hAnsi="Arial"/>
                <w:sz w:val="16"/>
                <w:szCs w:val="16"/>
                <w:color w:val="auto"/>
              </w:rPr>
              <w:t>Helus Pharma Corp.</w:t>
            </w:r>
            <w:r>
              <w:rPr>
                <w:rFonts w:ascii="Times New Roman" w:cs="Times New Roman" w:eastAsia="Times New Roman" w:hAnsi="Times New Roman"/>
                <w:sz w:val="24"/>
                <w:szCs w:val="24"/>
                <w:color w:val="auto"/>
                <w:vertAlign w:val="superscript"/>
              </w:rPr>
              <w:t>3</w:t>
            </w:r>
          </w:p>
        </w:tc>
        <w:tc>
          <w:tcPr>
            <w:tcW w:w="3520" w:type="dxa"/>
            <w:vAlign w:val="bottom"/>
          </w:tcPr>
          <w:p>
            <w:pPr>
              <w:ind w:left="11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11"/>
        </w:trPr>
        <w:tc>
          <w:tcPr>
            <w:tcW w:w="2880" w:type="dxa"/>
            <w:vAlign w:val="bottom"/>
          </w:tcPr>
          <w:p>
            <w:pPr>
              <w:ind w:left="20"/>
              <w:spacing w:after="0"/>
              <w:rPr>
                <w:sz w:val="20"/>
                <w:szCs w:val="20"/>
                <w:color w:val="auto"/>
              </w:rPr>
            </w:pPr>
            <w:r>
              <w:rPr>
                <w:rFonts w:ascii="Arial" w:cs="Arial" w:eastAsia="Arial" w:hAnsi="Arial"/>
                <w:sz w:val="18"/>
                <w:szCs w:val="18"/>
                <w:color w:val="auto"/>
              </w:rPr>
              <w:t>Journey</w:t>
            </w:r>
            <w:r>
              <w:rPr>
                <w:rFonts w:ascii="Arial" w:cs="Arial" w:eastAsia="Arial" w:hAnsi="Arial"/>
                <w:sz w:val="23"/>
                <w:szCs w:val="23"/>
                <w:color w:val="auto"/>
                <w:vertAlign w:val="superscript"/>
              </w:rPr>
              <w:t>1</w:t>
            </w:r>
          </w:p>
        </w:tc>
        <w:tc>
          <w:tcPr>
            <w:tcW w:w="3520" w:type="dxa"/>
            <w:vAlign w:val="bottom"/>
          </w:tcPr>
          <w:p>
            <w:pPr>
              <w:ind w:left="116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405"/>
        </w:trPr>
        <w:tc>
          <w:tcPr>
            <w:tcW w:w="2880" w:type="dxa"/>
            <w:vAlign w:val="bottom"/>
          </w:tcPr>
          <w:p>
            <w:pPr>
              <w:ind w:left="20"/>
              <w:spacing w:after="0"/>
              <w:rPr>
                <w:sz w:val="20"/>
                <w:szCs w:val="20"/>
                <w:color w:val="auto"/>
              </w:rPr>
            </w:pPr>
            <w:r>
              <w:rPr>
                <w:rFonts w:ascii="Arial" w:cs="Arial" w:eastAsia="Arial" w:hAnsi="Arial"/>
                <w:sz w:val="18"/>
                <w:szCs w:val="18"/>
                <w:color w:val="auto"/>
              </w:rPr>
              <w:t>Serenity</w:t>
            </w:r>
            <w:r>
              <w:rPr>
                <w:rFonts w:ascii="Arial" w:cs="Arial" w:eastAsia="Arial" w:hAnsi="Arial"/>
                <w:sz w:val="23"/>
                <w:szCs w:val="23"/>
                <w:color w:val="auto"/>
                <w:vertAlign w:val="superscript"/>
              </w:rPr>
              <w:t>1</w:t>
            </w:r>
          </w:p>
        </w:tc>
        <w:tc>
          <w:tcPr>
            <w:tcW w:w="3520" w:type="dxa"/>
            <w:vAlign w:val="bottom"/>
          </w:tcPr>
          <w:p>
            <w:pPr>
              <w:ind w:left="116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86"/>
        </w:trPr>
        <w:tc>
          <w:tcPr>
            <w:tcW w:w="2880" w:type="dxa"/>
            <w:vAlign w:val="bottom"/>
          </w:tcPr>
          <w:p>
            <w:pPr>
              <w:ind w:left="20"/>
              <w:spacing w:after="0"/>
              <w:rPr>
                <w:sz w:val="20"/>
                <w:szCs w:val="20"/>
                <w:color w:val="auto"/>
              </w:rPr>
            </w:pPr>
            <w:r>
              <w:rPr>
                <w:rFonts w:ascii="Arial" w:cs="Arial" w:eastAsia="Arial" w:hAnsi="Arial"/>
                <w:sz w:val="18"/>
                <w:szCs w:val="18"/>
                <w:color w:val="auto"/>
              </w:rPr>
              <w:t>Helus US</w:t>
            </w:r>
            <w:r>
              <w:rPr>
                <w:rFonts w:ascii="Arial" w:cs="Arial" w:eastAsia="Arial" w:hAnsi="Arial"/>
                <w:sz w:val="23"/>
                <w:szCs w:val="23"/>
                <w:color w:val="auto"/>
                <w:vertAlign w:val="superscript"/>
              </w:rPr>
              <w:t>3</w:t>
            </w:r>
          </w:p>
        </w:tc>
        <w:tc>
          <w:tcPr>
            <w:tcW w:w="3520" w:type="dxa"/>
            <w:vAlign w:val="bottom"/>
          </w:tcPr>
          <w:p>
            <w:pPr>
              <w:ind w:left="11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Adelia</w:t>
            </w:r>
          </w:p>
        </w:tc>
        <w:tc>
          <w:tcPr>
            <w:tcW w:w="3520" w:type="dxa"/>
            <w:vAlign w:val="bottom"/>
          </w:tcPr>
          <w:p>
            <w:pPr>
              <w:ind w:left="11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39"/>
        </w:trPr>
        <w:tc>
          <w:tcPr>
            <w:tcW w:w="2880" w:type="dxa"/>
            <w:vAlign w:val="bottom"/>
          </w:tcPr>
          <w:p>
            <w:pPr>
              <w:ind w:left="20"/>
              <w:spacing w:after="0"/>
              <w:rPr>
                <w:sz w:val="20"/>
                <w:szCs w:val="20"/>
                <w:color w:val="auto"/>
              </w:rPr>
            </w:pPr>
            <w:r>
              <w:rPr>
                <w:rFonts w:ascii="Arial" w:cs="Arial" w:eastAsia="Arial" w:hAnsi="Arial"/>
                <w:sz w:val="18"/>
                <w:szCs w:val="18"/>
                <w:color w:val="auto"/>
              </w:rPr>
              <w:t>Cybin IRL</w:t>
            </w:r>
          </w:p>
        </w:tc>
        <w:tc>
          <w:tcPr>
            <w:tcW w:w="3520" w:type="dxa"/>
            <w:vAlign w:val="bottom"/>
          </w:tcPr>
          <w:p>
            <w:pPr>
              <w:ind w:left="11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00"/>
        </w:trPr>
        <w:tc>
          <w:tcPr>
            <w:tcW w:w="2880" w:type="dxa"/>
            <w:vAlign w:val="bottom"/>
          </w:tcPr>
          <w:p>
            <w:pPr>
              <w:ind w:left="20"/>
              <w:spacing w:after="0"/>
              <w:rPr>
                <w:sz w:val="20"/>
                <w:szCs w:val="20"/>
                <w:color w:val="auto"/>
              </w:rPr>
            </w:pPr>
            <w:r>
              <w:rPr>
                <w:rFonts w:ascii="Arial" w:cs="Arial" w:eastAsia="Arial" w:hAnsi="Arial"/>
                <w:sz w:val="18"/>
                <w:szCs w:val="18"/>
                <w:color w:val="auto"/>
              </w:rPr>
              <w:t>Cybin UK Ltd</w:t>
            </w:r>
            <w:r>
              <w:rPr>
                <w:rFonts w:ascii="Arial" w:cs="Arial" w:eastAsia="Arial" w:hAnsi="Arial"/>
                <w:sz w:val="23"/>
                <w:szCs w:val="23"/>
                <w:color w:val="auto"/>
                <w:vertAlign w:val="superscript"/>
              </w:rPr>
              <w:t>.</w:t>
            </w:r>
          </w:p>
        </w:tc>
        <w:tc>
          <w:tcPr>
            <w:tcW w:w="3520" w:type="dxa"/>
            <w:vAlign w:val="bottom"/>
          </w:tcPr>
          <w:p>
            <w:pPr>
              <w:ind w:left="1160"/>
              <w:spacing w:after="0"/>
              <w:rPr>
                <w:sz w:val="20"/>
                <w:szCs w:val="20"/>
                <w:color w:val="auto"/>
              </w:rPr>
            </w:pPr>
            <w:r>
              <w:rPr>
                <w:rFonts w:ascii="Arial" w:cs="Arial" w:eastAsia="Arial" w:hAnsi="Arial"/>
                <w:sz w:val="18"/>
                <w:szCs w:val="18"/>
                <w:color w:val="auto"/>
              </w:rPr>
              <w:t>Great Britain pounds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71"/>
        </w:trPr>
        <w:tc>
          <w:tcPr>
            <w:tcW w:w="2880" w:type="dxa"/>
            <w:vAlign w:val="bottom"/>
          </w:tcPr>
          <w:p>
            <w:pPr>
              <w:ind w:left="20"/>
              <w:spacing w:after="0"/>
              <w:rPr>
                <w:sz w:val="20"/>
                <w:szCs w:val="20"/>
                <w:color w:val="auto"/>
              </w:rPr>
            </w:pPr>
            <w:r>
              <w:rPr>
                <w:rFonts w:ascii="Arial" w:cs="Arial" w:eastAsia="Arial" w:hAnsi="Arial"/>
                <w:sz w:val="18"/>
                <w:szCs w:val="18"/>
                <w:color w:val="auto"/>
              </w:rPr>
              <w:t>Helus International</w:t>
            </w:r>
            <w:r>
              <w:rPr>
                <w:rFonts w:ascii="Times New Roman" w:cs="Times New Roman" w:eastAsia="Times New Roman" w:hAnsi="Times New Roman"/>
                <w:sz w:val="28"/>
                <w:szCs w:val="28"/>
                <w:color w:val="auto"/>
                <w:vertAlign w:val="superscript"/>
              </w:rPr>
              <w:t>2,3</w:t>
            </w:r>
          </w:p>
        </w:tc>
        <w:tc>
          <w:tcPr>
            <w:tcW w:w="3520" w:type="dxa"/>
            <w:vAlign w:val="bottom"/>
          </w:tcPr>
          <w:p>
            <w:pPr>
              <w:ind w:left="116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p>
    <w:p>
      <w:pPr>
        <w:ind w:left="412" w:hanging="88"/>
        <w:spacing w:after="0"/>
        <w:tabs>
          <w:tab w:leader="none" w:pos="412"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Effective June 4, 2025, the Company completed the formal dissolution of this wholly-owned subsidiary</w:t>
      </w:r>
    </w:p>
    <w:p>
      <w:pPr>
        <w:spacing w:after="0" w:line="24" w:lineRule="exact"/>
        <w:rPr>
          <w:sz w:val="20"/>
          <w:szCs w:val="20"/>
          <w:color w:val="auto"/>
        </w:rPr>
      </w:pPr>
    </w:p>
    <w:p>
      <w:pPr>
        <w:ind w:left="412" w:hanging="88"/>
        <w:spacing w:after="0"/>
        <w:tabs>
          <w:tab w:leader="none" w:pos="412"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Helus International was incorporated on September 1, 2025</w:t>
      </w:r>
    </w:p>
    <w:p>
      <w:pPr>
        <w:ind w:left="412" w:hanging="88"/>
        <w:spacing w:after="0"/>
        <w:tabs>
          <w:tab w:leader="none" w:pos="412"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Subsequent to December 31, 2025 the Company completed formal name changes for these entities. Refer to Note 14, subsequent events for additional details</w:t>
      </w:r>
    </w:p>
    <w:p>
      <w:pPr>
        <w:sectPr>
          <w:pgSz w:w="11900" w:h="16838" w:orient="portrait"/>
          <w:cols w:equalWidth="0" w:num="1">
            <w:col w:w="11232"/>
          </w:cols>
          <w:pgMar w:left="328" w:top="1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Page 8 of 30</w:t>
      </w:r>
    </w:p>
    <w:p>
      <w:pPr>
        <w:sectPr>
          <w:pgSz w:w="11900" w:h="16838" w:orient="portrait"/>
          <w:cols w:equalWidth="0" w:num="1">
            <w:col w:w="11232"/>
          </w:cols>
          <w:pgMar w:left="328" w:top="13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presentation currency</w:t>
      </w:r>
    </w:p>
    <w:p>
      <w:pPr>
        <w:spacing w:after="0" w:line="183" w:lineRule="exact"/>
        <w:rPr>
          <w:sz w:val="20"/>
          <w:szCs w:val="20"/>
          <w:color w:val="auto"/>
        </w:rPr>
      </w:pPr>
    </w:p>
    <w:p>
      <w:pPr>
        <w:jc w:val="both"/>
        <w:ind w:left="260"/>
        <w:spacing w:after="0" w:line="283" w:lineRule="auto"/>
        <w:rPr>
          <w:sz w:val="20"/>
          <w:szCs w:val="20"/>
          <w:color w:val="auto"/>
        </w:rPr>
      </w:pPr>
      <w:r>
        <w:rPr>
          <w:rFonts w:ascii="Arial" w:cs="Arial" w:eastAsia="Arial" w:hAnsi="Arial"/>
          <w:sz w:val="18"/>
          <w:szCs w:val="18"/>
          <w:color w:val="auto"/>
        </w:rPr>
        <w:t>Effective April 1, 2025, the Company changed its presentation currency from Canadian dollars ("</w:t>
      </w:r>
      <w:r>
        <w:rPr>
          <w:rFonts w:ascii="Arial" w:cs="Arial" w:eastAsia="Arial" w:hAnsi="Arial"/>
          <w:sz w:val="18"/>
          <w:szCs w:val="18"/>
          <w:b w:val="1"/>
          <w:bCs w:val="1"/>
          <w:color w:val="auto"/>
        </w:rPr>
        <w:t>C$</w:t>
      </w:r>
      <w:r>
        <w:rPr>
          <w:rFonts w:ascii="Arial" w:cs="Arial" w:eastAsia="Arial" w:hAnsi="Arial"/>
          <w:sz w:val="18"/>
          <w:szCs w:val="18"/>
          <w:color w:val="auto"/>
        </w:rPr>
        <w:t>" or "</w:t>
      </w:r>
      <w:r>
        <w:rPr>
          <w:rFonts w:ascii="Arial" w:cs="Arial" w:eastAsia="Arial" w:hAnsi="Arial"/>
          <w:sz w:val="18"/>
          <w:szCs w:val="18"/>
          <w:b w:val="1"/>
          <w:bCs w:val="1"/>
          <w:color w:val="auto"/>
        </w:rPr>
        <w:t>CAD</w:t>
      </w:r>
      <w:r>
        <w:rPr>
          <w:rFonts w:ascii="Arial" w:cs="Arial" w:eastAsia="Arial" w:hAnsi="Arial"/>
          <w:sz w:val="18"/>
          <w:szCs w:val="18"/>
          <w:color w:val="auto"/>
        </w:rPr>
        <w:t>") to USD to better reflect the Company's operations, align with the currency in which the majority of cash-based expenses are denominated, and improve comparability of its financial results with other publicly traded businesses in the industry. In accordance with IAS 21.39, prior-period comparative financial statement amounts have been translated as follows:</w:t>
      </w:r>
    </w:p>
    <w:p>
      <w:pPr>
        <w:spacing w:after="0" w:line="131" w:lineRule="exact"/>
        <w:rPr>
          <w:sz w:val="20"/>
          <w:szCs w:val="20"/>
          <w:color w:val="auto"/>
        </w:rPr>
      </w:pPr>
    </w:p>
    <w:p>
      <w:pPr>
        <w:ind w:left="860" w:hanging="28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and liabilities at comparative balance sheet dates were translated at the closing rate on those dates.</w:t>
      </w:r>
    </w:p>
    <w:p>
      <w:pPr>
        <w:spacing w:after="0" w:line="31" w:lineRule="exact"/>
        <w:rPr>
          <w:rFonts w:ascii="Arial" w:cs="Arial" w:eastAsia="Arial" w:hAnsi="Arial"/>
          <w:sz w:val="18"/>
          <w:szCs w:val="18"/>
          <w:color w:val="auto"/>
        </w:rPr>
      </w:pPr>
    </w:p>
    <w:p>
      <w:pPr>
        <w:ind w:left="900" w:hanging="324"/>
        <w:spacing w:after="0" w:line="225" w:lineRule="auto"/>
        <w:tabs>
          <w:tab w:leader="none" w:pos="90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Income and expense items for prior periods were translated using the average rate for the respective periods.</w:t>
      </w:r>
    </w:p>
    <w:p>
      <w:pPr>
        <w:ind w:left="900" w:hanging="324"/>
        <w:spacing w:after="0" w:line="209" w:lineRule="auto"/>
        <w:tabs>
          <w:tab w:leader="none" w:pos="90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Equity transactions were translated at the historical rates on the dates they occurred.</w:t>
      </w:r>
    </w:p>
    <w:p>
      <w:pPr>
        <w:spacing w:after="0" w:line="153" w:lineRule="exact"/>
        <w:rPr>
          <w:sz w:val="20"/>
          <w:szCs w:val="20"/>
          <w:color w:val="auto"/>
        </w:rPr>
      </w:pPr>
    </w:p>
    <w:p>
      <w:pPr>
        <w:ind w:left="260" w:right="180"/>
        <w:spacing w:after="0" w:line="303" w:lineRule="auto"/>
        <w:rPr>
          <w:sz w:val="20"/>
          <w:szCs w:val="20"/>
          <w:color w:val="auto"/>
        </w:rPr>
      </w:pPr>
      <w:r>
        <w:rPr>
          <w:rFonts w:ascii="Arial" w:cs="Arial" w:eastAsia="Arial" w:hAnsi="Arial"/>
          <w:sz w:val="18"/>
          <w:szCs w:val="18"/>
          <w:color w:val="auto"/>
        </w:rPr>
        <w:t>These adjustments are for presentation purposes only and did not result in a restatement of previously issued Canadian dollar financial statements.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functional currency</w:t>
      </w:r>
    </w:p>
    <w:p>
      <w:pPr>
        <w:spacing w:after="0" w:line="169" w:lineRule="exact"/>
        <w:rPr>
          <w:sz w:val="20"/>
          <w:szCs w:val="20"/>
          <w:color w:val="auto"/>
        </w:rPr>
      </w:pPr>
    </w:p>
    <w:p>
      <w:pPr>
        <w:jc w:val="both"/>
        <w:ind w:left="260"/>
        <w:spacing w:after="0" w:line="318" w:lineRule="auto"/>
        <w:rPr>
          <w:sz w:val="20"/>
          <w:szCs w:val="20"/>
          <w:color w:val="auto"/>
        </w:rPr>
      </w:pPr>
      <w:r>
        <w:rPr>
          <w:rFonts w:ascii="Arial" w:cs="Arial" w:eastAsia="Arial" w:hAnsi="Arial"/>
          <w:sz w:val="18"/>
          <w:szCs w:val="18"/>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99" w:lineRule="exact"/>
        <w:rPr>
          <w:sz w:val="20"/>
          <w:szCs w:val="20"/>
          <w:color w:val="auto"/>
        </w:rPr>
      </w:pPr>
    </w:p>
    <w:p>
      <w:pPr>
        <w:jc w:val="both"/>
        <w:ind w:left="260"/>
        <w:spacing w:after="0" w:line="283" w:lineRule="auto"/>
        <w:rPr>
          <w:sz w:val="20"/>
          <w:szCs w:val="20"/>
          <w:color w:val="auto"/>
        </w:rPr>
      </w:pPr>
      <w:r>
        <w:rPr>
          <w:rFonts w:ascii="Arial" w:cs="Arial" w:eastAsia="Arial" w:hAnsi="Arial"/>
          <w:sz w:val="18"/>
          <w:szCs w:val="18"/>
          <w:color w:val="auto"/>
        </w:rPr>
        <w:t>Effective April 1, 2025, the Company changed the functional currency of Helus Pharma, Helus Pharma Corp., and Helus US (the "</w:t>
      </w:r>
      <w:r>
        <w:rPr>
          <w:rFonts w:ascii="Arial" w:cs="Arial" w:eastAsia="Arial" w:hAnsi="Arial"/>
          <w:sz w:val="18"/>
          <w:szCs w:val="18"/>
          <w:b w:val="1"/>
          <w:bCs w:val="1"/>
          <w:color w:val="auto"/>
        </w:rPr>
        <w:t>Affected Entities</w:t>
      </w:r>
      <w:r>
        <w:rPr>
          <w:rFonts w:ascii="Arial" w:cs="Arial" w:eastAsia="Arial" w:hAnsi="Arial"/>
          <w:sz w:val="18"/>
          <w:szCs w:val="18"/>
          <w:color w:val="auto"/>
        </w:rPr>
        <w:t>") from Canadian dollars to United States dollars. This change was driven by a shift in the primary economic environment in which these entities operate, including changes in the currency of underlying transactions such as purchases, and financing activities.</w:t>
      </w:r>
    </w:p>
    <w:p>
      <w:pPr>
        <w:spacing w:after="0" w:line="144" w:lineRule="exact"/>
        <w:rPr>
          <w:sz w:val="20"/>
          <w:szCs w:val="20"/>
          <w:color w:val="auto"/>
        </w:rPr>
      </w:pPr>
    </w:p>
    <w:p>
      <w:pPr>
        <w:ind w:left="260" w:right="500"/>
        <w:spacing w:after="0" w:line="303" w:lineRule="auto"/>
        <w:rPr>
          <w:sz w:val="20"/>
          <w:szCs w:val="20"/>
          <w:color w:val="auto"/>
        </w:rPr>
      </w:pPr>
      <w:r>
        <w:rPr>
          <w:rFonts w:ascii="Arial" w:cs="Arial" w:eastAsia="Arial" w:hAnsi="Arial"/>
          <w:sz w:val="18"/>
          <w:szCs w:val="18"/>
          <w:color w:val="auto"/>
        </w:rPr>
        <w:t>In accordance with IAS 21 The Effects of Changes in Foreign Exchange Rates, the change in functional currency has been applied prospectively from April 1, 2025, and on that date:</w:t>
      </w:r>
    </w:p>
    <w:p>
      <w:pPr>
        <w:spacing w:after="0" w:line="125" w:lineRule="exact"/>
        <w:rPr>
          <w:sz w:val="20"/>
          <w:szCs w:val="20"/>
          <w:color w:val="auto"/>
        </w:rPr>
      </w:pPr>
    </w:p>
    <w:p>
      <w:pPr>
        <w:ind w:left="900" w:right="140" w:hanging="324"/>
        <w:spacing w:after="0" w:line="271"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assets, liabilities, and equity balances were translated from CAD to USD using the spot exchange rate on the date of change (1 CAD = 0.6956 USD).</w:t>
      </w:r>
    </w:p>
    <w:p>
      <w:pPr>
        <w:spacing w:after="0" w:line="17" w:lineRule="exact"/>
        <w:rPr>
          <w:rFonts w:ascii="Arial" w:cs="Arial" w:eastAsia="Arial" w:hAnsi="Arial"/>
          <w:sz w:val="18"/>
          <w:szCs w:val="18"/>
          <w:color w:val="auto"/>
        </w:rPr>
      </w:pPr>
    </w:p>
    <w:p>
      <w:pPr>
        <w:ind w:left="900" w:hanging="324"/>
        <w:spacing w:after="0"/>
        <w:tabs>
          <w:tab w:leader="none" w:pos="90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No retrospective restatement of prior-period comparatives was performed in the Company’s books and records.</w:t>
      </w:r>
    </w:p>
    <w:p>
      <w:pPr>
        <w:spacing w:after="0" w:line="31" w:lineRule="exact"/>
        <w:rPr>
          <w:rFonts w:ascii="Times New Roman" w:cs="Times New Roman" w:eastAsia="Times New Roman" w:hAnsi="Times New Roman"/>
          <w:sz w:val="22"/>
          <w:szCs w:val="22"/>
          <w:color w:val="auto"/>
        </w:rPr>
      </w:pPr>
    </w:p>
    <w:p>
      <w:pPr>
        <w:ind w:left="900" w:right="140" w:hanging="324"/>
        <w:spacing w:after="0" w:line="281" w:lineRule="auto"/>
        <w:tabs>
          <w:tab w:leader="none" w:pos="89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From April 1, 2025 onward, all transactions in Helus Pharma, Helus Pharma Corp., and Helus US are recorded in USD, and the USD is now the primary currency used for measurement and financial reporting.</w:t>
      </w:r>
    </w:p>
    <w:p>
      <w:pPr>
        <w:spacing w:after="0" w:line="190" w:lineRule="exact"/>
        <w:rPr>
          <w:sz w:val="20"/>
          <w:szCs w:val="20"/>
          <w:color w:val="auto"/>
        </w:rPr>
      </w:pPr>
    </w:p>
    <w:p>
      <w:pPr>
        <w:jc w:val="both"/>
        <w:ind w:left="260"/>
        <w:spacing w:after="0" w:line="283" w:lineRule="auto"/>
        <w:rPr>
          <w:sz w:val="20"/>
          <w:szCs w:val="20"/>
          <w:color w:val="auto"/>
        </w:rPr>
      </w:pPr>
      <w:r>
        <w:rPr>
          <w:rFonts w:ascii="Arial" w:cs="Arial" w:eastAsia="Arial" w:hAnsi="Arial"/>
          <w:sz w:val="18"/>
          <w:szCs w:val="18"/>
          <w:color w:val="auto"/>
        </w:rPr>
        <w:t>As a result of the change in functional currency, equity balances that had been translated at historical rates as a result of the change in presentation currency, were revised on April 1, 2025, for the Affected Entities, to reflect the exchange rate on the date of the functional currency change. The resulting impact is presented in the condensed interim consolidated statement of changes of equity as "Foreign exchange impact from change in functional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9 of 30</w:t>
      </w:r>
    </w:p>
    <w:p>
      <w:pPr>
        <w:sectPr>
          <w:pgSz w:w="11900" w:h="16838" w:orient="portrait"/>
          <w:cols w:equalWidth="0" w:num="1">
            <w:col w:w="11160"/>
          </w:cols>
          <w:pgMar w:left="400" w:top="23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Material accounting policy information</w:t>
      </w:r>
    </w:p>
    <w:p>
      <w:pPr>
        <w:spacing w:after="0" w:line="223"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These condensed interim consolidated financial statements have been prepared using the same accounting policies and methods as those used in the Company’s annual consolidated financial statements for the year ended March 31, 2025, except for the adoption of a new accounting policy effective in the current period, as follows.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96"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The Company may grant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to directors, employees, and consultants from time to time. At the sole discretion of the Company, each RSU entitles the holder to receive upon vesting (a) one Common Share per RSU; (b) a cash payment equal to the number of RSUs to be redeemed multiplied by the fair market value per Common Share at the settlement date; or (c) a combination of Common Shares and cash.</w:t>
      </w:r>
    </w:p>
    <w:p>
      <w:pPr>
        <w:spacing w:after="0" w:line="167" w:lineRule="exact"/>
        <w:rPr>
          <w:sz w:val="20"/>
          <w:szCs w:val="20"/>
          <w:color w:val="auto"/>
        </w:rPr>
      </w:pPr>
    </w:p>
    <w:p>
      <w:pPr>
        <w:jc w:val="both"/>
        <w:ind w:left="260"/>
        <w:spacing w:after="0" w:line="261" w:lineRule="exact"/>
        <w:rPr>
          <w:sz w:val="20"/>
          <w:szCs w:val="20"/>
          <w:color w:val="auto"/>
        </w:rPr>
      </w:pPr>
      <w:r>
        <w:rPr>
          <w:rFonts w:ascii="Arial" w:cs="Arial" w:eastAsia="Arial" w:hAnsi="Arial"/>
          <w:sz w:val="18"/>
          <w:szCs w:val="18"/>
          <w:color w:val="auto"/>
        </w:rPr>
        <w:t>RSUs granted under the plan are classified as equity</w:t>
      </w:r>
      <w:r>
        <w:rPr>
          <w:rFonts w:ascii="MS PGothic" w:cs="MS PGothic" w:eastAsia="MS PGothic" w:hAnsi="MS PGothic"/>
          <w:sz w:val="18"/>
          <w:szCs w:val="18"/>
          <w:color w:val="auto"/>
        </w:rPr>
        <w:t>‑</w:t>
      </w:r>
      <w:r>
        <w:rPr>
          <w:rFonts w:ascii="Arial" w:cs="Arial" w:eastAsia="Arial" w:hAnsi="Arial"/>
          <w:sz w:val="18"/>
          <w:szCs w:val="18"/>
          <w:color w:val="auto"/>
        </w:rPr>
        <w:t>settled share</w:t>
      </w:r>
      <w:r>
        <w:rPr>
          <w:rFonts w:ascii="MS PGothic" w:cs="MS PGothic" w:eastAsia="MS PGothic" w:hAnsi="MS PGothic"/>
          <w:sz w:val="18"/>
          <w:szCs w:val="18"/>
          <w:color w:val="auto"/>
        </w:rPr>
        <w:t>‑</w:t>
      </w:r>
      <w:r>
        <w:rPr>
          <w:rFonts w:ascii="Arial" w:cs="Arial" w:eastAsia="Arial" w:hAnsi="Arial"/>
          <w:sz w:val="18"/>
          <w:szCs w:val="18"/>
          <w:color w:val="auto"/>
        </w:rPr>
        <w:t>based payments, as the Company retains full discretion over the method of settlement and has no present obligation to settle in cash under IFRS 2.</w:t>
      </w:r>
    </w:p>
    <w:p>
      <w:pPr>
        <w:spacing w:after="0" w:line="262"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Equity-settled RSUs are measured at fair value on the date of the grant, based on the closing price of the Common Shares on the grant date. Share-based compensation is recognized over the vesting period based on the number of awards expected to vest, with a corresponding credit to RSU reserve within equity.</w:t>
      </w:r>
    </w:p>
    <w:p>
      <w:pPr>
        <w:spacing w:after="0" w:line="135" w:lineRule="exact"/>
        <w:rPr>
          <w:sz w:val="20"/>
          <w:szCs w:val="20"/>
          <w:color w:val="auto"/>
        </w:rPr>
      </w:pPr>
    </w:p>
    <w:p>
      <w:pPr>
        <w:ind w:left="260" w:right="240"/>
        <w:spacing w:after="0" w:line="318" w:lineRule="auto"/>
        <w:rPr>
          <w:sz w:val="20"/>
          <w:szCs w:val="20"/>
          <w:color w:val="auto"/>
        </w:rPr>
      </w:pPr>
      <w:r>
        <w:rPr>
          <w:rFonts w:ascii="Arial" w:cs="Arial" w:eastAsia="Arial" w:hAnsi="Arial"/>
          <w:sz w:val="18"/>
          <w:szCs w:val="18"/>
          <w:color w:val="auto"/>
        </w:rPr>
        <w:t>Upon issuance of Common Shares on vested RSUs, the respective amounts for the vested RSUs are transferred to share capital from RSU reserve.</w:t>
      </w:r>
    </w:p>
    <w:p>
      <w:pPr>
        <w:spacing w:after="0" w:line="86" w:lineRule="exact"/>
        <w:rPr>
          <w:sz w:val="20"/>
          <w:szCs w:val="20"/>
          <w:color w:val="auto"/>
        </w:rPr>
      </w:pPr>
    </w:p>
    <w:p>
      <w:pPr>
        <w:jc w:val="both"/>
        <w:ind w:left="260"/>
        <w:spacing w:after="0" w:line="259" w:lineRule="exact"/>
        <w:rPr>
          <w:sz w:val="20"/>
          <w:szCs w:val="20"/>
          <w:color w:val="auto"/>
        </w:rPr>
      </w:pPr>
      <w:r>
        <w:rPr>
          <w:rFonts w:ascii="Arial" w:cs="Arial" w:eastAsia="Arial" w:hAnsi="Arial"/>
          <w:sz w:val="18"/>
          <w:szCs w:val="18"/>
          <w:color w:val="auto"/>
        </w:rPr>
        <w:t>If RSUs do not vest because the applicable service conditions are not met, previously recognized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those RSUs is reversed in the period in which non</w:t>
      </w:r>
      <w:r>
        <w:rPr>
          <w:rFonts w:ascii="MS PGothic" w:cs="MS PGothic" w:eastAsia="MS PGothic" w:hAnsi="MS PGothic"/>
          <w:sz w:val="18"/>
          <w:szCs w:val="18"/>
          <w:color w:val="auto"/>
        </w:rPr>
        <w:t>‑</w:t>
      </w:r>
      <w:r>
        <w:rPr>
          <w:rFonts w:ascii="Arial" w:cs="Arial" w:eastAsia="Arial" w:hAnsi="Arial"/>
          <w:sz w:val="18"/>
          <w:szCs w:val="18"/>
          <w:color w:val="auto"/>
        </w:rPr>
        <w:t>vesting is determined, with a corresponding reduction to the RSU reserve. No amounts are transferred to share capital as no Common Shares are issued.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significant estimates and assumptions</w:t>
      </w:r>
    </w:p>
    <w:p>
      <w:pPr>
        <w:spacing w:after="0" w:line="223" w:lineRule="exact"/>
        <w:rPr>
          <w:sz w:val="20"/>
          <w:szCs w:val="20"/>
          <w:color w:val="auto"/>
        </w:rPr>
      </w:pPr>
    </w:p>
    <w:p>
      <w:pPr>
        <w:jc w:val="both"/>
        <w:ind w:left="260"/>
        <w:spacing w:after="0" w:line="299" w:lineRule="auto"/>
        <w:rPr>
          <w:sz w:val="20"/>
          <w:szCs w:val="20"/>
          <w:color w:val="auto"/>
        </w:rPr>
      </w:pPr>
      <w:r>
        <w:rPr>
          <w:rFonts w:ascii="Arial" w:cs="Arial" w:eastAsia="Arial" w:hAnsi="Arial"/>
          <w:sz w:val="18"/>
          <w:szCs w:val="18"/>
          <w:color w:val="auto"/>
        </w:rPr>
        <w:t>The preparation of financial statements in accordance with IAS 34 requires the use of certain significant estimates and assumptions. It also requires management to exercise judgment when applying the Company’s accounting policies. For the nine months ended December 31, 2025, the Company introduced new significant estimates and assumptions related to the valuation of convertible debentures.</w:t>
      </w:r>
    </w:p>
    <w:p>
      <w:pPr>
        <w:spacing w:after="0" w:line="211"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color w:val="auto"/>
        </w:rPr>
        <w:t>The Company measures the fair value of its convertible debentures at fair value through profit and loss using a discounted cash flow model for the debt component and Black Scholes pricing model with an embedded Monte Carlo simulation to calculate the conversions component fair value. Key assumptions used in the models include the risk free interest rate, stock volatility, and the price per Common Share, as well as certain unobservable inputs including forecasted price per Common Share and the five day average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expected timing and amount of conversions that will occur over the course of the convertible debentures' maturity. Changes to these inputs and assumptions could have a significant impact on the measurement of the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10 of 30</w:t>
      </w:r>
    </w:p>
    <w:p>
      <w:pPr>
        <w:sectPr>
          <w:pgSz w:w="11900" w:h="16838" w:orient="portrait"/>
          <w:cols w:equalWidth="0" w:num="1">
            <w:col w:w="11160"/>
          </w:cols>
          <w:pgMar w:left="400" w:top="233"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right="20"/>
        <w:spacing w:after="0" w:line="303" w:lineRule="auto"/>
        <w:rPr>
          <w:sz w:val="20"/>
          <w:szCs w:val="20"/>
          <w:color w:val="auto"/>
        </w:rPr>
      </w:pPr>
      <w:r>
        <w:rPr>
          <w:rFonts w:ascii="Arial" w:cs="Arial" w:eastAsia="Arial" w:hAnsi="Arial"/>
          <w:sz w:val="18"/>
          <w:szCs w:val="18"/>
          <w:color w:val="auto"/>
        </w:rPr>
        <w:t>Except as noted above, there have been no material changes to the critical accounting estimates and judgments set out in note 3 of the Company’s annual consolidated financial statements for the year ended March 31, 2025.</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New standards and interpretations not yet adopted</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IFRS 18, Presentation and Disclosure in Financial Statements</w:t>
      </w:r>
    </w:p>
    <w:p>
      <w:pPr>
        <w:spacing w:after="0" w:line="293" w:lineRule="exact"/>
        <w:rPr>
          <w:sz w:val="20"/>
          <w:szCs w:val="20"/>
          <w:color w:val="auto"/>
        </w:rPr>
      </w:pPr>
    </w:p>
    <w:p>
      <w:pPr>
        <w:jc w:val="both"/>
        <w:ind w:left="260"/>
        <w:spacing w:after="0" w:line="279" w:lineRule="auto"/>
        <w:rPr>
          <w:sz w:val="20"/>
          <w:szCs w:val="20"/>
          <w:color w:val="auto"/>
        </w:rPr>
      </w:pPr>
      <w:r>
        <w:rPr>
          <w:rFonts w:ascii="Arial" w:cs="Arial" w:eastAsia="Arial" w:hAnsi="Arial"/>
          <w:sz w:val="18"/>
          <w:szCs w:val="18"/>
          <w:color w:val="auto"/>
        </w:rPr>
        <w:t>In April 2024, the IASB issued IFRS 18 that is to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IFRS 9, Financial Instruments (“IFRS 9”) and IFRS 7, Financial Instruments: Disclosures (“IFRS 7”)</w:t>
      </w:r>
    </w:p>
    <w:p>
      <w:pPr>
        <w:spacing w:after="0" w:line="252"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fair value through other comprehensive income. The new standard is to be effective for annual periods beginning on or after January 1, 2026. The Company is in the process of assessing the impact of the standard on the consolidated financial statements.</w:t>
      </w:r>
    </w:p>
    <w:p>
      <w:pPr>
        <w:spacing w:after="0" w:line="207" w:lineRule="exact"/>
        <w:rPr>
          <w:sz w:val="20"/>
          <w:szCs w:val="20"/>
          <w:color w:val="auto"/>
        </w:rPr>
      </w:pPr>
    </w:p>
    <w:p>
      <w:pPr>
        <w:ind w:left="260" w:right="480"/>
        <w:spacing w:after="0" w:line="303" w:lineRule="auto"/>
        <w:rPr>
          <w:sz w:val="20"/>
          <w:szCs w:val="20"/>
          <w:color w:val="auto"/>
        </w:rPr>
      </w:pPr>
      <w:r>
        <w:rPr>
          <w:rFonts w:ascii="Arial" w:cs="Arial" w:eastAsia="Arial" w:hAnsi="Arial"/>
          <w:sz w:val="18"/>
          <w:szCs w:val="18"/>
          <w:color w:val="auto"/>
        </w:rPr>
        <w:t>All other IFRSs and amendments issued but not yet effective have been assessed by the Company and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11 of 30</w:t>
      </w:r>
    </w:p>
    <w:p>
      <w:pPr>
        <w:sectPr>
          <w:pgSz w:w="11900" w:h="16838" w:orient="portrait"/>
          <w:cols w:equalWidth="0" w:num="1">
            <w:col w:w="11160"/>
          </w:cols>
          <w:pgMar w:left="400" w:top="233" w:right="339" w:bottom="1440" w:gutter="0" w:footer="0" w:header="0"/>
        </w:sectPr>
      </w:pPr>
    </w:p>
    <w:bookmarkStart w:id="14" w:name="page15"/>
    <w:bookmarkEnd w:id="14"/>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68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2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20" w:type="dxa"/>
            <w:vAlign w:val="bottom"/>
            <w:gridSpan w:val="2"/>
          </w:tcPr>
          <w:p>
            <w:pPr>
              <w:spacing w:after="0"/>
              <w:rPr>
                <w:sz w:val="20"/>
                <w:szCs w:val="20"/>
                <w:color w:val="auto"/>
              </w:rPr>
            </w:pPr>
            <w:r>
              <w:rPr>
                <w:rFonts w:ascii="Arial" w:cs="Arial" w:eastAsia="Arial" w:hAnsi="Arial"/>
                <w:sz w:val="18"/>
                <w:szCs w:val="18"/>
                <w:b w:val="1"/>
                <w:bCs w:val="1"/>
                <w:color w:val="2D5F91"/>
              </w:rPr>
              <w:t>3.  EQUIPMENT</w:t>
            </w:r>
          </w:p>
        </w:tc>
        <w:tc>
          <w:tcPr>
            <w:tcW w:w="2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Lab Equipment</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Computer</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Equipment</w:t>
            </w: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477</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210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155</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 equipment disposal</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431</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365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2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408</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181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Depreciation charge</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1880" w:type="dxa"/>
            <w:vAlign w:val="bottom"/>
          </w:tcPr>
          <w:p>
            <w:pPr>
              <w:jc w:val="right"/>
              <w:ind w:right="570"/>
              <w:spacing w:after="0"/>
              <w:rPr>
                <w:sz w:val="20"/>
                <w:szCs w:val="20"/>
                <w:color w:val="auto"/>
              </w:rPr>
            </w:pPr>
            <w:r>
              <w:rPr>
                <w:rFonts w:ascii="Arial" w:cs="Arial" w:eastAsia="Arial" w:hAnsi="Arial"/>
                <w:sz w:val="18"/>
                <w:szCs w:val="18"/>
                <w:color w:val="auto"/>
              </w:rPr>
              <w:t>23</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 equipment disposal</w:t>
            </w:r>
          </w:p>
        </w:tc>
        <w:tc>
          <w:tcPr>
            <w:tcW w:w="2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(43)</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406</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69</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December 31, 2025</w:t>
            </w: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25</w:t>
            </w:r>
          </w:p>
        </w:tc>
        <w:tc>
          <w:tcPr>
            <w:tcW w:w="1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161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340"/>
        <w:spacing w:after="0" w:line="284" w:lineRule="auto"/>
        <w:rPr>
          <w:sz w:val="20"/>
          <w:szCs w:val="20"/>
          <w:color w:val="auto"/>
        </w:rPr>
      </w:pPr>
      <w:r>
        <w:rPr>
          <w:rFonts w:ascii="Arial" w:cs="Arial" w:eastAsia="Arial" w:hAnsi="Arial"/>
          <w:sz w:val="18"/>
          <w:szCs w:val="18"/>
          <w:color w:val="auto"/>
        </w:rPr>
        <w:t xml:space="preserve">During the nine months ended December 31, 2025, the Company disposed of lab equipment with a carrying amount of $3 for proceeds of $10, resulting in a gain of $7 recognized in the condensed interim consolidated statement of loss and comprehensive loss as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0" w:type="dxa"/>
            <w:vAlign w:val="bottom"/>
            <w:gridSpan w:val="2"/>
          </w:tcPr>
          <w:p>
            <w:pPr>
              <w:spacing w:after="0"/>
              <w:rPr>
                <w:sz w:val="20"/>
                <w:szCs w:val="20"/>
                <w:color w:val="auto"/>
              </w:rPr>
            </w:pPr>
            <w:r>
              <w:rPr>
                <w:rFonts w:ascii="Arial" w:cs="Arial" w:eastAsia="Arial" w:hAnsi="Arial"/>
                <w:sz w:val="18"/>
                <w:szCs w:val="18"/>
                <w:b w:val="1"/>
                <w:bCs w:val="1"/>
                <w:color w:val="2D5F91"/>
              </w:rPr>
              <w:t>4.  INTANGIBLE ASSETS</w:t>
            </w: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IP Research &amp;</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Patents</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License</w:t>
            </w:r>
          </w:p>
        </w:tc>
        <w:tc>
          <w:tcPr>
            <w:tcW w:w="11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Software</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Development</w:t>
            </w:r>
          </w:p>
        </w:tc>
        <w:tc>
          <w:tcPr>
            <w:tcW w:w="10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24,938</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2,639</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1,019</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28,647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895</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1,006</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25,944</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3,565</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1,019</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30,579</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68</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47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charge</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89</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24,938</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2,639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951</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December 31, 2025</w:t>
            </w: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25,944</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3,565</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930</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12 of 30</w:t>
      </w:r>
    </w:p>
    <w:p>
      <w:pPr>
        <w:sectPr>
          <w:pgSz w:w="11900" w:h="16838" w:orient="portrait"/>
          <w:cols w:equalWidth="0" w:num="1">
            <w:col w:w="11220"/>
          </w:cols>
          <w:pgMar w:left="320" w:top="233" w:right="359" w:bottom="1440"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840" w:type="dxa"/>
            <w:vAlign w:val="bottom"/>
            <w:gridSpan w:val="2"/>
          </w:tcPr>
          <w:p>
            <w:pPr>
              <w:spacing w:after="0"/>
              <w:rPr>
                <w:sz w:val="20"/>
                <w:szCs w:val="20"/>
                <w:color w:val="auto"/>
              </w:rPr>
            </w:pPr>
            <w:r>
              <w:rPr>
                <w:rFonts w:ascii="Arial" w:cs="Arial" w:eastAsia="Arial" w:hAnsi="Arial"/>
                <w:sz w:val="18"/>
                <w:szCs w:val="18"/>
                <w:b w:val="1"/>
                <w:bCs w:val="1"/>
                <w:color w:val="2D5F91"/>
              </w:rPr>
              <w:t>5. GOODWILL</w:t>
            </w:r>
          </w:p>
        </w:tc>
        <w:tc>
          <w:tcPr>
            <w:tcW w:w="960" w:type="dxa"/>
            <w:vAlign w:val="bottom"/>
          </w:tcPr>
          <w:p>
            <w:pPr>
              <w:spacing w:after="0"/>
              <w:rPr>
                <w:sz w:val="21"/>
                <w:szCs w:val="21"/>
                <w:color w:val="auto"/>
              </w:rPr>
            </w:pPr>
          </w:p>
        </w:tc>
      </w:tr>
      <w:tr>
        <w:trPr>
          <w:trHeight w:val="411"/>
        </w:trPr>
        <w:tc>
          <w:tcPr>
            <w:tcW w:w="340" w:type="dxa"/>
            <w:vAlign w:val="bottom"/>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 is recognized at the acquisition date when total consideration exceeds the net identifiable assets acquired.</w:t>
            </w:r>
          </w:p>
        </w:tc>
        <w:tc>
          <w:tcPr>
            <w:tcW w:w="960" w:type="dxa"/>
            <w:vAlign w:val="bottom"/>
          </w:tcPr>
          <w:p>
            <w:pPr>
              <w:spacing w:after="0"/>
              <w:rPr>
                <w:sz w:val="24"/>
                <w:szCs w:val="24"/>
                <w:color w:val="auto"/>
              </w:rPr>
            </w:pPr>
          </w:p>
        </w:tc>
      </w:tr>
      <w:tr>
        <w:trPr>
          <w:trHeight w:val="548"/>
        </w:trPr>
        <w:tc>
          <w:tcPr>
            <w:tcW w:w="340" w:type="dxa"/>
            <w:vAlign w:val="bottom"/>
          </w:tcPr>
          <w:p>
            <w:pPr>
              <w:spacing w:after="0"/>
              <w:rPr>
                <w:sz w:val="24"/>
                <w:szCs w:val="24"/>
                <w:color w:val="auto"/>
              </w:rPr>
            </w:pPr>
          </w:p>
        </w:tc>
        <w:tc>
          <w:tcPr>
            <w:tcW w:w="950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340" w:type="dxa"/>
            <w:vAlign w:val="bottom"/>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8"/>
        </w:trPr>
        <w:tc>
          <w:tcPr>
            <w:tcW w:w="340" w:type="dxa"/>
            <w:vAlign w:val="bottom"/>
          </w:tcPr>
          <w:p>
            <w:pPr>
              <w:spacing w:after="0"/>
              <w:rPr>
                <w:sz w:val="18"/>
                <w:szCs w:val="18"/>
                <w:color w:val="auto"/>
              </w:rPr>
            </w:pPr>
          </w:p>
        </w:tc>
        <w:tc>
          <w:tcPr>
            <w:tcW w:w="95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 </w:t>
            </w:r>
            <w:r>
              <w:rPr>
                <w:rFonts w:ascii="Arial" w:cs="Arial" w:eastAsia="Arial" w:hAnsi="Arial"/>
                <w:sz w:val="18"/>
                <w:szCs w:val="18"/>
                <w:b w:val="1"/>
                <w:bCs w:val="1"/>
                <w:i w:val="1"/>
                <w:iCs w:val="1"/>
                <w:color w:val="auto"/>
              </w:rPr>
              <w:t>Restated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p>
        </w:tc>
        <w:tc>
          <w:tcPr>
            <w:tcW w:w="960" w:type="dxa"/>
            <w:vAlign w:val="bottom"/>
          </w:tcPr>
          <w:p>
            <w:pPr>
              <w:jc w:val="right"/>
              <w:spacing w:after="0"/>
              <w:rPr>
                <w:sz w:val="20"/>
                <w:szCs w:val="20"/>
                <w:color w:val="auto"/>
              </w:rPr>
            </w:pPr>
            <w:r>
              <w:rPr>
                <w:rFonts w:ascii="Arial" w:cs="Arial" w:eastAsia="Arial" w:hAnsi="Arial"/>
                <w:sz w:val="18"/>
                <w:szCs w:val="18"/>
                <w:color w:val="auto"/>
              </w:rPr>
              <w:t>35,815</w:t>
            </w:r>
          </w:p>
        </w:tc>
      </w:tr>
      <w:tr>
        <w:trPr>
          <w:trHeight w:val="235"/>
        </w:trPr>
        <w:tc>
          <w:tcPr>
            <w:tcW w:w="340" w:type="dxa"/>
            <w:vAlign w:val="bottom"/>
          </w:tcPr>
          <w:p>
            <w:pPr>
              <w:spacing w:after="0"/>
              <w:rPr>
                <w:sz w:val="20"/>
                <w:szCs w:val="20"/>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r>
      <w:tr>
        <w:trPr>
          <w:trHeight w:val="223"/>
        </w:trPr>
        <w:tc>
          <w:tcPr>
            <w:tcW w:w="340" w:type="dxa"/>
            <w:vAlign w:val="bottom"/>
          </w:tcPr>
          <w:p>
            <w:pPr>
              <w:spacing w:after="0"/>
              <w:rPr>
                <w:sz w:val="19"/>
                <w:szCs w:val="19"/>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36,591</w:t>
            </w:r>
          </w:p>
        </w:tc>
      </w:tr>
    </w:tbl>
    <w:p>
      <w:pPr>
        <w:spacing w:after="0" w:line="200" w:lineRule="exact"/>
        <w:rPr>
          <w:sz w:val="20"/>
          <w:szCs w:val="20"/>
          <w:color w:val="auto"/>
        </w:rPr>
      </w:pPr>
    </w:p>
    <w:p>
      <w:pPr>
        <w:spacing w:after="0" w:line="30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2D5F91"/>
        </w:rPr>
      </w:pPr>
      <w:r>
        <w:rPr>
          <w:rFonts w:ascii="Arial" w:cs="Arial" w:eastAsia="Arial" w:hAnsi="Arial"/>
          <w:sz w:val="18"/>
          <w:szCs w:val="18"/>
          <w:b w:val="1"/>
          <w:bCs w:val="1"/>
          <w:color w:val="2D5F91"/>
        </w:rPr>
        <w:t>CONVERTIBLE DEBENTURES</w:t>
      </w:r>
    </w:p>
    <w:p>
      <w:pPr>
        <w:spacing w:after="0" w:line="279" w:lineRule="exact"/>
        <w:rPr>
          <w:sz w:val="20"/>
          <w:szCs w:val="20"/>
          <w:color w:val="auto"/>
        </w:rPr>
      </w:pPr>
    </w:p>
    <w:p>
      <w:pPr>
        <w:jc w:val="both"/>
        <w:ind w:left="340"/>
        <w:spacing w:after="0" w:line="286" w:lineRule="auto"/>
        <w:rPr>
          <w:sz w:val="20"/>
          <w:szCs w:val="20"/>
          <w:color w:val="auto"/>
        </w:rPr>
      </w:pPr>
      <w:r>
        <w:rPr>
          <w:rFonts w:ascii="Arial" w:cs="Arial" w:eastAsia="Arial" w:hAnsi="Arial"/>
          <w:sz w:val="18"/>
          <w:szCs w:val="18"/>
          <w:color w:val="auto"/>
        </w:rPr>
        <w:t>On June 30, 2025, the Company entered into a securities purchase agreement (the “</w:t>
      </w:r>
      <w:r>
        <w:rPr>
          <w:rFonts w:ascii="Arial" w:cs="Arial" w:eastAsia="Arial" w:hAnsi="Arial"/>
          <w:sz w:val="18"/>
          <w:szCs w:val="18"/>
          <w:b w:val="1"/>
          <w:bCs w:val="1"/>
          <w:color w:val="auto"/>
        </w:rPr>
        <w:t>SPA</w:t>
      </w:r>
      <w:r>
        <w:rPr>
          <w:rFonts w:ascii="Arial" w:cs="Arial" w:eastAsia="Arial" w:hAnsi="Arial"/>
          <w:sz w:val="18"/>
          <w:szCs w:val="18"/>
          <w:color w:val="auto"/>
        </w:rPr>
        <w:t>”) with High Trail Special Situations LLC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Trail</w:t>
      </w:r>
      <w:r>
        <w:rPr>
          <w:rFonts w:ascii="Arial" w:cs="Arial" w:eastAsia="Arial" w:hAnsi="Arial"/>
          <w:sz w:val="18"/>
          <w:szCs w:val="18"/>
          <w:color w:val="auto"/>
        </w:rPr>
        <w:t>”), pursuant to which the Company agreed to issue to High Trail up to $500,000 of unsecured convertible debentures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Convertible Debentures</w:t>
      </w:r>
      <w:r>
        <w:rPr>
          <w:rFonts w:ascii="Arial" w:cs="Arial" w:eastAsia="Arial" w:hAnsi="Arial"/>
          <w:sz w:val="18"/>
          <w:szCs w:val="18"/>
          <w:color w:val="auto"/>
        </w:rPr>
        <w:t>”). The sale and issuance of Convertible Debentures with a principal amount of $50,000 was completed on June 30, 2025 (the "</w:t>
      </w:r>
      <w:r>
        <w:rPr>
          <w:rFonts w:ascii="Arial" w:cs="Arial" w:eastAsia="Arial" w:hAnsi="Arial"/>
          <w:sz w:val="18"/>
          <w:szCs w:val="18"/>
          <w:b w:val="1"/>
          <w:bCs w:val="1"/>
          <w:color w:val="auto"/>
        </w:rPr>
        <w:t>Initial Issuance Date</w:t>
      </w:r>
      <w:r>
        <w:rPr>
          <w:rFonts w:ascii="Arial" w:cs="Arial" w:eastAsia="Arial" w:hAnsi="Arial"/>
          <w:sz w:val="18"/>
          <w:szCs w:val="18"/>
          <w:color w:val="auto"/>
        </w:rPr>
        <w:t>").</w:t>
      </w:r>
    </w:p>
    <w:p>
      <w:pPr>
        <w:spacing w:after="0" w:line="18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Convertible Debentures had a two-year term (the “</w:t>
      </w:r>
      <w:r>
        <w:rPr>
          <w:rFonts w:ascii="Arial" w:cs="Arial" w:eastAsia="Arial" w:hAnsi="Arial"/>
          <w:sz w:val="18"/>
          <w:szCs w:val="18"/>
          <w:b w:val="1"/>
          <w:bCs w:val="1"/>
          <w:color w:val="auto"/>
        </w:rPr>
        <w:t>Convertible Debenture Term</w:t>
      </w:r>
      <w:r>
        <w:rPr>
          <w:rFonts w:ascii="Arial" w:cs="Arial" w:eastAsia="Arial" w:hAnsi="Arial"/>
          <w:sz w:val="18"/>
          <w:szCs w:val="18"/>
          <w:color w:val="auto"/>
        </w:rPr>
        <w:t>”). On closing, the Company pre-paid guaranteed interest of $5,500, equal to 11% of the principal for the Convertible Debenture Term (the equivalent of 5.5% per annum). Upon the occurrence of an event of default, interest would have increased to 18% per annum on the outstanding principal balance.</w:t>
      </w:r>
    </w:p>
    <w:p>
      <w:pPr>
        <w:spacing w:after="0" w:line="190"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Subject to the terms of the SPA and the Convertible Debentures, High Trail was entitled to convert the principal amount and accrued and unpaid interest, if any, in whole or in part, from time to time, into Common Shares at a conversion price per Common Share equal to the lower of (a) $10.92, which is equal to 130% VWAP of the Common Shares on the day prior to the Initial Issuance Date or (b) the VWAP of the Common Shares during the five trading days immediately prior to conversion.</w:t>
      </w:r>
    </w:p>
    <w:p>
      <w:pPr>
        <w:spacing w:after="0" w:line="212"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Company, in its sole discretion, could prepay any outstanding amount under the Convertible Debentures, in whole or in part, in cash by providing High Trail with advance written notice prior to such prepayment. The prepayment was to include, (i) if paid during the first year after closing, a 5% premium on the amount of the prepayment or (ii) if paid during the second year after closing, a 3% premium on the amount of the prepayment.</w:t>
      </w:r>
    </w:p>
    <w:p>
      <w:pPr>
        <w:spacing w:after="0" w:line="19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terms of the Convertible Debentures restricted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203"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Convertible Debentures qualified as a hybrid financial instrument under IFRS 9. The embedded conversion feature did not meet the ‘fixed-for-fixed’ criterion under IAS 32, and therefore the instrument did not qualify for any equity classification, until conversion occurred. Additionally, the embedded derivative could not be separated from the host contract due to the interdependence of their contractual cash flows. As a result, in accordance with IFRS 9 – Financial Instruments, the entire instrument was classified as a financial liability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13 of 30</w:t>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60"/>
        <w:spacing w:after="0" w:line="318" w:lineRule="auto"/>
        <w:rPr>
          <w:sz w:val="20"/>
          <w:szCs w:val="20"/>
          <w:color w:val="auto"/>
        </w:rPr>
      </w:pPr>
      <w:r>
        <w:rPr>
          <w:rFonts w:ascii="Arial" w:cs="Arial" w:eastAsia="Arial" w:hAnsi="Arial"/>
          <w:sz w:val="18"/>
          <w:szCs w:val="18"/>
          <w:color w:val="auto"/>
        </w:rPr>
        <w:t>fair value through profit or loss ("</w:t>
      </w:r>
      <w:r>
        <w:rPr>
          <w:rFonts w:ascii="Arial" w:cs="Arial" w:eastAsia="Arial" w:hAnsi="Arial"/>
          <w:sz w:val="18"/>
          <w:szCs w:val="18"/>
          <w:b w:val="1"/>
          <w:bCs w:val="1"/>
          <w:color w:val="auto"/>
        </w:rPr>
        <w:t>FVTPL</w:t>
      </w:r>
      <w:r>
        <w:rPr>
          <w:rFonts w:ascii="Arial" w:cs="Arial" w:eastAsia="Arial" w:hAnsi="Arial"/>
          <w:sz w:val="18"/>
          <w:szCs w:val="18"/>
          <w:color w:val="auto"/>
        </w:rPr>
        <w:t>"). The liability was therefore measured at fair value at each reporting date, with any changes in fair value recognized in profit or loss.</w:t>
      </w:r>
    </w:p>
    <w:p>
      <w:pPr>
        <w:spacing w:after="0" w:line="180" w:lineRule="exact"/>
        <w:rPr>
          <w:sz w:val="20"/>
          <w:szCs w:val="20"/>
          <w:color w:val="auto"/>
        </w:rPr>
      </w:pPr>
    </w:p>
    <w:p>
      <w:pPr>
        <w:jc w:val="both"/>
        <w:ind w:left="260"/>
        <w:spacing w:after="0" w:line="274" w:lineRule="auto"/>
        <w:rPr>
          <w:sz w:val="20"/>
          <w:szCs w:val="20"/>
          <w:color w:val="auto"/>
        </w:rPr>
      </w:pPr>
      <w:r>
        <w:rPr>
          <w:rFonts w:ascii="Arial" w:cs="Arial" w:eastAsia="Arial" w:hAnsi="Arial"/>
          <w:sz w:val="18"/>
          <w:szCs w:val="18"/>
          <w:color w:val="auto"/>
        </w:rPr>
        <w:t>The fair value of the Convertible Debentures was determined using a valuation model that incorporates observable inputs such as the risk free interest rate, stock volatility, and the price per Common Share, as well as certain unobservable inputs including forecasted share price and five day VWAP, expected timing and amount of conversions that will occur over the course of the Convertible Debenture Term. The Company used a Monte Carlo simulation to forecast the price per Common Share throughout the conversion period. On the Initial Issuance Date, the fair value of the Convertible Debentures was determined to be $45,700 (the "</w:t>
      </w:r>
      <w:r>
        <w:rPr>
          <w:rFonts w:ascii="Arial" w:cs="Arial" w:eastAsia="Arial" w:hAnsi="Arial"/>
          <w:sz w:val="18"/>
          <w:szCs w:val="18"/>
          <w:b w:val="1"/>
          <w:bCs w:val="1"/>
          <w:color w:val="auto"/>
        </w:rPr>
        <w:t>Fair Value</w:t>
      </w:r>
      <w:r>
        <w:rPr>
          <w:rFonts w:ascii="Arial" w:cs="Arial" w:eastAsia="Arial" w:hAnsi="Arial"/>
          <w:sz w:val="18"/>
          <w:szCs w:val="18"/>
          <w:color w:val="auto"/>
        </w:rPr>
        <w:t>"). Key assumptions used in determining the Fair Value include a discount rate of approximately 20% and volatility of approximately 67.5%. The net cash received on issuance was $44,500 (the "</w:t>
      </w:r>
      <w:r>
        <w:rPr>
          <w:rFonts w:ascii="Arial" w:cs="Arial" w:eastAsia="Arial" w:hAnsi="Arial"/>
          <w:sz w:val="18"/>
          <w:szCs w:val="18"/>
          <w:b w:val="1"/>
          <w:bCs w:val="1"/>
          <w:color w:val="auto"/>
        </w:rPr>
        <w:t>Transaction Price</w:t>
      </w:r>
      <w:r>
        <w:rPr>
          <w:rFonts w:ascii="Arial" w:cs="Arial" w:eastAsia="Arial" w:hAnsi="Arial"/>
          <w:sz w:val="18"/>
          <w:szCs w:val="18"/>
          <w:color w:val="auto"/>
        </w:rPr>
        <w:t>"), representing the principal amount of $50,000 less pre-paid guaranteed interest of $5,500. The difference between the Fair Value and the Transaction Price resulted in a deferred day 1 loss of $1,200, which was unrecognized on the Initial Issuance Date. The day 1 loss is not recognized at initial recognition because the Fair Value of the Convertible Debentures is based on a valuation technique where not all the inputs are observable. This deferred day 1 loss is recognized in net loss over time, to the extent that it arises from changes in factors that market participants would consider when pricing the Convertible Debentures, such as the passage of time and the conversion of the Convertible Debentures into Common Shares. The subsequent changes in fair value, including the recognition of the deferred day 1 loss, were recognized in the condensed interim consolidated statements of loss and comprehensive loss as “</w:t>
      </w:r>
      <w:r>
        <w:rPr>
          <w:rFonts w:ascii="Arial" w:cs="Arial" w:eastAsia="Arial" w:hAnsi="Arial"/>
          <w:sz w:val="18"/>
          <w:szCs w:val="18"/>
          <w:i w:val="1"/>
          <w:iCs w:val="1"/>
          <w:color w:val="auto"/>
        </w:rPr>
        <w:t>Fair value loss on financial instruments</w:t>
      </w:r>
      <w:r>
        <w:rPr>
          <w:rFonts w:ascii="Arial" w:cs="Arial" w:eastAsia="Arial" w:hAnsi="Arial"/>
          <w:sz w:val="18"/>
          <w:szCs w:val="18"/>
          <w:color w:val="auto"/>
        </w:rPr>
        <w:t>”.</w:t>
      </w:r>
    </w:p>
    <w:p>
      <w:pPr>
        <w:spacing w:after="0" w:line="229"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In connection with the issuance of the Convertible Debentures, the Company incurred debt issuance costs of $2,917, which is composed of placement agent fees, advisory fees and other professional fees directly attributable to the issuance of the Convertible Debentures. The debt issuance costs have been expensed as incurred in accordance with IFRS 9 for financial liabilities that are measured at FVTPL and are presented in the condensed interim consolidated statements of loss and comprehensive loss as "</w:t>
      </w:r>
      <w:r>
        <w:rPr>
          <w:rFonts w:ascii="Arial" w:cs="Arial" w:eastAsia="Arial" w:hAnsi="Arial"/>
          <w:sz w:val="18"/>
          <w:szCs w:val="18"/>
          <w:i w:val="1"/>
          <w:iCs w:val="1"/>
          <w:color w:val="auto"/>
        </w:rPr>
        <w:t>Debt issuance costs</w:t>
      </w:r>
      <w:r>
        <w:rPr>
          <w:rFonts w:ascii="Arial" w:cs="Arial" w:eastAsia="Arial" w:hAnsi="Arial"/>
          <w:sz w:val="18"/>
          <w:szCs w:val="18"/>
          <w:color w:val="auto"/>
        </w:rPr>
        <w:t>".</w:t>
      </w:r>
    </w:p>
    <w:p>
      <w:pPr>
        <w:spacing w:after="0" w:line="220" w:lineRule="exact"/>
        <w:rPr>
          <w:sz w:val="20"/>
          <w:szCs w:val="20"/>
          <w:color w:val="auto"/>
        </w:rPr>
      </w:pPr>
    </w:p>
    <w:p>
      <w:pPr>
        <w:jc w:val="both"/>
        <w:ind w:left="260"/>
        <w:spacing w:after="0" w:line="293" w:lineRule="auto"/>
        <w:rPr>
          <w:sz w:val="20"/>
          <w:szCs w:val="20"/>
          <w:color w:val="auto"/>
        </w:rPr>
      </w:pPr>
      <w:r>
        <w:rPr>
          <w:rFonts w:ascii="Arial" w:cs="Arial" w:eastAsia="Arial" w:hAnsi="Arial"/>
          <w:sz w:val="18"/>
          <w:szCs w:val="18"/>
          <w:color w:val="auto"/>
        </w:rPr>
        <w:t>During the three month period ended December 31, 2025, High Trail converted portions of the Convertible Debentures with aggregate principal amounts of $9,100 less issuance costs of $17 for which the Company issued 1,515,301 Common Shares at an average conversion price of $6.0054 which represented the VWAP of the Common Shares for the five trading days immediately prior to each conversion. During the nine month period ended December 31, 2025, High Trail converted portions of the Convertible Debentures with aggregate principal amounts $29,850 less issuance costs of $35 for which the Company issued 4,584,856 Common Shares at an average conversion price of $6.5106 which represented the VWAP of the Common Shares for the five trading days immediately prior to each conversion. Consistent with IFRS 9, each conversion was accounted for as an extinguishment of the related portion of the liability, with the derecognized principal recognized in equity.</w:t>
      </w:r>
    </w:p>
    <w:p>
      <w:pPr>
        <w:spacing w:after="0" w:line="219"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On November 3, 2025, the Company repaid the remaining outstanding balance of the Convertible Debentures. The Company paid a total of $22,765 which included repayment of the remaining principal of $20,150, as well as early repayment fees of $2,615. The withholding taxes of $492 owed to the Company by High Trail was also settled upon repayment of the principal and early repayment fees. The early repayment fees are recorded in the condensed interim consolidated statements of loss and comprehensive loss as “</w:t>
      </w:r>
      <w:r>
        <w:rPr>
          <w:rFonts w:ascii="Arial" w:cs="Arial" w:eastAsia="Arial" w:hAnsi="Arial"/>
          <w:sz w:val="18"/>
          <w:szCs w:val="18"/>
          <w:i w:val="1"/>
          <w:iCs w:val="1"/>
          <w:color w:val="auto"/>
        </w:rPr>
        <w:t>Other loss</w:t>
      </w:r>
      <w:r>
        <w:rPr>
          <w:rFonts w:ascii="Arial" w:cs="Arial" w:eastAsia="Arial" w:hAnsi="Arial"/>
          <w:sz w:val="18"/>
          <w:szCs w:val="18"/>
          <w:color w:val="auto"/>
        </w:rPr>
        <w:t>”. The repayment was accounted for as an extinguishment of the liability at FVTPL, and the difference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14 of 30</w:t>
      </w:r>
    </w:p>
    <w:p>
      <w:pPr>
        <w:sectPr>
          <w:pgSz w:w="11900" w:h="16838" w:orient="portrait"/>
          <w:cols w:equalWidth="0" w:num="1">
            <w:col w:w="11160"/>
          </w:cols>
          <w:pgMar w:left="400" w:top="233" w:right="339" w:bottom="1440" w:gutter="0" w:footer="0" w:header="0"/>
        </w:sectPr>
      </w:pPr>
    </w:p>
    <w:bookmarkStart w:id="17" w:name="page18"/>
    <w:bookmarkEnd w:id="17"/>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carrying fair value and the cash consideration paid was recognized in profit or loss. As a result of the repayment, the Convertible Debentures were fully extinguished and derecognized as at December 31, 2025.</w:t>
      </w:r>
    </w:p>
    <w:p>
      <w:pPr>
        <w:spacing w:after="0" w:line="166" w:lineRule="exact"/>
        <w:rPr>
          <w:sz w:val="20"/>
          <w:szCs w:val="20"/>
          <w:color w:val="auto"/>
        </w:rPr>
      </w:pPr>
    </w:p>
    <w:p>
      <w:pPr>
        <w:jc w:val="both"/>
        <w:ind w:left="340"/>
        <w:spacing w:after="0" w:line="304" w:lineRule="auto"/>
        <w:rPr>
          <w:sz w:val="20"/>
          <w:szCs w:val="20"/>
          <w:color w:val="auto"/>
        </w:rPr>
      </w:pPr>
      <w:r>
        <w:rPr>
          <w:rFonts w:ascii="Arial" w:cs="Arial" w:eastAsia="Arial" w:hAnsi="Arial"/>
          <w:sz w:val="18"/>
          <w:szCs w:val="18"/>
          <w:color w:val="auto"/>
        </w:rPr>
        <w:t>As a result of the change in fair value, during the three and nine months ended December 31, 2025, the Company recognized a fair value loss of $362 and $5,500, respectively, in the condensed interim consolidated statements of loss and comprehensive loss as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loss on financial instruments</w:t>
      </w:r>
      <w:r>
        <w:rPr>
          <w:rFonts w:ascii="Arial" w:cs="Arial" w:eastAsia="Arial" w:hAnsi="Arial"/>
          <w:sz w:val="18"/>
          <w:szCs w:val="18"/>
          <w:color w:val="auto"/>
        </w:rPr>
        <w:t>”. The change in fair value includes the recognition of the deferred day 1 loss of $674 and $1,200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 periods respectively. As at December 31, 2025, the deferred day 1 loss was fully recognized in net loss.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continuity of Convertible Debentures for the nine months ended December 31, 2025 is as follows:</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70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Balance as at March 31, 2025</w:t>
            </w:r>
          </w:p>
        </w:tc>
        <w:tc>
          <w:tcPr>
            <w:tcW w:w="3440" w:type="dxa"/>
            <w:vAlign w:val="bottom"/>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Convertible debentures issued, net of prepaid interest</w:t>
            </w:r>
          </w:p>
        </w:tc>
        <w:tc>
          <w:tcPr>
            <w:tcW w:w="3440" w:type="dxa"/>
            <w:vAlign w:val="bottom"/>
          </w:tcPr>
          <w:p>
            <w:pPr>
              <w:jc w:val="right"/>
              <w:spacing w:after="0"/>
              <w:rPr>
                <w:sz w:val="20"/>
                <w:szCs w:val="20"/>
                <w:color w:val="auto"/>
              </w:rPr>
            </w:pPr>
            <w:r>
              <w:rPr>
                <w:rFonts w:ascii="Arial" w:cs="Arial" w:eastAsia="Arial" w:hAnsi="Arial"/>
                <w:sz w:val="18"/>
                <w:szCs w:val="18"/>
                <w:color w:val="auto"/>
              </w:rPr>
              <w:t>44,500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Convertible Debentures converted</w:t>
            </w:r>
          </w:p>
        </w:tc>
        <w:tc>
          <w:tcPr>
            <w:tcW w:w="3440" w:type="dxa"/>
            <w:vAlign w:val="bottom"/>
          </w:tcPr>
          <w:p>
            <w:pPr>
              <w:jc w:val="right"/>
              <w:spacing w:after="0"/>
              <w:rPr>
                <w:sz w:val="20"/>
                <w:szCs w:val="20"/>
                <w:color w:val="auto"/>
              </w:rPr>
            </w:pPr>
            <w:r>
              <w:rPr>
                <w:rFonts w:ascii="Arial" w:cs="Arial" w:eastAsia="Arial" w:hAnsi="Arial"/>
                <w:sz w:val="18"/>
                <w:szCs w:val="18"/>
                <w:color w:val="auto"/>
              </w:rPr>
              <w:t>(29,850)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Convertible Debenture repaid</w:t>
            </w:r>
          </w:p>
        </w:tc>
        <w:tc>
          <w:tcPr>
            <w:tcW w:w="3440" w:type="dxa"/>
            <w:vAlign w:val="bottom"/>
          </w:tcPr>
          <w:p>
            <w:pPr>
              <w:jc w:val="right"/>
              <w:spacing w:after="0"/>
              <w:rPr>
                <w:sz w:val="20"/>
                <w:szCs w:val="20"/>
                <w:color w:val="auto"/>
              </w:rPr>
            </w:pPr>
            <w:r>
              <w:rPr>
                <w:rFonts w:ascii="Arial" w:cs="Arial" w:eastAsia="Arial" w:hAnsi="Arial"/>
                <w:sz w:val="18"/>
                <w:szCs w:val="18"/>
                <w:color w:val="auto"/>
              </w:rPr>
              <w:t>(20,150)</w:t>
            </w:r>
          </w:p>
        </w:tc>
      </w:tr>
      <w:tr>
        <w:trPr>
          <w:trHeight w:val="23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fair value</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Debentures were classified as a Level 3 financial instrument in the fair value hierarchy under IFRS 13.</w:t>
      </w:r>
    </w:p>
    <w:p>
      <w:pPr>
        <w:spacing w:after="0" w:line="19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2D5F91"/>
        </w:rPr>
      </w:pPr>
      <w:r>
        <w:rPr>
          <w:rFonts w:ascii="Arial" w:cs="Arial" w:eastAsia="Arial" w:hAnsi="Arial"/>
          <w:sz w:val="18"/>
          <w:szCs w:val="18"/>
          <w:b w:val="1"/>
          <w:bCs w:val="1"/>
          <w:color w:val="2D5F91"/>
        </w:rPr>
        <w:t>SHARE CAPITAL</w:t>
      </w:r>
    </w:p>
    <w:p>
      <w:pPr>
        <w:spacing w:after="0" w:line="225" w:lineRule="exact"/>
        <w:rPr>
          <w:rFonts w:ascii="Arial" w:cs="Arial" w:eastAsia="Arial" w:hAnsi="Arial"/>
          <w:sz w:val="18"/>
          <w:szCs w:val="18"/>
          <w:b w:val="1"/>
          <w:bCs w:val="1"/>
          <w:color w:val="2D5F91"/>
        </w:rPr>
      </w:pPr>
    </w:p>
    <w:p>
      <w:pPr>
        <w:ind w:left="660" w:hanging="328"/>
        <w:spacing w:after="0"/>
        <w:tabs>
          <w:tab w:leader="none" w:pos="66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Authorized share capital</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authorized share capital of Helus Pharma consists of an unlimited number of Common Shares and an unlimited number of preferred shares without par value. The board of directors of Helus Pharma would determine the designation, rights, privileges, and conditions attached to any preferred shares prior to issuance.</w:t>
      </w:r>
    </w:p>
    <w:p>
      <w:pPr>
        <w:spacing w:after="0" w:line="1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Issued share capital</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During the nine months ended December 31, 2025, the Company completed the following share issuances:</w:t>
      </w:r>
    </w:p>
    <w:p>
      <w:pPr>
        <w:spacing w:after="0" w:line="2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Company sold 1,422,423 Common Shares at an average price of $7.36 per Common Share for aggregate gross proceeds of $10,465 under an at-the-market equity program (the “</w:t>
      </w:r>
      <w:r>
        <w:rPr>
          <w:rFonts w:ascii="Arial" w:cs="Arial" w:eastAsia="Arial" w:hAnsi="Arial"/>
          <w:sz w:val="18"/>
          <w:szCs w:val="18"/>
          <w:b w:val="1"/>
          <w:bCs w:val="1"/>
          <w:color w:val="auto"/>
        </w:rPr>
        <w:t>2025 ATM Program</w:t>
      </w:r>
      <w:r>
        <w:rPr>
          <w:rFonts w:ascii="Arial" w:cs="Arial" w:eastAsia="Arial" w:hAnsi="Arial"/>
          <w:sz w:val="18"/>
          <w:szCs w:val="18"/>
          <w:color w:val="auto"/>
        </w:rPr>
        <w:t>”) established on February 10, 2025 that allows the Company to issue and sell up to US$100,000 of Common Shares from treasury to the public, from time to time. Distributions of Common Shares under the 2025 ATM Program are made pursuant to the terms and conditions of an at-the-market equity distribution agreement (the “</w:t>
      </w:r>
      <w:r>
        <w:rPr>
          <w:rFonts w:ascii="Arial" w:cs="Arial" w:eastAsia="Arial" w:hAnsi="Arial"/>
          <w:sz w:val="18"/>
          <w:szCs w:val="18"/>
          <w:b w:val="1"/>
          <w:bCs w:val="1"/>
          <w:color w:val="auto"/>
        </w:rPr>
        <w:t>2025 Distribution Agreement</w:t>
      </w:r>
      <w:r>
        <w:rPr>
          <w:rFonts w:ascii="Arial" w:cs="Arial" w:eastAsia="Arial" w:hAnsi="Arial"/>
          <w:sz w:val="18"/>
          <w:szCs w:val="18"/>
          <w:color w:val="auto"/>
        </w:rPr>
        <w:t>”) dated February 10, 2025, among the Company, Cantor Fitzgerald Canada Corporation and Cantor Fitzgerald &amp; Co. The 2025 ATM Program was effective until September 17, 2025 when it was terminated in accordance with the terms of the 2025 Distribution Agreement. Common Share issuance costs related to the 2025 ATM Program for the period were $332.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15 of 30</w:t>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On October 31, 2025, the Company completed a registered direct offering of 22,277,750 Common Shares and, in lieu of Common Shares to certain investors, 4,605,500 pre-funded Common Share purchase warrants (the "</w:t>
      </w:r>
      <w:r>
        <w:rPr>
          <w:rFonts w:ascii="Arial" w:cs="Arial" w:eastAsia="Arial" w:hAnsi="Arial"/>
          <w:sz w:val="18"/>
          <w:szCs w:val="18"/>
          <w:b w:val="1"/>
          <w:bCs w:val="1"/>
          <w:color w:val="auto"/>
        </w:rPr>
        <w:t>Pre-Funded Warrant</w:t>
      </w:r>
      <w:r>
        <w:rPr>
          <w:rFonts w:ascii="Arial" w:cs="Arial" w:eastAsia="Arial" w:hAnsi="Arial"/>
          <w:sz w:val="18"/>
          <w:szCs w:val="18"/>
          <w:color w:val="auto"/>
        </w:rPr>
        <w:t>") at a price of $6.51 per Common Share or $6.50999 per Pre-Funded Warrant for aggregate gross proceeds of approximately $175,010 (the “</w:t>
      </w:r>
      <w:r>
        <w:rPr>
          <w:rFonts w:ascii="Arial" w:cs="Arial" w:eastAsia="Arial" w:hAnsi="Arial"/>
          <w:sz w:val="18"/>
          <w:szCs w:val="18"/>
          <w:b w:val="1"/>
          <w:bCs w:val="1"/>
          <w:color w:val="auto"/>
        </w:rPr>
        <w:t>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Direct Offering</w:t>
      </w:r>
      <w:r>
        <w:rPr>
          <w:rFonts w:ascii="Arial" w:cs="Arial" w:eastAsia="Arial" w:hAnsi="Arial"/>
          <w:sz w:val="18"/>
          <w:szCs w:val="18"/>
          <w:color w:val="auto"/>
        </w:rPr>
        <w:t>”). The gross proceeds related to the issuance of Common Shares was $145,028. Common Share issuance costs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Registered Direct Offering was $10,992, of which $9,109 was allocated to Common Shares and $1,883 allocated to the Pre-Funded Warrants.</w:t>
      </w:r>
    </w:p>
    <w:p>
      <w:pPr>
        <w:spacing w:after="0" w:line="199" w:lineRule="exact"/>
        <w:rPr>
          <w:sz w:val="20"/>
          <w:szCs w:val="20"/>
          <w:color w:val="auto"/>
        </w:rPr>
      </w:pPr>
    </w:p>
    <w:p>
      <w:pPr>
        <w:jc w:val="both"/>
        <w:ind w:left="260"/>
        <w:spacing w:after="0" w:line="294" w:lineRule="auto"/>
        <w:rPr>
          <w:sz w:val="20"/>
          <w:szCs w:val="20"/>
          <w:color w:val="auto"/>
        </w:rPr>
      </w:pPr>
      <w:r>
        <w:rPr>
          <w:rFonts w:ascii="Arial" w:cs="Arial" w:eastAsia="Arial" w:hAnsi="Arial"/>
          <w:sz w:val="18"/>
          <w:szCs w:val="18"/>
          <w:color w:val="auto"/>
        </w:rPr>
        <w:t>Each Common Share and each Pre-Funded Warrant was accompanied by 0.35 of one Common Share purchase warrant (each whole warrant, a “</w:t>
      </w:r>
      <w:r>
        <w:rPr>
          <w:rFonts w:ascii="Arial" w:cs="Arial" w:eastAsia="Arial" w:hAnsi="Arial"/>
          <w:sz w:val="18"/>
          <w:szCs w:val="18"/>
          <w:b w:val="1"/>
          <w:bCs w:val="1"/>
          <w:color w:val="auto"/>
        </w:rPr>
        <w:t>Warrant</w:t>
      </w:r>
      <w:r>
        <w:rPr>
          <w:rFonts w:ascii="Arial" w:cs="Arial" w:eastAsia="Arial" w:hAnsi="Arial"/>
          <w:sz w:val="18"/>
          <w:szCs w:val="18"/>
          <w:color w:val="auto"/>
        </w:rPr>
        <w:t>” and together with the Common Shares and Pre-Funded Warrants, the “</w:t>
      </w:r>
      <w:r>
        <w:rPr>
          <w:rFonts w:ascii="Arial" w:cs="Arial" w:eastAsia="Arial" w:hAnsi="Arial"/>
          <w:sz w:val="18"/>
          <w:szCs w:val="18"/>
          <w:b w:val="1"/>
          <w:bCs w:val="1"/>
          <w:color w:val="auto"/>
        </w:rPr>
        <w:t>Securities</w:t>
      </w:r>
      <w:r>
        <w:rPr>
          <w:rFonts w:ascii="Arial" w:cs="Arial" w:eastAsia="Arial" w:hAnsi="Arial"/>
          <w:sz w:val="18"/>
          <w:szCs w:val="18"/>
          <w:color w:val="auto"/>
        </w:rPr>
        <w:t>”). Each Warrant is exercisable to acquire one Common Share at a price of $8.14 per Common Share at any time prior to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 The Company used a portion of the net proceeds from the Registered Direct Offering to repay the outstanding Convertible Debentures, and intends to use the remaining net proceeds to progress the Company’s HLP003, HLP004, and HLP005 programs (previously referred to as CYB003, CYB004, and CYB005, respectively) and for working capital and general corporate purposes.</w:t>
      </w:r>
    </w:p>
    <w:p>
      <w:pPr>
        <w:spacing w:after="0" w:line="218" w:lineRule="exact"/>
        <w:rPr>
          <w:sz w:val="20"/>
          <w:szCs w:val="20"/>
          <w:color w:val="auto"/>
        </w:rPr>
      </w:pPr>
    </w:p>
    <w:p>
      <w:pPr>
        <w:jc w:val="both"/>
        <w:ind w:left="260"/>
        <w:spacing w:after="0" w:line="284" w:lineRule="auto"/>
        <w:rPr>
          <w:sz w:val="20"/>
          <w:szCs w:val="20"/>
          <w:color w:val="auto"/>
        </w:rPr>
      </w:pPr>
      <w:r>
        <w:rPr>
          <w:rFonts w:ascii="Arial" w:cs="Arial" w:eastAsia="Arial" w:hAnsi="Arial"/>
          <w:sz w:val="18"/>
          <w:szCs w:val="18"/>
          <w:color w:val="auto"/>
        </w:rPr>
        <w:t>High Trail converted $29,850 of the Convertible Debentures into 4,584,856 Common Shares at an average conversion price of $6.5106 representing the VWAP of the Common Shares for the five trading days immediately prior to each conversion. Common Share issuance costs related to conversion of the Convertible Debentures for the period were $35.</w:t>
      </w:r>
    </w:p>
    <w:p>
      <w:pPr>
        <w:spacing w:after="0" w:line="197"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color w:val="auto"/>
        </w:rPr>
        <w:t>On December 30, 2025, the Company established a new at-the-market equity program (the "</w:t>
      </w:r>
      <w:r>
        <w:rPr>
          <w:rFonts w:ascii="Arial" w:cs="Arial" w:eastAsia="Arial" w:hAnsi="Arial"/>
          <w:sz w:val="18"/>
          <w:szCs w:val="18"/>
          <w:b w:val="1"/>
          <w:bCs w:val="1"/>
          <w:color w:val="auto"/>
        </w:rPr>
        <w:t>2026 ATM Program</w:t>
      </w:r>
      <w:r>
        <w:rPr>
          <w:rFonts w:ascii="Arial" w:cs="Arial" w:eastAsia="Arial" w:hAnsi="Arial"/>
          <w:sz w:val="18"/>
          <w:szCs w:val="18"/>
          <w:color w:val="auto"/>
        </w:rPr>
        <w:t>") that allows the Company to issue and sell up to $100,000 of Common Shares from treasury to the public, from time to time. Distributions of Common Shares under the 2026 ATM Program are made pursuant to the terms and conditions of an at-the-market equity distribution agreement (the “</w:t>
      </w:r>
      <w:r>
        <w:rPr>
          <w:rFonts w:ascii="Arial" w:cs="Arial" w:eastAsia="Arial" w:hAnsi="Arial"/>
          <w:sz w:val="18"/>
          <w:szCs w:val="18"/>
          <w:b w:val="1"/>
          <w:bCs w:val="1"/>
          <w:color w:val="auto"/>
        </w:rPr>
        <w:t>2026 Distribution Agreement</w:t>
      </w:r>
      <w:r>
        <w:rPr>
          <w:rFonts w:ascii="Arial" w:cs="Arial" w:eastAsia="Arial" w:hAnsi="Arial"/>
          <w:sz w:val="18"/>
          <w:szCs w:val="18"/>
          <w:color w:val="auto"/>
        </w:rPr>
        <w:t>”) dated December 30, 2025, among the Company, Cantor Fitzgerald Canada Corporation and Cantor Fitzgerald &amp; Co. The 2026 ATM Program is to be effective until the earlier of the issuance and sale of all of the Common Shares issuable pursuant to the 2026 ATM Program and October 17, 2027, unless earlier terminated in accordance with the terms of the 2026 Distribution Agreement. As at December 31, 2025, the Company had not sold any shares under the 2026 ATM Program. For the nine-month period ended December 31, 2025, the Company incurred professional fees of $111 related to establishing the 2026 ATM Program, recorded as "</w:t>
      </w:r>
      <w:r>
        <w:rPr>
          <w:rFonts w:ascii="Arial" w:cs="Arial" w:eastAsia="Arial" w:hAnsi="Arial"/>
          <w:sz w:val="18"/>
          <w:szCs w:val="18"/>
          <w:i w:val="1"/>
          <w:iCs w:val="1"/>
          <w:color w:val="auto"/>
        </w:rPr>
        <w:t>Share issuance costs</w:t>
      </w:r>
      <w:r>
        <w:rPr>
          <w:rFonts w:ascii="Arial" w:cs="Arial" w:eastAsia="Arial" w:hAnsi="Arial"/>
          <w:sz w:val="18"/>
          <w:szCs w:val="18"/>
          <w:color w:val="auto"/>
        </w:rPr>
        <w:t>" in the condensed interim consolidated statements of financial position and changes in shareholders' equity.</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at December 31, 2025, the Company had no preferred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16 of 30</w:t>
      </w:r>
    </w:p>
    <w:p>
      <w:pPr>
        <w:sectPr>
          <w:pgSz w:w="11900" w:h="16838" w:orient="portrait"/>
          <w:cols w:equalWidth="0" w:num="1">
            <w:col w:w="11160"/>
          </w:cols>
          <w:pgMar w:left="400" w:top="233"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Helus US Class B Shares</w:t>
      </w:r>
    </w:p>
    <w:p>
      <w:pPr>
        <w:spacing w:after="0" w:line="38"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55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 of Class B Shares</w:t>
            </w:r>
          </w:p>
        </w:tc>
      </w:tr>
      <w:tr>
        <w:trPr>
          <w:trHeight w:val="218"/>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Balance as at March 31, 2025</w:t>
            </w:r>
          </w:p>
        </w:tc>
        <w:tc>
          <w:tcPr>
            <w:tcW w:w="4940" w:type="dxa"/>
            <w:vAlign w:val="bottom"/>
          </w:tcPr>
          <w:p>
            <w:pPr>
              <w:jc w:val="right"/>
              <w:spacing w:after="0"/>
              <w:rPr>
                <w:sz w:val="20"/>
                <w:szCs w:val="20"/>
                <w:color w:val="auto"/>
              </w:rPr>
            </w:pPr>
            <w:r>
              <w:rPr>
                <w:rFonts w:ascii="Arial" w:cs="Arial" w:eastAsia="Arial" w:hAnsi="Arial"/>
                <w:sz w:val="18"/>
                <w:szCs w:val="18"/>
                <w:color w:val="auto"/>
              </w:rPr>
              <w:t>36,084.7</w:t>
            </w:r>
          </w:p>
        </w:tc>
      </w:tr>
      <w:tr>
        <w:trPr>
          <w:trHeight w:val="23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4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(36,084.7)</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 2025</w:t>
            </w:r>
          </w:p>
        </w:tc>
        <w:tc>
          <w:tcPr>
            <w:tcW w:w="4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jc w:val="both"/>
        <w:ind w:left="260"/>
        <w:spacing w:after="0" w:line="298" w:lineRule="auto"/>
        <w:rPr>
          <w:sz w:val="20"/>
          <w:szCs w:val="20"/>
          <w:color w:val="auto"/>
        </w:rPr>
      </w:pPr>
      <w:r>
        <w:rPr>
          <w:rFonts w:ascii="Arial" w:cs="Arial" w:eastAsia="Arial" w:hAnsi="Arial"/>
          <w:sz w:val="18"/>
          <w:szCs w:val="18"/>
          <w:color w:val="auto"/>
        </w:rPr>
        <w:t>Effective August 20, 2025, the remaining 36,084.7 class B common shares of Helus US (“</w:t>
      </w:r>
      <w:r>
        <w:rPr>
          <w:rFonts w:ascii="Arial" w:cs="Arial" w:eastAsia="Arial" w:hAnsi="Arial"/>
          <w:sz w:val="18"/>
          <w:szCs w:val="18"/>
          <w:b w:val="1"/>
          <w:bCs w:val="1"/>
          <w:color w:val="auto"/>
        </w:rPr>
        <w:t>Class B Shares</w:t>
      </w:r>
      <w:r>
        <w:rPr>
          <w:rFonts w:ascii="Arial" w:cs="Arial" w:eastAsia="Arial" w:hAnsi="Arial"/>
          <w:sz w:val="18"/>
          <w:szCs w:val="18"/>
          <w:color w:val="auto"/>
        </w:rPr>
        <w:t>”) were cancelled. The Class B shares had been exchangeable for a total of 9,496 Common Shares and the Company's consolidated financial statements had reflected the issued Class B Shares on an as-converted basis. As a result of the cancellation, $373 was reclassified from "</w:t>
      </w:r>
      <w:r>
        <w:rPr>
          <w:rFonts w:ascii="Arial" w:cs="Arial" w:eastAsia="Arial" w:hAnsi="Arial"/>
          <w:sz w:val="18"/>
          <w:szCs w:val="18"/>
          <w:i w:val="1"/>
          <w:iCs w:val="1"/>
          <w:color w:val="auto"/>
        </w:rPr>
        <w:t>share capital</w:t>
      </w:r>
      <w:r>
        <w:rPr>
          <w:rFonts w:ascii="Arial" w:cs="Arial" w:eastAsia="Arial" w:hAnsi="Arial"/>
          <w:sz w:val="18"/>
          <w:szCs w:val="18"/>
          <w:color w:val="auto"/>
        </w:rPr>
        <w:t>" to "</w:t>
      </w:r>
      <w:r>
        <w:rPr>
          <w:rFonts w:ascii="Arial" w:cs="Arial" w:eastAsia="Arial" w:hAnsi="Arial"/>
          <w:sz w:val="18"/>
          <w:szCs w:val="18"/>
          <w:i w:val="1"/>
          <w:iCs w:val="1"/>
          <w:color w:val="auto"/>
        </w:rPr>
        <w:t>contributed surplus</w:t>
      </w:r>
      <w:r>
        <w:rPr>
          <w:rFonts w:ascii="Arial" w:cs="Arial" w:eastAsia="Arial" w:hAnsi="Arial"/>
          <w:sz w:val="18"/>
          <w:szCs w:val="18"/>
          <w:color w:val="auto"/>
        </w:rPr>
        <w:t>" on the condensed interim consolidated statements of financial position and changes in shareholders equity. As at December 31, 2025, no Class B Shares were outstanding.</w:t>
      </w:r>
    </w:p>
    <w:p>
      <w:pPr>
        <w:spacing w:after="0" w:line="146" w:lineRule="exact"/>
        <w:rPr>
          <w:sz w:val="20"/>
          <w:szCs w:val="20"/>
          <w:color w:val="auto"/>
        </w:rPr>
      </w:pPr>
    </w:p>
    <w:p>
      <w:pPr>
        <w:ind w:left="600" w:hanging="351"/>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Pre-Funded Warrants</w:t>
      </w:r>
    </w:p>
    <w:p>
      <w:pPr>
        <w:spacing w:after="0" w:line="279" w:lineRule="exact"/>
        <w:rPr>
          <w:sz w:val="20"/>
          <w:szCs w:val="20"/>
          <w:color w:val="auto"/>
        </w:rPr>
      </w:pPr>
    </w:p>
    <w:p>
      <w:pPr>
        <w:jc w:val="both"/>
        <w:ind w:left="260"/>
        <w:spacing w:after="0" w:line="299" w:lineRule="auto"/>
        <w:rPr>
          <w:sz w:val="20"/>
          <w:szCs w:val="20"/>
          <w:color w:val="auto"/>
        </w:rPr>
      </w:pPr>
      <w:r>
        <w:rPr>
          <w:rFonts w:ascii="Arial" w:cs="Arial" w:eastAsia="Arial" w:hAnsi="Arial"/>
          <w:sz w:val="18"/>
          <w:szCs w:val="18"/>
          <w:color w:val="auto"/>
        </w:rPr>
        <w:t>On October 31, 2025, in connection with the Registered Direct Offering, 4,605,500 Pre-Funded Warrants were issued at a price of $6.50999 per Pre-Funded Warrant for gross proceeds of $29,982. Share issuance costs of $1,883 were attributed to the issuance of the Pre-Funded Warrants. Each Pre-Funded Warrant entitles the holder thereof to acquire one Common Share at a nominal exercise price. The Pre-Funded Warrants do not expire.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continuity of the outstanding Pre-Funded Warrants for the nine months ended December 31, 2025, is as follows:</w:t>
      </w: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498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Number of Warrants</w:t>
            </w:r>
          </w:p>
        </w:tc>
        <w:tc>
          <w:tcPr>
            <w:tcW w:w="1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exercise price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302"/>
        </w:trPr>
        <w:tc>
          <w:tcPr>
            <w:tcW w:w="4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2"/>
        </w:trPr>
        <w:tc>
          <w:tcPr>
            <w:tcW w:w="4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Pre-Funded Warrants</w:t>
            </w:r>
          </w:p>
        </w:tc>
        <w:tc>
          <w:tcPr>
            <w:tcW w:w="37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Issued</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4,605,500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0.00001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December 31, 2025</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4,605,500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0.00001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December 31, 2025</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4,605,500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17 of 30</w:t>
      </w:r>
    </w:p>
    <w:p>
      <w:pPr>
        <w:sectPr>
          <w:pgSz w:w="11900" w:h="16838" w:orient="portrait"/>
          <w:cols w:equalWidth="0" w:num="1">
            <w:col w:w="11160"/>
          </w:cols>
          <w:pgMar w:left="400" w:top="233"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 w:hanging="331"/>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continuity of the outstanding warrants for the nine months ended December 31, 2025, is as follows:</w:t>
      </w: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498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Number of Warrants</w:t>
            </w:r>
          </w:p>
        </w:tc>
        <w:tc>
          <w:tcPr>
            <w:tcW w:w="1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exercise price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303"/>
        </w:trPr>
        <w:tc>
          <w:tcPr>
            <w:tcW w:w="4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2"/>
        </w:trPr>
        <w:tc>
          <w:tcPr>
            <w:tcW w:w="4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Common Share Purchase Warrants</w:t>
            </w:r>
          </w:p>
        </w:tc>
        <w:tc>
          <w:tcPr>
            <w:tcW w:w="37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2,796,197</w:t>
            </w:r>
          </w:p>
        </w:tc>
        <w:tc>
          <w:tcPr>
            <w:tcW w:w="176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Issued</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9,409,138</w:t>
            </w:r>
          </w:p>
        </w:tc>
        <w:tc>
          <w:tcPr>
            <w:tcW w:w="176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Expired</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December 31, 2025</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12,205,335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December 31, 2025</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12,205,335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60" w:right="20"/>
        <w:spacing w:after="0" w:line="23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Certain warrants were issued in CAD, the weighted average exercise price is calculated using the closing exchange rate in effect as at the respective dates.</w:t>
      </w:r>
    </w:p>
    <w:p>
      <w:pPr>
        <w:spacing w:after="0" w:line="255" w:lineRule="exact"/>
        <w:rPr>
          <w:sz w:val="20"/>
          <w:szCs w:val="20"/>
          <w:color w:val="auto"/>
        </w:rPr>
      </w:pPr>
    </w:p>
    <w:p>
      <w:pPr>
        <w:jc w:val="both"/>
        <w:ind w:left="260"/>
        <w:spacing w:after="0" w:line="295" w:lineRule="auto"/>
        <w:rPr>
          <w:sz w:val="20"/>
          <w:szCs w:val="20"/>
          <w:color w:val="auto"/>
        </w:rPr>
      </w:pPr>
      <w:r>
        <w:rPr>
          <w:rFonts w:ascii="Arial" w:cs="Arial" w:eastAsia="Arial" w:hAnsi="Arial"/>
          <w:sz w:val="18"/>
          <w:szCs w:val="18"/>
          <w:color w:val="auto"/>
        </w:rPr>
        <w:t>On October 31, 2025, in connection with the Registered Direct Offering, the Company granted warrants to purchase up to 9,409,138 Common Shares. The warrants have an exercise price of $8.14 per Common Share, expire on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 The aggregate estimated grant date fair value was determined to be $19,011, calculated using the Black-Scholes option pricing model with the following assumptions:</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90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6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790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2620" w:type="dxa"/>
            <w:vAlign w:val="bottom"/>
          </w:tcPr>
          <w:p>
            <w:pPr>
              <w:jc w:val="right"/>
              <w:spacing w:after="0"/>
              <w:rPr>
                <w:sz w:val="20"/>
                <w:szCs w:val="20"/>
                <w:color w:val="auto"/>
              </w:rPr>
            </w:pPr>
            <w:r>
              <w:rPr>
                <w:rFonts w:ascii="Arial" w:cs="Arial" w:eastAsia="Arial" w:hAnsi="Arial"/>
                <w:sz w:val="18"/>
                <w:szCs w:val="18"/>
                <w:color w:val="auto"/>
              </w:rPr>
              <w:t>67.53%</w:t>
            </w:r>
          </w:p>
        </w:tc>
      </w:tr>
      <w:tr>
        <w:trPr>
          <w:trHeight w:val="230"/>
        </w:trPr>
        <w:tc>
          <w:tcPr>
            <w:tcW w:w="790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26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90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26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90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26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90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26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5"/>
        </w:trPr>
        <w:tc>
          <w:tcPr>
            <w:tcW w:w="7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18 of 30</w:t>
      </w:r>
    </w:p>
    <w:p>
      <w:pPr>
        <w:sectPr>
          <w:pgSz w:w="11900" w:h="16838" w:orient="portrait"/>
          <w:cols w:equalWidth="0" w:num="1">
            <w:col w:w="11160"/>
          </w:cols>
          <w:pgMar w:left="400" w:top="233" w:right="339" w:bottom="1440" w:gutter="0" w:footer="0" w:header="0"/>
        </w:sectPr>
      </w:pPr>
    </w:p>
    <w:bookmarkStart w:id="21" w:name="page22"/>
    <w:bookmarkEnd w:id="21"/>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about warrants outstanding as at December 31, 2025:</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Estimated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1400" w:type="dxa"/>
            <w:vAlign w:val="bottom"/>
            <w:vMerge w:val="continue"/>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2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Warrants</w:t>
            </w: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Warrants</w:t>
            </w:r>
          </w:p>
        </w:tc>
        <w:tc>
          <w:tcPr>
            <w:tcW w:w="1460" w:type="dxa"/>
            <w:vAlign w:val="bottom"/>
            <w:vMerge w:val="continue"/>
          </w:tcPr>
          <w:p>
            <w:pPr>
              <w:spacing w:after="0"/>
              <w:rPr>
                <w:sz w:val="15"/>
                <w:szCs w:val="15"/>
                <w:color w:val="auto"/>
              </w:rPr>
            </w:pPr>
          </w:p>
        </w:tc>
        <w:tc>
          <w:tcPr>
            <w:tcW w:w="1400" w:type="dxa"/>
            <w:vAlign w:val="bottom"/>
          </w:tcPr>
          <w:p>
            <w:pPr>
              <w:jc w:val="right"/>
              <w:ind w:right="30"/>
              <w:spacing w:after="0" w:line="176" w:lineRule="exact"/>
              <w:rPr>
                <w:sz w:val="20"/>
                <w:szCs w:val="20"/>
                <w:color w:val="auto"/>
              </w:rPr>
            </w:pPr>
            <w:r>
              <w:rPr>
                <w:rFonts w:ascii="Arial" w:cs="Arial" w:eastAsia="Arial" w:hAnsi="Arial"/>
                <w:sz w:val="18"/>
                <w:szCs w:val="18"/>
                <w:b w:val="1"/>
                <w:bCs w:val="1"/>
                <w:color w:val="auto"/>
              </w:rPr>
              <w:t>issue date fair</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0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460" w:type="dxa"/>
            <w:vAlign w:val="bottom"/>
          </w:tcPr>
          <w:p>
            <w:pPr>
              <w:jc w:val="right"/>
              <w:ind w:right="30"/>
              <w:spacing w:after="0" w:line="197" w:lineRule="exact"/>
              <w:rPr>
                <w:sz w:val="20"/>
                <w:szCs w:val="20"/>
                <w:color w:val="auto"/>
              </w:rPr>
            </w:pPr>
            <w:r>
              <w:rPr>
                <w:rFonts w:ascii="Arial" w:cs="Arial" w:eastAsia="Arial" w:hAnsi="Arial"/>
                <w:sz w:val="18"/>
                <w:szCs w:val="18"/>
                <w:b w:val="1"/>
                <w:bCs w:val="1"/>
                <w:color w:val="auto"/>
              </w:rPr>
              <w:t>average</w:t>
            </w:r>
          </w:p>
        </w:tc>
        <w:tc>
          <w:tcPr>
            <w:tcW w:w="1400" w:type="dxa"/>
            <w:vAlign w:val="bottom"/>
          </w:tcPr>
          <w:p>
            <w:pPr>
              <w:jc w:val="right"/>
              <w:ind w:right="30"/>
              <w:spacing w:after="0" w:line="197" w:lineRule="exact"/>
              <w:rPr>
                <w:sz w:val="20"/>
                <w:szCs w:val="20"/>
                <w:color w:val="auto"/>
              </w:rPr>
            </w:pPr>
            <w:r>
              <w:rPr>
                <w:rFonts w:ascii="Arial" w:cs="Arial" w:eastAsia="Arial" w:hAnsi="Arial"/>
                <w:sz w:val="18"/>
                <w:szCs w:val="18"/>
                <w:b w:val="1"/>
                <w:bCs w:val="1"/>
                <w:color w:val="auto"/>
              </w:rPr>
              <w:t>value</w:t>
            </w:r>
          </w:p>
        </w:tc>
        <w:tc>
          <w:tcPr>
            <w:tcW w:w="14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89"/>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Date of Expiry</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exercisable</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exercise price</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8"/>
        </w:trPr>
        <w:tc>
          <w:tcPr>
            <w:tcW w:w="2600" w:type="dxa"/>
            <w:vAlign w:val="bottom"/>
          </w:tcPr>
          <w:p>
            <w:pPr>
              <w:ind w:left="20"/>
              <w:spacing w:after="0" w:line="218" w:lineRule="exact"/>
              <w:rPr>
                <w:sz w:val="20"/>
                <w:szCs w:val="20"/>
                <w:color w:val="auto"/>
              </w:rPr>
            </w:pPr>
            <w:r>
              <w:rPr>
                <w:rFonts w:ascii="Arial" w:cs="Arial" w:eastAsia="Arial" w:hAnsi="Arial"/>
                <w:sz w:val="18"/>
                <w:szCs w:val="18"/>
                <w:color w:val="auto"/>
              </w:rPr>
              <w:t>June 30, 2027</w:t>
            </w:r>
            <w:r>
              <w:rPr>
                <w:rFonts w:ascii="Arial" w:cs="Arial" w:eastAsia="Arial" w:hAnsi="Arial"/>
                <w:sz w:val="23"/>
                <w:szCs w:val="23"/>
                <w:color w:val="auto"/>
                <w:vertAlign w:val="superscript"/>
              </w:rPr>
              <w:t>1</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9,409,138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9,409,138</w:t>
            </w:r>
          </w:p>
        </w:tc>
        <w:tc>
          <w:tcPr>
            <w:tcW w:w="1460" w:type="dxa"/>
            <w:vAlign w:val="bottom"/>
          </w:tcPr>
          <w:p>
            <w:pPr>
              <w:jc w:val="right"/>
              <w:spacing w:after="0"/>
              <w:rPr>
                <w:sz w:val="20"/>
                <w:szCs w:val="20"/>
                <w:color w:val="auto"/>
              </w:rPr>
            </w:pPr>
            <w:r>
              <w:rPr>
                <w:rFonts w:ascii="Arial" w:cs="Arial" w:eastAsia="Arial" w:hAnsi="Arial"/>
                <w:sz w:val="18"/>
                <w:szCs w:val="18"/>
                <w:color w:val="auto"/>
              </w:rPr>
              <w:t>$8.14</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19,011</w:t>
            </w:r>
          </w:p>
        </w:tc>
        <w:tc>
          <w:tcPr>
            <w:tcW w:w="14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August 4, 2028</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635,887</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635,887</w:t>
            </w:r>
          </w:p>
        </w:tc>
        <w:tc>
          <w:tcPr>
            <w:tcW w:w="1460" w:type="dxa"/>
            <w:vAlign w:val="bottom"/>
          </w:tcPr>
          <w:p>
            <w:pPr>
              <w:jc w:val="right"/>
              <w:spacing w:after="0"/>
              <w:rPr>
                <w:sz w:val="20"/>
                <w:szCs w:val="20"/>
                <w:color w:val="auto"/>
              </w:rPr>
            </w:pPr>
            <w:r>
              <w:rPr>
                <w:rFonts w:ascii="Arial" w:cs="Arial" w:eastAsia="Arial" w:hAnsi="Arial"/>
                <w:sz w:val="18"/>
                <w:szCs w:val="18"/>
                <w:color w:val="auto"/>
              </w:rPr>
              <w:t>$15.20</w:t>
            </w:r>
          </w:p>
        </w:tc>
        <w:tc>
          <w:tcPr>
            <w:tcW w:w="1400" w:type="dxa"/>
            <w:vAlign w:val="bottom"/>
          </w:tcPr>
          <w:p>
            <w:pPr>
              <w:jc w:val="right"/>
              <w:spacing w:after="0"/>
              <w:rPr>
                <w:sz w:val="20"/>
                <w:szCs w:val="20"/>
                <w:color w:val="auto"/>
              </w:rPr>
            </w:pPr>
            <w:r>
              <w:rPr>
                <w:rFonts w:ascii="Arial" w:cs="Arial" w:eastAsia="Arial" w:hAnsi="Arial"/>
                <w:sz w:val="18"/>
                <w:szCs w:val="18"/>
                <w:color w:val="auto"/>
              </w:rPr>
              <w:t>3,184</w:t>
            </w: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May 14, 2029</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1,754,386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1,754,386</w:t>
            </w:r>
          </w:p>
        </w:tc>
        <w:tc>
          <w:tcPr>
            <w:tcW w:w="1460" w:type="dxa"/>
            <w:vAlign w:val="bottom"/>
          </w:tcPr>
          <w:p>
            <w:pPr>
              <w:jc w:val="right"/>
              <w:spacing w:after="0"/>
              <w:rPr>
                <w:sz w:val="20"/>
                <w:szCs w:val="20"/>
                <w:color w:val="auto"/>
              </w:rPr>
            </w:pPr>
            <w:r>
              <w:rPr>
                <w:rFonts w:ascii="Arial" w:cs="Arial" w:eastAsia="Arial" w:hAnsi="Arial"/>
                <w:sz w:val="18"/>
                <w:szCs w:val="18"/>
                <w:color w:val="auto"/>
              </w:rPr>
              <w:t>$19.38</w:t>
            </w:r>
          </w:p>
        </w:tc>
        <w:tc>
          <w:tcPr>
            <w:tcW w:w="1400" w:type="dxa"/>
            <w:vAlign w:val="bottom"/>
          </w:tcPr>
          <w:p>
            <w:pPr>
              <w:jc w:val="right"/>
              <w:spacing w:after="0"/>
              <w:rPr>
                <w:sz w:val="20"/>
                <w:szCs w:val="20"/>
                <w:color w:val="auto"/>
              </w:rPr>
            </w:pPr>
            <w:r>
              <w:rPr>
                <w:rFonts w:ascii="Arial" w:cs="Arial" w:eastAsia="Arial" w:hAnsi="Arial"/>
                <w:sz w:val="18"/>
                <w:szCs w:val="18"/>
                <w:color w:val="auto"/>
              </w:rPr>
              <w:t>12,419</w:t>
            </w:r>
          </w:p>
        </w:tc>
        <w:tc>
          <w:tcPr>
            <w:tcW w:w="14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June 15, 2030</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336,843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336,843</w:t>
            </w:r>
          </w:p>
        </w:tc>
        <w:tc>
          <w:tcPr>
            <w:tcW w:w="1460" w:type="dxa"/>
            <w:vAlign w:val="bottom"/>
          </w:tcPr>
          <w:p>
            <w:pPr>
              <w:jc w:val="right"/>
              <w:spacing w:after="0"/>
              <w:rPr>
                <w:sz w:val="20"/>
                <w:szCs w:val="20"/>
                <w:color w:val="auto"/>
              </w:rPr>
            </w:pPr>
            <w:r>
              <w:rPr>
                <w:rFonts w:ascii="Arial" w:cs="Arial" w:eastAsia="Arial" w:hAnsi="Arial"/>
                <w:sz w:val="18"/>
                <w:szCs w:val="18"/>
                <w:color w:val="auto"/>
              </w:rPr>
              <w:t>C$9.50</w:t>
            </w:r>
          </w:p>
        </w:tc>
        <w:tc>
          <w:tcPr>
            <w:tcW w:w="1400" w:type="dxa"/>
            <w:vAlign w:val="bottom"/>
          </w:tcPr>
          <w:p>
            <w:pPr>
              <w:jc w:val="right"/>
              <w:spacing w:after="0"/>
              <w:rPr>
                <w:sz w:val="20"/>
                <w:szCs w:val="20"/>
                <w:color w:val="auto"/>
              </w:rPr>
            </w:pPr>
            <w:r>
              <w:rPr>
                <w:rFonts w:ascii="Arial" w:cs="Arial" w:eastAsia="Arial" w:hAnsi="Arial"/>
                <w:sz w:val="18"/>
                <w:szCs w:val="18"/>
                <w:color w:val="auto"/>
              </w:rPr>
              <w:t>2,707</w:t>
            </w:r>
          </w:p>
        </w:tc>
        <w:tc>
          <w:tcPr>
            <w:tcW w:w="142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August 20, 2030</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38,818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38,818</w:t>
            </w:r>
          </w:p>
        </w:tc>
        <w:tc>
          <w:tcPr>
            <w:tcW w:w="1460" w:type="dxa"/>
            <w:vAlign w:val="bottom"/>
          </w:tcPr>
          <w:p>
            <w:pPr>
              <w:jc w:val="right"/>
              <w:spacing w:after="0"/>
              <w:rPr>
                <w:sz w:val="20"/>
                <w:szCs w:val="20"/>
                <w:color w:val="auto"/>
              </w:rPr>
            </w:pPr>
            <w:r>
              <w:rPr>
                <w:rFonts w:ascii="Arial" w:cs="Arial" w:eastAsia="Arial" w:hAnsi="Arial"/>
                <w:sz w:val="18"/>
                <w:szCs w:val="18"/>
                <w:color w:val="auto"/>
              </w:rPr>
              <w:t>C$24.32</w:t>
            </w:r>
          </w:p>
        </w:tc>
        <w:tc>
          <w:tcPr>
            <w:tcW w:w="1400" w:type="dxa"/>
            <w:vAlign w:val="bottom"/>
          </w:tcPr>
          <w:p>
            <w:pPr>
              <w:jc w:val="right"/>
              <w:spacing w:after="0"/>
              <w:rPr>
                <w:sz w:val="20"/>
                <w:szCs w:val="20"/>
                <w:color w:val="auto"/>
              </w:rPr>
            </w:pPr>
            <w:r>
              <w:rPr>
                <w:rFonts w:ascii="Arial" w:cs="Arial" w:eastAsia="Arial" w:hAnsi="Arial"/>
                <w:sz w:val="18"/>
                <w:szCs w:val="18"/>
                <w:color w:val="auto"/>
              </w:rPr>
              <w:t>651</w:t>
            </w:r>
          </w:p>
        </w:tc>
        <w:tc>
          <w:tcPr>
            <w:tcW w:w="142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15, 2030</w:t>
            </w: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30,263</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30,263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C$9.50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12,205,335</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12,205,335</w:t>
            </w:r>
          </w:p>
        </w:tc>
        <w:tc>
          <w:tcPr>
            <w:tcW w:w="1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40" w:hanging="8"/>
        <w:spacing w:after="0" w:line="210" w:lineRule="auto"/>
        <w:tabs>
          <w:tab w:leader="none" w:pos="451"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Warrants expire on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w:t>
      </w:r>
    </w:p>
    <w:p>
      <w:pPr>
        <w:spacing w:after="0" w:line="155" w:lineRule="exact"/>
        <w:rPr>
          <w:sz w:val="20"/>
          <w:szCs w:val="20"/>
          <w:color w:val="auto"/>
        </w:rPr>
      </w:pPr>
    </w:p>
    <w:p>
      <w:pPr>
        <w:ind w:left="540" w:hanging="208"/>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p>
    <w:p>
      <w:pPr>
        <w:spacing w:after="0" w:line="212"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On November 5, 2020, Helus Pharma adopted an equity incentive plan ("</w:t>
      </w:r>
      <w:r>
        <w:rPr>
          <w:rFonts w:ascii="Arial" w:cs="Arial" w:eastAsia="Arial" w:hAnsi="Arial"/>
          <w:sz w:val="18"/>
          <w:szCs w:val="18"/>
          <w:b w:val="1"/>
          <w:bCs w:val="1"/>
          <w:color w:val="auto"/>
        </w:rPr>
        <w:t>Equity Incentive Plan</w:t>
      </w:r>
      <w:r>
        <w:rPr>
          <w:rFonts w:ascii="Arial" w:cs="Arial" w:eastAsia="Arial" w:hAnsi="Arial"/>
          <w:sz w:val="18"/>
          <w:szCs w:val="18"/>
          <w:color w:val="auto"/>
        </w:rPr>
        <w:t>"). Under the Equity Incentive Plan, the board of directors may grant share-based awards to acquire such number of Common Shares as is equal to up to 20% of the total number of issued and outstanding Common Shares at the time such awards are granted. Awards granted under the plan vest over a period of time at the discretion of the board of directors. On August 27, 2024, the board of directors and the shareholders re-approved the Equity Incentive Plan and approved certain amendments to the plan, including an increase to the fixed number of Incentive Stock Options (as defined in the plan), certain changes to the board of directors' authority to amend existing awards, and certain other housekeeping amendments.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options for the nine months ended December 31, 2025 are as follows:</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86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Weighted average exercise</w:t>
            </w:r>
          </w:p>
        </w:tc>
        <w:tc>
          <w:tcPr>
            <w:tcW w:w="0" w:type="dxa"/>
            <w:vAlign w:val="bottom"/>
          </w:tcPr>
          <w:p>
            <w:pPr>
              <w:spacing w:after="0"/>
              <w:rPr>
                <w:sz w:val="1"/>
                <w:szCs w:val="1"/>
                <w:color w:val="auto"/>
              </w:rPr>
            </w:pPr>
          </w:p>
        </w:tc>
      </w:tr>
      <w:tr>
        <w:trPr>
          <w:trHeight w:val="46"/>
        </w:trPr>
        <w:tc>
          <w:tcPr>
            <w:tcW w:w="5040" w:type="dxa"/>
            <w:vAlign w:val="bottom"/>
          </w:tcPr>
          <w:p>
            <w:pPr>
              <w:spacing w:after="0"/>
              <w:rPr>
                <w:sz w:val="3"/>
                <w:szCs w:val="3"/>
                <w:color w:val="auto"/>
              </w:rPr>
            </w:pPr>
          </w:p>
        </w:tc>
        <w:tc>
          <w:tcPr>
            <w:tcW w:w="2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2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vMerge w:val="continue"/>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2860" w:type="dxa"/>
            <w:vAlign w:val="bottom"/>
          </w:tcPr>
          <w:p>
            <w:pPr>
              <w:jc w:val="right"/>
              <w:ind w:right="30"/>
              <w:spacing w:after="0"/>
              <w:rPr>
                <w:sz w:val="20"/>
                <w:szCs w:val="20"/>
                <w:color w:val="auto"/>
              </w:rPr>
            </w:pPr>
            <w:r>
              <w:rPr>
                <w:rFonts w:ascii="Arial" w:cs="Arial" w:eastAsia="Arial" w:hAnsi="Arial"/>
                <w:sz w:val="18"/>
                <w:szCs w:val="18"/>
                <w:color w:val="auto"/>
              </w:rPr>
              <w:t>3,956,684</w:t>
            </w:r>
          </w:p>
        </w:tc>
        <w:tc>
          <w:tcPr>
            <w:tcW w:w="242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Granted</w:t>
            </w:r>
          </w:p>
        </w:tc>
        <w:tc>
          <w:tcPr>
            <w:tcW w:w="2860" w:type="dxa"/>
            <w:vAlign w:val="bottom"/>
          </w:tcPr>
          <w:p>
            <w:pPr>
              <w:jc w:val="right"/>
              <w:ind w:right="30"/>
              <w:spacing w:after="0"/>
              <w:rPr>
                <w:sz w:val="20"/>
                <w:szCs w:val="20"/>
                <w:color w:val="auto"/>
              </w:rPr>
            </w:pPr>
            <w:r>
              <w:rPr>
                <w:rFonts w:ascii="Arial" w:cs="Arial" w:eastAsia="Arial" w:hAnsi="Arial"/>
                <w:sz w:val="18"/>
                <w:szCs w:val="18"/>
                <w:color w:val="auto"/>
              </w:rPr>
              <w:t>410,470</w:t>
            </w:r>
          </w:p>
        </w:tc>
        <w:tc>
          <w:tcPr>
            <w:tcW w:w="242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860" w:type="dxa"/>
            <w:vAlign w:val="bottom"/>
          </w:tcPr>
          <w:p>
            <w:pPr>
              <w:jc w:val="right"/>
              <w:spacing w:after="0"/>
              <w:rPr>
                <w:sz w:val="20"/>
                <w:szCs w:val="20"/>
                <w:color w:val="auto"/>
              </w:rPr>
            </w:pPr>
            <w:r>
              <w:rPr>
                <w:rFonts w:ascii="Arial" w:cs="Arial" w:eastAsia="Arial" w:hAnsi="Arial"/>
                <w:sz w:val="18"/>
                <w:szCs w:val="18"/>
                <w:color w:val="auto"/>
              </w:rPr>
              <w:t>(7,894)</w:t>
            </w:r>
          </w:p>
        </w:tc>
        <w:tc>
          <w:tcPr>
            <w:tcW w:w="24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(189,643)</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December 31, 2025</w:t>
            </w:r>
          </w:p>
        </w:tc>
        <w:tc>
          <w:tcPr>
            <w:tcW w:w="2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4,169,617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December 31, 2025</w:t>
            </w:r>
          </w:p>
        </w:tc>
        <w:tc>
          <w:tcPr>
            <w:tcW w:w="2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3,795,506</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19 of 30</w:t>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On August 15, 2025, the Company granted options to purchase up to 80,000 Common Shares to certain consultants. The options have an exercise price of C$11.00 per Common Share, expire on August 15, 2035, and vest over two years. The aggregate estimated grant date fair value was determined to be $472, calculated using the Black-Scholes option pricing model with the following assumptions: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82.77%</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 to 2.9%</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0.7243</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40" w:type="dxa"/>
            <w:vAlign w:val="bottom"/>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265"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On August 15, 2025, the Company granted options to purchase up to 53,800 Common Shares to certain employees of the Company. The options have an exercise price of C$10.00 per Common Share, expire on August 15, 2035, and vest over two years. The aggregate estimated grant date fair value was determined to be $321, calculated using the Black-Scholes option pricing model with the following assumptions:</w:t>
      </w: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82.77%</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 to 3.0%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0.7243</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40" w:type="dxa"/>
            <w:vAlign w:val="bottom"/>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6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On August 29, 2025, the Company granted options to purchase up to 15,000 Common Shares to a consultant. The options have an exercise price of C$11.00, per Common Share, expire on August 29, 2035, and vest over two years. The aggregate estimated grant date fair value was determined to be $94 calculated using the Black-Scholes option pricing model with the following assumptions: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82.54%</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to 2.9%</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0.7277</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00" w:type="dxa"/>
            <w:vAlign w:val="bottom"/>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20 of 30</w:t>
      </w:r>
    </w:p>
    <w:p>
      <w:pPr>
        <w:sectPr>
          <w:pgSz w:w="11900" w:h="16838" w:orient="portrait"/>
          <w:cols w:equalWidth="0" w:num="1">
            <w:col w:w="11160"/>
          </w:cols>
          <w:pgMar w:left="400" w:top="233"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On October 1, 2025, the Company granted options to purchase up to 200,000 Common Shares to certain consultants. The options have an exercise price of C$8.39, per Common Share, expire on October 1, 2035, and vest over two years. The aggregate estimated grant date fair value was determined to be $1,008 calculated using the Black-Scholes option pricing model with the following assumptions: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7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Risk-free interest rate</w:t>
            </w:r>
          </w:p>
        </w:tc>
        <w:tc>
          <w:tcPr>
            <w:tcW w:w="19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82.62%</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to 2.9%</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0.7174</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00" w:type="dxa"/>
            <w:vAlign w:val="bottom"/>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6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On November 14, 2025, the Company granted options to purchase up to 25,000 Common Shares to a consultant. The options have an exercise price of C$8.39, per Common Share, expire on November 14, 2035, and vest over two years. The aggregate estimated grant date fair value was determined to be $123 calculated using the Black-Scholes option pricing model with the following assumptions:</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2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2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2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2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 to 2.9%</w:t>
            </w:r>
          </w:p>
        </w:tc>
      </w:t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2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0.7130</w:t>
            </w:r>
          </w:p>
        </w:tc>
      </w:t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2060" w:type="dxa"/>
            <w:vAlign w:val="bottom"/>
          </w:tcPr>
          <w:p>
            <w:pPr>
              <w:ind w:left="1420"/>
              <w:spacing w:after="0"/>
              <w:rPr>
                <w:sz w:val="20"/>
                <w:szCs w:val="20"/>
                <w:color w:val="auto"/>
              </w:rPr>
            </w:pPr>
            <w:r>
              <w:rPr>
                <w:rFonts w:ascii="Arial" w:cs="Arial" w:eastAsia="Arial" w:hAnsi="Arial"/>
                <w:sz w:val="18"/>
                <w:szCs w:val="18"/>
                <w:color w:val="auto"/>
              </w:rPr>
              <w:t>C$</w:t>
            </w:r>
          </w:p>
        </w:tc>
        <w:tc>
          <w:tcPr>
            <w:tcW w:w="142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35"/>
        </w:trPr>
        <w:tc>
          <w:tcPr>
            <w:tcW w:w="7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20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C$</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51" w:lineRule="exact"/>
        <w:rPr>
          <w:sz w:val="20"/>
          <w:szCs w:val="20"/>
          <w:color w:val="auto"/>
        </w:rPr>
      </w:pPr>
    </w:p>
    <w:p>
      <w:pPr>
        <w:jc w:val="both"/>
        <w:ind w:left="260"/>
        <w:spacing w:after="0" w:line="315" w:lineRule="auto"/>
        <w:rPr>
          <w:sz w:val="20"/>
          <w:szCs w:val="20"/>
          <w:color w:val="auto"/>
        </w:rPr>
      </w:pPr>
      <w:r>
        <w:rPr>
          <w:rFonts w:ascii="Arial" w:cs="Arial" w:eastAsia="Arial" w:hAnsi="Arial"/>
          <w:sz w:val="18"/>
          <w:szCs w:val="18"/>
          <w:color w:val="auto"/>
        </w:rPr>
        <w:t>On November 14, 2025, the Company granted options to purchase up to 23,240 Common Shares to certain employees. The options have an exercise price of C$8.39, per Common Share, expire on November 14, 2035, and vest over two years. The aggregate estimated grant date fair value was determined to be $114 calculated using the Black-Scholes option pricing model with the following assumptions:</w:t>
      </w: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to 3.0%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0.7130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00" w:type="dxa"/>
            <w:vAlign w:val="bottom"/>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21 of 30</w:t>
      </w:r>
    </w:p>
    <w:p>
      <w:pPr>
        <w:sectPr>
          <w:pgSz w:w="11900" w:h="16838" w:orient="portrait"/>
          <w:cols w:equalWidth="0" w:num="1">
            <w:col w:w="11160"/>
          </w:cols>
          <w:pgMar w:left="400" w:top="233"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On December 31, 2025, the Company granted options to purchase up to 13,430 Common Shares to certain employees. The options have an exercise price of C$11.65, per Common Share, expire on December 31, 2035, and vest over two years. The aggregate estimated grant date fair value was determined to be $91 calculated using the Black-Scholes option pricing model with the following assumptions:</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726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81.91%</w:t>
            </w:r>
          </w:p>
        </w:tc>
      </w:tr>
      <w:tr>
        <w:trPr>
          <w:trHeight w:val="229"/>
        </w:trPr>
        <w:tc>
          <w:tcPr>
            <w:tcW w:w="726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6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 to 3.0%</w:t>
            </w:r>
          </w:p>
        </w:tc>
      </w:tr>
      <w:tr>
        <w:trPr>
          <w:trHeight w:val="229"/>
        </w:trPr>
        <w:tc>
          <w:tcPr>
            <w:tcW w:w="726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0.7296</w:t>
            </w:r>
          </w:p>
        </w:tc>
      </w:tr>
      <w:tr>
        <w:trPr>
          <w:trHeight w:val="229"/>
        </w:trPr>
        <w:tc>
          <w:tcPr>
            <w:tcW w:w="726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60" w:type="dxa"/>
            <w:vAlign w:val="bottom"/>
          </w:tcPr>
          <w:p>
            <w:pPr>
              <w:ind w:left="1340"/>
              <w:spacing w:after="0"/>
              <w:rPr>
                <w:sz w:val="20"/>
                <w:szCs w:val="20"/>
                <w:color w:val="auto"/>
              </w:rPr>
            </w:pPr>
            <w:r>
              <w:rPr>
                <w:rFonts w:ascii="Arial" w:cs="Arial" w:eastAsia="Arial" w:hAnsi="Arial"/>
                <w:sz w:val="18"/>
                <w:szCs w:val="18"/>
                <w:color w:val="auto"/>
              </w:rPr>
              <w:t>C$</w:t>
            </w:r>
          </w:p>
        </w:tc>
        <w:tc>
          <w:tcPr>
            <w:tcW w:w="138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35"/>
        </w:trPr>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bl>
    <w:p>
      <w:pPr>
        <w:spacing w:after="0" w:line="332" w:lineRule="exact"/>
        <w:rPr>
          <w:sz w:val="20"/>
          <w:szCs w:val="20"/>
          <w:color w:val="auto"/>
        </w:rPr>
      </w:pPr>
    </w:p>
    <w:p>
      <w:pPr>
        <w:ind w:left="180"/>
        <w:spacing w:after="0" w:line="334" w:lineRule="auto"/>
        <w:rPr>
          <w:sz w:val="20"/>
          <w:szCs w:val="20"/>
          <w:color w:val="auto"/>
        </w:rPr>
      </w:pPr>
      <w:r>
        <w:rPr>
          <w:rFonts w:ascii="Arial" w:cs="Arial" w:eastAsia="Arial" w:hAnsi="Arial"/>
          <w:sz w:val="18"/>
          <w:szCs w:val="18"/>
          <w:color w:val="auto"/>
        </w:rPr>
        <w:t>During the nine months ended December 31, 2025, 7,894 options were exercised by various holders for aggregate proceeds to the Company of $53.</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summarizes information about stock options outstanding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180340</wp:posOffset>
            </wp:positionV>
            <wp:extent cx="6703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Exercise price</w:t>
            </w: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Estimated issue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remaining life</w:t>
            </w:r>
          </w:p>
        </w:tc>
        <w:tc>
          <w:tcPr>
            <w:tcW w:w="0" w:type="dxa"/>
            <w:vAlign w:val="bottom"/>
          </w:tcPr>
          <w:p>
            <w:pPr>
              <w:spacing w:after="0"/>
              <w:rPr>
                <w:sz w:val="1"/>
                <w:szCs w:val="1"/>
                <w:color w:val="auto"/>
              </w:rPr>
            </w:pPr>
          </w:p>
        </w:tc>
      </w:tr>
      <w:tr>
        <w:trPr>
          <w:trHeight w:val="59"/>
        </w:trPr>
        <w:tc>
          <w:tcPr>
            <w:tcW w:w="2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Date of Expiry</w:t>
            </w:r>
          </w:p>
        </w:tc>
        <w:tc>
          <w:tcPr>
            <w:tcW w:w="2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exercisable</w:t>
            </w:r>
          </w:p>
        </w:tc>
        <w:tc>
          <w:tcPr>
            <w:tcW w:w="152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tcPr>
          <w:p>
            <w:pPr>
              <w:spacing w:after="0"/>
              <w:rPr>
                <w:sz w:val="21"/>
                <w:szCs w:val="21"/>
                <w:color w:val="auto"/>
              </w:rPr>
            </w:pPr>
          </w:p>
        </w:tc>
        <w:tc>
          <w:tcPr>
            <w:tcW w:w="208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date fair value</w:t>
            </w: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460" w:type="dxa"/>
            <w:vAlign w:val="bottom"/>
          </w:tcPr>
          <w:p>
            <w:pPr>
              <w:spacing w:after="0"/>
              <w:rPr>
                <w:sz w:val="20"/>
                <w:szCs w:val="20"/>
                <w:color w:val="auto"/>
              </w:rPr>
            </w:pPr>
            <w:r>
              <w:rPr>
                <w:rFonts w:ascii="Arial" w:cs="Arial" w:eastAsia="Arial" w:hAnsi="Arial"/>
                <w:sz w:val="18"/>
                <w:szCs w:val="18"/>
                <w:color w:val="auto"/>
              </w:rPr>
              <w:t>January 29,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625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625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10.00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4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10,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3,948</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3,948</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14.37</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4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15,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1,974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1,974</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77.14</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4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10,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5,725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5,725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52.82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4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March 12,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526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4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12,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1,842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1,842</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4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12,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1,151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1,151</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15,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7,895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7,895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58.90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250</w:t>
            </w:r>
          </w:p>
        </w:tc>
        <w:tc>
          <w:tcPr>
            <w:tcW w:w="140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March 19,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1,974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1,974</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110.20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140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29,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987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987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50.16</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4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157,474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157,474</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1,246</w:t>
            </w:r>
          </w:p>
        </w:tc>
        <w:tc>
          <w:tcPr>
            <w:tcW w:w="14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3,339</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3,339</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4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March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986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986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4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June 28,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2,501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2,501</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110.20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September 26,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25,657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25,657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30.02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306</w:t>
            </w:r>
          </w:p>
        </w:tc>
        <w:tc>
          <w:tcPr>
            <w:tcW w:w="140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November 15,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13,158</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13,158</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27.17</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110</w:t>
            </w:r>
          </w:p>
        </w:tc>
        <w:tc>
          <w:tcPr>
            <w:tcW w:w="1400" w:type="dxa"/>
            <w:vAlign w:val="bottom"/>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December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1,842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1,842</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December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3,947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3,947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r>
              <w:rPr>
                <w:rFonts w:ascii="Arial" w:cs="Arial" w:eastAsia="Arial" w:hAnsi="Arial"/>
                <w:sz w:val="18"/>
                <w:szCs w:val="18"/>
                <w:color w:val="auto"/>
              </w:rPr>
              <w:t>December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1,974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1,974</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Page 22 of 30</w:t>
      </w:r>
    </w:p>
    <w:p>
      <w:pPr>
        <w:sectPr>
          <w:pgSz w:w="11900" w:h="16838" w:orient="portrait"/>
          <w:cols w:equalWidth="0" w:num="1">
            <w:col w:w="11160"/>
          </w:cols>
          <w:pgMar w:left="400" w:top="23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565150</wp:posOffset>
            </wp:positionV>
            <wp:extent cx="6703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Exercise price</w:t>
            </w: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Estimated issue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remaining life</w:t>
            </w:r>
          </w:p>
        </w:tc>
        <w:tc>
          <w:tcPr>
            <w:tcW w:w="0" w:type="dxa"/>
            <w:vAlign w:val="bottom"/>
          </w:tcPr>
          <w:p>
            <w:pPr>
              <w:spacing w:after="0"/>
              <w:rPr>
                <w:sz w:val="1"/>
                <w:szCs w:val="1"/>
                <w:color w:val="auto"/>
              </w:rPr>
            </w:pPr>
          </w:p>
        </w:tc>
      </w:tr>
      <w:tr>
        <w:trPr>
          <w:trHeight w:val="46"/>
        </w:trPr>
        <w:tc>
          <w:tcPr>
            <w:tcW w:w="2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Date of Expiry</w:t>
            </w:r>
          </w:p>
        </w:tc>
        <w:tc>
          <w:tcPr>
            <w:tcW w:w="2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exercisable</w:t>
            </w:r>
          </w:p>
        </w:tc>
        <w:tc>
          <w:tcPr>
            <w:tcW w:w="152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tcPr>
          <w:p>
            <w:pPr>
              <w:spacing w:after="0"/>
              <w:rPr>
                <w:sz w:val="21"/>
                <w:szCs w:val="21"/>
                <w:color w:val="auto"/>
              </w:rPr>
            </w:pPr>
          </w:p>
        </w:tc>
        <w:tc>
          <w:tcPr>
            <w:tcW w:w="208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date fair value</w:t>
            </w: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460" w:type="dxa"/>
            <w:vAlign w:val="bottom"/>
          </w:tcPr>
          <w:p>
            <w:pPr>
              <w:spacing w:after="0"/>
              <w:rPr>
                <w:sz w:val="20"/>
                <w:szCs w:val="20"/>
                <w:color w:val="auto"/>
              </w:rPr>
            </w:pPr>
            <w:r>
              <w:rPr>
                <w:rFonts w:ascii="Arial" w:cs="Arial" w:eastAsia="Arial" w:hAnsi="Arial"/>
                <w:sz w:val="18"/>
                <w:szCs w:val="18"/>
                <w:color w:val="auto"/>
              </w:rPr>
              <w:t>December 31, 2026</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32,896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32,896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57.00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940</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4, 2027</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526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42.94</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4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March 8, 2027</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10,526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10,526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38.76</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205</w:t>
            </w:r>
          </w:p>
        </w:tc>
        <w:tc>
          <w:tcPr>
            <w:tcW w:w="14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June 30, 2028</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252,423</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252,423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2,343</w:t>
            </w:r>
          </w:p>
        </w:tc>
        <w:tc>
          <w:tcPr>
            <w:tcW w:w="14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September 26, 2028</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2,632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2,632</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30.02</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4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March 20, 2029</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526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40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April 5, 2029</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228,951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228,951</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2,387</w:t>
            </w:r>
          </w:p>
        </w:tc>
        <w:tc>
          <w:tcPr>
            <w:tcW w:w="140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June 30, 2032</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7,895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7,895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34.20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August 15, 2034</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2,887,047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2,873,793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22,825</w:t>
            </w:r>
          </w:p>
        </w:tc>
        <w:tc>
          <w:tcPr>
            <w:tcW w:w="14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November 27, 2034</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72,200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46,337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14.37</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542</w:t>
            </w:r>
          </w:p>
        </w:tc>
        <w:tc>
          <w:tcPr>
            <w:tcW w:w="140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March 7, 2035</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35,000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35,000</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10.45</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213</w:t>
            </w:r>
          </w:p>
        </w:tc>
        <w:tc>
          <w:tcPr>
            <w:tcW w:w="140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August 15, 2035</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48,800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12,196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10.00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140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August 15, 2035</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80,000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11.00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239</w:t>
            </w:r>
          </w:p>
        </w:tc>
        <w:tc>
          <w:tcPr>
            <w:tcW w:w="140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August 29, 2035</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15,000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3,750</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11.00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40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October 1, 2035</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200,000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8.39</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339</w:t>
            </w:r>
          </w:p>
        </w:tc>
        <w:tc>
          <w:tcPr>
            <w:tcW w:w="140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November 14, 2035</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44,240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5,530</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8.39</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40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2035</w:t>
            </w: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13,430</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11.65</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4,169,617</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3,795,506</w:t>
            </w:r>
          </w:p>
        </w:tc>
        <w:tc>
          <w:tcPr>
            <w:tcW w:w="1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33,059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color w:val="auto"/>
        </w:rPr>
        <w:t>The Company recognized share-based payments expense related to the issuance of stock options for the three and nine months ended December 31, 2025 of $714 and $1,844 (2024 - $2,390 and $29,824), respectively.</w:t>
      </w:r>
    </w:p>
    <w:p>
      <w:pPr>
        <w:spacing w:after="0" w:line="126" w:lineRule="exact"/>
        <w:rPr>
          <w:sz w:val="20"/>
          <w:szCs w:val="20"/>
          <w:color w:val="auto"/>
        </w:rPr>
      </w:pPr>
    </w:p>
    <w:p>
      <w:pPr>
        <w:jc w:val="both"/>
        <w:ind w:left="260"/>
        <w:spacing w:after="0" w:line="334" w:lineRule="auto"/>
        <w:rPr>
          <w:sz w:val="20"/>
          <w:szCs w:val="20"/>
          <w:color w:val="auto"/>
        </w:rPr>
      </w:pPr>
      <w:r>
        <w:rPr>
          <w:rFonts w:ascii="Arial" w:cs="Arial" w:eastAsia="Arial" w:hAnsi="Arial"/>
          <w:sz w:val="18"/>
          <w:szCs w:val="18"/>
          <w:color w:val="auto"/>
        </w:rPr>
        <w:t>The outstanding options and warrants disclosed above were anti-dilutive for the three and nine months ended December 31, 2025 and 2024 and did not impact the calculation of the loss per share.</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 Restricted share units</w:t>
      </w:r>
    </w:p>
    <w:p>
      <w:pPr>
        <w:spacing w:after="0" w:line="212" w:lineRule="exact"/>
        <w:rPr>
          <w:sz w:val="20"/>
          <w:szCs w:val="20"/>
          <w:color w:val="auto"/>
        </w:rPr>
      </w:pPr>
    </w:p>
    <w:p>
      <w:pPr>
        <w:jc w:val="both"/>
        <w:ind w:left="260"/>
        <w:spacing w:after="0" w:line="295" w:lineRule="auto"/>
        <w:rPr>
          <w:sz w:val="20"/>
          <w:szCs w:val="20"/>
          <w:color w:val="auto"/>
        </w:rPr>
      </w:pPr>
      <w:r>
        <w:rPr>
          <w:rFonts w:ascii="Arial" w:cs="Arial" w:eastAsia="Arial" w:hAnsi="Arial"/>
          <w:sz w:val="18"/>
          <w:szCs w:val="18"/>
          <w:color w:val="auto"/>
        </w:rPr>
        <w:t>On October 1, 2025, the Company granted a total of 600,000 RSUs to certain directors and officers. The RSUs were granted at no cost to the recipients and are subject to varying vesting conditions as follows: 100,000 RSUs vest on January 6, 2026, and 500,000 RSUs vest in twelve equal installments over three years, subject to continued engagement or employment. At the sole discretion of the Company, each RSU entitles the holder to receive upon vesting (a) one Common Share per RSU; (b) a cash payment equal to the number of RSUs to be redeemed multiplied by the fair market value per Common Share at the settlement date; or (c) a combination of Common Shares and cash. The aggregate estimated grant date fair value was determined to be $3,588, which was determined based on the quoted market price on the date of issuance.</w:t>
      </w:r>
    </w:p>
    <w:p>
      <w:pPr>
        <w:spacing w:after="0" w:line="217"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On November 3, 2025, the Company granted a total of 3,564,440 RSUs to certain directors and officers of the Company. The RSUs were granted on the basis of the directors and officers achieving certain performance conditions on October 31, 2025. The RSUs were granted at no cost to the recipients and vest in three equal</w:t>
      </w:r>
    </w:p>
    <w:p>
      <w:pPr>
        <w:sectPr>
          <w:pgSz w:w="11900" w:h="16838" w:orient="portrait"/>
          <w:cols w:equalWidth="0" w:num="1">
            <w:col w:w="11160"/>
          </w:cols>
          <w:pgMar w:left="40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Page 23 of 30</w:t>
      </w:r>
    </w:p>
    <w:p>
      <w:pPr>
        <w:sectPr>
          <w:pgSz w:w="11900" w:h="16838" w:orient="portrait"/>
          <w:cols w:equalWidth="0" w:num="1">
            <w:col w:w="11160"/>
          </w:cols>
          <w:pgMar w:left="400" w:top="233" w:right="339" w:bottom="1440" w:gutter="0" w:footer="0" w:header="0"/>
          <w:type w:val="continuous"/>
        </w:sectPr>
      </w:pPr>
    </w:p>
    <w:bookmarkStart w:id="26" w:name="page27"/>
    <w:bookmarkEnd w:id="26"/>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tranches on the first, second, and third anniversary of the grant date, subject to acceleration upon satisfaction of certain performance-related conditions or other customary events. At the sole discretion of the Company, each RSU entitles the holder to receive upon vesting (a) one Common Share per RSU; (b) a cash payment equal to the number of RSUs to be redeemed multiplied by the fair market value per Common Share at the settlement date; or (c) a combination of Common Shares and cash. The aggregate estimated grant date fair value was determined to be $23,989 which was determined based on the quoted market price on the date of issuance.</w:t>
      </w:r>
    </w:p>
    <w:p>
      <w:pPr>
        <w:spacing w:after="0" w:line="186" w:lineRule="exact"/>
        <w:rPr>
          <w:sz w:val="20"/>
          <w:szCs w:val="20"/>
          <w:color w:val="auto"/>
        </w:rPr>
      </w:pPr>
    </w:p>
    <w:p>
      <w:pPr>
        <w:jc w:val="both"/>
        <w:ind w:left="340"/>
        <w:spacing w:after="0" w:line="281" w:lineRule="auto"/>
        <w:rPr>
          <w:sz w:val="20"/>
          <w:szCs w:val="20"/>
          <w:color w:val="auto"/>
        </w:rPr>
      </w:pPr>
      <w:r>
        <w:rPr>
          <w:rFonts w:ascii="Arial" w:cs="Arial" w:eastAsia="Arial" w:hAnsi="Arial"/>
          <w:sz w:val="18"/>
          <w:szCs w:val="18"/>
          <w:color w:val="auto"/>
        </w:rPr>
        <w:t>The changes in RSUs for the nine months ended December 31, 2025, and the weighted average fair value at grant date per unit (“</w:t>
      </w:r>
      <w:r>
        <w:rPr>
          <w:rFonts w:ascii="Arial" w:cs="Arial" w:eastAsia="Arial" w:hAnsi="Arial"/>
          <w:sz w:val="18"/>
          <w:szCs w:val="18"/>
          <w:b w:val="1"/>
          <w:bCs w:val="1"/>
          <w:color w:val="auto"/>
        </w:rPr>
        <w:t>WAFV</w:t>
      </w:r>
      <w:r>
        <w:rPr>
          <w:rFonts w:ascii="Arial" w:cs="Arial" w:eastAsia="Arial" w:hAnsi="Arial"/>
          <w:sz w:val="18"/>
          <w:szCs w:val="18"/>
          <w:color w:val="auto"/>
        </w:rPr>
        <w:t>”) are as follows:</w:t>
      </w:r>
    </w:p>
    <w:p>
      <w:pPr>
        <w:spacing w:after="0" w:line="28" w:lineRule="exact"/>
        <w:rPr>
          <w:sz w:val="20"/>
          <w:szCs w:val="20"/>
          <w:color w:val="auto"/>
        </w:rPr>
      </w:pPr>
    </w:p>
    <w:tbl>
      <w:tblPr>
        <w:tblLayout w:type="fixed"/>
        <w:tblInd w:w="340" w:type="dxa"/>
        <w:tblCellMar>
          <w:top w:w="0" w:type="dxa"/>
          <w:left w:w="0" w:type="dxa"/>
          <w:bottom w:w="0" w:type="dxa"/>
          <w:right w:w="0" w:type="dxa"/>
        </w:tblCellMar>
      </w:tblPr>
      <w:tr>
        <w:trPr>
          <w:trHeight w:val="296"/>
        </w:trPr>
        <w:tc>
          <w:tcPr>
            <w:tcW w:w="49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Number of RSUs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WAFV (S)</w:t>
            </w:r>
          </w:p>
        </w:tc>
      </w:tr>
      <w:tr>
        <w:trPr>
          <w:trHeight w:val="224"/>
        </w:trPr>
        <w:tc>
          <w:tcPr>
            <w:tcW w:w="492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3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3940" w:type="dxa"/>
            <w:vAlign w:val="bottom"/>
          </w:tcPr>
          <w:p>
            <w:pPr>
              <w:jc w:val="right"/>
              <w:ind w:right="710"/>
              <w:spacing w:after="0"/>
              <w:rPr>
                <w:sz w:val="20"/>
                <w:szCs w:val="20"/>
                <w:color w:val="auto"/>
              </w:rPr>
            </w:pPr>
            <w:r>
              <w:rPr>
                <w:rFonts w:ascii="Arial" w:cs="Arial" w:eastAsia="Arial" w:hAnsi="Arial"/>
                <w:sz w:val="18"/>
                <w:szCs w:val="18"/>
                <w:color w:val="auto"/>
              </w:rPr>
              <w:t>4,164,440</w:t>
            </w:r>
          </w:p>
        </w:tc>
        <w:tc>
          <w:tcPr>
            <w:tcW w:w="160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Vested</w:t>
            </w:r>
          </w:p>
        </w:tc>
        <w:tc>
          <w:tcPr>
            <w:tcW w:w="3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3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December 31, 2025</w:t>
            </w:r>
          </w:p>
        </w:tc>
        <w:tc>
          <w:tcPr>
            <w:tcW w:w="3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4,164,440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w:t>
            </w:r>
          </w:p>
        </w:tc>
      </w:tr>
    </w:tbl>
    <w:p>
      <w:pPr>
        <w:spacing w:after="0" w:line="30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recognized share-based payments expense related to the issuance of RSUs for the three and nine months ended December 31, 2025 of $3,763 (2024 - Nil).</w:t>
      </w:r>
    </w:p>
    <w:p>
      <w:pPr>
        <w:spacing w:after="0" w:line="126"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outstanding RSUs disclosed above were anti-dilutive for the three and nine months ended December 31, 2025 and 2024 and did not impact the calculation of the loss per share.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8. RELATED PARTY TRANSACTIONS AND BALANCES</w:t>
      </w:r>
    </w:p>
    <w:p>
      <w:pPr>
        <w:spacing w:after="0" w:line="212"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Key management personnel include persons having the authority and responsibility for planning, directing, and controlling the activities of the Company as a whole. The Company has determined its key management personnel to be certain executive officers and directors of the Company.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remuneration of key management personnel for the three and nine months ended December 31, 2025 and 2024 are as follows: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374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Three month period ended</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Nine month period ended</w:t>
            </w:r>
          </w:p>
        </w:tc>
        <w:tc>
          <w:tcPr>
            <w:tcW w:w="900" w:type="dxa"/>
            <w:vAlign w:val="bottom"/>
          </w:tcPr>
          <w:p>
            <w:pPr>
              <w:spacing w:after="0"/>
              <w:rPr>
                <w:sz w:val="18"/>
                <w:szCs w:val="18"/>
                <w:color w:val="auto"/>
              </w:rPr>
            </w:pPr>
          </w:p>
        </w:tc>
      </w:tr>
      <w:tr>
        <w:trPr>
          <w:trHeight w:val="247"/>
        </w:trPr>
        <w:tc>
          <w:tcPr>
            <w:tcW w:w="3120" w:type="dxa"/>
            <w:vAlign w:val="bottom"/>
          </w:tcPr>
          <w:p>
            <w:pPr>
              <w:spacing w:after="0"/>
              <w:rPr>
                <w:sz w:val="21"/>
                <w:szCs w:val="21"/>
                <w:color w:val="auto"/>
              </w:rPr>
            </w:pPr>
          </w:p>
        </w:tc>
        <w:tc>
          <w:tcPr>
            <w:tcW w:w="3740" w:type="dxa"/>
            <w:vAlign w:val="bottom"/>
            <w:gridSpan w:val="2"/>
          </w:tcPr>
          <w:p>
            <w:pPr>
              <w:jc w:val="right"/>
              <w:ind w:right="1410"/>
              <w:spacing w:after="0"/>
              <w:rPr>
                <w:sz w:val="20"/>
                <w:szCs w:val="20"/>
                <w:color w:val="auto"/>
              </w:rPr>
            </w:pPr>
            <w:r>
              <w:rPr>
                <w:rFonts w:ascii="Arial" w:cs="Arial" w:eastAsia="Arial" w:hAnsi="Arial"/>
                <w:sz w:val="18"/>
                <w:szCs w:val="18"/>
                <w:b w:val="1"/>
                <w:bCs w:val="1"/>
                <w:color w:val="auto"/>
              </w:rPr>
              <w:t>December 31,</w:t>
            </w:r>
          </w:p>
        </w:tc>
        <w:tc>
          <w:tcPr>
            <w:tcW w:w="270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21"/>
                <w:szCs w:val="21"/>
                <w:color w:val="auto"/>
              </w:rPr>
            </w:pPr>
          </w:p>
        </w:tc>
      </w:tr>
      <w:tr>
        <w:trPr>
          <w:trHeight w:val="292"/>
        </w:trPr>
        <w:tc>
          <w:tcPr>
            <w:tcW w:w="3120" w:type="dxa"/>
            <w:vAlign w:val="bottom"/>
          </w:tcPr>
          <w:p>
            <w:pPr>
              <w:spacing w:after="0"/>
              <w:rPr>
                <w:sz w:val="24"/>
                <w:szCs w:val="24"/>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700" w:type="dxa"/>
            <w:vAlign w:val="bottom"/>
          </w:tcPr>
          <w:p>
            <w:pPr>
              <w:jc w:val="right"/>
              <w:ind w:right="1050"/>
              <w:spacing w:after="0"/>
              <w:rPr>
                <w:sz w:val="20"/>
                <w:szCs w:val="20"/>
                <w:color w:val="auto"/>
              </w:rPr>
            </w:pPr>
            <w:r>
              <w:rPr>
                <w:rFonts w:ascii="Arial" w:cs="Arial" w:eastAsia="Arial" w:hAnsi="Arial"/>
                <w:sz w:val="18"/>
                <w:szCs w:val="18"/>
                <w:b w:val="1"/>
                <w:bCs w:val="1"/>
                <w:color w:val="auto"/>
              </w:rPr>
              <w:t>2025</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31"/>
        </w:trPr>
        <w:tc>
          <w:tcPr>
            <w:tcW w:w="3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20" w:type="dxa"/>
            <w:vAlign w:val="bottom"/>
          </w:tcPr>
          <w:p>
            <w:pPr>
              <w:jc w:val="right"/>
              <w:ind w:right="410"/>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c>
          <w:tcPr>
            <w:tcW w:w="27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w:t>
            </w:r>
          </w:p>
        </w:tc>
      </w:tr>
      <w:tr>
        <w:trPr>
          <w:trHeight w:val="237"/>
        </w:trPr>
        <w:tc>
          <w:tcPr>
            <w:tcW w:w="3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Note 2</w:t>
            </w:r>
          </w:p>
        </w:tc>
      </w:tr>
      <w:tr>
        <w:trPr>
          <w:trHeight w:val="302"/>
        </w:trPr>
        <w:tc>
          <w:tcPr>
            <w:tcW w:w="3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2700" w:type="dxa"/>
            <w:vAlign w:val="bottom"/>
          </w:tcPr>
          <w:p>
            <w:pPr>
              <w:jc w:val="right"/>
              <w:ind w:right="10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31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85"/>
        </w:trPr>
        <w:tc>
          <w:tcPr>
            <w:tcW w:w="3120" w:type="dxa"/>
            <w:vAlign w:val="bottom"/>
          </w:tcPr>
          <w:p>
            <w:pPr>
              <w:ind w:left="60"/>
              <w:spacing w:after="0"/>
              <w:rPr>
                <w:sz w:val="20"/>
                <w:szCs w:val="20"/>
                <w:color w:val="auto"/>
              </w:rPr>
            </w:pPr>
            <w:r>
              <w:rPr>
                <w:rFonts w:ascii="Arial" w:cs="Arial" w:eastAsia="Arial" w:hAnsi="Arial"/>
                <w:sz w:val="18"/>
                <w:szCs w:val="18"/>
                <w:color w:val="auto"/>
              </w:rPr>
              <w:t>Payroll, consulting and benefits</w:t>
            </w:r>
            <w:r>
              <w:rPr>
                <w:rFonts w:ascii="Arial" w:cs="Arial" w:eastAsia="Arial" w:hAnsi="Arial"/>
                <w:sz w:val="23"/>
                <w:szCs w:val="23"/>
                <w:color w:val="auto"/>
                <w:vertAlign w:val="superscript"/>
              </w:rPr>
              <w:t>1</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820</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1,039</w:t>
            </w:r>
          </w:p>
        </w:tc>
        <w:tc>
          <w:tcPr>
            <w:tcW w:w="2700" w:type="dxa"/>
            <w:vAlign w:val="bottom"/>
          </w:tcPr>
          <w:p>
            <w:pPr>
              <w:jc w:val="right"/>
              <w:ind w:right="1070"/>
              <w:spacing w:after="0"/>
              <w:rPr>
                <w:sz w:val="20"/>
                <w:szCs w:val="20"/>
                <w:color w:val="auto"/>
              </w:rPr>
            </w:pPr>
            <w:r>
              <w:rPr>
                <w:rFonts w:ascii="Arial" w:cs="Arial" w:eastAsia="Arial" w:hAnsi="Arial"/>
                <w:sz w:val="18"/>
                <w:szCs w:val="18"/>
                <w:b w:val="1"/>
                <w:bCs w:val="1"/>
                <w:color w:val="auto"/>
              </w:rPr>
              <w:t>4,077</w:t>
            </w:r>
          </w:p>
        </w:tc>
        <w:tc>
          <w:tcPr>
            <w:tcW w:w="900" w:type="dxa"/>
            <w:vAlign w:val="bottom"/>
          </w:tcPr>
          <w:p>
            <w:pPr>
              <w:jc w:val="right"/>
              <w:spacing w:after="0"/>
              <w:rPr>
                <w:sz w:val="20"/>
                <w:szCs w:val="20"/>
                <w:color w:val="auto"/>
              </w:rPr>
            </w:pPr>
            <w:r>
              <w:rPr>
                <w:rFonts w:ascii="Arial" w:cs="Arial" w:eastAsia="Arial" w:hAnsi="Arial"/>
                <w:sz w:val="18"/>
                <w:szCs w:val="18"/>
                <w:color w:val="auto"/>
              </w:rPr>
              <w:t>3,992</w:t>
            </w:r>
          </w:p>
        </w:tc>
      </w:tr>
      <w:tr>
        <w:trPr>
          <w:trHeight w:val="229"/>
        </w:trPr>
        <w:tc>
          <w:tcPr>
            <w:tcW w:w="3120" w:type="dxa"/>
            <w:vAlign w:val="bottom"/>
          </w:tcPr>
          <w:p>
            <w:pPr>
              <w:ind w:left="60"/>
              <w:spacing w:after="0"/>
              <w:rPr>
                <w:sz w:val="20"/>
                <w:szCs w:val="20"/>
                <w:color w:val="auto"/>
              </w:rPr>
            </w:pPr>
            <w:r>
              <w:rPr>
                <w:rFonts w:ascii="Arial" w:cs="Arial" w:eastAsia="Arial" w:hAnsi="Arial"/>
                <w:sz w:val="18"/>
                <w:szCs w:val="18"/>
                <w:color w:val="auto"/>
              </w:rPr>
              <w:t>Share-based compensation</w:t>
            </w:r>
          </w:p>
        </w:tc>
        <w:tc>
          <w:tcPr>
            <w:tcW w:w="1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120" w:type="dxa"/>
            <w:vAlign w:val="bottom"/>
          </w:tcPr>
          <w:p>
            <w:pPr>
              <w:ind w:left="280"/>
              <w:spacing w:after="0"/>
              <w:rPr>
                <w:sz w:val="20"/>
                <w:szCs w:val="20"/>
                <w:color w:val="auto"/>
              </w:rPr>
            </w:pPr>
            <w:r>
              <w:rPr>
                <w:rFonts w:ascii="Arial" w:cs="Arial" w:eastAsia="Arial" w:hAnsi="Arial"/>
                <w:sz w:val="18"/>
                <w:szCs w:val="18"/>
                <w:color w:val="auto"/>
              </w:rPr>
              <w:t>Options</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17</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1,043</w:t>
            </w:r>
          </w:p>
        </w:tc>
        <w:tc>
          <w:tcPr>
            <w:tcW w:w="2700" w:type="dxa"/>
            <w:vAlign w:val="bottom"/>
          </w:tcPr>
          <w:p>
            <w:pPr>
              <w:jc w:val="right"/>
              <w:ind w:right="1070"/>
              <w:spacing w:after="0"/>
              <w:rPr>
                <w:sz w:val="20"/>
                <w:szCs w:val="20"/>
                <w:color w:val="auto"/>
              </w:rPr>
            </w:pPr>
            <w:r>
              <w:rPr>
                <w:rFonts w:ascii="Arial" w:cs="Arial" w:eastAsia="Arial" w:hAnsi="Arial"/>
                <w:sz w:val="18"/>
                <w:szCs w:val="18"/>
                <w:b w:val="1"/>
                <w:bCs w:val="1"/>
                <w:color w:val="auto"/>
              </w:rPr>
              <w:t>206</w:t>
            </w:r>
          </w:p>
        </w:tc>
        <w:tc>
          <w:tcPr>
            <w:tcW w:w="900" w:type="dxa"/>
            <w:vAlign w:val="bottom"/>
          </w:tcPr>
          <w:p>
            <w:pPr>
              <w:jc w:val="right"/>
              <w:spacing w:after="0"/>
              <w:rPr>
                <w:sz w:val="20"/>
                <w:szCs w:val="20"/>
                <w:color w:val="auto"/>
              </w:rPr>
            </w:pPr>
            <w:r>
              <w:rPr>
                <w:rFonts w:ascii="Arial" w:cs="Arial" w:eastAsia="Arial" w:hAnsi="Arial"/>
                <w:sz w:val="18"/>
                <w:szCs w:val="18"/>
                <w:color w:val="auto"/>
              </w:rPr>
              <w:t>17,681</w:t>
            </w:r>
          </w:p>
        </w:tc>
      </w:tr>
      <w:tr>
        <w:trPr>
          <w:trHeight w:val="230"/>
        </w:trPr>
        <w:tc>
          <w:tcPr>
            <w:tcW w:w="3120" w:type="dxa"/>
            <w:vAlign w:val="bottom"/>
          </w:tcPr>
          <w:p>
            <w:pPr>
              <w:ind w:left="280"/>
              <w:spacing w:after="0"/>
              <w:rPr>
                <w:sz w:val="20"/>
                <w:szCs w:val="20"/>
                <w:color w:val="auto"/>
              </w:rPr>
            </w:pPr>
            <w:r>
              <w:rPr>
                <w:rFonts w:ascii="Arial" w:cs="Arial" w:eastAsia="Arial" w:hAnsi="Arial"/>
                <w:sz w:val="18"/>
                <w:szCs w:val="18"/>
                <w:color w:val="auto"/>
              </w:rPr>
              <w:t>Restricted Share Units</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3,470</w:t>
            </w:r>
          </w:p>
        </w:tc>
        <w:tc>
          <w:tcPr>
            <w:tcW w:w="202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2700" w:type="dxa"/>
            <w:vAlign w:val="bottom"/>
          </w:tcPr>
          <w:p>
            <w:pPr>
              <w:jc w:val="right"/>
              <w:ind w:right="1070"/>
              <w:spacing w:after="0"/>
              <w:rPr>
                <w:sz w:val="20"/>
                <w:szCs w:val="20"/>
                <w:color w:val="auto"/>
              </w:rPr>
            </w:pPr>
            <w:r>
              <w:rPr>
                <w:rFonts w:ascii="Arial" w:cs="Arial" w:eastAsia="Arial" w:hAnsi="Arial"/>
                <w:sz w:val="18"/>
                <w:szCs w:val="18"/>
                <w:b w:val="1"/>
                <w:bCs w:val="1"/>
                <w:color w:val="auto"/>
              </w:rPr>
              <w:t>3,470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Warrants</w:t>
            </w: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4,307</w:t>
            </w:r>
          </w:p>
        </w:tc>
        <w:tc>
          <w:tcPr>
            <w:tcW w:w="2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2,082</w:t>
            </w:r>
          </w:p>
        </w:tc>
        <w:tc>
          <w:tcPr>
            <w:tcW w:w="2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7,753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22,581</w:t>
            </w:r>
          </w:p>
        </w:tc>
      </w:tr>
    </w:tbl>
    <w:p>
      <w:pPr>
        <w:spacing w:after="0" w:line="80" w:lineRule="exact"/>
        <w:rPr>
          <w:sz w:val="20"/>
          <w:szCs w:val="20"/>
          <w:color w:val="auto"/>
        </w:rPr>
      </w:pPr>
    </w:p>
    <w:p>
      <w:pPr>
        <w:ind w:left="340" w:hanging="8"/>
        <w:spacing w:after="0" w:line="264" w:lineRule="auto"/>
        <w:tabs>
          <w:tab w:leader="none" w:pos="468" w:val="left"/>
        </w:tabs>
        <w:numPr>
          <w:ilvl w:val="0"/>
          <w:numId w:val="1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 xml:space="preserve">For the three months ended on December </w:t>
      </w:r>
      <w:r>
        <w:rPr>
          <w:rFonts w:ascii="Arial" w:cs="Arial" w:eastAsia="Arial" w:hAnsi="Arial"/>
          <w:sz w:val="16"/>
          <w:szCs w:val="16"/>
          <w:color w:val="auto"/>
        </w:rPr>
        <w:t>31, 2025</w:t>
      </w:r>
      <w:r>
        <w:rPr>
          <w:rFonts w:ascii="Arial" w:cs="Arial" w:eastAsia="Arial" w:hAnsi="Arial"/>
          <w:sz w:val="16"/>
          <w:szCs w:val="16"/>
          <w:i w:val="1"/>
          <w:iCs w:val="1"/>
          <w:color w:val="auto"/>
        </w:rPr>
        <w:t>, includes $704 presented in the condensed interim consolidated statement of loss and comprehensive loss as a part of “General and administrative costs” and $</w:t>
      </w:r>
      <w:r>
        <w:rPr>
          <w:rFonts w:ascii="Arial" w:cs="Arial" w:eastAsia="Arial" w:hAnsi="Arial"/>
          <w:sz w:val="16"/>
          <w:szCs w:val="16"/>
          <w:color w:val="auto"/>
        </w:rPr>
        <w:t>116</w:t>
      </w:r>
      <w:r>
        <w:rPr>
          <w:rFonts w:ascii="Arial" w:cs="Arial" w:eastAsia="Arial" w:hAnsi="Arial"/>
          <w:sz w:val="16"/>
          <w:szCs w:val="16"/>
          <w:i w:val="1"/>
          <w:iCs w:val="1"/>
          <w:color w:val="auto"/>
        </w:rPr>
        <w:t xml:space="preserve"> presented in the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24 of 30</w:t>
      </w:r>
    </w:p>
    <w:p>
      <w:pPr>
        <w:sectPr>
          <w:pgSz w:w="11900" w:h="16838" w:orient="portrait"/>
          <w:cols w:equalWidth="0" w:num="1">
            <w:col w:w="11240"/>
          </w:cols>
          <w:pgMar w:left="320" w:top="233" w:right="339" w:bottom="1440" w:gutter="0" w:footer="0" w:header="0"/>
          <w:type w:val="continuous"/>
        </w:sectPr>
      </w:pPr>
    </w:p>
    <w:bookmarkStart w:id="27" w:name="page28"/>
    <w:bookmarkEnd w:id="27"/>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40"/>
        <w:spacing w:after="0" w:line="310" w:lineRule="auto"/>
        <w:rPr>
          <w:sz w:val="20"/>
          <w:szCs w:val="20"/>
          <w:color w:val="auto"/>
        </w:rPr>
      </w:pPr>
      <w:r>
        <w:rPr>
          <w:rFonts w:ascii="Arial" w:cs="Arial" w:eastAsia="Arial" w:hAnsi="Arial"/>
          <w:sz w:val="16"/>
          <w:szCs w:val="16"/>
          <w:i w:val="1"/>
          <w:iCs w:val="1"/>
          <w:color w:val="auto"/>
        </w:rPr>
        <w:t xml:space="preserve">condensed interim consolidated statement of loss and comprehensive loss as a part of “Research”. For the nine months ended on December </w:t>
      </w:r>
      <w:r>
        <w:rPr>
          <w:rFonts w:ascii="Arial" w:cs="Arial" w:eastAsia="Arial" w:hAnsi="Arial"/>
          <w:sz w:val="16"/>
          <w:szCs w:val="16"/>
          <w:color w:val="auto"/>
        </w:rPr>
        <w:t>31, 2025</w:t>
      </w:r>
      <w:r>
        <w:rPr>
          <w:rFonts w:ascii="Arial" w:cs="Arial" w:eastAsia="Arial" w:hAnsi="Arial"/>
          <w:sz w:val="16"/>
          <w:szCs w:val="16"/>
          <w:i w:val="1"/>
          <w:iCs w:val="1"/>
          <w:color w:val="auto"/>
        </w:rPr>
        <w:t>, includes $</w:t>
      </w:r>
      <w:r>
        <w:rPr>
          <w:rFonts w:ascii="Arial" w:cs="Arial" w:eastAsia="Arial" w:hAnsi="Arial"/>
          <w:sz w:val="16"/>
          <w:szCs w:val="16"/>
          <w:color w:val="auto"/>
        </w:rPr>
        <w:t>3,731</w:t>
      </w:r>
      <w:r>
        <w:rPr>
          <w:rFonts w:ascii="Arial" w:cs="Arial" w:eastAsia="Arial" w:hAnsi="Arial"/>
          <w:sz w:val="16"/>
          <w:szCs w:val="16"/>
          <w:i w:val="1"/>
          <w:iCs w:val="1"/>
          <w:color w:val="auto"/>
        </w:rPr>
        <w:t xml:space="preserve"> presented in the condensed interim consolidated statement of loss and comprehensive loss as a part of “General and administrative costs” and $</w:t>
      </w:r>
      <w:r>
        <w:rPr>
          <w:rFonts w:ascii="Arial" w:cs="Arial" w:eastAsia="Arial" w:hAnsi="Arial"/>
          <w:sz w:val="16"/>
          <w:szCs w:val="16"/>
          <w:color w:val="auto"/>
        </w:rPr>
        <w:t>346</w:t>
      </w:r>
      <w:r>
        <w:rPr>
          <w:rFonts w:ascii="Arial" w:cs="Arial" w:eastAsia="Arial" w:hAnsi="Arial"/>
          <w:sz w:val="16"/>
          <w:szCs w:val="16"/>
          <w:i w:val="1"/>
          <w:iCs w:val="1"/>
          <w:color w:val="auto"/>
        </w:rPr>
        <w:t xml:space="preserve"> presented in the condensed interim consolidated statement of loss and comprehensive loss as a part of “Research”.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9. RESEARCH EXPENSES</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36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Three month period ended</w:t>
            </w:r>
          </w:p>
        </w:tc>
        <w:tc>
          <w:tcPr>
            <w:tcW w:w="2420" w:type="dxa"/>
            <w:vAlign w:val="bottom"/>
          </w:tcPr>
          <w:p>
            <w:pPr>
              <w:jc w:val="right"/>
              <w:ind w:right="30"/>
              <w:spacing w:after="0"/>
              <w:rPr>
                <w:sz w:val="20"/>
                <w:szCs w:val="20"/>
                <w:color w:val="auto"/>
              </w:rPr>
            </w:pPr>
            <w:r>
              <w:rPr>
                <w:rFonts w:ascii="Arial" w:cs="Arial" w:eastAsia="Arial" w:hAnsi="Arial"/>
                <w:sz w:val="18"/>
                <w:szCs w:val="18"/>
                <w:b w:val="1"/>
                <w:bCs w:val="1"/>
                <w:color w:val="auto"/>
              </w:rPr>
              <w:t>Nine month period</w:t>
            </w:r>
          </w:p>
        </w:tc>
        <w:tc>
          <w:tcPr>
            <w:tcW w:w="900" w:type="dxa"/>
            <w:vAlign w:val="bottom"/>
          </w:tcPr>
          <w:p>
            <w:pPr>
              <w:spacing w:after="0"/>
              <w:rPr>
                <w:sz w:val="17"/>
                <w:szCs w:val="17"/>
                <w:color w:val="auto"/>
              </w:rPr>
            </w:pPr>
          </w:p>
        </w:tc>
      </w:tr>
      <w:tr>
        <w:trPr>
          <w:trHeight w:val="243"/>
        </w:trPr>
        <w:tc>
          <w:tcPr>
            <w:tcW w:w="3700" w:type="dxa"/>
            <w:vAlign w:val="bottom"/>
          </w:tcPr>
          <w:p>
            <w:pPr>
              <w:spacing w:after="0"/>
              <w:rPr>
                <w:sz w:val="21"/>
                <w:szCs w:val="21"/>
                <w:color w:val="auto"/>
              </w:rPr>
            </w:pPr>
          </w:p>
        </w:tc>
        <w:tc>
          <w:tcPr>
            <w:tcW w:w="36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December 31,</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ended December 31,</w:t>
            </w:r>
          </w:p>
        </w:tc>
        <w:tc>
          <w:tcPr>
            <w:tcW w:w="900" w:type="dxa"/>
            <w:vAlign w:val="bottom"/>
          </w:tcPr>
          <w:p>
            <w:pPr>
              <w:spacing w:after="0"/>
              <w:rPr>
                <w:sz w:val="21"/>
                <w:szCs w:val="21"/>
                <w:color w:val="auto"/>
              </w:rPr>
            </w:pPr>
          </w:p>
        </w:tc>
      </w:tr>
      <w:tr>
        <w:trPr>
          <w:trHeight w:val="259"/>
        </w:trPr>
        <w:tc>
          <w:tcPr>
            <w:tcW w:w="3700" w:type="dxa"/>
            <w:vAlign w:val="bottom"/>
          </w:tcPr>
          <w:p>
            <w:pPr>
              <w:spacing w:after="0"/>
              <w:rPr>
                <w:sz w:val="22"/>
                <w:szCs w:val="22"/>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2024</w:t>
            </w:r>
          </w:p>
        </w:tc>
        <w:tc>
          <w:tcPr>
            <w:tcW w:w="2420" w:type="dxa"/>
            <w:vAlign w:val="bottom"/>
          </w:tcPr>
          <w:p>
            <w:pPr>
              <w:jc w:val="right"/>
              <w:ind w:right="890"/>
              <w:spacing w:after="0"/>
              <w:rPr>
                <w:sz w:val="20"/>
                <w:szCs w:val="20"/>
                <w:color w:val="auto"/>
              </w:rPr>
            </w:pPr>
            <w:r>
              <w:rPr>
                <w:rFonts w:ascii="Arial" w:cs="Arial" w:eastAsia="Arial" w:hAnsi="Arial"/>
                <w:sz w:val="18"/>
                <w:szCs w:val="18"/>
                <w:b w:val="1"/>
                <w:bCs w:val="1"/>
                <w:color w:val="auto"/>
              </w:rPr>
              <w:t>2025</w:t>
            </w:r>
          </w:p>
        </w:tc>
        <w:tc>
          <w:tcPr>
            <w:tcW w:w="90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189"/>
        </w:trPr>
        <w:tc>
          <w:tcPr>
            <w:tcW w:w="3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80" w:type="dxa"/>
            <w:vAlign w:val="bottom"/>
          </w:tcPr>
          <w:p>
            <w:pPr>
              <w:jc w:val="right"/>
              <w:ind w:right="590"/>
              <w:spacing w:after="0" w:line="189" w:lineRule="exact"/>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w:t>
            </w:r>
          </w:p>
        </w:tc>
        <w:tc>
          <w:tcPr>
            <w:tcW w:w="2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i w:val="1"/>
                <w:iCs w:val="1"/>
                <w:color w:val="auto"/>
                <w:w w:val="98"/>
              </w:rPr>
              <w:t xml:space="preserve">Restated </w:t>
            </w:r>
            <w:r>
              <w:rPr>
                <w:rFonts w:ascii="Arial" w:cs="Arial" w:eastAsia="Arial" w:hAnsi="Arial"/>
                <w:sz w:val="18"/>
                <w:szCs w:val="18"/>
                <w:i w:val="1"/>
                <w:iCs w:val="1"/>
                <w:color w:val="auto"/>
                <w:w w:val="98"/>
              </w:rPr>
              <w:t>-</w:t>
            </w:r>
          </w:p>
        </w:tc>
      </w:tr>
      <w:tr>
        <w:trPr>
          <w:trHeight w:val="227"/>
        </w:trPr>
        <w:tc>
          <w:tcPr>
            <w:tcW w:w="3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80" w:type="dxa"/>
            <w:vAlign w:val="bottom"/>
          </w:tcPr>
          <w:p>
            <w:pPr>
              <w:jc w:val="right"/>
              <w:ind w:right="590"/>
              <w:spacing w:after="0"/>
              <w:rPr>
                <w:sz w:val="20"/>
                <w:szCs w:val="20"/>
                <w:color w:val="auto"/>
              </w:rPr>
            </w:pPr>
            <w:r>
              <w:rPr>
                <w:rFonts w:ascii="Arial" w:cs="Arial" w:eastAsia="Arial" w:hAnsi="Arial"/>
                <w:sz w:val="18"/>
                <w:szCs w:val="18"/>
                <w:i w:val="1"/>
                <w:iCs w:val="1"/>
                <w:color w:val="auto"/>
              </w:rPr>
              <w:t>Note 2</w:t>
            </w:r>
          </w:p>
        </w:tc>
        <w:tc>
          <w:tcPr>
            <w:tcW w:w="2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Note 2</w:t>
            </w:r>
          </w:p>
        </w:tc>
      </w:tr>
      <w:tr>
        <w:trPr>
          <w:trHeight w:val="235"/>
        </w:trPr>
        <w:tc>
          <w:tcPr>
            <w:tcW w:w="3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700" w:type="dxa"/>
            <w:vAlign w:val="bottom"/>
          </w:tcPr>
          <w:p>
            <w:pPr>
              <w:spacing w:after="0"/>
              <w:rPr>
                <w:sz w:val="20"/>
                <w:szCs w:val="20"/>
                <w:color w:val="auto"/>
              </w:rPr>
            </w:pPr>
            <w:r>
              <w:rPr>
                <w:rFonts w:ascii="Arial" w:cs="Arial" w:eastAsia="Arial" w:hAnsi="Arial"/>
                <w:sz w:val="18"/>
                <w:szCs w:val="18"/>
                <w:color w:val="auto"/>
              </w:rPr>
              <w:t>Advancement of development programs</w:t>
            </w: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19,448</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10,565</w:t>
            </w:r>
          </w:p>
        </w:tc>
        <w:tc>
          <w:tcPr>
            <w:tcW w:w="2420" w:type="dxa"/>
            <w:vAlign w:val="bottom"/>
          </w:tcPr>
          <w:p>
            <w:pPr>
              <w:jc w:val="right"/>
              <w:ind w:right="950"/>
              <w:spacing w:after="0"/>
              <w:rPr>
                <w:sz w:val="20"/>
                <w:szCs w:val="20"/>
                <w:color w:val="auto"/>
              </w:rPr>
            </w:pPr>
            <w:r>
              <w:rPr>
                <w:rFonts w:ascii="Arial" w:cs="Arial" w:eastAsia="Arial" w:hAnsi="Arial"/>
                <w:sz w:val="18"/>
                <w:szCs w:val="18"/>
                <w:b w:val="1"/>
                <w:bCs w:val="1"/>
                <w:color w:val="auto"/>
              </w:rPr>
              <w:t>46,735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18,185</w:t>
            </w: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Payroll and benefits</w:t>
            </w: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3,397</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2,215</w:t>
            </w:r>
          </w:p>
        </w:tc>
        <w:tc>
          <w:tcPr>
            <w:tcW w:w="2420" w:type="dxa"/>
            <w:vAlign w:val="bottom"/>
          </w:tcPr>
          <w:p>
            <w:pPr>
              <w:jc w:val="right"/>
              <w:ind w:right="950"/>
              <w:spacing w:after="0"/>
              <w:rPr>
                <w:sz w:val="20"/>
                <w:szCs w:val="20"/>
                <w:color w:val="auto"/>
              </w:rPr>
            </w:pPr>
            <w:r>
              <w:rPr>
                <w:rFonts w:ascii="Arial" w:cs="Arial" w:eastAsia="Arial" w:hAnsi="Arial"/>
                <w:sz w:val="18"/>
                <w:szCs w:val="18"/>
                <w:b w:val="1"/>
                <w:bCs w:val="1"/>
                <w:color w:val="auto"/>
              </w:rPr>
              <w:t>9,009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5,998</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Lab and administration</w:t>
            </w: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533</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445</w:t>
            </w:r>
          </w:p>
        </w:tc>
        <w:tc>
          <w:tcPr>
            <w:tcW w:w="2420" w:type="dxa"/>
            <w:vAlign w:val="bottom"/>
          </w:tcPr>
          <w:p>
            <w:pPr>
              <w:jc w:val="right"/>
              <w:ind w:right="950"/>
              <w:spacing w:after="0"/>
              <w:rPr>
                <w:sz w:val="20"/>
                <w:szCs w:val="20"/>
                <w:color w:val="auto"/>
              </w:rPr>
            </w:pPr>
            <w:r>
              <w:rPr>
                <w:rFonts w:ascii="Arial" w:cs="Arial" w:eastAsia="Arial" w:hAnsi="Arial"/>
                <w:sz w:val="18"/>
                <w:szCs w:val="18"/>
                <w:b w:val="1"/>
                <w:bCs w:val="1"/>
                <w:color w:val="auto"/>
              </w:rPr>
              <w:t>1,131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3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Professional and consulting fees</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479</w:t>
            </w: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210</w:t>
            </w:r>
          </w:p>
        </w:tc>
        <w:tc>
          <w:tcPr>
            <w:tcW w:w="24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827</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r>
      <w:tr>
        <w:trPr>
          <w:trHeight w:val="223"/>
        </w:trPr>
        <w:tc>
          <w:tcPr>
            <w:tcW w:w="3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23,857</w:t>
            </w: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13,435</w:t>
            </w:r>
          </w:p>
        </w:tc>
        <w:tc>
          <w:tcPr>
            <w:tcW w:w="24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57,702</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25,994</w:t>
            </w: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80" w:type="dxa"/>
            <w:vAlign w:val="bottom"/>
            <w:gridSpan w:val="2"/>
          </w:tcPr>
          <w:p>
            <w:pPr>
              <w:spacing w:after="0"/>
              <w:rPr>
                <w:sz w:val="20"/>
                <w:szCs w:val="20"/>
                <w:color w:val="auto"/>
              </w:rPr>
            </w:pPr>
            <w:r>
              <w:rPr>
                <w:rFonts w:ascii="Arial" w:cs="Arial" w:eastAsia="Arial" w:hAnsi="Arial"/>
                <w:sz w:val="18"/>
                <w:szCs w:val="18"/>
                <w:b w:val="1"/>
                <w:bCs w:val="1"/>
                <w:color w:val="2D5F91"/>
              </w:rPr>
              <w:t>10. GENERAL AND ADMINISTRATIVE EXPENSES</w:t>
            </w: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15"/>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2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Three month period ended</w:t>
            </w:r>
          </w:p>
        </w:tc>
        <w:tc>
          <w:tcPr>
            <w:tcW w:w="29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Nine month period ended</w:t>
            </w:r>
          </w:p>
        </w:tc>
      </w:tr>
      <w:tr>
        <w:trPr>
          <w:trHeight w:val="230"/>
        </w:trPr>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9"/>
                <w:szCs w:val="19"/>
                <w:color w:val="auto"/>
              </w:rPr>
            </w:pPr>
          </w:p>
        </w:tc>
      </w:tr>
      <w:tr>
        <w:trPr>
          <w:trHeight w:val="232"/>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2025</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189"/>
        </w:trPr>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80" w:type="dxa"/>
            <w:vAlign w:val="bottom"/>
          </w:tcPr>
          <w:p>
            <w:pPr>
              <w:jc w:val="right"/>
              <w:ind w:right="190"/>
              <w:spacing w:after="0" w:line="189" w:lineRule="exact"/>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w:t>
            </w:r>
          </w:p>
        </w:tc>
        <w:tc>
          <w:tcPr>
            <w:tcW w:w="20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w:t>
            </w:r>
          </w:p>
        </w:tc>
      </w:tr>
      <w:tr>
        <w:trPr>
          <w:trHeight w:val="228"/>
        </w:trPr>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i w:val="1"/>
                <w:iCs w:val="1"/>
                <w:color w:val="auto"/>
              </w:rPr>
              <w:t>Note 2</w:t>
            </w:r>
          </w:p>
        </w:tc>
        <w:tc>
          <w:tcPr>
            <w:tcW w:w="20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Note 2</w:t>
            </w:r>
          </w:p>
        </w:tc>
      </w:tr>
      <w:tr>
        <w:trPr>
          <w:trHeight w:val="235"/>
        </w:trPr>
        <w:tc>
          <w:tcPr>
            <w:tcW w:w="340" w:type="dxa"/>
            <w:vAlign w:val="bottom"/>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3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Capital market</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7,295</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1,266</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13,787</w:t>
            </w:r>
          </w:p>
        </w:tc>
        <w:tc>
          <w:tcPr>
            <w:tcW w:w="900" w:type="dxa"/>
            <w:vAlign w:val="bottom"/>
          </w:tcPr>
          <w:p>
            <w:pPr>
              <w:jc w:val="right"/>
              <w:spacing w:after="0"/>
              <w:rPr>
                <w:sz w:val="20"/>
                <w:szCs w:val="20"/>
                <w:color w:val="auto"/>
              </w:rPr>
            </w:pPr>
            <w:r>
              <w:rPr>
                <w:rFonts w:ascii="Arial" w:cs="Arial" w:eastAsia="Arial" w:hAnsi="Arial"/>
                <w:sz w:val="18"/>
                <w:szCs w:val="18"/>
                <w:color w:val="auto"/>
              </w:rPr>
              <w:t>10,214</w:t>
            </w:r>
          </w:p>
        </w:tc>
      </w:tr>
      <w:tr>
        <w:trPr>
          <w:trHeight w:val="230"/>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Payroll and benefits</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1,728</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1,857</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6,273</w:t>
            </w:r>
          </w:p>
        </w:tc>
        <w:tc>
          <w:tcPr>
            <w:tcW w:w="900" w:type="dxa"/>
            <w:vAlign w:val="bottom"/>
          </w:tcPr>
          <w:p>
            <w:pPr>
              <w:jc w:val="right"/>
              <w:spacing w:after="0"/>
              <w:rPr>
                <w:sz w:val="20"/>
                <w:szCs w:val="20"/>
                <w:color w:val="auto"/>
              </w:rPr>
            </w:pPr>
            <w:r>
              <w:rPr>
                <w:rFonts w:ascii="Arial" w:cs="Arial" w:eastAsia="Arial" w:hAnsi="Arial"/>
                <w:sz w:val="18"/>
                <w:szCs w:val="18"/>
                <w:color w:val="auto"/>
              </w:rPr>
              <w:t>6,326</w:t>
            </w:r>
          </w:p>
        </w:tc>
      </w:tr>
      <w:tr>
        <w:trPr>
          <w:trHeight w:val="230"/>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1,148</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1,375</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5,184</w:t>
            </w:r>
          </w:p>
        </w:tc>
        <w:tc>
          <w:tcPr>
            <w:tcW w:w="900" w:type="dxa"/>
            <w:vAlign w:val="bottom"/>
          </w:tcPr>
          <w:p>
            <w:pPr>
              <w:jc w:val="right"/>
              <w:spacing w:after="0"/>
              <w:rPr>
                <w:sz w:val="20"/>
                <w:szCs w:val="20"/>
                <w:color w:val="auto"/>
              </w:rPr>
            </w:pPr>
            <w:r>
              <w:rPr>
                <w:rFonts w:ascii="Arial" w:cs="Arial" w:eastAsia="Arial" w:hAnsi="Arial"/>
                <w:sz w:val="18"/>
                <w:szCs w:val="18"/>
                <w:color w:val="auto"/>
              </w:rPr>
              <w:t>2,430</w:t>
            </w:r>
          </w:p>
        </w:tc>
      </w:tr>
      <w:tr>
        <w:trPr>
          <w:trHeight w:val="229"/>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Office and administration</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916</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930</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2,622</w:t>
            </w:r>
          </w:p>
        </w:tc>
        <w:tc>
          <w:tcPr>
            <w:tcW w:w="90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30"/>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Investor relations and marketing media</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1,071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435</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1,801</w:t>
            </w:r>
          </w:p>
        </w:tc>
        <w:tc>
          <w:tcPr>
            <w:tcW w:w="90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30"/>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Business development</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698</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670</w:t>
            </w:r>
          </w:p>
        </w:tc>
        <w:tc>
          <w:tcPr>
            <w:tcW w:w="2000" w:type="dxa"/>
            <w:vAlign w:val="bottom"/>
          </w:tcPr>
          <w:p>
            <w:pPr>
              <w:jc w:val="right"/>
              <w:ind w:right="910"/>
              <w:spacing w:after="0"/>
              <w:rPr>
                <w:sz w:val="20"/>
                <w:szCs w:val="20"/>
                <w:color w:val="auto"/>
              </w:rPr>
            </w:pPr>
            <w:r>
              <w:rPr>
                <w:rFonts w:ascii="Arial" w:cs="Arial" w:eastAsia="Arial" w:hAnsi="Arial"/>
                <w:sz w:val="18"/>
                <w:szCs w:val="18"/>
                <w:b w:val="1"/>
                <w:bCs w:val="1"/>
                <w:color w:val="auto"/>
              </w:rPr>
              <w:t>1,580</w:t>
            </w:r>
          </w:p>
        </w:tc>
        <w:tc>
          <w:tcPr>
            <w:tcW w:w="90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35"/>
        </w:trPr>
        <w:tc>
          <w:tcPr>
            <w:tcW w:w="340" w:type="dxa"/>
            <w:vAlign w:val="bottom"/>
          </w:tcPr>
          <w:p>
            <w:pPr>
              <w:spacing w:after="0"/>
              <w:rPr>
                <w:sz w:val="20"/>
                <w:szCs w:val="20"/>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Listing fees</w:t>
            </w:r>
          </w:p>
        </w:tc>
        <w:tc>
          <w:tcPr>
            <w:tcW w:w="2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w:t>
            </w:r>
          </w:p>
        </w:tc>
        <w:tc>
          <w:tcPr>
            <w:tcW w:w="20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172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340" w:type="dxa"/>
            <w:vAlign w:val="bottom"/>
          </w:tcPr>
          <w:p>
            <w:pPr>
              <w:spacing w:after="0"/>
              <w:rPr>
                <w:sz w:val="19"/>
                <w:szCs w:val="19"/>
                <w:color w:val="auto"/>
              </w:rPr>
            </w:pPr>
          </w:p>
        </w:tc>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12,876</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6,563</w:t>
            </w:r>
          </w:p>
        </w:tc>
        <w:tc>
          <w:tcPr>
            <w:tcW w:w="20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31,419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11. CONTRACTS, COMMITMENTS AND CONTINGENCIES</w:t>
      </w:r>
    </w:p>
    <w:p>
      <w:pPr>
        <w:spacing w:after="0" w:line="225"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As at December 31, 2025, the Company had entered into agreements for various studies which may require the Company to spend up to an additional $109,950. The Company expects to pay this amount within the 24 months ending December 31, 2027,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25 of 30</w:t>
      </w:r>
    </w:p>
    <w:p>
      <w:pPr>
        <w:sectPr>
          <w:pgSz w:w="11900" w:h="16838" w:orient="portrait"/>
          <w:cols w:equalWidth="0" w:num="1">
            <w:col w:w="11240"/>
          </w:cols>
          <w:pgMar w:left="320" w:top="233" w:right="339" w:bottom="1440" w:gutter="0" w:footer="0" w:header="0"/>
        </w:sectPr>
      </w:pPr>
    </w:p>
    <w:bookmarkStart w:id="28" w:name="page29"/>
    <w:bookmarkEnd w:id="28"/>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80"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340"/>
        <w:spacing w:after="0" w:line="296" w:lineRule="auto"/>
        <w:rPr>
          <w:sz w:val="20"/>
          <w:szCs w:val="20"/>
          <w:color w:val="auto"/>
        </w:rPr>
      </w:pPr>
      <w:r>
        <w:rPr>
          <w:rFonts w:ascii="Arial" w:cs="Arial" w:eastAsia="Arial" w:hAnsi="Arial"/>
          <w:sz w:val="18"/>
          <w:szCs w:val="18"/>
          <w:color w:val="auto"/>
        </w:rPr>
        <w:t>In addition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$9,500. At the sole discretion of the Company, the milestones may be paid in cash or in Common Shares, or a combination thereof, subject to the approval of Cboe Canada.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w:t>
      </w:r>
    </w:p>
    <w:p>
      <w:pPr>
        <w:spacing w:after="0" w:line="132" w:lineRule="exact"/>
        <w:rPr>
          <w:sz w:val="20"/>
          <w:szCs w:val="20"/>
          <w:color w:val="auto"/>
        </w:rPr>
      </w:pPr>
    </w:p>
    <w:p>
      <w:pPr>
        <w:jc w:val="both"/>
        <w:ind w:left="340"/>
        <w:spacing w:after="0" w:line="315" w:lineRule="auto"/>
        <w:rPr>
          <w:sz w:val="20"/>
          <w:szCs w:val="20"/>
          <w:color w:val="auto"/>
        </w:rPr>
      </w:pPr>
      <w:r>
        <w:rPr>
          <w:rFonts w:ascii="Arial" w:cs="Arial" w:eastAsia="Arial" w:hAnsi="Arial"/>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condensed interim consolidated financial statements.</w:t>
      </w:r>
    </w:p>
    <w:p>
      <w:pPr>
        <w:spacing w:after="0" w:line="184"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As of December 31, 2025, no litigation or class proceedings have been commenced or certified against the Company. The Company is aware that certain U.S. plaintiff law firms have announced that they are investigating the Company following the Company’s news release dated September 2, 2025, announcing the resignation of the Company’s former chief executive officer.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4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2D5F91"/>
        </w:rPr>
      </w:pPr>
      <w:r>
        <w:rPr>
          <w:rFonts w:ascii="Arial" w:cs="Arial" w:eastAsia="Arial" w:hAnsi="Arial"/>
          <w:sz w:val="18"/>
          <w:szCs w:val="18"/>
          <w:b w:val="1"/>
          <w:bCs w:val="1"/>
          <w:color w:val="2D5F91"/>
        </w:rPr>
        <w:t>CAPITAL MANAGEMENT</w:t>
      </w:r>
    </w:p>
    <w:p>
      <w:pPr>
        <w:spacing w:after="0" w:line="212"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31" w:lineRule="exact"/>
        <w:rPr>
          <w:sz w:val="20"/>
          <w:szCs w:val="20"/>
          <w:color w:val="auto"/>
        </w:rPr>
      </w:pPr>
    </w:p>
    <w:p>
      <w:pPr>
        <w:jc w:val="both"/>
        <w:ind w:left="340"/>
        <w:spacing w:after="0" w:line="304" w:lineRule="auto"/>
        <w:rPr>
          <w:sz w:val="20"/>
          <w:szCs w:val="20"/>
          <w:color w:val="auto"/>
        </w:rPr>
      </w:pPr>
      <w:r>
        <w:rPr>
          <w:rFonts w:ascii="Arial" w:cs="Arial" w:eastAsia="Arial" w:hAnsi="Arial"/>
          <w:sz w:val="18"/>
          <w:szCs w:val="18"/>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39"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The Company’s capital management objectives, policies and processes generally remained unchanged during the nine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26 of 30</w:t>
      </w:r>
    </w:p>
    <w:p>
      <w:pPr>
        <w:sectPr>
          <w:pgSz w:w="11900" w:h="16838" w:orient="portrait"/>
          <w:cols w:equalWidth="0" w:num="1">
            <w:col w:w="11240"/>
          </w:cols>
          <w:pgMar w:left="320" w:top="233" w:right="339" w:bottom="1440" w:gutter="0" w:footer="0" w:header="0"/>
        </w:sectPr>
      </w:pPr>
    </w:p>
    <w:bookmarkStart w:id="29" w:name="page30"/>
    <w:bookmarkEnd w:id="29"/>
    <w:p>
      <w:pPr>
        <w:ind w:left="72"/>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72"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72"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The Company requires capital to fund existing and future operations. The Company’s policy is to maintain adequate levels of capital at all times.</w:t>
      </w:r>
    </w:p>
    <w:p>
      <w:pPr>
        <w:spacing w:after="0" w:line="112" w:lineRule="exact"/>
        <w:rPr>
          <w:sz w:val="20"/>
          <w:szCs w:val="20"/>
          <w:color w:val="auto"/>
        </w:rPr>
      </w:pPr>
    </w:p>
    <w:tbl>
      <w:tblPr>
        <w:tblLayout w:type="fixed"/>
        <w:tblInd w:w="332" w:type="dxa"/>
        <w:tblCellMar>
          <w:top w:w="0" w:type="dxa"/>
          <w:left w:w="0" w:type="dxa"/>
          <w:bottom w:w="0" w:type="dxa"/>
          <w:right w:w="0" w:type="dxa"/>
        </w:tblCellMar>
      </w:tblPr>
      <w:tr>
        <w:trPr>
          <w:trHeight w:val="239"/>
        </w:trPr>
        <w:tc>
          <w:tcPr>
            <w:tcW w:w="5680" w:type="dxa"/>
            <w:vAlign w:val="bottom"/>
          </w:tcPr>
          <w:p>
            <w:pPr>
              <w:spacing w:after="0"/>
              <w:rPr>
                <w:sz w:val="20"/>
                <w:szCs w:val="20"/>
                <w:color w:val="auto"/>
              </w:rPr>
            </w:pPr>
            <w:r>
              <w:rPr>
                <w:rFonts w:ascii="Arial" w:cs="Arial" w:eastAsia="Arial" w:hAnsi="Arial"/>
                <w:sz w:val="18"/>
                <w:szCs w:val="18"/>
                <w:color w:val="auto"/>
              </w:rPr>
              <w:t>The Company’s capital structure includes the following:</w:t>
            </w:r>
          </w:p>
        </w:tc>
        <w:tc>
          <w:tcPr>
            <w:tcW w:w="3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2"/>
        </w:trPr>
        <w:tc>
          <w:tcPr>
            <w:tcW w:w="568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31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 2025</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37"/>
        </w:trPr>
        <w:tc>
          <w:tcPr>
            <w:tcW w:w="5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291"/>
        </w:trPr>
        <w:tc>
          <w:tcPr>
            <w:tcW w:w="5680" w:type="dxa"/>
            <w:vAlign w:val="bottom"/>
          </w:tcPr>
          <w:p>
            <w:pPr>
              <w:spacing w:after="0"/>
              <w:rPr>
                <w:sz w:val="24"/>
                <w:szCs w:val="24"/>
                <w:color w:val="auto"/>
              </w:rPr>
            </w:pPr>
          </w:p>
        </w:tc>
        <w:tc>
          <w:tcPr>
            <w:tcW w:w="31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56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8"/>
                <w:szCs w:val="18"/>
                <w:color w:val="auto"/>
              </w:rPr>
              <w:t>Shareholders’ equity comprised of:</w:t>
            </w:r>
          </w:p>
        </w:tc>
        <w:tc>
          <w:tcPr>
            <w:tcW w:w="3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Share capital</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482,732</w:t>
            </w:r>
          </w:p>
        </w:tc>
        <w:tc>
          <w:tcPr>
            <w:tcW w:w="1680" w:type="dxa"/>
            <w:vAlign w:val="bottom"/>
          </w:tcPr>
          <w:p>
            <w:pPr>
              <w:jc w:val="right"/>
              <w:spacing w:after="0"/>
              <w:rPr>
                <w:sz w:val="20"/>
                <w:szCs w:val="20"/>
                <w:color w:val="auto"/>
              </w:rPr>
            </w:pPr>
            <w:r>
              <w:rPr>
                <w:rFonts w:ascii="Arial" w:cs="Arial" w:eastAsia="Arial" w:hAnsi="Arial"/>
                <w:sz w:val="18"/>
                <w:szCs w:val="18"/>
                <w:color w:val="auto"/>
              </w:rPr>
              <w:t>344,949</w:t>
            </w: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33,006</w:t>
            </w:r>
          </w:p>
        </w:tc>
        <w:tc>
          <w:tcPr>
            <w:tcW w:w="1680" w:type="dxa"/>
            <w:vAlign w:val="bottom"/>
          </w:tcPr>
          <w:p>
            <w:pPr>
              <w:jc w:val="right"/>
              <w:spacing w:after="0"/>
              <w:rPr>
                <w:sz w:val="20"/>
                <w:szCs w:val="20"/>
                <w:color w:val="auto"/>
              </w:rPr>
            </w:pPr>
            <w:r>
              <w:rPr>
                <w:rFonts w:ascii="Arial" w:cs="Arial" w:eastAsia="Arial" w:hAnsi="Arial"/>
                <w:sz w:val="18"/>
                <w:szCs w:val="18"/>
                <w:color w:val="auto"/>
              </w:rPr>
              <w:t>32,626</w:t>
            </w: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Pre-Funded Warrants</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24,842</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Restricted share unit reserve</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3,763</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Options reserve</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33,059</w:t>
            </w:r>
          </w:p>
        </w:tc>
        <w:tc>
          <w:tcPr>
            <w:tcW w:w="1680" w:type="dxa"/>
            <w:vAlign w:val="bottom"/>
          </w:tcPr>
          <w:p>
            <w:pPr>
              <w:jc w:val="right"/>
              <w:spacing w:after="0"/>
              <w:rPr>
                <w:sz w:val="20"/>
                <w:szCs w:val="20"/>
                <w:color w:val="auto"/>
              </w:rPr>
            </w:pPr>
            <w:r>
              <w:rPr>
                <w:rFonts w:ascii="Arial" w:cs="Arial" w:eastAsia="Arial" w:hAnsi="Arial"/>
                <w:sz w:val="18"/>
                <w:szCs w:val="18"/>
                <w:color w:val="auto"/>
              </w:rPr>
              <w:t>36,262</w:t>
            </w: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Warrants reserve</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38,205</w:t>
            </w:r>
          </w:p>
        </w:tc>
        <w:tc>
          <w:tcPr>
            <w:tcW w:w="1680" w:type="dxa"/>
            <w:vAlign w:val="bottom"/>
          </w:tcPr>
          <w:p>
            <w:pPr>
              <w:jc w:val="right"/>
              <w:spacing w:after="0"/>
              <w:rPr>
                <w:sz w:val="20"/>
                <w:szCs w:val="20"/>
                <w:color w:val="auto"/>
              </w:rPr>
            </w:pPr>
            <w:r>
              <w:rPr>
                <w:rFonts w:ascii="Arial" w:cs="Arial" w:eastAsia="Arial" w:hAnsi="Arial"/>
                <w:sz w:val="18"/>
                <w:szCs w:val="18"/>
                <w:color w:val="auto"/>
              </w:rPr>
              <w:t>20,493</w:t>
            </w: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3100" w:type="dxa"/>
            <w:vAlign w:val="bottom"/>
          </w:tcPr>
          <w:p>
            <w:pPr>
              <w:jc w:val="right"/>
              <w:ind w:right="170"/>
              <w:spacing w:after="0"/>
              <w:rPr>
                <w:sz w:val="20"/>
                <w:szCs w:val="20"/>
                <w:color w:val="auto"/>
              </w:rPr>
            </w:pPr>
            <w:r>
              <w:rPr>
                <w:rFonts w:ascii="Arial" w:cs="Arial" w:eastAsia="Arial" w:hAnsi="Arial"/>
                <w:sz w:val="18"/>
                <w:szCs w:val="18"/>
                <w:b w:val="1"/>
                <w:bCs w:val="1"/>
                <w:color w:val="auto"/>
              </w:rPr>
              <w:t>867</w:t>
            </w:r>
          </w:p>
        </w:tc>
        <w:tc>
          <w:tcPr>
            <w:tcW w:w="1680" w:type="dxa"/>
            <w:vAlign w:val="bottom"/>
          </w:tcPr>
          <w:p>
            <w:pPr>
              <w:jc w:val="right"/>
              <w:spacing w:after="0"/>
              <w:rPr>
                <w:sz w:val="20"/>
                <w:szCs w:val="20"/>
                <w:color w:val="auto"/>
              </w:rPr>
            </w:pPr>
            <w:r>
              <w:rPr>
                <w:rFonts w:ascii="Arial" w:cs="Arial" w:eastAsia="Arial" w:hAnsi="Arial"/>
                <w:sz w:val="18"/>
                <w:szCs w:val="18"/>
                <w:color w:val="auto"/>
              </w:rPr>
              <w:t>(13,940)</w:t>
            </w:r>
          </w:p>
        </w:tc>
      </w:tr>
      <w:tr>
        <w:trPr>
          <w:trHeight w:val="235"/>
        </w:trPr>
        <w:tc>
          <w:tcPr>
            <w:tcW w:w="5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Deficit</w:t>
            </w:r>
          </w:p>
        </w:tc>
        <w:tc>
          <w:tcPr>
            <w:tcW w:w="3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(342,540)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(255,393)</w:t>
            </w:r>
          </w:p>
        </w:tc>
      </w:tr>
      <w:tr>
        <w:trPr>
          <w:trHeight w:val="223"/>
        </w:trPr>
        <w:tc>
          <w:tcPr>
            <w:tcW w:w="5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273,934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164,997</w:t>
            </w:r>
          </w:p>
        </w:tc>
      </w:tr>
    </w:tbl>
    <w:p>
      <w:pPr>
        <w:spacing w:after="0" w:line="200" w:lineRule="exact"/>
        <w:rPr>
          <w:sz w:val="20"/>
          <w:szCs w:val="20"/>
          <w:color w:val="auto"/>
        </w:rPr>
      </w:pPr>
    </w:p>
    <w:p>
      <w:pPr>
        <w:spacing w:after="0" w:line="308"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2D5F91"/>
        </w:rPr>
      </w:pPr>
      <w:r>
        <w:rPr>
          <w:rFonts w:ascii="Arial" w:cs="Arial" w:eastAsia="Arial" w:hAnsi="Arial"/>
          <w:sz w:val="18"/>
          <w:szCs w:val="18"/>
          <w:b w:val="1"/>
          <w:bCs w:val="1"/>
          <w:color w:val="2D5F91"/>
        </w:rPr>
        <w:t>FINANCIAL INSTRUMENTS</w:t>
      </w:r>
    </w:p>
    <w:p>
      <w:pPr>
        <w:spacing w:after="0" w:line="212"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The Company’s financial instruments are exposed to certain financial risks, which include currency risk, credit risk, liquidity risk and interest rate risk.</w:t>
      </w:r>
    </w:p>
    <w:p>
      <w:pPr>
        <w:spacing w:after="0" w:line="112" w:lineRule="exact"/>
        <w:rPr>
          <w:sz w:val="20"/>
          <w:szCs w:val="20"/>
          <w:color w:val="auto"/>
        </w:rPr>
      </w:pPr>
    </w:p>
    <w:tbl>
      <w:tblPr>
        <w:tblLayout w:type="fixed"/>
        <w:tblInd w:w="332"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r>
              <w:rPr>
                <w:rFonts w:ascii="Arial" w:cs="Arial" w:eastAsia="Arial" w:hAnsi="Arial"/>
                <w:sz w:val="18"/>
                <w:szCs w:val="18"/>
                <w:color w:val="auto"/>
              </w:rPr>
              <w:t>The Company has classified its financial instruments as follows:</w:t>
            </w:r>
          </w:p>
        </w:tc>
        <w:tc>
          <w:tcPr>
            <w:tcW w:w="27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2"/>
        </w:trPr>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27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 2025</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37"/>
        </w:trPr>
        <w:tc>
          <w:tcPr>
            <w:tcW w:w="6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i w:val="1"/>
                <w:iCs w:val="1"/>
                <w:color w:val="auto"/>
              </w:rPr>
              <w:t>Restated - Note 2</w:t>
            </w:r>
          </w:p>
        </w:tc>
      </w:tr>
      <w:tr>
        <w:trPr>
          <w:trHeight w:val="291"/>
        </w:trPr>
        <w:tc>
          <w:tcPr>
            <w:tcW w:w="6020" w:type="dxa"/>
            <w:vAlign w:val="bottom"/>
          </w:tcPr>
          <w:p>
            <w:pPr>
              <w:spacing w:after="0"/>
              <w:rPr>
                <w:sz w:val="24"/>
                <w:szCs w:val="24"/>
                <w:color w:val="auto"/>
              </w:rPr>
            </w:pPr>
          </w:p>
        </w:tc>
        <w:tc>
          <w:tcPr>
            <w:tcW w:w="27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5"/>
        </w:trPr>
        <w:tc>
          <w:tcPr>
            <w:tcW w:w="60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18"/>
        </w:trPr>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fair value:</w:t>
            </w:r>
          </w:p>
        </w:tc>
        <w:tc>
          <w:tcPr>
            <w:tcW w:w="2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6020" w:type="dxa"/>
            <w:vAlign w:val="bottom"/>
          </w:tcPr>
          <w:p>
            <w:pPr>
              <w:ind w:left="160"/>
              <w:spacing w:after="0"/>
              <w:rPr>
                <w:sz w:val="20"/>
                <w:szCs w:val="20"/>
                <w:color w:val="auto"/>
              </w:rPr>
            </w:pPr>
            <w:r>
              <w:rPr>
                <w:rFonts w:ascii="Arial" w:cs="Arial" w:eastAsia="Arial" w:hAnsi="Arial"/>
                <w:sz w:val="18"/>
                <w:szCs w:val="18"/>
                <w:color w:val="auto"/>
              </w:rPr>
              <w:t>Cash</w:t>
            </w:r>
          </w:p>
        </w:tc>
        <w:tc>
          <w:tcPr>
            <w:tcW w:w="2780" w:type="dxa"/>
            <w:vAlign w:val="bottom"/>
          </w:tcPr>
          <w:p>
            <w:pPr>
              <w:jc w:val="right"/>
              <w:ind w:right="170"/>
              <w:spacing w:after="0"/>
              <w:rPr>
                <w:sz w:val="20"/>
                <w:szCs w:val="20"/>
                <w:color w:val="auto"/>
              </w:rPr>
            </w:pPr>
            <w:r>
              <w:rPr>
                <w:rFonts w:ascii="Arial" w:cs="Arial" w:eastAsia="Arial" w:hAnsi="Arial"/>
                <w:sz w:val="18"/>
                <w:szCs w:val="18"/>
                <w:b w:val="1"/>
                <w:bCs w:val="1"/>
                <w:color w:val="auto"/>
              </w:rPr>
              <w:t>195,128</w:t>
            </w:r>
          </w:p>
        </w:tc>
        <w:tc>
          <w:tcPr>
            <w:tcW w:w="1660" w:type="dxa"/>
            <w:vAlign w:val="bottom"/>
          </w:tcPr>
          <w:p>
            <w:pPr>
              <w:jc w:val="right"/>
              <w:spacing w:after="0"/>
              <w:rPr>
                <w:sz w:val="20"/>
                <w:szCs w:val="20"/>
                <w:color w:val="auto"/>
              </w:rPr>
            </w:pPr>
            <w:r>
              <w:rPr>
                <w:rFonts w:ascii="Arial" w:cs="Arial" w:eastAsia="Arial" w:hAnsi="Arial"/>
                <w:sz w:val="18"/>
                <w:szCs w:val="18"/>
                <w:color w:val="auto"/>
              </w:rPr>
              <w:t>93,922</w:t>
            </w:r>
          </w:p>
        </w:tc>
      </w:tr>
      <w:tr>
        <w:trPr>
          <w:trHeight w:val="230"/>
        </w:trPr>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amortized cost:</w:t>
            </w:r>
          </w:p>
        </w:tc>
        <w:tc>
          <w:tcPr>
            <w:tcW w:w="27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60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780" w:type="dxa"/>
            <w:vAlign w:val="bottom"/>
          </w:tcPr>
          <w:p>
            <w:pPr>
              <w:jc w:val="right"/>
              <w:ind w:right="170"/>
              <w:spacing w:after="0"/>
              <w:rPr>
                <w:sz w:val="20"/>
                <w:szCs w:val="20"/>
                <w:color w:val="auto"/>
              </w:rPr>
            </w:pPr>
            <w:r>
              <w:rPr>
                <w:rFonts w:ascii="Arial" w:cs="Arial" w:eastAsia="Arial" w:hAnsi="Arial"/>
                <w:sz w:val="18"/>
                <w:szCs w:val="18"/>
                <w:b w:val="1"/>
                <w:bCs w:val="1"/>
                <w:color w:val="auto"/>
              </w:rPr>
              <w:t>590</w:t>
            </w:r>
          </w:p>
        </w:tc>
        <w:tc>
          <w:tcPr>
            <w:tcW w:w="16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6020" w:type="dxa"/>
            <w:vAlign w:val="bottom"/>
          </w:tcPr>
          <w:p>
            <w:pPr>
              <w:ind w:left="60"/>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27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5"/>
        </w:trPr>
        <w:tc>
          <w:tcPr>
            <w:tcW w:w="6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16,178</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r>
    </w:tbl>
    <w:p>
      <w:pPr>
        <w:spacing w:after="0" w:line="26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carrying value of the Company’s financial instruments approximate their fair value.</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Fair value hierarchy of financial instruments</w:t>
      </w:r>
    </w:p>
    <w:p>
      <w:pPr>
        <w:spacing w:after="0" w:line="212"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The Company has categorized its financial instruments that are carried at fair value, based on the priority of the inputs to the valuation techniques used to measure fair value, into a three-level fair value hierarchy as follows:</w:t>
      </w:r>
    </w:p>
    <w:p>
      <w:pPr>
        <w:sectPr>
          <w:pgSz w:w="11900" w:h="16838" w:orient="portrait"/>
          <w:cols w:equalWidth="0" w:num="1">
            <w:col w:w="11232"/>
          </w:cols>
          <w:pgMar w:left="328"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Page 27 of 30</w:t>
      </w:r>
    </w:p>
    <w:p>
      <w:pPr>
        <w:sectPr>
          <w:pgSz w:w="11900" w:h="16838" w:orient="portrait"/>
          <w:cols w:equalWidth="0" w:num="1">
            <w:col w:w="11232"/>
          </w:cols>
          <w:pgMar w:left="328" w:top="23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60"/>
        <w:spacing w:after="0" w:line="334" w:lineRule="auto"/>
        <w:rPr>
          <w:sz w:val="20"/>
          <w:szCs w:val="20"/>
          <w:color w:val="auto"/>
        </w:rPr>
      </w:pPr>
      <w:r>
        <w:rPr>
          <w:rFonts w:ascii="Arial" w:cs="Arial" w:eastAsia="Arial" w:hAnsi="Arial"/>
          <w:sz w:val="18"/>
          <w:szCs w:val="18"/>
          <w:color w:val="auto"/>
        </w:rPr>
        <w:t>Level 1: Fair value is based on unadjusted quoted prices for identical assets or liabilities in an active market. The types of assets and liabilities classified as Level 1 generally included cash.</w:t>
      </w:r>
    </w:p>
    <w:p>
      <w:pPr>
        <w:spacing w:after="0" w:line="112"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35" w:lineRule="exact"/>
        <w:rPr>
          <w:sz w:val="20"/>
          <w:szCs w:val="20"/>
          <w:color w:val="auto"/>
        </w:rPr>
      </w:pPr>
    </w:p>
    <w:p>
      <w:pPr>
        <w:jc w:val="both"/>
        <w:ind w:left="260"/>
        <w:spacing w:after="0" w:line="308" w:lineRule="auto"/>
        <w:rPr>
          <w:sz w:val="20"/>
          <w:szCs w:val="20"/>
          <w:color w:val="auto"/>
        </w:rPr>
      </w:pPr>
      <w:r>
        <w:rPr>
          <w:rFonts w:ascii="Arial" w:cs="Arial" w:eastAsia="Arial" w:hAnsi="Arial"/>
          <w:sz w:val="18"/>
          <w:szCs w:val="18"/>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Convertible Debentures were classified as Level 3, refer to note 6 for further details.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transfers between levels of the fair value hierarchy for the nine months ended December 31, 2025.</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Day 1 gains/losses</w:t>
      </w:r>
    </w:p>
    <w:p>
      <w:pPr>
        <w:spacing w:after="0" w:line="225"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Upon acquisition of a financial instrument, the Company measures its fair value and compares this to the acquisition price. The difference is recognized as a gain or loss only if fair value is based on a quoted price in an active market or based on a valuation technique that uses only data from observable markets. As at December 31, 2025, the Company had recognized the entire day 1 loss on the Convertible Debentures.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risk</w:t>
      </w:r>
    </w:p>
    <w:p>
      <w:pPr>
        <w:spacing w:after="0" w:line="212" w:lineRule="exact"/>
        <w:rPr>
          <w:sz w:val="20"/>
          <w:szCs w:val="20"/>
          <w:color w:val="auto"/>
        </w:rPr>
      </w:pPr>
    </w:p>
    <w:p>
      <w:pPr>
        <w:jc w:val="both"/>
        <w:ind w:left="260"/>
        <w:spacing w:after="0" w:line="325" w:lineRule="auto"/>
        <w:rPr>
          <w:sz w:val="20"/>
          <w:szCs w:val="20"/>
          <w:color w:val="auto"/>
        </w:rPr>
      </w:pPr>
      <w:r>
        <w:rPr>
          <w:rFonts w:ascii="Arial" w:cs="Arial" w:eastAsia="Arial" w:hAnsi="Arial"/>
          <w:sz w:val="18"/>
          <w:szCs w:val="18"/>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creditworthiness. As at December 31, 2025 the Company’s maximum exposure to credit risk is the carrying value of its financial assets.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Liquidity risk</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Liquidity risk is the risk that an entity will encounter difficulty in raising funds to meet commitments associated with financial instruments.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manages liquidity by maintaining adequate cash balances to meet liabilities as they become due.</w:t>
      </w:r>
    </w:p>
    <w:p>
      <w:pPr>
        <w:spacing w:after="0" w:line="225" w:lineRule="exact"/>
        <w:rPr>
          <w:sz w:val="20"/>
          <w:szCs w:val="20"/>
          <w:color w:val="auto"/>
        </w:rPr>
      </w:pPr>
    </w:p>
    <w:p>
      <w:pPr>
        <w:jc w:val="both"/>
        <w:ind w:left="260" w:right="20"/>
        <w:spacing w:after="0" w:line="308" w:lineRule="auto"/>
        <w:rPr>
          <w:sz w:val="20"/>
          <w:szCs w:val="20"/>
          <w:color w:val="auto"/>
        </w:rPr>
      </w:pPr>
      <w:r>
        <w:rPr>
          <w:rFonts w:ascii="Arial" w:cs="Arial" w:eastAsia="Arial" w:hAnsi="Arial"/>
          <w:sz w:val="18"/>
          <w:szCs w:val="18"/>
          <w:color w:val="auto"/>
        </w:rPr>
        <w:t>As at December 31, 2025, the Company had cash of $195,128 (March 31, 2025 - $93,922) in order to meet current liabilities. Current liabilities include accounts payable and accrued liabilities of $16,178 (March 31, 2025 - $14,900). All amounts are due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28 of 30</w:t>
      </w:r>
    </w:p>
    <w:p>
      <w:pPr>
        <w:sectPr>
          <w:pgSz w:w="11900" w:h="16838" w:orient="portrait"/>
          <w:cols w:equalWidth="0" w:num="1">
            <w:col w:w="11160"/>
          </w:cols>
          <w:pgMar w:left="400" w:top="233" w:right="339" w:bottom="1440" w:gutter="0" w:footer="0" w:header="0"/>
        </w:sectPr>
      </w:pPr>
    </w:p>
    <w:bookmarkStart w:id="31" w:name="page32"/>
    <w:bookmarkEnd w:id="31"/>
    <w:p>
      <w:pPr>
        <w:ind w:left="72"/>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72"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left="72"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Liability</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Due within 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Due between 1</w:t>
            </w:r>
          </w:p>
        </w:tc>
        <w:tc>
          <w:tcPr>
            <w:tcW w:w="1860" w:type="dxa"/>
            <w:vAlign w:val="bottom"/>
          </w:tcPr>
          <w:p>
            <w:pPr>
              <w:jc w:val="right"/>
              <w:ind w:right="370"/>
              <w:spacing w:after="0"/>
              <w:rPr>
                <w:sz w:val="20"/>
                <w:szCs w:val="20"/>
                <w:color w:val="auto"/>
              </w:rPr>
            </w:pPr>
            <w:r>
              <w:rPr>
                <w:rFonts w:ascii="Arial" w:cs="Arial" w:eastAsia="Arial" w:hAnsi="Arial"/>
                <w:sz w:val="18"/>
                <w:szCs w:val="18"/>
                <w:b w:val="1"/>
                <w:bCs w:val="1"/>
                <w:color w:val="auto"/>
              </w:rPr>
              <w:t>Due between 2</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00" w:type="dxa"/>
            <w:vAlign w:val="bottom"/>
            <w:vMerge w:val="continue"/>
          </w:tcPr>
          <w:p>
            <w:pPr>
              <w:spacing w:after="0"/>
              <w:rPr>
                <w:sz w:val="19"/>
                <w:szCs w:val="19"/>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and 2 years</w:t>
            </w:r>
          </w:p>
        </w:tc>
        <w:tc>
          <w:tcPr>
            <w:tcW w:w="1860" w:type="dxa"/>
            <w:vAlign w:val="bottom"/>
          </w:tcPr>
          <w:p>
            <w:pPr>
              <w:jc w:val="right"/>
              <w:ind w:right="370"/>
              <w:spacing w:after="0"/>
              <w:rPr>
                <w:sz w:val="20"/>
                <w:szCs w:val="20"/>
                <w:color w:val="auto"/>
              </w:rPr>
            </w:pPr>
            <w:r>
              <w:rPr>
                <w:rFonts w:ascii="Arial" w:cs="Arial" w:eastAsia="Arial" w:hAnsi="Arial"/>
                <w:sz w:val="18"/>
                <w:szCs w:val="18"/>
                <w:b w:val="1"/>
                <w:bCs w:val="1"/>
                <w:color w:val="auto"/>
              </w:rPr>
              <w:t>and 5 years</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16,178</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16,178</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16,178</w:t>
            </w:r>
          </w:p>
        </w:tc>
        <w:tc>
          <w:tcPr>
            <w:tcW w:w="0" w:type="dxa"/>
            <w:vAlign w:val="bottom"/>
          </w:tcPr>
          <w:p>
            <w:pPr>
              <w:spacing w:after="0"/>
              <w:rPr>
                <w:sz w:val="1"/>
                <w:szCs w:val="1"/>
                <w:color w:val="auto"/>
              </w:rPr>
            </w:pPr>
          </w:p>
        </w:tc>
      </w:tr>
      <w:tr>
        <w:trPr>
          <w:trHeight w:val="505"/>
        </w:trPr>
        <w:tc>
          <w:tcPr>
            <w:tcW w:w="4000" w:type="dxa"/>
            <w:vAlign w:val="bottom"/>
          </w:tcPr>
          <w:p>
            <w:pPr>
              <w:spacing w:after="0"/>
              <w:rPr>
                <w:sz w:val="20"/>
                <w:szCs w:val="20"/>
                <w:color w:val="auto"/>
              </w:rPr>
            </w:pPr>
            <w:r>
              <w:rPr>
                <w:rFonts w:ascii="Arial" w:cs="Arial" w:eastAsia="Arial" w:hAnsi="Arial"/>
                <w:sz w:val="18"/>
                <w:szCs w:val="18"/>
                <w:b w:val="1"/>
                <w:bCs w:val="1"/>
                <w:color w:val="auto"/>
              </w:rPr>
              <w:t>Market risk</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significant market risks to which the Company is exposed are interest rate risk and currency risk.</w:t>
      </w:r>
    </w:p>
    <w:p>
      <w:pPr>
        <w:spacing w:after="0" w:line="227" w:lineRule="exact"/>
        <w:rPr>
          <w:sz w:val="20"/>
          <w:szCs w:val="20"/>
          <w:color w:val="auto"/>
        </w:rPr>
      </w:pPr>
    </w:p>
    <w:p>
      <w:pPr>
        <w:ind w:left="332"/>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3" w:lineRule="exact"/>
        <w:rPr>
          <w:sz w:val="20"/>
          <w:szCs w:val="20"/>
          <w:color w:val="auto"/>
        </w:rPr>
      </w:pPr>
    </w:p>
    <w:p>
      <w:pPr>
        <w:jc w:val="both"/>
        <w:ind w:left="332"/>
        <w:spacing w:after="0" w:line="299" w:lineRule="auto"/>
        <w:rPr>
          <w:sz w:val="20"/>
          <w:szCs w:val="20"/>
          <w:color w:val="auto"/>
        </w:rPr>
      </w:pPr>
      <w:r>
        <w:rPr>
          <w:rFonts w:ascii="Arial" w:cs="Arial" w:eastAsia="Arial" w:hAnsi="Arial"/>
          <w:sz w:val="18"/>
          <w:szCs w:val="18"/>
          <w:color w:val="auto"/>
        </w:rPr>
        <w:t>Interest rate risk is the risk that the fair value or the future cash flows of a financial instrument will fluctuate because of changes in market interest rates. In seeking to minimize the risks from interest rate fluctuations, the Company manages exposure through its normal operating and financing activities. Assuming that all other variables remain constant, as at December 31, 2025, a 1% decline on the interest rate generated on cash would have resulted in a reduction of interest income of $1,885 over a one-year period.</w:t>
      </w:r>
    </w:p>
    <w:p>
      <w:pPr>
        <w:spacing w:after="0" w:line="145" w:lineRule="exact"/>
        <w:rPr>
          <w:sz w:val="20"/>
          <w:szCs w:val="20"/>
          <w:color w:val="auto"/>
        </w:rPr>
      </w:pPr>
    </w:p>
    <w:p>
      <w:pPr>
        <w:ind w:left="332"/>
        <w:spacing w:after="0"/>
        <w:rPr>
          <w:sz w:val="20"/>
          <w:szCs w:val="20"/>
          <w:color w:val="auto"/>
        </w:rPr>
      </w:pPr>
      <w:r>
        <w:rPr>
          <w:rFonts w:ascii="Arial" w:cs="Arial" w:eastAsia="Arial" w:hAnsi="Arial"/>
          <w:sz w:val="18"/>
          <w:szCs w:val="18"/>
          <w:i w:val="1"/>
          <w:iCs w:val="1"/>
          <w:u w:val="single" w:color="auto"/>
          <w:color w:val="auto"/>
        </w:rPr>
        <w:t>Currency risk</w:t>
      </w:r>
    </w:p>
    <w:p>
      <w:pPr>
        <w:spacing w:after="0" w:line="223" w:lineRule="exact"/>
        <w:rPr>
          <w:sz w:val="20"/>
          <w:szCs w:val="20"/>
          <w:color w:val="auto"/>
        </w:rPr>
      </w:pPr>
    </w:p>
    <w:p>
      <w:pPr>
        <w:jc w:val="both"/>
        <w:ind w:left="332"/>
        <w:spacing w:after="0" w:line="308" w:lineRule="auto"/>
        <w:rPr>
          <w:sz w:val="20"/>
          <w:szCs w:val="20"/>
          <w:color w:val="auto"/>
        </w:rPr>
      </w:pPr>
      <w:r>
        <w:rPr>
          <w:rFonts w:ascii="Arial" w:cs="Arial" w:eastAsia="Arial" w:hAnsi="Arial"/>
          <w:sz w:val="18"/>
          <w:szCs w:val="18"/>
          <w:color w:val="auto"/>
        </w:rPr>
        <w:t>The Company is exposed to currency risk to the extent that monetary operational expenses are denominated in USD, CAD, EUR and GBP while the functional currency of USD is used for reporting. The Company has not entered into any foreign currency contracts to mitigate this risk.</w:t>
      </w:r>
    </w:p>
    <w:p>
      <w:pPr>
        <w:spacing w:after="0" w:line="135" w:lineRule="exact"/>
        <w:rPr>
          <w:sz w:val="20"/>
          <w:szCs w:val="20"/>
          <w:color w:val="auto"/>
        </w:rPr>
      </w:pPr>
    </w:p>
    <w:p>
      <w:pPr>
        <w:jc w:val="both"/>
        <w:ind w:left="332"/>
        <w:spacing w:after="0" w:line="334" w:lineRule="auto"/>
        <w:rPr>
          <w:sz w:val="20"/>
          <w:szCs w:val="20"/>
          <w:color w:val="auto"/>
        </w:rPr>
      </w:pPr>
      <w:r>
        <w:rPr>
          <w:rFonts w:ascii="Arial" w:cs="Arial" w:eastAsia="Arial" w:hAnsi="Arial"/>
          <w:sz w:val="18"/>
          <w:szCs w:val="18"/>
          <w:color w:val="auto"/>
        </w:rPr>
        <w:t>At December 31, 2025 the Company had the following balances in monetary assets and monetary liabilities which are subject to fluctuation against USD:</w:t>
      </w:r>
    </w:p>
    <w:p>
      <w:pPr>
        <w:spacing w:after="0" w:line="180" w:lineRule="exact"/>
        <w:rPr>
          <w:sz w:val="20"/>
          <w:szCs w:val="20"/>
          <w:color w:val="auto"/>
        </w:rPr>
      </w:pPr>
    </w:p>
    <w:tbl>
      <w:tblPr>
        <w:tblLayout w:type="fixed"/>
        <w:tblInd w:w="332" w:type="dxa"/>
        <w:tblCellMar>
          <w:top w:w="0" w:type="dxa"/>
          <w:left w:w="0" w:type="dxa"/>
          <w:bottom w:w="0" w:type="dxa"/>
          <w:right w:w="0" w:type="dxa"/>
        </w:tblCellMar>
      </w:tblPr>
      <w:tr>
        <w:trPr>
          <w:trHeight w:val="27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Denominated in:</w:t>
            </w:r>
          </w:p>
        </w:tc>
        <w:tc>
          <w:tcPr>
            <w:tcW w:w="2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CAD $000s</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GBP 000s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EUR 000s</w:t>
            </w:r>
          </w:p>
        </w:tc>
      </w:tr>
      <w:tr>
        <w:trPr>
          <w:trHeight w:val="218"/>
        </w:trPr>
        <w:tc>
          <w:tcPr>
            <w:tcW w:w="5220" w:type="dxa"/>
            <w:vAlign w:val="bottom"/>
          </w:tcPr>
          <w:p>
            <w:pPr>
              <w:ind w:left="20"/>
              <w:spacing w:after="0"/>
              <w:rPr>
                <w:sz w:val="20"/>
                <w:szCs w:val="20"/>
                <w:color w:val="auto"/>
              </w:rPr>
            </w:pPr>
            <w:r>
              <w:rPr>
                <w:rFonts w:ascii="Arial" w:cs="Arial" w:eastAsia="Arial" w:hAnsi="Arial"/>
                <w:sz w:val="18"/>
                <w:szCs w:val="18"/>
                <w:color w:val="auto"/>
              </w:rPr>
              <w:t>Cash</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731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572</w:t>
            </w:r>
          </w:p>
        </w:tc>
        <w:tc>
          <w:tcPr>
            <w:tcW w:w="10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(1,883)</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8"/>
        </w:trPr>
        <w:tc>
          <w:tcPr>
            <w:tcW w:w="5220" w:type="dxa"/>
            <w:vAlign w:val="bottom"/>
          </w:tcPr>
          <w:p>
            <w:pPr>
              <w:spacing w:after="0"/>
              <w:rPr>
                <w:sz w:val="18"/>
                <w:szCs w:val="18"/>
                <w:color w:val="auto"/>
              </w:rPr>
            </w:pPr>
          </w:p>
        </w:tc>
        <w:tc>
          <w:tcPr>
            <w:tcW w:w="2960" w:type="dxa"/>
            <w:vAlign w:val="bottom"/>
          </w:tcPr>
          <w:p>
            <w:pPr>
              <w:jc w:val="right"/>
              <w:ind w:right="90"/>
              <w:spacing w:after="0"/>
              <w:rPr>
                <w:sz w:val="20"/>
                <w:szCs w:val="20"/>
                <w:color w:val="auto"/>
              </w:rPr>
            </w:pPr>
            <w:r>
              <w:rPr>
                <w:rFonts w:ascii="Arial" w:cs="Arial" w:eastAsia="Arial" w:hAnsi="Arial"/>
                <w:sz w:val="18"/>
                <w:szCs w:val="18"/>
                <w:b w:val="1"/>
                <w:bCs w:val="1"/>
                <w:color w:val="auto"/>
              </w:rPr>
              <w:t>(1,152)</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r>
      <w:tr>
        <w:trPr>
          <w:trHeight w:val="23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Exchange rate</w:t>
            </w:r>
          </w:p>
        </w:tc>
        <w:tc>
          <w:tcPr>
            <w:tcW w:w="2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0.7296</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1.3491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1.1763</w:t>
            </w: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Equivalent in United States dollars</w:t>
            </w:r>
          </w:p>
        </w:tc>
        <w:tc>
          <w:tcPr>
            <w:tcW w:w="2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(840)</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244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Impact of 10% change in exchange rate</w:t>
            </w:r>
          </w:p>
        </w:tc>
        <w:tc>
          <w:tcPr>
            <w:tcW w:w="2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(84)</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r>
    </w:tbl>
    <w:p>
      <w:pPr>
        <w:spacing w:after="0" w:line="29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Such analysis excludes any indirect economic or geo-political effects of such currency fluctuations.</w:t>
      </w:r>
    </w:p>
    <w:p>
      <w:pPr>
        <w:spacing w:after="0" w:line="185" w:lineRule="exact"/>
        <w:rPr>
          <w:sz w:val="20"/>
          <w:szCs w:val="20"/>
          <w:color w:val="auto"/>
        </w:rPr>
      </w:pPr>
    </w:p>
    <w:p>
      <w:pPr>
        <w:ind w:left="292" w:hanging="292"/>
        <w:spacing w:after="0"/>
        <w:tabs>
          <w:tab w:leader="none" w:pos="292" w:val="left"/>
        </w:tabs>
        <w:numPr>
          <w:ilvl w:val="0"/>
          <w:numId w:val="18"/>
        </w:numPr>
        <w:rPr>
          <w:rFonts w:ascii="Arial" w:cs="Arial" w:eastAsia="Arial" w:hAnsi="Arial"/>
          <w:sz w:val="18"/>
          <w:szCs w:val="18"/>
          <w:b w:val="1"/>
          <w:bCs w:val="1"/>
          <w:color w:val="2D5F91"/>
        </w:rPr>
      </w:pPr>
      <w:r>
        <w:rPr>
          <w:rFonts w:ascii="Arial" w:cs="Arial" w:eastAsia="Arial" w:hAnsi="Arial"/>
          <w:sz w:val="18"/>
          <w:szCs w:val="18"/>
          <w:b w:val="1"/>
          <w:bCs w:val="1"/>
          <w:color w:val="2D5F91"/>
        </w:rPr>
        <w:t>SUBSEQUENT EVENTS</w:t>
      </w:r>
    </w:p>
    <w:p>
      <w:pPr>
        <w:spacing w:after="0" w:line="225" w:lineRule="exact"/>
        <w:rPr>
          <w:rFonts w:ascii="Arial" w:cs="Arial" w:eastAsia="Arial" w:hAnsi="Arial"/>
          <w:sz w:val="18"/>
          <w:szCs w:val="18"/>
          <w:b w:val="1"/>
          <w:bCs w:val="1"/>
          <w:color w:val="2D5F91"/>
        </w:rPr>
      </w:pPr>
    </w:p>
    <w:p>
      <w:pPr>
        <w:ind w:left="532" w:hanging="208"/>
        <w:spacing w:after="0"/>
        <w:tabs>
          <w:tab w:leader="none" w:pos="532"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NASDAQ Listing and Doing Business As Helus Pharma</w:t>
      </w:r>
    </w:p>
    <w:p>
      <w:pPr>
        <w:spacing w:after="0" w:line="225" w:lineRule="exact"/>
        <w:rPr>
          <w:sz w:val="20"/>
          <w:szCs w:val="20"/>
          <w:color w:val="auto"/>
        </w:rPr>
      </w:pPr>
    </w:p>
    <w:p>
      <w:pPr>
        <w:ind w:left="332"/>
        <w:spacing w:after="0" w:line="318" w:lineRule="auto"/>
        <w:rPr>
          <w:sz w:val="20"/>
          <w:szCs w:val="20"/>
          <w:color w:val="auto"/>
        </w:rPr>
      </w:pPr>
      <w:r>
        <w:rPr>
          <w:rFonts w:ascii="Arial" w:cs="Arial" w:eastAsia="Arial" w:hAnsi="Arial"/>
          <w:sz w:val="18"/>
          <w:szCs w:val="18"/>
          <w:color w:val="auto"/>
        </w:rPr>
        <w:t>On January 5, 2026, the Company transferred its U.S. stock exchange listing from NYSE American (previous ticker: CYBN) to Nasdaq trading under the ticker symbol “HELP”. The Company continues to be listed on Cboe</w:t>
      </w:r>
    </w:p>
    <w:p>
      <w:pPr>
        <w:sectPr>
          <w:pgSz w:w="11900" w:h="16838" w:orient="portrait"/>
          <w:cols w:equalWidth="0" w:num="1">
            <w:col w:w="11232"/>
          </w:cols>
          <w:pgMar w:left="328"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Page 29 of 30</w:t>
      </w:r>
    </w:p>
    <w:p>
      <w:pPr>
        <w:sectPr>
          <w:pgSz w:w="11900" w:h="16838" w:orient="portrait"/>
          <w:cols w:equalWidth="0" w:num="1">
            <w:col w:w="11232"/>
          </w:cols>
          <w:pgMar w:left="328" w:top="23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right="2700"/>
        <w:spacing w:after="0" w:line="238" w:lineRule="auto"/>
        <w:rPr>
          <w:sz w:val="20"/>
          <w:szCs w:val="20"/>
          <w:color w:val="auto"/>
        </w:rPr>
      </w:pPr>
      <w:r>
        <w:rPr>
          <w:rFonts w:ascii="Arial" w:cs="Arial" w:eastAsia="Arial" w:hAnsi="Arial"/>
          <w:sz w:val="22"/>
          <w:szCs w:val="22"/>
          <w:b w:val="1"/>
          <w:bCs w:val="1"/>
          <w:color w:val="auto"/>
        </w:rPr>
        <w:t>NOTES TO THE CONDENSED INTERIM CONSOLIDATED FINANCIAL STATEMENTS December 31, 2025</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otherwise stated in CAD, Euros and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60"/>
        <w:spacing w:after="0" w:line="304" w:lineRule="auto"/>
        <w:rPr>
          <w:sz w:val="20"/>
          <w:szCs w:val="20"/>
          <w:color w:val="auto"/>
        </w:rPr>
      </w:pPr>
      <w:r>
        <w:rPr>
          <w:rFonts w:ascii="Arial" w:cs="Arial" w:eastAsia="Arial" w:hAnsi="Arial"/>
          <w:sz w:val="18"/>
          <w:szCs w:val="18"/>
          <w:color w:val="auto"/>
        </w:rPr>
        <w:t>Canada under the same “HELP” ticker symbol. Concurrent with the commencement of trading on Nasdaq, the Company commenced doing business as Helus (pronounced "Heal Us") Pharma. The Company plans to seek approval from shareholders to change its legal name to Helus Pharma Inc. at the Company's next annual and special meeting of shareholders. Furthermore, the following subsidiaries have changed their legal names:</w:t>
      </w: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Prior Name</w:t>
            </w:r>
          </w:p>
        </w:tc>
        <w:tc>
          <w:tcPr>
            <w:tcW w:w="35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New Name</w:t>
            </w:r>
          </w:p>
        </w:tc>
        <w:tc>
          <w:tcPr>
            <w:tcW w:w="41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Effective Date</w:t>
            </w:r>
          </w:p>
        </w:tc>
      </w:tr>
      <w:tr>
        <w:trPr>
          <w:trHeight w:val="218"/>
        </w:trPr>
        <w:tc>
          <w:tcPr>
            <w:tcW w:w="2820" w:type="dxa"/>
            <w:vAlign w:val="bottom"/>
          </w:tcPr>
          <w:p>
            <w:pPr>
              <w:ind w:left="20"/>
              <w:spacing w:after="0"/>
              <w:rPr>
                <w:sz w:val="20"/>
                <w:szCs w:val="20"/>
                <w:color w:val="auto"/>
              </w:rPr>
            </w:pPr>
            <w:r>
              <w:rPr>
                <w:rFonts w:ascii="Arial" w:cs="Arial" w:eastAsia="Arial" w:hAnsi="Arial"/>
                <w:sz w:val="18"/>
                <w:szCs w:val="18"/>
                <w:color w:val="auto"/>
              </w:rPr>
              <w:t>Cybin US Holdings Inc.</w:t>
            </w:r>
          </w:p>
        </w:tc>
        <w:tc>
          <w:tcPr>
            <w:tcW w:w="3500" w:type="dxa"/>
            <w:vAlign w:val="bottom"/>
          </w:tcPr>
          <w:p>
            <w:pPr>
              <w:ind w:left="680"/>
              <w:spacing w:after="0"/>
              <w:rPr>
                <w:sz w:val="20"/>
                <w:szCs w:val="20"/>
                <w:color w:val="auto"/>
              </w:rPr>
            </w:pPr>
            <w:r>
              <w:rPr>
                <w:rFonts w:ascii="Arial" w:cs="Arial" w:eastAsia="Arial" w:hAnsi="Arial"/>
                <w:sz w:val="18"/>
                <w:szCs w:val="18"/>
                <w:color w:val="auto"/>
              </w:rPr>
              <w:t>Helus US Inc.</w:t>
            </w:r>
          </w:p>
        </w:tc>
        <w:tc>
          <w:tcPr>
            <w:tcW w:w="4140" w:type="dxa"/>
            <w:vAlign w:val="bottom"/>
          </w:tcPr>
          <w:p>
            <w:pPr>
              <w:ind w:left="700"/>
              <w:spacing w:after="0"/>
              <w:rPr>
                <w:sz w:val="20"/>
                <w:szCs w:val="20"/>
                <w:color w:val="auto"/>
              </w:rPr>
            </w:pPr>
            <w:r>
              <w:rPr>
                <w:rFonts w:ascii="Arial" w:cs="Arial" w:eastAsia="Arial" w:hAnsi="Arial"/>
                <w:sz w:val="18"/>
                <w:szCs w:val="18"/>
                <w:color w:val="auto"/>
              </w:rPr>
              <w:t>January 2, 2026</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Cybin Corp.</w:t>
            </w:r>
          </w:p>
        </w:tc>
        <w:tc>
          <w:tcPr>
            <w:tcW w:w="3500" w:type="dxa"/>
            <w:vAlign w:val="bottom"/>
          </w:tcPr>
          <w:p>
            <w:pPr>
              <w:ind w:left="680"/>
              <w:spacing w:after="0"/>
              <w:rPr>
                <w:sz w:val="20"/>
                <w:szCs w:val="20"/>
                <w:color w:val="auto"/>
              </w:rPr>
            </w:pPr>
            <w:r>
              <w:rPr>
                <w:rFonts w:ascii="Arial" w:cs="Arial" w:eastAsia="Arial" w:hAnsi="Arial"/>
                <w:sz w:val="18"/>
                <w:szCs w:val="18"/>
                <w:color w:val="auto"/>
              </w:rPr>
              <w:t>Helus Pharma Corp.</w:t>
            </w:r>
          </w:p>
        </w:tc>
        <w:tc>
          <w:tcPr>
            <w:tcW w:w="4140" w:type="dxa"/>
            <w:vAlign w:val="bottom"/>
          </w:tcPr>
          <w:p>
            <w:pPr>
              <w:ind w:left="700"/>
              <w:spacing w:after="0"/>
              <w:rPr>
                <w:sz w:val="20"/>
                <w:szCs w:val="20"/>
                <w:color w:val="auto"/>
              </w:rPr>
            </w:pPr>
            <w:r>
              <w:rPr>
                <w:rFonts w:ascii="Arial" w:cs="Arial" w:eastAsia="Arial" w:hAnsi="Arial"/>
                <w:sz w:val="18"/>
                <w:szCs w:val="18"/>
                <w:color w:val="auto"/>
              </w:rPr>
              <w:t>January 5, 2026</w:t>
            </w: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Cybin International Limited</w:t>
            </w:r>
          </w:p>
        </w:tc>
        <w:tc>
          <w:tcPr>
            <w:tcW w:w="3500" w:type="dxa"/>
            <w:vAlign w:val="bottom"/>
          </w:tcPr>
          <w:p>
            <w:pPr>
              <w:ind w:left="680"/>
              <w:spacing w:after="0"/>
              <w:rPr>
                <w:sz w:val="20"/>
                <w:szCs w:val="20"/>
                <w:color w:val="auto"/>
              </w:rPr>
            </w:pPr>
            <w:r>
              <w:rPr>
                <w:rFonts w:ascii="Arial" w:cs="Arial" w:eastAsia="Arial" w:hAnsi="Arial"/>
                <w:sz w:val="18"/>
                <w:szCs w:val="18"/>
                <w:color w:val="auto"/>
              </w:rPr>
              <w:t>Helus International Limited</w:t>
            </w:r>
          </w:p>
        </w:tc>
        <w:tc>
          <w:tcPr>
            <w:tcW w:w="4140" w:type="dxa"/>
            <w:vAlign w:val="bottom"/>
          </w:tcPr>
          <w:p>
            <w:pPr>
              <w:ind w:left="700"/>
              <w:spacing w:after="0"/>
              <w:rPr>
                <w:sz w:val="20"/>
                <w:szCs w:val="20"/>
                <w:color w:val="auto"/>
              </w:rPr>
            </w:pPr>
            <w:r>
              <w:rPr>
                <w:rFonts w:ascii="Arial" w:cs="Arial" w:eastAsia="Arial" w:hAnsi="Arial"/>
                <w:sz w:val="18"/>
                <w:szCs w:val="18"/>
                <w:color w:val="auto"/>
              </w:rPr>
              <w:t>January 6, 2026</w:t>
            </w:r>
          </w:p>
        </w:tc>
      </w:tr>
    </w:tbl>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 Issuance of Restricted Share Units and Performance Share Units</w:t>
      </w:r>
    </w:p>
    <w:p>
      <w:pPr>
        <w:spacing w:after="0" w:line="225" w:lineRule="exact"/>
        <w:rPr>
          <w:sz w:val="20"/>
          <w:szCs w:val="20"/>
          <w:color w:val="auto"/>
        </w:rPr>
      </w:pPr>
    </w:p>
    <w:p>
      <w:pPr>
        <w:jc w:val="both"/>
        <w:ind w:left="260"/>
        <w:spacing w:after="0" w:line="248" w:lineRule="exact"/>
        <w:rPr>
          <w:sz w:val="20"/>
          <w:szCs w:val="20"/>
          <w:color w:val="auto"/>
        </w:rPr>
      </w:pPr>
      <w:r>
        <w:rPr>
          <w:rFonts w:ascii="Arial" w:cs="Arial" w:eastAsia="Arial" w:hAnsi="Arial"/>
          <w:sz w:val="18"/>
          <w:szCs w:val="18"/>
          <w:color w:val="auto"/>
        </w:rPr>
        <w:t>On February 10, 2026, the Company granted a total of 975,000 RSUs and 325,000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to an individual who was appointed as an officer of the Company on February 10, 2026. The RSUs were granted at no cost to the recipient and vest in thirteen installments over four years, subject to continued engagement or employment. The PSUs were granted at no cost to the recipient and vest based on both market and service conditions, in accordance with the terms of the PSU agreement. Vesting occurs in three tranches and requires the achievement of specified Common Share price targets during the period from February 10, 2026 to February 10, 2031, as well as continued service through the applicable service</w:t>
      </w:r>
      <w:r>
        <w:rPr>
          <w:rFonts w:ascii="MS PGothic" w:cs="MS PGothic" w:eastAsia="MS PGothic" w:hAnsi="MS PGothic"/>
          <w:sz w:val="18"/>
          <w:szCs w:val="18"/>
          <w:color w:val="auto"/>
        </w:rPr>
        <w:t>‑</w:t>
      </w:r>
      <w:r>
        <w:rPr>
          <w:rFonts w:ascii="Arial" w:cs="Arial" w:eastAsia="Arial" w:hAnsi="Arial"/>
          <w:sz w:val="18"/>
          <w:szCs w:val="18"/>
          <w:color w:val="auto"/>
        </w:rPr>
        <w:t>based dates. Each RSU and PSU entitles the holder to receive one Common Share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Page 30 of 30</w:t>
      </w:r>
    </w:p>
    <w:p>
      <w:pPr>
        <w:sectPr>
          <w:pgSz w:w="11900" w:h="16838" w:orient="portrait"/>
          <w:cols w:equalWidth="0" w:num="1">
            <w:col w:w="11160"/>
          </w:cols>
          <w:pgMar w:left="400" w:top="233"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2266315</wp:posOffset>
            </wp:positionV>
            <wp:extent cx="3291840" cy="2134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CYBIN INC. DOING BUSINESS AS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HELUS PHARMA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Management’s Discussion and Analysis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 Financial Condition and Operating Performance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the three and nine months ended December 31, 2025</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February 12, 2026</w:t>
      </w:r>
    </w:p>
    <w:p>
      <w:pPr>
        <w:sectPr>
          <w:pgSz w:w="11900" w:h="16838" w:orient="portrait"/>
          <w:cols w:equalWidth="0" w:num="1">
            <w:col w:w="9019"/>
          </w:cols>
          <w:pgMar w:left="1440" w:top="1440"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CYBIN INC. (doing business as HELUS PHARMA)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This Management’s Discussion and Analysis (“</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has been prepared by management of Cybin Inc. doing business as Helus Pharma (“</w:t>
      </w:r>
      <w:r>
        <w:rPr>
          <w:rFonts w:ascii="Times New Roman" w:cs="Times New Roman" w:eastAsia="Times New Roman" w:hAnsi="Times New Roman"/>
          <w:sz w:val="20"/>
          <w:szCs w:val="20"/>
          <w:b w:val="1"/>
          <w:bCs w:val="1"/>
          <w:color w:val="auto"/>
        </w:rPr>
        <w:t>Helus Pharma</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should be read in conjunction with Helus Pharma’s unaudited condensed interim consolidated financial statements and notes for the nine months ended December 31, 2025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20"/>
          <w:szCs w:val="20"/>
          <w:b w:val="1"/>
          <w:bCs w:val="1"/>
          <w:color w:val="auto"/>
        </w:rPr>
        <w:t>AIF</w:t>
      </w:r>
      <w:r>
        <w:rPr>
          <w:rFonts w:ascii="Times New Roman" w:cs="Times New Roman" w:eastAsia="Times New Roman" w:hAnsi="Times New Roman"/>
          <w:sz w:val="20"/>
          <w:szCs w:val="20"/>
          <w:color w:val="auto"/>
        </w:rPr>
        <w:t>”) on SEDAR+. The Financial Statements have been prepared using IFRS Accounting Standards (“</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as issued by the International Accounting Standards Board.</w:t>
      </w:r>
    </w:p>
    <w:p>
      <w:pPr>
        <w:spacing w:after="0" w:line="2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MD&amp;A contains disclosure related to Helus Pharma occurring up to and including February 12, 2026. Effective April 1, 2025, the Company changed its presentation currency from the Canadian Dollar (“</w:t>
      </w:r>
      <w:r>
        <w:rPr>
          <w:rFonts w:ascii="Times New Roman" w:cs="Times New Roman" w:eastAsia="Times New Roman" w:hAnsi="Times New Roman"/>
          <w:sz w:val="20"/>
          <w:szCs w:val="20"/>
          <w:b w:val="1"/>
          <w:bCs w:val="1"/>
          <w:color w:val="auto"/>
        </w:rPr>
        <w:t>CAD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to the United States dollar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to better reflect the Company’s operations, align with the currency in which the majority of cash based expenses are denominated,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improve comparability of its financial results with other publicly traded businesses in the industry. All amounts in the MD&amp;A are therefore presented in USD unless otherwise indicated. The Financial Statements may be viewed on the Company’s SEDAR+ profile at www.sedarplus.ca.</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Helus Pharma was incorporated under the laws of the Province of British Columbia. Its wholly owned subsidiary, Helus Pharma Corp. (formerly Cybin Corp.,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was incorporated under the laws of the Province of Ontario. Prior to November 5, 2020, the Company’s operations were conducted through Helus Pharma Corp. On November 5, 2020, the Company completed a reverse takeover transaction pursuant to the terms of an amalgamation agreement dated June 26, 2020, as amended on October 21, 2020, among the Company, Helus Pharma Corp. and 2762898 Ontario Inc. (“</w:t>
      </w:r>
      <w:r>
        <w:rPr>
          <w:rFonts w:ascii="Times New Roman" w:cs="Times New Roman" w:eastAsia="Times New Roman" w:hAnsi="Times New Roman"/>
          <w:sz w:val="20"/>
          <w:szCs w:val="20"/>
          <w:b w:val="1"/>
          <w:bCs w:val="1"/>
          <w:color w:val="auto"/>
        </w:rPr>
        <w:t>SubCo</w:t>
      </w:r>
      <w:r>
        <w:rPr>
          <w:rFonts w:ascii="Times New Roman" w:cs="Times New Roman" w:eastAsia="Times New Roman" w:hAnsi="Times New Roman"/>
          <w:sz w:val="20"/>
          <w:szCs w:val="20"/>
          <w:color w:val="auto"/>
        </w:rPr>
        <w:t>”), a wholly-owned subsidiary of the Company (the “</w:t>
      </w:r>
      <w:r>
        <w:rPr>
          <w:rFonts w:ascii="Times New Roman" w:cs="Times New Roman" w:eastAsia="Times New Roman" w:hAnsi="Times New Roman"/>
          <w:sz w:val="20"/>
          <w:szCs w:val="20"/>
          <w:b w:val="1"/>
          <w:bCs w:val="1"/>
          <w:color w:val="auto"/>
        </w:rPr>
        <w:t>Reverse Takeover</w:t>
      </w:r>
      <w:r>
        <w:rPr>
          <w:rFonts w:ascii="Times New Roman" w:cs="Times New Roman" w:eastAsia="Times New Roman" w:hAnsi="Times New Roman"/>
          <w:sz w:val="20"/>
          <w:szCs w:val="20"/>
          <w:color w:val="auto"/>
        </w:rPr>
        <w:t xml:space="preserve">”). The Reverse Takeover was completed by way of a “three-cornered” amalgamation pursuant to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whereby Helus Pharma Corp. amalgamated with SubCo to form an amalgamated corporation and a wholly owned subsidiary of the Company. Helus Pharma Corp. is deemed to be the acquirer in the Reverse Takeover. As a result, the consolidated statements of financial position are presented as a continuance of Helus Pharma Corp. and the comparative figures presented were those of Helus Pharma Corp.</w:t>
      </w:r>
    </w:p>
    <w:p>
      <w:pPr>
        <w:spacing w:after="0" w:line="1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September 19, 2024, the Company consolidated its outstanding Common Shares on the basis of one new Common Share for every 38 existing Common Shares (the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As a result, all figures related to shares, warrants, options and earnings per share presented in this MD&amp;A have been restated retrospectively for all periods to reflect the Consolidation.</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January 5, 2026, the Company transferred its U.S. stock exchange listing from NYSE American LLC stock exchange (“NYSE American”) (previous ticker: CYBN) to the Nasdaq Global Market (“Nasdaq”) under the ticker symbol “HELP”. The Company continues to be listed on Cboe Canada Inc. (the “Cboe Canada) under the same “HELP” ticker symbol. Concurrent with the commencement of trading on Nasdaq, the Company announced it will be doing business as Helus (pronounced “Heal Us”) Pharma. The Company expects to seek approval from shareholders to change its legal name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36" w:right="339" w:bottom="1440" w:gutter="0" w:footer="0" w:header="0"/>
        </w:sectPr>
      </w:pPr>
    </w:p>
    <w:bookmarkStart w:id="35" w:name="page36"/>
    <w:bookmarkEnd w:id="35"/>
    <w:p>
      <w:pPr>
        <w:jc w:val="both"/>
        <w:spacing w:after="0" w:line="325" w:lineRule="auto"/>
        <w:rPr>
          <w:sz w:val="20"/>
          <w:szCs w:val="20"/>
          <w:color w:val="auto"/>
        </w:rPr>
      </w:pPr>
      <w:r>
        <w:rPr>
          <w:rFonts w:ascii="Times New Roman" w:cs="Times New Roman" w:eastAsia="Times New Roman" w:hAnsi="Times New Roman"/>
          <w:sz w:val="20"/>
          <w:szCs w:val="20"/>
          <w:color w:val="auto"/>
        </w:rPr>
        <w:t>Helus Pharma Inc. at the Company’s next annual and special meeting of shareholders. Furthermore, the following subsidiaries have changed their legal names: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Prior Name</w:t>
            </w:r>
          </w:p>
        </w:tc>
        <w:tc>
          <w:tcPr>
            <w:tcW w:w="44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New Name</w:t>
            </w:r>
          </w:p>
        </w:tc>
        <w:tc>
          <w:tcPr>
            <w:tcW w:w="3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Effective Date</w:t>
            </w:r>
          </w:p>
        </w:tc>
      </w:tr>
      <w:tr>
        <w:trPr>
          <w:trHeight w:val="244"/>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US Holdings Inc.</w:t>
            </w:r>
          </w:p>
        </w:tc>
        <w:tc>
          <w:tcPr>
            <w:tcW w:w="44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US Inc.</w:t>
            </w:r>
          </w:p>
        </w:tc>
        <w:tc>
          <w:tcPr>
            <w:tcW w:w="3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January 2, 2026</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Corp.</w:t>
            </w:r>
          </w:p>
        </w:tc>
        <w:tc>
          <w:tcPr>
            <w:tcW w:w="44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Pharma Corp.</w:t>
            </w:r>
          </w:p>
        </w:tc>
        <w:tc>
          <w:tcPr>
            <w:tcW w:w="3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January 5, 2026</w:t>
            </w:r>
          </w:p>
        </w:tc>
      </w:tr>
      <w:tr>
        <w:trPr>
          <w:trHeight w:val="258"/>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International Limited</w:t>
            </w:r>
          </w:p>
        </w:tc>
        <w:tc>
          <w:tcPr>
            <w:tcW w:w="44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International Limited</w:t>
            </w:r>
          </w:p>
        </w:tc>
        <w:tc>
          <w:tcPr>
            <w:tcW w:w="3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January 6, 2026</w:t>
            </w:r>
          </w:p>
        </w:tc>
      </w:tr>
      <w:tr>
        <w:trPr>
          <w:trHeight w:val="634"/>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tc>
        <w:tc>
          <w:tcPr>
            <w:tcW w:w="44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86"/>
        </w:trPr>
        <w:tc>
          <w:tcPr>
            <w:tcW w:w="3000" w:type="dxa"/>
            <w:vAlign w:val="bottom"/>
          </w:tcPr>
          <w:p>
            <w:pPr>
              <w:spacing w:after="0"/>
              <w:rPr>
                <w:sz w:val="24"/>
                <w:szCs w:val="24"/>
                <w:color w:val="auto"/>
              </w:rPr>
            </w:pPr>
          </w:p>
        </w:tc>
        <w:tc>
          <w:tcPr>
            <w:tcW w:w="4420" w:type="dxa"/>
            <w:vAlign w:val="bottom"/>
          </w:tcPr>
          <w:p>
            <w:pPr>
              <w:ind w:left="920"/>
              <w:spacing w:after="0"/>
              <w:rPr>
                <w:sz w:val="20"/>
                <w:szCs w:val="20"/>
                <w:color w:val="auto"/>
              </w:rPr>
            </w:pPr>
            <w:r>
              <w:rPr>
                <w:rFonts w:ascii="Times New Roman" w:cs="Times New Roman" w:eastAsia="Times New Roman" w:hAnsi="Times New Roman"/>
                <w:sz w:val="20"/>
                <w:szCs w:val="20"/>
                <w:b w:val="1"/>
                <w:bCs w:val="1"/>
                <w:color w:val="auto"/>
                <w:w w:val="98"/>
              </w:rPr>
              <w:t>FORWARD-LOOKING STATEMENTS</w:t>
            </w:r>
          </w:p>
        </w:tc>
        <w:tc>
          <w:tcPr>
            <w:tcW w:w="3780" w:type="dxa"/>
            <w:vAlign w:val="bottom"/>
          </w:tcPr>
          <w:p>
            <w:pPr>
              <w:spacing w:after="0"/>
              <w:rPr>
                <w:sz w:val="24"/>
                <w:szCs w:val="24"/>
                <w:color w:val="auto"/>
              </w:rPr>
            </w:pPr>
          </w:p>
        </w:tc>
      </w:tr>
    </w:tbl>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88"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Some of the risks which could affect future results and could cause results to differ materially from those expressed in the forward-looking statements contained herein include:</w:t>
      </w:r>
    </w:p>
    <w:p>
      <w:pPr>
        <w:spacing w:after="0" w:line="173" w:lineRule="exact"/>
        <w:rPr>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limited operating history;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achieving publicly announced milestones;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speculative nature of investment risk;</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early stage of the industry and product development;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risks and uncertainties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risks of operating in Australia and European countries;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“foreign private issuer” status under U.S. Securities Laws;</w:t>
      </w:r>
    </w:p>
    <w:p>
      <w:pPr>
        <w:spacing w:after="0" w:line="41" w:lineRule="exact"/>
        <w:rPr>
          <w:rFonts w:ascii="Arial" w:cs="Arial" w:eastAsia="Arial" w:hAnsi="Arial"/>
          <w:sz w:val="20"/>
          <w:szCs w:val="20"/>
          <w:b w:val="1"/>
          <w:bCs w:val="1"/>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plans for growth;</w:t>
      </w:r>
    </w:p>
    <w:p>
      <w:pPr>
        <w:spacing w:after="0" w:line="50"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limited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limited marketing and sales capabilities;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no assurance of commercial success;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no profits or significant revenues;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type w:val="continuous"/>
        </w:sectPr>
      </w:pPr>
    </w:p>
    <w:bookmarkStart w:id="36" w:name="page37"/>
    <w:bookmarkEnd w:id="36"/>
    <w:p>
      <w:pPr>
        <w:ind w:left="291" w:hanging="291"/>
        <w:spacing w:after="0"/>
        <w:tabs>
          <w:tab w:leader="none" w:pos="291"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reliance on third parties for clinical development activities;</w:t>
      </w:r>
    </w:p>
    <w:p>
      <w:pPr>
        <w:spacing w:after="0" w:line="64" w:lineRule="exact"/>
        <w:rPr>
          <w:rFonts w:ascii="Arial" w:cs="Arial" w:eastAsia="Arial" w:hAnsi="Arial"/>
          <w:sz w:val="19"/>
          <w:szCs w:val="19"/>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third party relationships;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contract manufacturers;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safety and efficacy of products;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testing and commercializing products;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clinical trials;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grade product manufacturing;</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nature of regulatory approvals;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access and acceptance;</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unfavourable publicity or consumer perception;</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social media;</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biotechnology and pharmaceutical market competition;</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executives and scientists;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employee misconduct;</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business expansion and growth;</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negative results of external clinical trials or studies;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product liability;</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enforcing contracts;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product and material recalls;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 and supply chain interruption;</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to forecast;</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promoting the brand;</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product viability;</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success of quality control systems;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inputs;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liability arising from fraudulent or illegal activity;</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risk and insurance coverage;</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costs of operating as public company;</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of growth;</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of interest;</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foreign operations;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exchange rate fluctuations;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and privacy risk;</w:t>
      </w:r>
    </w:p>
    <w:p>
      <w:pPr>
        <w:spacing w:after="0" w:line="31" w:lineRule="exact"/>
        <w:rPr>
          <w:rFonts w:ascii="Arial" w:cs="Arial" w:eastAsia="Arial" w:hAnsi="Arial"/>
          <w:sz w:val="20"/>
          <w:szCs w:val="20"/>
          <w:color w:val="auto"/>
        </w:rPr>
      </w:pPr>
    </w:p>
    <w:p>
      <w:pPr>
        <w:ind w:left="311" w:hanging="311"/>
        <w:spacing w:after="0"/>
        <w:tabs>
          <w:tab w:leader="none" w:pos="31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artificial intelligence;</w:t>
      </w:r>
    </w:p>
    <w:p>
      <w:pPr>
        <w:spacing w:after="0" w:line="2" w:lineRule="exact"/>
        <w:rPr>
          <w:rFonts w:ascii="Times New Roman" w:cs="Times New Roman" w:eastAsia="Times New Roman" w:hAnsi="Times New Roman"/>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environmental regulation and risks;</w:t>
      </w:r>
    </w:p>
    <w:p>
      <w:pPr>
        <w:spacing w:after="0" w:line="30"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legalization of scheduled serotonergic agonists;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forward-looking statements may prove to be inaccurate;</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effects of inflation;</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and economic conditions;</w:t>
      </w:r>
    </w:p>
    <w:p>
      <w:pPr>
        <w:spacing w:after="0" w:line="20" w:lineRule="exact"/>
        <w:rPr>
          <w:rFonts w:ascii="Arial" w:cs="Arial" w:eastAsia="Arial" w:hAnsi="Arial"/>
          <w:sz w:val="20"/>
          <w:szCs w:val="20"/>
          <w:color w:val="auto"/>
        </w:rPr>
      </w:pPr>
    </w:p>
    <w:p>
      <w:pPr>
        <w:ind w:left="311" w:hanging="311"/>
        <w:spacing w:after="0"/>
        <w:tabs>
          <w:tab w:leader="none" w:pos="31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risk;</w:t>
      </w:r>
    </w:p>
    <w:p>
      <w:pPr>
        <w:spacing w:after="0" w:line="6" w:lineRule="exact"/>
        <w:rPr>
          <w:rFonts w:ascii="Times New Roman" w:cs="Times New Roman" w:eastAsia="Times New Roman" w:hAnsi="Times New Roman"/>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application and interpretation of tax laws;</w:t>
      </w:r>
    </w:p>
    <w:p>
      <w:pPr>
        <w:spacing w:after="0" w:line="23"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enforcement of civil liabilities;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pandemics;</w:t>
      </w:r>
    </w:p>
    <w:p>
      <w:pPr>
        <w:sectPr>
          <w:pgSz w:w="11900" w:h="16838" w:orient="portrait"/>
          <w:cols w:equalWidth="0" w:num="1">
            <w:col w:w="9810"/>
          </w:cols>
          <w:pgMar w:left="649"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51"/>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10"/>
          </w:cols>
          <w:pgMar w:left="649" w:top="1440"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Risks Related to Intellectual Property:</w:t>
      </w:r>
    </w:p>
    <w:p>
      <w:pPr>
        <w:spacing w:after="0" w:line="297" w:lineRule="exact"/>
        <w:rPr>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trademark protection;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trade secrets;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patent law reform;</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patent litigation and intellectual property;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protection of intellectual property;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licences;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and Accounting Risks:</w:t>
      </w:r>
    </w:p>
    <w:p>
      <w:pPr>
        <w:spacing w:after="0" w:line="283" w:lineRule="exact"/>
        <w:rPr>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number of authorized but unissued Common Shares (as defined herein);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dilution;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negative cash flow from operating activities;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capital requirements;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lack of significant product revenue;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or judgments relating to critical accounting policies;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internal controls;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the Common Shares:</w:t>
      </w:r>
    </w:p>
    <w:p>
      <w:pPr>
        <w:spacing w:after="0" w:line="283" w:lineRule="exact"/>
        <w:rPr>
          <w:sz w:val="20"/>
          <w:szCs w:val="20"/>
          <w:color w:val="auto"/>
        </w:rPr>
      </w:pPr>
    </w:p>
    <w:p>
      <w:pPr>
        <w:ind w:left="620" w:hanging="291"/>
        <w:spacing w:after="0"/>
        <w:tabs>
          <w:tab w:leader="none" w:pos="6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market for the Common Shares;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sales of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volatile market price for the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tax issues; 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no dividends.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8" w:lineRule="exact"/>
        <w:rPr>
          <w:sz w:val="20"/>
          <w:szCs w:val="20"/>
          <w:color w:val="auto"/>
        </w:rPr>
      </w:pPr>
    </w:p>
    <w:p>
      <w:pPr>
        <w:ind w:left="660" w:hanging="331"/>
        <w:spacing w:after="0" w:line="288" w:lineRule="auto"/>
        <w:tabs>
          <w:tab w:leader="none" w:pos="624"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fluctuation of losses from quarter to quarter and year to year due to numerous external risk factors, and anticipation that we will continue to incur significant losses in the future;</w:t>
      </w: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as to the Company’s ability to raise additional funding to support operations;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access additional funding;</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fluctuation of foreign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pandemics;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the development of the Company’s product candidates which are at early stages of development;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reliance upon industry publications as the Company’s primary sources for third-party industry data and forecasts;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parties to plan, conduct and monitor the Company’s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38" w:name="page39"/>
    <w:bookmarkEnd w:id="38"/>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party contract manufacturers to deliver quality clinical and preclinical materials;</w:t>
      </w:r>
    </w:p>
    <w:p>
      <w:pPr>
        <w:spacing w:after="0" w:line="52" w:lineRule="exact"/>
        <w:rPr>
          <w:rFonts w:ascii="Arial" w:cs="Arial" w:eastAsia="Arial" w:hAnsi="Arial"/>
          <w:sz w:val="20"/>
          <w:szCs w:val="20"/>
          <w:color w:val="auto"/>
        </w:rPr>
      </w:pPr>
    </w:p>
    <w:p>
      <w:pPr>
        <w:ind w:left="660" w:right="20" w:hanging="331"/>
        <w:spacing w:after="0" w:line="281" w:lineRule="auto"/>
        <w:tabs>
          <w:tab w:leader="none" w:pos="624"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product candidates may fail to demonstrate safety and efficacy to the satisfaction of regulatory authorities or may not otherwise produce positive results;</w:t>
      </w:r>
    </w:p>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filing investigational new drug applications to commence clinical trials and to continue clinical trials if approved;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of delays and inability to complete clinical trials due to difficulties enrolling patients;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biotechnology and pharmaceutical companies;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reliance on the capabilities and experience of the Company’s key executives and scientists and the resulting loss of any of these individuals;</w:t>
      </w:r>
    </w:p>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fully realize the benefits of acquisitions;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adequately protect the Company’s intellectual property and trade secrets;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patent-related or other litigation; and</w:t>
      </w:r>
    </w:p>
    <w:p>
      <w:pPr>
        <w:spacing w:after="0" w:line="48" w:lineRule="exact"/>
        <w:rPr>
          <w:rFonts w:ascii="Arial" w:cs="Arial" w:eastAsia="Arial" w:hAnsi="Arial"/>
          <w:sz w:val="20"/>
          <w:szCs w:val="20"/>
          <w:color w:val="auto"/>
        </w:rPr>
      </w:pPr>
    </w:p>
    <w:p>
      <w:pPr>
        <w:jc w:val="both"/>
        <w:ind w:left="660" w:hanging="331"/>
        <w:spacing w:after="0" w:line="297" w:lineRule="auto"/>
        <w:tabs>
          <w:tab w:leader="none" w:pos="657" w:val="left"/>
        </w:tabs>
        <w:numPr>
          <w:ilvl w:val="0"/>
          <w:numId w:val="25"/>
        </w:numPr>
        <w:rPr>
          <w:rFonts w:ascii="Arial" w:cs="Arial" w:eastAsia="Arial" w:hAnsi="Arial"/>
          <w:sz w:val="22"/>
          <w:szCs w:val="22"/>
          <w:color w:val="auto"/>
        </w:rPr>
      </w:pPr>
      <w:r>
        <w:rPr>
          <w:rFonts w:ascii="Times New Roman" w:cs="Times New Roman" w:eastAsia="Times New Roman" w:hAnsi="Times New Roman"/>
          <w:sz w:val="20"/>
          <w:szCs w:val="20"/>
          <w:color w:val="auto"/>
        </w:rPr>
        <w:t>the risk of unforeseen changes to the laws or regulations in the United States (the “</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the United Kingdom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 Canada, the Netherlands, Ireland, Poland, Greece, Australia and other jurisdictions in which the Company operates.</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addition to the factors set out above and those identified in this MD&amp;A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other factors not currently viewed as material could cause actual results to differ materially from those described in the forward-looking statements. Although Helus Pharma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STRUCTURE OVERVIEW</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a clinical-stage pharmaceutical company committed to helping minds heal by developing proprietary novel serotonergic agonists (“</w:t>
      </w:r>
      <w:r>
        <w:rPr>
          <w:rFonts w:ascii="Times New Roman" w:cs="Times New Roman" w:eastAsia="Times New Roman" w:hAnsi="Times New Roman"/>
          <w:sz w:val="20"/>
          <w:szCs w:val="20"/>
          <w:b w:val="1"/>
          <w:bCs w:val="1"/>
          <w:color w:val="auto"/>
        </w:rPr>
        <w:t>NSAs</w:t>
      </w:r>
      <w:r>
        <w:rPr>
          <w:rFonts w:ascii="Times New Roman" w:cs="Times New Roman" w:eastAsia="Times New Roman" w:hAnsi="Times New Roman"/>
          <w:sz w:val="20"/>
          <w:szCs w:val="20"/>
          <w:color w:val="auto"/>
        </w:rPr>
        <w:t>”). Serotonergic agonists broadly refer to compounds that activate serotonin receptors and include a wide range of approved and investigational drugs with varying selectivity and mechanisms of action. NSAs are a proprietary subset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39" w:name="page40"/>
    <w:bookmarkEnd w:id="39"/>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serotonergic agonists that are synthetically engineered to selectively activate specific serotonin receptor subtypes and signaling pathways, with the aim of achieving differentiated and more precise therapeutic effects.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November 5, 2020, the Company completed a reverse takeover transaction pursuant to the terms of an amalgamation agreement dated June 26, 2020, as amended on October 21, 2020, among the Company, Helus Pharma Corp. and SubCo, a wholly-owned subsidiary of the Company. The Reverse Takeover was completed by way of a “three-cornered” amalgamation pursuant to the provisions of the OBCA whereby Helus Pharma Corp. amalgamated with SubCo to form an amalgamated corporation and a wholly owned subsidiary of the Company.</w:t>
      </w:r>
    </w:p>
    <w:p>
      <w:pPr>
        <w:spacing w:after="0" w:line="20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connection with the Reverse Takeover, Clarmin Explorations Inc. (“</w:t>
      </w:r>
      <w:r>
        <w:rPr>
          <w:rFonts w:ascii="Times New Roman" w:cs="Times New Roman" w:eastAsia="Times New Roman" w:hAnsi="Times New Roman"/>
          <w:sz w:val="20"/>
          <w:szCs w:val="20"/>
          <w:b w:val="1"/>
          <w:bCs w:val="1"/>
          <w:color w:val="auto"/>
        </w:rPr>
        <w:t>Clarmin</w:t>
      </w:r>
      <w:r>
        <w:rPr>
          <w:rFonts w:ascii="Times New Roman" w:cs="Times New Roman" w:eastAsia="Times New Roman" w:hAnsi="Times New Roman"/>
          <w:sz w:val="20"/>
          <w:szCs w:val="20"/>
          <w:color w:val="auto"/>
        </w:rPr>
        <w:t>”) changed its name to “Cybin Inc.” and the common shares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became listed for trading on Cboe Canada under the trading symbol “CYBN”.</w:t>
      </w:r>
    </w:p>
    <w:p>
      <w:pPr>
        <w:spacing w:after="0" w:line="1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20"/>
          <w:szCs w:val="20"/>
          <w:b w:val="1"/>
          <w:bCs w:val="1"/>
          <w:color w:val="auto"/>
        </w:rPr>
        <w:t>Cybin Ireland</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August 5, 2021, the Common Shares commenced trading on NYSE American under the symbol “CYBN”. Concurrent with the commencement of trading on NYSE American, the Common Shares ceased to be quoted on the OTCQB® Venture Market.</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On October 23, 2023, the Company announced the completion of the acquisition of Small Pharma Inc. (“</w:t>
      </w:r>
      <w:r>
        <w:rPr>
          <w:rFonts w:ascii="Times New Roman" w:cs="Times New Roman" w:eastAsia="Times New Roman" w:hAnsi="Times New Roman"/>
          <w:sz w:val="20"/>
          <w:szCs w:val="20"/>
          <w:b w:val="1"/>
          <w:bCs w:val="1"/>
          <w:color w:val="auto"/>
        </w:rPr>
        <w:t>Small Pharma</w:t>
      </w:r>
      <w:r>
        <w:rPr>
          <w:rFonts w:ascii="Times New Roman" w:cs="Times New Roman" w:eastAsia="Times New Roman" w:hAnsi="Times New Roman"/>
          <w:sz w:val="20"/>
          <w:szCs w:val="20"/>
          <w:color w:val="auto"/>
        </w:rPr>
        <w:t xml:space="preserve">”) by way of a statutory plan of arrangement under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(the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20"/>
          <w:szCs w:val="20"/>
          <w:b w:val="1"/>
          <w:bCs w:val="1"/>
          <w:color w:val="auto"/>
        </w:rPr>
        <w:t>Arrangement Agreement</w:t>
      </w:r>
      <w:r>
        <w:rPr>
          <w:rFonts w:ascii="Times New Roman" w:cs="Times New Roman" w:eastAsia="Times New Roman" w:hAnsi="Times New Roman"/>
          <w:sz w:val="20"/>
          <w:szCs w:val="20"/>
          <w:color w:val="auto"/>
        </w:rPr>
        <w:t>”). As a result of the Arrangement, Small Pharma is now a wholly-owned subsidiary of Helus Pharma.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June 4, 2025, the Company completed the formal dissolution of Natures Journey Inc. and Serenity Life Sciences Inc. These entities were non-operational prior to their dissolution and had no material impact on the Financial Statements.</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September 1, 2025, the Company incorporated Helus International Limited (formerly Cybin International Limited), a wholly owned subsidiary of Helus Pharma Corp.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5, 2026, the Company announced that it had started to operate under the registered business name “Helus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39"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20"/>
          <w:szCs w:val="20"/>
          <w:color w:val="auto"/>
        </w:rPr>
        <w:t>Please refer to “</w:t>
      </w:r>
      <w:r>
        <w:rPr>
          <w:rFonts w:ascii="Times New Roman" w:cs="Times New Roman" w:eastAsia="Times New Roman" w:hAnsi="Times New Roman"/>
          <w:sz w:val="20"/>
          <w:szCs w:val="20"/>
          <w:i w:val="1"/>
          <w:iCs w:val="1"/>
          <w:color w:val="auto"/>
        </w:rPr>
        <w:t>General Development of the Business</w:t>
      </w:r>
      <w:r>
        <w:rPr>
          <w:rFonts w:ascii="Times New Roman" w:cs="Times New Roman" w:eastAsia="Times New Roman" w:hAnsi="Times New Roman"/>
          <w:sz w:val="20"/>
          <w:szCs w:val="20"/>
          <w:color w:val="auto"/>
        </w:rPr>
        <w:t>” in the AIF for additional information on the background and operational highlights of Helus Pharma. The AIF may be viewed under the Company’s SEDAR+ profile at www.sedarplus.ca.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8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Helus Pharma is a clinical-stage pharmaceutical company on a mission to provide treatments designed to foster durable improvements in mental health and help minds heal. Helus Pharma strategically innovates NSAs through rigorous patient-centered research and clinical excellence.</w:t>
      </w:r>
      <w:r>
        <w:rPr>
          <w:rFonts w:ascii="Times New Roman" w:cs="Times New Roman" w:eastAsia="Times New Roman" w:hAnsi="Times New Roman"/>
          <w:sz w:val="25"/>
          <w:szCs w:val="25"/>
          <w:color w:val="auto"/>
          <w:vertAlign w:val="superscript"/>
        </w:rPr>
        <w:t>1</w:t>
      </w:r>
    </w:p>
    <w:p>
      <w:pPr>
        <w:spacing w:after="0" w:line="12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Helus Pharma’s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focused on developing the Company’s platform technology to develop NSAs, the progression of clinical development programs studying certain of these NSAs, including HLP003 (previously referred to as CYB003), a deuterated psilocin molecule (“</w:t>
      </w:r>
      <w:r>
        <w:rPr>
          <w:rFonts w:ascii="Times New Roman" w:cs="Times New Roman" w:eastAsia="Times New Roman" w:hAnsi="Times New Roman"/>
          <w:sz w:val="20"/>
          <w:szCs w:val="20"/>
          <w:b w:val="1"/>
          <w:bCs w:val="1"/>
          <w:color w:val="auto"/>
        </w:rPr>
        <w:t>HLP003</w:t>
      </w:r>
      <w:r>
        <w:rPr>
          <w:rFonts w:ascii="Times New Roman" w:cs="Times New Roman" w:eastAsia="Times New Roman" w:hAnsi="Times New Roman"/>
          <w:sz w:val="20"/>
          <w:szCs w:val="20"/>
          <w:color w:val="auto"/>
        </w:rPr>
        <w:t>”), HLP004 (previously referred to as CYB004), a deuterated version of DMT (“</w:t>
      </w:r>
      <w:r>
        <w:rPr>
          <w:rFonts w:ascii="Times New Roman" w:cs="Times New Roman" w:eastAsia="Times New Roman" w:hAnsi="Times New Roman"/>
          <w:sz w:val="20"/>
          <w:szCs w:val="20"/>
          <w:b w:val="1"/>
          <w:bCs w:val="1"/>
          <w:color w:val="auto"/>
        </w:rPr>
        <w:t>HLP004</w:t>
      </w:r>
      <w:r>
        <w:rPr>
          <w:rFonts w:ascii="Times New Roman" w:cs="Times New Roman" w:eastAsia="Times New Roman" w:hAnsi="Times New Roman"/>
          <w:sz w:val="20"/>
          <w:szCs w:val="20"/>
          <w:color w:val="auto"/>
        </w:rPr>
        <w:t>”), HLP005 (previously referred to as CYB005), phenethylamine and tryptamine derivatives (together “</w:t>
      </w:r>
      <w:r>
        <w:rPr>
          <w:rFonts w:ascii="Times New Roman" w:cs="Times New Roman" w:eastAsia="Times New Roman" w:hAnsi="Times New Roman"/>
          <w:sz w:val="20"/>
          <w:szCs w:val="20"/>
          <w:b w:val="1"/>
          <w:bCs w:val="1"/>
          <w:color w:val="auto"/>
        </w:rPr>
        <w:t>HLP005</w:t>
      </w:r>
      <w:r>
        <w:rPr>
          <w:rFonts w:ascii="Times New Roman" w:cs="Times New Roman" w:eastAsia="Times New Roman" w:hAnsi="Times New Roman"/>
          <w:sz w:val="20"/>
          <w:szCs w:val="20"/>
          <w:color w:val="auto"/>
        </w:rPr>
        <w:t>”), and an expansive list of preclinical molecules to facilitate future drug development opportunities. These name changes did not alter the underlying scientific foundations, development plans, or regulatory status of the programs, but were implemented to provide greater consistency, clarity, and alignment with the Helus Pharma brand as the Company advances its pipeline through clinical development and prepares for potential commercialization.</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October 23, 2023, the Company completed the acquisition of Small Pharma by way of the Arrangement pursuant to which Small Pharma became a wholly-owned subsidiary of Helus Pharma. Small Pharma is a biotechnology company focused on developing short-duration therapies for the treatment of mental health conditions. Small Pharma initiated programs across its “First-generation” and “Second-generation” serotonergic agonist portfolio. First-generation serotonergic agonists refer to serotonergic agonists found in nature or previously studied. Second-generation serotonergic agonists refer to NSAs, which are often first-generation serotonergic agonists that have been chemically modified with the aim to optimize their therapeutic benefit.</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 a common goal to develop differentiated, next-generation therapeutics, the combination of Helus Pharma and Small Pharma creates a leading international, clinical-stage company with potential to improve clinical outcomes and address key unmet needs for people with mental health conditions. The companies’ combined development portfolios are highly complementary and provide multiple opportunities to create operational and cost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4" w:lineRule="exact"/>
        <w:rPr>
          <w:sz w:val="20"/>
          <w:szCs w:val="20"/>
          <w:color w:val="auto"/>
        </w:rPr>
      </w:pPr>
    </w:p>
    <w:p>
      <w:pPr>
        <w:jc w:val="both"/>
        <w:ind w:firstLine="8"/>
        <w:spacing w:after="0" w:line="237" w:lineRule="auto"/>
        <w:tabs>
          <w:tab w:leader="none" w:pos="79"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a result of the acquisition of Small Pharma by way of the Arrangement, Helus Pharma currently has over 100 granted patents and over 250 pending applications. See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Advancement of Mental Healthcare</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19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Across its extensive research and development programs, Helus Pharma is evaluating a wide array of novel, synthetic active pharmaceutical ingredients (“</w:t>
      </w:r>
      <w:r>
        <w:rPr>
          <w:rFonts w:ascii="Times New Roman" w:cs="Times New Roman" w:eastAsia="Times New Roman" w:hAnsi="Times New Roman"/>
          <w:sz w:val="20"/>
          <w:szCs w:val="20"/>
          <w:b w:val="1"/>
          <w:bCs w:val="1"/>
          <w:color w:val="auto"/>
        </w:rPr>
        <w:t>API</w:t>
      </w:r>
      <w:r>
        <w:rPr>
          <w:rFonts w:ascii="Times New Roman" w:cs="Times New Roman" w:eastAsia="Times New Roman" w:hAnsi="Times New Roman"/>
          <w:sz w:val="20"/>
          <w:szCs w:val="20"/>
          <w:color w:val="auto"/>
        </w:rPr>
        <w:t>”) intended to be delivered through innovative drug delivery systems including via inhalation, via intravenous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and intramuscular, or subcutaneous administration.</w:t>
      </w:r>
      <w:r>
        <w:rPr>
          <w:rFonts w:ascii="Times New Roman" w:cs="Times New Roman" w:eastAsia="Times New Roman" w:hAnsi="Times New Roman"/>
          <w:sz w:val="25"/>
          <w:szCs w:val="25"/>
          <w:color w:val="auto"/>
          <w:vertAlign w:val="superscript"/>
        </w:rPr>
        <w:t>2</w:t>
      </w:r>
    </w:p>
    <w:p>
      <w:pPr>
        <w:spacing w:after="0" w:line="1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intends to apply for regulatory approval for therapies targeting indications such as major depressive disorder (“</w:t>
      </w:r>
      <w:r>
        <w:rPr>
          <w:rFonts w:ascii="Times New Roman" w:cs="Times New Roman" w:eastAsia="Times New Roman" w:hAnsi="Times New Roman"/>
          <w:sz w:val="20"/>
          <w:szCs w:val="20"/>
          <w:b w:val="1"/>
          <w:bCs w:val="1"/>
          <w:color w:val="auto"/>
        </w:rPr>
        <w:t>MDD</w:t>
      </w:r>
      <w:r>
        <w:rPr>
          <w:rFonts w:ascii="Times New Roman" w:cs="Times New Roman" w:eastAsia="Times New Roman" w:hAnsi="Times New Roman"/>
          <w:sz w:val="20"/>
          <w:szCs w:val="20"/>
          <w:color w:val="auto"/>
        </w:rPr>
        <w:t>”), alcohol use disorder (“</w:t>
      </w:r>
      <w:r>
        <w:rPr>
          <w:rFonts w:ascii="Times New Roman" w:cs="Times New Roman" w:eastAsia="Times New Roman" w:hAnsi="Times New Roman"/>
          <w:sz w:val="20"/>
          <w:szCs w:val="20"/>
          <w:b w:val="1"/>
          <w:bCs w:val="1"/>
          <w:color w:val="auto"/>
        </w:rPr>
        <w:t>AUD</w:t>
      </w:r>
      <w:r>
        <w:rPr>
          <w:rFonts w:ascii="Times New Roman" w:cs="Times New Roman" w:eastAsia="Times New Roman" w:hAnsi="Times New Roman"/>
          <w:sz w:val="20"/>
          <w:szCs w:val="20"/>
          <w:color w:val="auto"/>
        </w:rPr>
        <w:t>”), generalized anxiety disorder (“</w:t>
      </w:r>
      <w:r>
        <w:rPr>
          <w:rFonts w:ascii="Times New Roman" w:cs="Times New Roman" w:eastAsia="Times New Roman" w:hAnsi="Times New Roman"/>
          <w:sz w:val="20"/>
          <w:szCs w:val="20"/>
          <w:b w:val="1"/>
          <w:bCs w:val="1"/>
          <w:color w:val="auto"/>
        </w:rPr>
        <w:t>GAD</w:t>
      </w:r>
      <w:r>
        <w:rPr>
          <w:rFonts w:ascii="Times New Roman" w:cs="Times New Roman" w:eastAsia="Times New Roman" w:hAnsi="Times New Roman"/>
          <w:sz w:val="20"/>
          <w:szCs w:val="20"/>
          <w:color w:val="auto"/>
        </w:rPr>
        <w:t>”) and potentially other various mental health conditions.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20"/>
          <w:szCs w:val="20"/>
          <w:b w:val="1"/>
          <w:bCs w:val="1"/>
          <w:color w:val="auto"/>
        </w:rPr>
        <w:t>CNS</w:t>
      </w:r>
      <w:r>
        <w:rPr>
          <w:rFonts w:ascii="Times New Roman" w:cs="Times New Roman" w:eastAsia="Times New Roman" w:hAnsi="Times New Roman"/>
          <w:sz w:val="20"/>
          <w:szCs w:val="20"/>
          <w:color w:val="auto"/>
        </w:rPr>
        <w:t>”) disorders, and psychiatric disorders.</w:t>
      </w:r>
      <w:r>
        <w:rPr>
          <w:rFonts w:ascii="Times New Roman" w:cs="Times New Roman" w:eastAsia="Times New Roman" w:hAnsi="Times New Roman"/>
          <w:sz w:val="25"/>
          <w:szCs w:val="25"/>
          <w:color w:val="auto"/>
          <w:vertAlign w:val="superscript"/>
        </w:rPr>
        <w:t>4</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The Company will also continue to sponsor select internal and partner-related clinical trials that advance the understanding of safety and efficacy for various NSAs that target mental health and neurological conditions.</w:t>
      </w:r>
      <w:r>
        <w:rPr>
          <w:rFonts w:ascii="Times New Roman" w:cs="Times New Roman" w:eastAsia="Times New Roman" w:hAnsi="Times New Roman"/>
          <w:sz w:val="25"/>
          <w:szCs w:val="25"/>
          <w:color w:val="auto"/>
          <w:vertAlign w:val="superscript"/>
        </w:rPr>
        <w:t>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Stage of Development</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Like most life sciences and pharmaceutical companies, the Company’s business is focused on research and development and any future revenue will be dependent on a number of factors, including the outcome of the Company’s clinical trials and the receipt of all necessary regulatory approvals.</w:t>
      </w:r>
    </w:p>
    <w:p>
      <w:pPr>
        <w:spacing w:after="0" w:line="195"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In order to establish its business operations, Helus Pharma intends to leverage the extensive professional network of its management to build working partnerships with (i) existing producers of products based in Canada, the United States, the European Union (the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and the UK to source the pharmaceutical products the Company intends to develop and distribute under its specific brand,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0" w:lineRule="exact"/>
        <w:rPr>
          <w:sz w:val="20"/>
          <w:szCs w:val="20"/>
          <w:color w:val="auto"/>
        </w:rPr>
      </w:pPr>
    </w:p>
    <w:p>
      <w:pPr>
        <w:ind w:left="100" w:hanging="92"/>
        <w:spacing w:after="0"/>
        <w:tabs>
          <w:tab w:leader="none" w:pos="10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A material factor and assumption underlying this forward-looking statement is that the Company will be able to successfully negotiate strategic partnerships.</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The material factors and assumptions underlying this forward-looking statement are: (a) that the Company will be able to successfully negotiate strategic partnerships; and</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 all necessary approvals for the studies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(ii) to explore options to facilitate the development and distribution and sale of its specific brand of pharmaceutical products.</w:t>
      </w:r>
      <w:r>
        <w:rPr>
          <w:rFonts w:ascii="Times New Roman" w:cs="Times New Roman" w:eastAsia="Times New Roman" w:hAnsi="Times New Roman"/>
          <w:sz w:val="25"/>
          <w:szCs w:val="25"/>
          <w:color w:val="auto"/>
          <w:vertAlign w:val="superscript"/>
        </w:rPr>
        <w:t>7</w:t>
      </w:r>
    </w:p>
    <w:p>
      <w:pPr>
        <w:spacing w:after="0" w:line="23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Prescription drugs are classified and regulated under the federal </w:t>
      </w:r>
      <w:r>
        <w:rPr>
          <w:rFonts w:ascii="Times New Roman" w:cs="Times New Roman" w:eastAsia="Times New Roman" w:hAnsi="Times New Roman"/>
          <w:sz w:val="20"/>
          <w:szCs w:val="20"/>
          <w:i w:val="1"/>
          <w:iCs w:val="1"/>
          <w:color w:val="auto"/>
        </w:rPr>
        <w:t>Food and Drugs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Canadian FDA</w:t>
      </w:r>
      <w:r>
        <w:rPr>
          <w:rFonts w:ascii="Times New Roman" w:cs="Times New Roman" w:eastAsia="Times New Roman" w:hAnsi="Times New Roman"/>
          <w:sz w:val="20"/>
          <w:szCs w:val="20"/>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2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 xml:space="preserve">In the United States, foods, drugs and dietary supplements are subject to extensive regulation. The </w:t>
      </w:r>
      <w:r>
        <w:rPr>
          <w:rFonts w:ascii="Times New Roman" w:cs="Times New Roman" w:eastAsia="Times New Roman" w:hAnsi="Times New Roman"/>
          <w:sz w:val="20"/>
          <w:szCs w:val="20"/>
          <w:i w:val="1"/>
          <w:iCs w:val="1"/>
          <w:color w:val="auto"/>
        </w:rPr>
        <w:t>Federal Food, Drug, and Cosmetic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The Company holds a Schedule I manufacturing license from the U.S. Drug Enforcement Administration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for its research lab in the Boston area. The license allows the Company to further become a hub for innovation and drug discovery. With the DEA license, the Company has expanded its internal R&amp;D capabilities to support innovative drug discovery and delivery involving Schedule I compounds.</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March 13, 2024, the Company announced that it had been granted Breakthrough Therapy Designation (the “</w:t>
      </w:r>
      <w:r>
        <w:rPr>
          <w:rFonts w:ascii="Times New Roman" w:cs="Times New Roman" w:eastAsia="Times New Roman" w:hAnsi="Times New Roman"/>
          <w:sz w:val="20"/>
          <w:szCs w:val="20"/>
          <w:b w:val="1"/>
          <w:bCs w:val="1"/>
          <w:color w:val="auto"/>
        </w:rPr>
        <w:t>BTD</w:t>
      </w:r>
      <w:r>
        <w:rPr>
          <w:rFonts w:ascii="Times New Roman" w:cs="Times New Roman" w:eastAsia="Times New Roman" w:hAnsi="Times New Roman"/>
          <w:sz w:val="20"/>
          <w:szCs w:val="20"/>
          <w:color w:val="auto"/>
        </w:rPr>
        <w:t>”) by the FDA in respect of HLP003.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HLP003 development program, including planned clinical trials and plans for expediting the manufacturing development strategy.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Non-Revenue Generating Projects</w:t>
      </w:r>
      <w:r>
        <w:rPr>
          <w:rFonts w:ascii="Times New Roman" w:cs="Times New Roman" w:eastAsia="Times New Roman" w:hAnsi="Times New Roman"/>
          <w:sz w:val="25"/>
          <w:szCs w:val="25"/>
          <w:i w:val="1"/>
          <w:iCs w:val="1"/>
          <w:color w:val="auto"/>
          <w:vertAlign w:val="superscript"/>
        </w:rPr>
        <w:t>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currently has three significant projects, which have not yet generated revenue:</w:t>
      </w:r>
    </w:p>
    <w:p>
      <w:pPr>
        <w:spacing w:after="0" w:line="29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HLP003 Program</w:t>
      </w:r>
      <w:r>
        <w:rPr>
          <w:rFonts w:ascii="Times New Roman" w:cs="Times New Roman" w:eastAsia="Times New Roman" w:hAnsi="Times New Roman"/>
          <w:sz w:val="25"/>
          <w:szCs w:val="25"/>
          <w:color w:val="auto"/>
          <w:vertAlign w:val="superscript"/>
        </w:rPr>
        <w:t>9</w:t>
      </w:r>
    </w:p>
    <w:p>
      <w:pPr>
        <w:spacing w:after="0" w:line="4" w:lineRule="exact"/>
        <w:rPr>
          <w:rFonts w:ascii="Times New Roman" w:cs="Times New Roman" w:eastAsia="Times New Roman" w:hAnsi="Times New Roman"/>
          <w:sz w:val="20"/>
          <w:szCs w:val="20"/>
          <w:color w:val="auto"/>
        </w:rPr>
      </w:pPr>
    </w:p>
    <w:p>
      <w:pPr>
        <w:ind w:left="660" w:hanging="328"/>
        <w:spacing w:after="0" w:line="225"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HLP004 Program</w:t>
      </w:r>
      <w:r>
        <w:rPr>
          <w:rFonts w:ascii="Times New Roman" w:cs="Times New Roman" w:eastAsia="Times New Roman" w:hAnsi="Times New Roman"/>
          <w:sz w:val="25"/>
          <w:szCs w:val="25"/>
          <w:color w:val="auto"/>
          <w:vertAlign w:val="superscript"/>
        </w:rPr>
        <w:t>10</w:t>
      </w:r>
    </w:p>
    <w:p>
      <w:pPr>
        <w:ind w:left="660" w:hanging="328"/>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HLP005 Program</w:t>
      </w:r>
      <w:r>
        <w:rPr>
          <w:rFonts w:ascii="Times New Roman" w:cs="Times New Roman" w:eastAsia="Times New Roman" w:hAnsi="Times New Roman"/>
          <w:sz w:val="25"/>
          <w:szCs w:val="25"/>
          <w:color w:val="auto"/>
          <w:vertAlign w:val="superscript"/>
        </w:rPr>
        <w:t>11</w:t>
      </w:r>
    </w:p>
    <w:p>
      <w:pPr>
        <w:spacing w:after="0" w:line="217"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Company has developed EMBARK, a psychological support model that integrates leading clinical approaches to promote supportive healing with pharmacological interventions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714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9" w:lineRule="exact"/>
        <w:rPr>
          <w:sz w:val="20"/>
          <w:szCs w:val="20"/>
          <w:color w:val="auto"/>
        </w:rPr>
      </w:pPr>
    </w:p>
    <w:p>
      <w:pPr>
        <w:ind w:firstLine="8"/>
        <w:spacing w:after="0" w:line="215" w:lineRule="auto"/>
        <w:tabs>
          <w:tab w:leader="none" w:pos="94"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Times New Roman" w:cs="Times New Roman" w:eastAsia="Times New Roman" w:hAnsi="Times New Roman"/>
          <w:sz w:val="21"/>
          <w:szCs w:val="21"/>
          <w:color w:val="auto"/>
          <w:vertAlign w:val="superscript"/>
        </w:rPr>
      </w:pP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6"/>
          <w:szCs w:val="16"/>
          <w:color w:val="auto"/>
        </w:rPr>
        <w:t xml:space="preserve"> All quarter references in this section are based on calendar year-end.</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6"/>
          <w:szCs w:val="16"/>
          <w:color w:val="auto"/>
        </w:rPr>
        <w:t xml:space="preserve"> Formerly named the Deuterated Psilocin Program (CYB003)</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6"/>
          <w:szCs w:val="16"/>
          <w:color w:val="auto"/>
        </w:rPr>
        <w:t xml:space="preserve"> Formerly named the Deuterated Dimethyltryptamine Program (CYB004).</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6"/>
          <w:szCs w:val="16"/>
          <w:color w:val="auto"/>
        </w:rPr>
        <w:t xml:space="preserve"> Formerly named the Phenethylamine and Tryptamine Derivatives Program (CYB005).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43" w:name="page44"/>
    <w:bookmarkEnd w:id="43"/>
    <w:p>
      <w:pPr>
        <w:jc w:val="both"/>
        <w:spacing w:after="0" w:line="283" w:lineRule="auto"/>
        <w:rPr>
          <w:sz w:val="20"/>
          <w:szCs w:val="20"/>
          <w:color w:val="auto"/>
        </w:rPr>
      </w:pPr>
      <w:r>
        <w:rPr>
          <w:rFonts w:ascii="Times New Roman" w:cs="Times New Roman" w:eastAsia="Times New Roman" w:hAnsi="Times New Roman"/>
          <w:sz w:val="20"/>
          <w:szCs w:val="20"/>
          <w:color w:val="auto"/>
        </w:rPr>
        <w:t>neuropsychiatry. EMBARK’s six clinical domains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 xml:space="preserve">xistential-Spiritual, </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 xml:space="preserve">indfulness,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ody Aware,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ffective-Cognitive, </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20"/>
          <w:szCs w:val="20"/>
          <w:color w:val="auto"/>
        </w:rPr>
        <w:t xml:space="preserve">elational, </w:t>
      </w: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20"/>
          <w:szCs w:val="20"/>
          <w:color w:val="auto"/>
        </w:rPr>
        <w:t>eeping Momentum) represent the broad spectrum of ways in which therapeutic benefits may arise in treatment and the equally broad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20"/>
          <w:szCs w:val="20"/>
          <w:b w:val="1"/>
          <w:bCs w:val="1"/>
          <w:color w:val="auto"/>
        </w:rPr>
        <w:t>EMBARK OA</w:t>
      </w:r>
      <w:r>
        <w:rPr>
          <w:rFonts w:ascii="Times New Roman" w:cs="Times New Roman" w:eastAsia="Times New Roman" w:hAnsi="Times New Roman"/>
          <w:sz w:val="20"/>
          <w:szCs w:val="20"/>
          <w:color w:val="auto"/>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which is designed for individuals with existing knowledge, skills, and experience in facilitation. The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HLP003 Program</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been investigating the development of short-acting NSAs with the aim of creating clinical development candidates, utilizing (i) the chemical modification of known serotonergic agonists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lead program, HLP003, is an orally delivered deuterated NSA that has been granted FDA BTD for the potential adjunctive treatment of MDD. HLP003 aims to address the limitations of first-generation serotonergic agonists, including side effects, scalability and accessibility of treatment.</w:t>
      </w:r>
    </w:p>
    <w:p>
      <w:pPr>
        <w:spacing w:after="0" w:line="21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completed its HLP003 Investigational New Drug (“</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”)-enabling preclinical studies and Chemistry, Manufacturing and Control (“</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20"/>
          <w:szCs w:val="20"/>
          <w:b w:val="1"/>
          <w:bCs w:val="1"/>
          <w:color w:val="auto"/>
        </w:rPr>
        <w:t>IRB</w:t>
      </w:r>
      <w:r>
        <w:rPr>
          <w:rFonts w:ascii="Times New Roman" w:cs="Times New Roman" w:eastAsia="Times New Roman" w:hAnsi="Times New Roman"/>
          <w:sz w:val="20"/>
          <w:szCs w:val="20"/>
          <w:color w:val="auto"/>
        </w:rPr>
        <w:t>”) approval in the U.S. to commence its first-in-human Phase 1/2a study of HLP003 in participants with moderate to severe MDD. The Company had engaged Clinilabs Drug Development Corporation (“</w:t>
      </w:r>
      <w:r>
        <w:rPr>
          <w:rFonts w:ascii="Times New Roman" w:cs="Times New Roman" w:eastAsia="Times New Roman" w:hAnsi="Times New Roman"/>
          <w:sz w:val="20"/>
          <w:szCs w:val="20"/>
          <w:b w:val="1"/>
          <w:bCs w:val="1"/>
          <w:color w:val="auto"/>
        </w:rPr>
        <w:t>Clinilabs</w:t>
      </w:r>
      <w:r>
        <w:rPr>
          <w:rFonts w:ascii="Times New Roman" w:cs="Times New Roman" w:eastAsia="Times New Roman" w:hAnsi="Times New Roman"/>
          <w:sz w:val="20"/>
          <w:szCs w:val="20"/>
          <w:color w:val="auto"/>
        </w:rPr>
        <w:t>”), a full-service contract research organization with deep expertise in central nervous system drug development, to carry out the Phase 1/2a clinical trial of HLP003.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Completed HLP003 Phase 1/2a Clinical Trial</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Phase 1/2a trial was a randomized, double-blind, placebo-controlled study evaluating HLP003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36" w:right="339" w:bottom="1440" w:gutter="0" w:footer="0" w:header="0"/>
        </w:sectPr>
      </w:pPr>
    </w:p>
    <w:bookmarkStart w:id="44" w:name="page45"/>
    <w:bookmarkEnd w:id="44"/>
    <w:p>
      <w:pPr>
        <w:jc w:val="both"/>
        <w:spacing w:after="0" w:line="296" w:lineRule="auto"/>
        <w:rPr>
          <w:sz w:val="20"/>
          <w:szCs w:val="20"/>
          <w:color w:val="auto"/>
        </w:rPr>
      </w:pPr>
      <w:r>
        <w:rPr>
          <w:rFonts w:ascii="Times New Roman" w:cs="Times New Roman" w:eastAsia="Times New Roman" w:hAnsi="Times New Roman"/>
          <w:sz w:val="20"/>
          <w:szCs w:val="20"/>
          <w:color w:val="auto"/>
        </w:rPr>
        <w:t>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21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study investigated the safety, tolerability, pharmacokinetics (“</w:t>
      </w:r>
      <w:r>
        <w:rPr>
          <w:rFonts w:ascii="Times New Roman" w:cs="Times New Roman" w:eastAsia="Times New Roman" w:hAnsi="Times New Roman"/>
          <w:sz w:val="20"/>
          <w:szCs w:val="20"/>
          <w:b w:val="1"/>
          <w:bCs w:val="1"/>
          <w:color w:val="auto"/>
        </w:rPr>
        <w:t>PK</w:t>
      </w:r>
      <w:r>
        <w:rPr>
          <w:rFonts w:ascii="Times New Roman" w:cs="Times New Roman" w:eastAsia="Times New Roman" w:hAnsi="Times New Roman"/>
          <w:sz w:val="20"/>
          <w:szCs w:val="20"/>
          <w:color w:val="auto"/>
        </w:rPr>
        <w:t>”) and pharmacodynamics (“</w:t>
      </w:r>
      <w:r>
        <w:rPr>
          <w:rFonts w:ascii="Times New Roman" w:cs="Times New Roman" w:eastAsia="Times New Roman" w:hAnsi="Times New Roman"/>
          <w:sz w:val="20"/>
          <w:szCs w:val="20"/>
          <w:b w:val="1"/>
          <w:bCs w:val="1"/>
          <w:color w:val="auto"/>
        </w:rPr>
        <w:t>PD</w:t>
      </w:r>
      <w:r>
        <w:rPr>
          <w:rFonts w:ascii="Times New Roman" w:cs="Times New Roman" w:eastAsia="Times New Roman" w:hAnsi="Times New Roman"/>
          <w:sz w:val="20"/>
          <w:szCs w:val="20"/>
          <w:color w:val="auto"/>
        </w:rPr>
        <w:t>”), and pharmacological effect of ascending oral doses of HLP003. In participants with MDD, the trial evaluated rapid onset of antidepressant effect on the day of dosing, using the Montgomery-Asberg Depression Rating Scale (“</w:t>
      </w:r>
      <w:r>
        <w:rPr>
          <w:rFonts w:ascii="Times New Roman" w:cs="Times New Roman" w:eastAsia="Times New Roman" w:hAnsi="Times New Roman"/>
          <w:sz w:val="20"/>
          <w:szCs w:val="20"/>
          <w:b w:val="1"/>
          <w:bCs w:val="1"/>
          <w:color w:val="auto"/>
        </w:rPr>
        <w:t>MADRS</w:t>
      </w:r>
      <w:r>
        <w:rPr>
          <w:rFonts w:ascii="Times New Roman" w:cs="Times New Roman" w:eastAsia="Times New Roman" w:hAnsi="Times New Roman"/>
          <w:sz w:val="20"/>
          <w:szCs w:val="20"/>
          <w:color w:val="auto"/>
        </w:rPr>
        <w:t>”), and evaluated the incremental benefit of a second dose of HLP003 when administered at Week 3. The study included an optional period of assessment to evaluate the durability of treatment effect out to 12 months. The study is listed on ClinicalTrials.gov under Identifier: NCT05385783.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30, 2022, the Company announced that the first two participants had been dosed in the Phase 1/2a study.</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February 28, 2023, the Company announced positive interim safety and pharmacokinetics and pharmacodynamics data from the Phase 1/2a study of HLP003. Interim findings showed that HLP003 exhibited rapid, short-acting effects, low variability in plasma levels, and achieved desired pharmacological effects at low doses. At the 8 mg and 10 mg dose levels, most of the participants reported robust and meaningful pharmacological effects, confirming a complete mystical experience was achieved. All doses evaluated (single oral doses of HLP003 up to 10 mg) were well-tolerated with no serious adverse events reported.</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 mg doses of HLP003. On August 2, 2023, the Company announced that it had initiated dosing in Cohort 6, the final cohort of the HLP003 Phase 2a study.</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September 21, 2023, the Company announced that it had completed enrollment in its Phase 2a study of HLP003, its proprietary NSA molecule being developed for the potential treatment of MDD. All participants in the sixth, and final, cohort received at least one dose (placebo or 16 mg of HLP003) with several second doses already administered, and no serious adverse events observed in participants. As of that date, HLP003 demonstrated a favorable safety and tolerability profile at all doses evaluated in the five completed cohorts (1 mg, 3 mg, 8 mg, 10 mg, and 12 mg).</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October 3, 2023, the Company announced that it had completed dosing in Cohort 6 of its Phase 2a study of HLP003. The following doses were evaluated in the six cohorts that comprised the Phase 2a study: 1 mg, 3 mg, 8 mg, 10 mg, 12 mg, and 16 mg. As of that date, HLP003 has been shown to be safe and tolerable at all doses evaluated with no serious adverse events or discontinuations due to adverse events having been observed in the final dose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96" w:lineRule="auto"/>
        <w:rPr>
          <w:sz w:val="20"/>
          <w:szCs w:val="20"/>
          <w:color w:val="auto"/>
        </w:rPr>
      </w:pPr>
      <w:r>
        <w:rPr>
          <w:rFonts w:ascii="Times New Roman" w:cs="Times New Roman" w:eastAsia="Times New Roman" w:hAnsi="Times New Roman"/>
          <w:sz w:val="20"/>
          <w:szCs w:val="20"/>
          <w:color w:val="auto"/>
        </w:rPr>
        <w:t>On October 31, 2023, the Company announced Phase 2a interim results for HLP003, demonstrating a rapid, robust and statistically significant reduction in symptoms of depression three weeks following a single 12 mg dose compared to placebo, in participants with moderate to severe MDD. At the 3-week primary efficacy endpoint, the reduction in MDD symptoms, defined as change from baseline in the MADRS total score, was superior in participants assigned to HLP003 compared to the participants who received placebo by 14.11 points (p=0.0001, Cohen’s d=2.31).</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November 30, 2023, the Company announced positive Phase 2a topline results for HLP003, showing rapid and robust improvements in symptoms of depression after single doses of HLP003, with an average 14.1 point difference in MADRS score reduction between HLP003 and placebo which was statistically significant at 3 weeks (p&lt;0.0001). The study also demonstrated a clear incremental benefit of a second dose, with a further 5.8 point improvement on the MADRS total score with a second dose of HLP003 (12 mg) at 6 weeks, and 79% of patients were in remission from depression at 6 weeks after two doses of HLP003 (12 mg). HLP003 exhibited a favorable safety and tolerability profile with no treatment-related serious adverse events at 12 mg and 16 mg doses.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March 13, 2024, the Company announced that the FDA had granted BTD to its HLP003 Program for the potential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HLP003 in MDD. These results showed robust, sustained and statistically significant improvements in depression symptoms at four months with two doses of HLP003 (12 mg or 16 mg):</w:t>
      </w:r>
    </w:p>
    <w:p>
      <w:pPr>
        <w:spacing w:after="0" w:line="202" w:lineRule="exact"/>
        <w:rPr>
          <w:sz w:val="20"/>
          <w:szCs w:val="20"/>
          <w:color w:val="auto"/>
        </w:rPr>
      </w:pPr>
    </w:p>
    <w:p>
      <w:pPr>
        <w:ind w:left="660" w:hanging="331"/>
        <w:spacing w:after="0" w:line="288" w:lineRule="auto"/>
        <w:tabs>
          <w:tab w:leader="none" w:pos="624"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Average mean reduction from baseline in the MADRS total score across 2 cohorts was approximately 22 points from baseline in both dosing cohorts.</w:t>
      </w:r>
    </w:p>
    <w:p>
      <w:pPr>
        <w:ind w:left="640" w:hanging="311"/>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of patients on 12 mg and 75% on 16 mg were in remission from depression following 2 doses (MADRS score &lt;/= 10).</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spacing w:after="0" w:line="195"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pivotal study program will include a study with a three-arm design with a high dose, mid-dose, and placebo arm. Patients will not</w:t>
      </w:r>
    </w:p>
    <w:p>
      <w:pPr>
        <w:spacing w:after="0" w:line="65" w:lineRule="exact"/>
        <w:rPr>
          <w:rFonts w:ascii="Times New Roman" w:cs="Times New Roman" w:eastAsia="Times New Roman" w:hAnsi="Times New Roman"/>
          <w:sz w:val="19"/>
          <w:szCs w:val="19"/>
          <w:color w:val="auto"/>
        </w:rPr>
      </w:pPr>
    </w:p>
    <w:p>
      <w:pPr>
        <w:ind w:left="66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know if they received the therapeutic high dose or the sub therapeutic mid-dose, mitigating the unblinding to an extent and addressing potential expectancy bias;</w:t>
      </w:r>
    </w:p>
    <w:p>
      <w:pPr>
        <w:spacing w:after="0" w:line="1" w:lineRule="exact"/>
        <w:rPr>
          <w:rFonts w:ascii="Times New Roman" w:cs="Times New Roman" w:eastAsia="Times New Roman" w:hAnsi="Times New Roman"/>
          <w:sz w:val="19"/>
          <w:szCs w:val="19"/>
          <w:color w:val="auto"/>
        </w:rPr>
      </w:pPr>
    </w:p>
    <w:p>
      <w:pPr>
        <w:ind w:left="660" w:hanging="328"/>
        <w:spacing w:after="0" w:line="28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utilize remote, independent, blinded raters who will not have any information on the dose received or the participant’s dosing experience;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of effects during the dosing session will be fire-walled to ensure that the study team stays blinded;</w:t>
      </w:r>
    </w:p>
    <w:p>
      <w:pPr>
        <w:spacing w:after="0" w:line="53" w:lineRule="exact"/>
        <w:rPr>
          <w:rFonts w:ascii="Times New Roman" w:cs="Times New Roman" w:eastAsia="Times New Roman" w:hAnsi="Times New Roman"/>
          <w:sz w:val="20"/>
          <w:szCs w:val="20"/>
          <w:color w:val="auto"/>
        </w:rPr>
      </w:pPr>
    </w:p>
    <w:p>
      <w:pPr>
        <w:ind w:left="660" w:hanging="328"/>
        <w:spacing w:after="0" w:line="28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recruit participants who are largely naïve to serotonergic agonists that result in non-ordinary states of consciousness to reduce the impact of expectancy bias;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assess long-term efficacy data points up to one year, to outlast any potential expectancy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4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addition, the studies will include manual and real time artificial intelligence screening of monitoring sessions to ensure monitor fidelity and patient safety.</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18, 2024, the Company reported positive Phase 2 data for HLP003, demonstrating 12-month efficacy in treating MDD. At 12 months after two 16 mg doses, 100% of participants were responsive to treatment and 71% of participants were in remission. The mean change from baseline in MADRS was approximately -23 points at 12 months after two 16 mg doses. HLP003 demonstrated an excellent safety and tolerability profile. No new adverse events were reported in the 12-month follow up, including no reports of suicidality.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3 PARADIGM Pivotal Program</w:t>
      </w:r>
    </w:p>
    <w:p>
      <w:pPr>
        <w:spacing w:after="0" w:line="2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November 13, 2024, the Company announced that it had initiated PARADIGM, a multinational pivotal Phase 3 program evaluating HLP003 for the potential adjunctive treatment of MDD.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Phase 3 program comprises three pivotal efficacy studies as outlined below. Dosing is underway in APPROACH, the first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pivotal study, and patient rollover has begun into EXTEND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defined below).</w:t>
      </w:r>
    </w:p>
    <w:p>
      <w:pPr>
        <w:spacing w:after="0" w:line="2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Pivotal study 1: APPROACH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Placebo-Controlled, Randomized, Double-Blind Trial of Oral Doses of HLP003 to Assess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Combined Safety and Efficacy in Humans with Major Depressive Disorder)(“</w:t>
      </w:r>
      <w:r>
        <w:rPr>
          <w:rFonts w:ascii="Times New Roman" w:cs="Times New Roman" w:eastAsia="Times New Roman" w:hAnsi="Times New Roman"/>
          <w:sz w:val="20"/>
          <w:szCs w:val="20"/>
          <w:b w:val="1"/>
          <w:bCs w:val="1"/>
          <w:color w:val="auto"/>
        </w:rPr>
        <w:t>APPROACH</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jc w:val="both"/>
        <w:ind w:left="660" w:hanging="328"/>
        <w:spacing w:after="0" w:line="286"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(n=220) will be randomized 1:1 to receive either 16 mg of HLP003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11"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APPROACH will enroll participants at approximately 45 clinical sites across the U.S.</w:t>
      </w:r>
    </w:p>
    <w:p>
      <w:pPr>
        <w:spacing w:after="0" w:line="2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Pivotal study 2: EMBRACE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Efficacy and Safety, Phase III, Multi-center, Double-Blind, Randomized Controlled Study Comparing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Active Doses of HLP003 and Placebo in Eligible Participants With Major Depressive Disorder) (“</w:t>
      </w:r>
      <w:r>
        <w:rPr>
          <w:rFonts w:ascii="Times New Roman" w:cs="Times New Roman" w:eastAsia="Times New Roman" w:hAnsi="Times New Roman"/>
          <w:sz w:val="20"/>
          <w:szCs w:val="20"/>
          <w:b w:val="1"/>
          <w:bCs w:val="1"/>
          <w:color w:val="auto"/>
        </w:rPr>
        <w:t>EMBRACE</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jc w:val="both"/>
        <w:ind w:left="660" w:hanging="328"/>
        <w:spacing w:after="0" w:line="285"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(n=330) will be randomized 1:1:1 to receive 16 mg of HLP003 (n=110), 8 mg of HLP003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25"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EMBRACE is expected to enroll at approximately 60 clinical sites, with minimal site overlap with the APPROACH study.</w:t>
      </w:r>
    </w:p>
    <w:p>
      <w:pPr>
        <w:spacing w:after="0" w:line="293"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auto"/>
        </w:rPr>
        <w:t>Pivotal study 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Open Label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Exten</w:t>
      </w:r>
      <w:r>
        <w:rPr>
          <w:rFonts w:ascii="Times New Roman" w:cs="Times New Roman" w:eastAsia="Times New Roman" w:hAnsi="Times New Roman"/>
          <w:sz w:val="20"/>
          <w:szCs w:val="20"/>
          <w:color w:val="auto"/>
        </w:rPr>
        <w:t>sion Study with Optional Additional Doses of HLP003 to Assess the Safety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Long-term Efficacy in Participants With Major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20"/>
          <w:szCs w:val="20"/>
          <w:color w:val="auto"/>
        </w:rPr>
        <w:t>epressive Disorder).</w:t>
      </w:r>
    </w:p>
    <w:p>
      <w:pPr>
        <w:spacing w:after="0" w:line="183"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from APPROACH and EMBRACE will roll over into EXTEND (up to n=550) after the completion of the 12-week,</w:t>
      </w:r>
    </w:p>
    <w:p>
      <w:pPr>
        <w:spacing w:after="0" w:line="53" w:lineRule="exact"/>
        <w:rPr>
          <w:rFonts w:ascii="Times New Roman" w:cs="Times New Roman" w:eastAsia="Times New Roman" w:hAnsi="Times New Roman"/>
          <w:sz w:val="20"/>
          <w:szCs w:val="20"/>
          <w:color w:val="auto"/>
        </w:rPr>
      </w:pPr>
    </w:p>
    <w:p>
      <w:pPr>
        <w:jc w:val="both"/>
        <w:ind w:left="66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double-blind, placebo-controlled treatment periods. During EXTEND, all participants who did not respond to treatment in the APPROACH and EMBRACE studies or who relapse during the EXTEND study will be eligible to receive an additional two doses of HLP003 (16 mg) administered three weeks apart. Participants who do not respond to these two doses or relapse again will be eligible to receive an additional single 16 mg dose of HLP003.</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Across all three studies, raters will be remote, independent, and blinded with no information on the dose received or the participant’s dosing experience. Effects during the dosing session will be firewalled to ensure that the study team stays blinded.</w:t>
      </w:r>
    </w:p>
    <w:p>
      <w:pPr>
        <w:spacing w:after="0" w:line="17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On January 15, 2025, the Company announced the launch of its first strategic partnership agreement (“</w:t>
      </w:r>
      <w:r>
        <w:rPr>
          <w:rFonts w:ascii="Times New Roman" w:cs="Times New Roman" w:eastAsia="Times New Roman" w:hAnsi="Times New Roman"/>
          <w:sz w:val="20"/>
          <w:szCs w:val="20"/>
          <w:b w:val="1"/>
          <w:bCs w:val="1"/>
          <w:color w:val="auto"/>
        </w:rPr>
        <w:t>SPA</w:t>
      </w:r>
      <w:r>
        <w:rPr>
          <w:rFonts w:ascii="Times New Roman" w:cs="Times New Roman" w:eastAsia="Times New Roman" w:hAnsi="Times New Roman"/>
          <w:sz w:val="20"/>
          <w:szCs w:val="20"/>
          <w:color w:val="auto"/>
        </w:rPr>
        <w:t>”) with Segal Trials in furtherance of the Company’s multinational pivotal Phase 3 program evaluating HLP003 for the potential adjunctive treatment of MDD.</w:t>
      </w:r>
    </w:p>
    <w:p>
      <w:pPr>
        <w:spacing w:after="0" w:line="1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17, 2025, the Company announced that it has received approval from the MHRA to commence EMBRACE, the second pivotal study in PARADIGM, the Company’s Phase 3 multinational program evaluating HLP003, a proprietary NSA.</w:t>
      </w:r>
    </w:p>
    <w:p>
      <w:pPr>
        <w:spacing w:after="0" w:line="1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August 26, 2025, the Company announced that it had received Australian approval for the EMBRACE study.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 in Australia.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$43,534 on the HLP003 Program during the nine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48" w:name="page49"/>
    <w:bookmarkEnd w:id="48"/>
    <w:p>
      <w:pPr>
        <w:ind w:right="20"/>
        <w:spacing w:after="0" w:line="325" w:lineRule="auto"/>
        <w:rPr>
          <w:sz w:val="20"/>
          <w:szCs w:val="20"/>
          <w:color w:val="auto"/>
        </w:rPr>
      </w:pPr>
      <w:r>
        <w:rPr>
          <w:rFonts w:ascii="Times New Roman" w:cs="Times New Roman" w:eastAsia="Times New Roman" w:hAnsi="Times New Roman"/>
          <w:sz w:val="20"/>
          <w:szCs w:val="20"/>
          <w:color w:val="auto"/>
        </w:rPr>
        <w:t>As the Company continues to progress through the HLP003 Program, additional milestones related its clinical development have been identified. The Company intends to:</w:t>
      </w:r>
    </w:p>
    <w:p>
      <w:pPr>
        <w:spacing w:after="0" w:line="174" w:lineRule="exact"/>
        <w:rPr>
          <w:sz w:val="20"/>
          <w:szCs w:val="20"/>
          <w:color w:val="auto"/>
        </w:rPr>
      </w:pPr>
    </w:p>
    <w:p>
      <w:pPr>
        <w:ind w:left="620" w:hanging="291"/>
        <w:spacing w:after="0"/>
        <w:tabs>
          <w:tab w:leader="none" w:pos="6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Provide topline efficacy data readout from the first Phase 3 study, APPROACH, in Q4 2026.</w:t>
      </w:r>
      <w:r>
        <w:rPr>
          <w:rFonts w:ascii="Times New Roman" w:cs="Times New Roman" w:eastAsia="Times New Roman" w:hAnsi="Times New Roman"/>
          <w:sz w:val="25"/>
          <w:szCs w:val="25"/>
          <w:color w:val="auto"/>
          <w:vertAlign w:val="superscript"/>
        </w:rPr>
        <w:t>12</w:t>
      </w:r>
    </w:p>
    <w:p>
      <w:pPr>
        <w:spacing w:after="0" w:line="21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The Company spent approximately $12,766 to initiate enrollment in the second Phase 3 study, EMBRACE, of which approximately $9,105 was spent during the nine months ended December 31, 2025, and approximately $3,661 was spent in prior fiscal years.</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Company expects to spend approximately $45,881</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to provide topline efficacy data readout from the first Phase 3 study, APPROACH, in Q4 2026 of which approximately $15,169 was spent during the nine months ended December 31, 2025, and approximately $3,717 was spent in prior fiscal years, resulting in an approximate remaining spend as of December 31, 2025, of $26,995 by the milestone completion in Q4 2026.</w:t>
      </w:r>
      <w:r>
        <w:rPr>
          <w:rFonts w:ascii="Times New Roman" w:cs="Times New Roman" w:eastAsia="Times New Roman" w:hAnsi="Times New Roman"/>
          <w:sz w:val="25"/>
          <w:szCs w:val="25"/>
          <w:color w:val="auto"/>
          <w:vertAlign w:val="superscript"/>
        </w:rPr>
        <w:t>14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HLP003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complete future clinical trials for this program in the U.S., Europe, the UK and Australia.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HLP004 Program</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proprietary HLP004 Program is being developed as an intermittent treatment with the potential for less invasive, more convenient and patient-friendly dosing methods for the potential treatment of GAD. A single intramuscular (“</w:t>
      </w:r>
      <w:r>
        <w:rPr>
          <w:rFonts w:ascii="Times New Roman" w:cs="Times New Roman" w:eastAsia="Times New Roman" w:hAnsi="Times New Roman"/>
          <w:sz w:val="20"/>
          <w:szCs w:val="20"/>
          <w:b w:val="1"/>
          <w:bCs w:val="1"/>
          <w:color w:val="auto"/>
        </w:rPr>
        <w:t>IM</w:t>
      </w:r>
      <w:r>
        <w:rPr>
          <w:rFonts w:ascii="Times New Roman" w:cs="Times New Roman" w:eastAsia="Times New Roman" w:hAnsi="Times New Roman"/>
          <w:sz w:val="20"/>
          <w:szCs w:val="20"/>
          <w:color w:val="auto"/>
        </w:rPr>
        <w:t>”) dose is expected to result in desired pharmacological effects lasting an average of 90 minutes.</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Helus Pharma has leveraged clinical data from its five completed clinical trials studying first- and second-generation NSAs to inform and optimize the development of the HLP004 Program. To date, Helus Pharma has completed five clinical trials across various molecules demonstrating proof-of-concept in potentially treating depression, supporting the development of its proprietary deuterated NSA, HLP004, for the potential treatment of anxiety disorders, and providing important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14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8" w:lineRule="exact"/>
        <w:rPr>
          <w:sz w:val="20"/>
          <w:szCs w:val="20"/>
          <w:color w:val="auto"/>
        </w:rPr>
      </w:pPr>
    </w:p>
    <w:p>
      <w:pPr>
        <w:jc w:val="both"/>
        <w:ind w:firstLine="8"/>
        <w:spacing w:after="0" w:line="237" w:lineRule="auto"/>
        <w:tabs>
          <w:tab w:leader="none" w:pos="159"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4" w:lineRule="exact"/>
        <w:rPr>
          <w:rFonts w:ascii="Times New Roman" w:cs="Times New Roman" w:eastAsia="Times New Roman" w:hAnsi="Times New Roman"/>
          <w:sz w:val="21"/>
          <w:szCs w:val="21"/>
          <w:color w:val="auto"/>
          <w:vertAlign w:val="superscript"/>
        </w:rPr>
      </w:pPr>
    </w:p>
    <w:p>
      <w:pPr>
        <w:jc w:val="both"/>
        <w:ind w:firstLine="8"/>
        <w:spacing w:after="0" w:line="237" w:lineRule="auto"/>
        <w:tabs>
          <w:tab w:leader="none" w:pos="159"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$44,349.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12.</w:t>
      </w:r>
    </w:p>
    <w:p>
      <w:pPr>
        <w:spacing w:after="0" w:line="2" w:lineRule="exact"/>
        <w:rPr>
          <w:rFonts w:ascii="Times New Roman" w:cs="Times New Roman" w:eastAsia="Times New Roman" w:hAnsi="Times New Roman"/>
          <w:sz w:val="21"/>
          <w:szCs w:val="21"/>
          <w:color w:val="auto"/>
          <w:vertAlign w:val="superscript"/>
        </w:rPr>
      </w:pPr>
    </w:p>
    <w:p>
      <w:pPr>
        <w:ind w:left="160" w:hanging="152"/>
        <w:spacing w:after="0"/>
        <w:tabs>
          <w:tab w:leader="none" w:pos="16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325" w:lineRule="auto"/>
        <w:rPr>
          <w:sz w:val="20"/>
          <w:szCs w:val="20"/>
          <w:color w:val="auto"/>
        </w:rPr>
      </w:pPr>
      <w:r>
        <w:rPr>
          <w:rFonts w:ascii="Times New Roman" w:cs="Times New Roman" w:eastAsia="Times New Roman" w:hAnsi="Times New Roman"/>
          <w:sz w:val="20"/>
          <w:szCs w:val="20"/>
          <w:color w:val="auto"/>
        </w:rPr>
        <w:t>insights. The Company has one of the most advanced and extensive intellectual property portfolios in the pharmaceutical sector around HLP004 and its structural isotopomers.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findings from these completed studies are as follows:</w:t>
      </w:r>
    </w:p>
    <w:p>
      <w:pPr>
        <w:spacing w:after="0" w:line="279" w:lineRule="exact"/>
        <w:rPr>
          <w:sz w:val="20"/>
          <w:szCs w:val="20"/>
          <w:color w:val="auto"/>
        </w:rPr>
      </w:pPr>
    </w:p>
    <w:p>
      <w:pPr>
        <w:ind w:left="620" w:hanging="291"/>
        <w:spacing w:after="0"/>
        <w:tabs>
          <w:tab w:leader="none" w:pos="62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Phase 2a safety and efficacy data for SPL026 (IV N,N-dimethyltryptamine (“</w:t>
      </w:r>
      <w:r>
        <w:rPr>
          <w:rFonts w:ascii="Times New Roman" w:cs="Times New Roman" w:eastAsia="Times New Roman" w:hAnsi="Times New Roman"/>
          <w:sz w:val="19"/>
          <w:szCs w:val="19"/>
          <w:b w:val="1"/>
          <w:bCs w:val="1"/>
          <w:color w:val="auto"/>
        </w:rPr>
        <w:t>DMT</w:t>
      </w:r>
      <w:r>
        <w:rPr>
          <w:rFonts w:ascii="Times New Roman" w:cs="Times New Roman" w:eastAsia="Times New Roman" w:hAnsi="Times New Roman"/>
          <w:sz w:val="19"/>
          <w:szCs w:val="19"/>
          <w:color w:val="auto"/>
        </w:rPr>
        <w:t>”)) in 34 participants with MDD, demonstrating a</w:t>
      </w:r>
    </w:p>
    <w:p>
      <w:pPr>
        <w:spacing w:after="0" w:line="68" w:lineRule="exact"/>
        <w:rPr>
          <w:rFonts w:ascii="Arial" w:cs="Arial" w:eastAsia="Arial" w:hAnsi="Arial"/>
          <w:sz w:val="19"/>
          <w:szCs w:val="19"/>
          <w:color w:val="auto"/>
        </w:rPr>
      </w:pPr>
    </w:p>
    <w:p>
      <w:pPr>
        <w:jc w:val="both"/>
        <w:ind w:left="660"/>
        <w:spacing w:after="0" w:line="286" w:lineRule="auto"/>
        <w:rPr>
          <w:rFonts w:ascii="Arial" w:cs="Arial" w:eastAsia="Arial" w:hAnsi="Arial"/>
          <w:sz w:val="19"/>
          <w:szCs w:val="19"/>
          <w:color w:val="auto"/>
        </w:rPr>
      </w:pPr>
      <w:r>
        <w:rPr>
          <w:rFonts w:ascii="Times New Roman" w:cs="Times New Roman" w:eastAsia="Times New Roman" w:hAnsi="Times New Roman"/>
          <w:sz w:val="20"/>
          <w:szCs w:val="20"/>
          <w:color w:val="auto"/>
        </w:rPr>
        <w:t>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spacing w:after="0" w:line="1" w:lineRule="exact"/>
        <w:rPr>
          <w:rFonts w:ascii="Arial" w:cs="Arial" w:eastAsia="Arial" w:hAnsi="Arial"/>
          <w:sz w:val="19"/>
          <w:szCs w:val="19"/>
          <w:color w:val="auto"/>
        </w:rPr>
      </w:pPr>
    </w:p>
    <w:p>
      <w:pPr>
        <w:ind w:left="660" w:hanging="331"/>
        <w:spacing w:after="0" w:line="288" w:lineRule="auto"/>
        <w:tabs>
          <w:tab w:leader="none" w:pos="624"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SPL026 supporting IM administration for patient-friendly dosing. The study demonstrated that IM delivery of native DMT is well-tolerated and generates a breakthrough experience lasting approximately 45 minutes.</w:t>
      </w:r>
    </w:p>
    <w:p>
      <w:pPr>
        <w:jc w:val="both"/>
        <w:ind w:left="660" w:hanging="331"/>
        <w:spacing w:after="0" w:line="284" w:lineRule="auto"/>
        <w:tabs>
          <w:tab w:leader="none" w:pos="624"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SPL028 supporting IM administration for patient-friendly dosing. The completed Phase 1 study of IV/IM SPL028 in healthy volunteers showed that SPL028 is safe and well-tolerated, and demonstrated that IM dosing of SPL028 produced robust pharmacological effects lasting a short duration (average approximately 90 minutes) in the majority of subjects.</w:t>
      </w:r>
    </w:p>
    <w:p>
      <w:pPr>
        <w:spacing w:after="0" w:line="2" w:lineRule="exact"/>
        <w:rPr>
          <w:rFonts w:ascii="Arial" w:cs="Arial" w:eastAsia="Arial" w:hAnsi="Arial"/>
          <w:sz w:val="20"/>
          <w:szCs w:val="20"/>
          <w:color w:val="auto"/>
        </w:rPr>
      </w:pPr>
    </w:p>
    <w:p>
      <w:pPr>
        <w:jc w:val="both"/>
        <w:ind w:left="660" w:hanging="331"/>
        <w:spacing w:after="0" w:line="287" w:lineRule="auto"/>
        <w:tabs>
          <w:tab w:leader="none" w:pos="624"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Phase 1b study evaluating the safety and efficacy of SPL026 in conjunction with selective serotonin reuptake inhibitors (“</w:t>
      </w:r>
      <w:r>
        <w:rPr>
          <w:rFonts w:ascii="Times New Roman" w:cs="Times New Roman" w:eastAsia="Times New Roman" w:hAnsi="Times New Roman"/>
          <w:sz w:val="20"/>
          <w:szCs w:val="20"/>
          <w:b w:val="1"/>
          <w:bCs w:val="1"/>
          <w:color w:val="auto"/>
        </w:rPr>
        <w:t>SSRIs</w:t>
      </w:r>
      <w:r>
        <w:rPr>
          <w:rFonts w:ascii="Times New Roman" w:cs="Times New Roman" w:eastAsia="Times New Roman" w:hAnsi="Times New Roman"/>
          <w:sz w:val="20"/>
          <w:szCs w:val="20"/>
          <w:color w:val="auto"/>
        </w:rPr>
        <w:t>”) in 17 participants with MDD, demonstrating no relevant drug-drug interactions, a favorable safety profile and enhanced efficacy when SPL026 was administered with SSRIs, and a 92% remission rate at 4 weeks in the DMT + SSRI combination cohort (n=12).</w:t>
      </w:r>
    </w:p>
    <w:p>
      <w:pPr>
        <w:spacing w:after="0" w:line="1" w:lineRule="exact"/>
        <w:rPr>
          <w:rFonts w:ascii="Arial" w:cs="Arial" w:eastAsia="Arial" w:hAnsi="Arial"/>
          <w:sz w:val="20"/>
          <w:szCs w:val="20"/>
          <w:color w:val="auto"/>
        </w:rPr>
      </w:pPr>
    </w:p>
    <w:p>
      <w:pPr>
        <w:ind w:left="660" w:hanging="331"/>
        <w:spacing w:after="0" w:line="310" w:lineRule="auto"/>
        <w:tabs>
          <w:tab w:leader="none" w:pos="624"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Phase 1 results for IV HLP004 demonstrated robust and rapid-onset pharmacological effects at lower doses compared to non-deuterated HLP004, suggesting potential as a short-acting, scalable treatment.</w:t>
      </w:r>
    </w:p>
    <w:p>
      <w:pPr>
        <w:spacing w:after="0" w:line="2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is currently advancing HLP004, a deuterated version of DMT, for the potential treatment of GAD. DMT activates the serotonin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20"/>
          <w:szCs w:val="20"/>
          <w:color w:val="auto"/>
        </w:rPr>
        <w:t xml:space="preserve"> receptor, which is believed to mediate the potential therapeutic effects of DMT. In its regular form, DMT is an unstable molecule rapidly metabolized in the body, which significantly reduces its bioavailability. HLP004, as a deuterated molecule, has the potential to overcome the therapeutic limitations of native DMT. To date, HLP004 has demonstrated robust and rapid-onset pharmacological effects at lower doses compared to native DMT, suggesting potential as a short-acting, scalable treatment. Additionally, learnings from Phase 1 studies of IM SPL028 have supported IM administration as a viable dosing method for deuterated DMT, suggesting the potential for HLP004 to offer more convenient and patient-friendly dosing methods.</w:t>
      </w:r>
    </w:p>
    <w:p>
      <w:pPr>
        <w:spacing w:after="0" w:line="22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HLP004 is secured by a U.S. composition of matter patent with protection through 2041. The patent covers a range of deuterated NSAs and protects HLP004 as a putative new chemical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3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9"/>
          <w:szCs w:val="19"/>
          <w:color w:val="auto"/>
        </w:rPr>
        <w:t>On June 7, 2022, the Company announced it had entered into an agreement to acquire a Phase 1 DMT study (the “</w:t>
      </w:r>
      <w:r>
        <w:rPr>
          <w:rFonts w:ascii="Times New Roman" w:cs="Times New Roman" w:eastAsia="Times New Roman" w:hAnsi="Times New Roman"/>
          <w:sz w:val="19"/>
          <w:szCs w:val="19"/>
          <w:b w:val="1"/>
          <w:bCs w:val="1"/>
          <w:color w:val="auto"/>
        </w:rPr>
        <w:t>Asset Acquisition</w:t>
      </w:r>
      <w:r>
        <w:rPr>
          <w:rFonts w:ascii="Times New Roman" w:cs="Times New Roman" w:eastAsia="Times New Roman" w:hAnsi="Times New Roman"/>
          <w:sz w:val="19"/>
          <w:szCs w:val="19"/>
          <w:color w:val="auto"/>
        </w:rPr>
        <w:t>”) from Entheon Biomedical Corp. (“</w:t>
      </w:r>
      <w:r>
        <w:rPr>
          <w:rFonts w:ascii="Times New Roman" w:cs="Times New Roman" w:eastAsia="Times New Roman" w:hAnsi="Times New Roman"/>
          <w:sz w:val="19"/>
          <w:szCs w:val="19"/>
          <w:b w:val="1"/>
          <w:bCs w:val="1"/>
          <w:color w:val="auto"/>
        </w:rPr>
        <w:t>Entheon</w:t>
      </w:r>
      <w:r>
        <w:rPr>
          <w:rFonts w:ascii="Times New Roman" w:cs="Times New Roman" w:eastAsia="Times New Roman" w:hAnsi="Times New Roman"/>
          <w:sz w:val="19"/>
          <w:szCs w:val="19"/>
          <w:color w:val="auto"/>
        </w:rPr>
        <w:t>”) to accelerate the clinical development path for HLP004. On July 11, 2022, the Company announced that the Asset Acquisition was completed. The Phase 1 study, previously identified as EBRX-101 and now named HLP004-E, was conducted in the Netherlands. Entheon acted as external consultants to the Company for approximately 10 months after the Asset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12, 2023, the Company announced that it has selected GAD as the target indication for its proprietary molecule, HLP004.</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1 HLP004-E Study</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Phase 1 trial was a three-part study evaluating the safety, pharmacokinetics, and pharmacodynamics of escalating doses of DMT and HLP004 in healthy volunteers. The three-part study design was established in a protocol amendment to the initial study design, allowing the Company to commence first-in-human dosing of HLP004 sooner than initially planned. The study provided essential safety and dosing optimization data informing the clinical path forward for HLP004. The HLP004-E study was conducted at the Centre for Human Drug Research in the Netherlands and is one of the largest Phase 1 DMT clinical trials to date.</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November 10, 2022, the Company announced that its HLP004-E Phase 1 trial evaluating IV DMT completed dosing for four out of five cohorts and that the Safety Review Committee had confirmed no safety issues.</w:t>
      </w:r>
    </w:p>
    <w:p>
      <w:pPr>
        <w:spacing w:after="0" w:line="1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On February 1, 2023, the Company announced that it had received approval from an independent ethics committee in the Netherlands to initiate first-in-human dosing of HLP004 through a protocol amendment to its ongoing Phase 1 HLP004-E study.</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On February 28, 2023, the Company announced a protocol amendment to the initial Phase 1 study design that would allow the Company to initiate first-in-human dosing of HLP004 sooner than initially planned. Per the protocol amendment, Helus Pharma established a three-part study to include Part A (IV DMT infusion), Part B (IV DMT bolus + infusion) and Part C (IV HLP004 bolus + infusion) in healthy volunteers. The Company was able to rely upon completed preclinical data to gain regulatory authorization to add HLP004 to the HLP004-E DMT Study. The Company also announced confirmatory data from Part A, the single ascending dose portion of the HLP004-E study, which assessed a continuous IV DMT infusion. The Part A data showed a dose-proportional increase in exposure and dose-related increase in behavioral measures of subjective pharmacological effects with IV DMT. IV DMT was also well-tolerated with no safety issues and no serious adverse events within the dose range evaluated.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9, 2023, the Company announced that it had completed dosing for the last subject in Part B of the Phase 1 HLP004-E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On May 24, 2023, the Company announced that it had initiated first-in-human dosing of HLP004 in Part C of the Phase 1 HLP004-E trial.</w:t>
      </w:r>
    </w:p>
    <w:p>
      <w:pPr>
        <w:spacing w:after="0" w:line="297"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On January 8, 2024, the Company announced positive topline results from its Phase 1 studies of its proprietary molecules, HLP004 and SPL028.</w:t>
      </w:r>
    </w:p>
    <w:p>
      <w:pPr>
        <w:spacing w:after="0" w:line="187" w:lineRule="exact"/>
        <w:rPr>
          <w:sz w:val="20"/>
          <w:szCs w:val="20"/>
          <w:color w:val="auto"/>
        </w:rPr>
      </w:pPr>
    </w:p>
    <w:p>
      <w:pPr>
        <w:ind w:left="620" w:hanging="291"/>
        <w:spacing w:after="0"/>
        <w:tabs>
          <w:tab w:leader="none" w:pos="6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HLP004 study results showed that IV HLP004 demonstrated robust and rapid-onset pharmacological effects at lower</w:t>
      </w:r>
    </w:p>
    <w:p>
      <w:pPr>
        <w:spacing w:after="0" w:line="52" w:lineRule="exact"/>
        <w:rPr>
          <w:rFonts w:ascii="Arial" w:cs="Arial" w:eastAsia="Arial" w:hAnsi="Arial"/>
          <w:sz w:val="20"/>
          <w:szCs w:val="20"/>
          <w:color w:val="auto"/>
        </w:rPr>
      </w:pPr>
    </w:p>
    <w:p>
      <w:pPr>
        <w:ind w:left="660"/>
        <w:spacing w:after="0" w:line="281" w:lineRule="auto"/>
        <w:rPr>
          <w:rFonts w:ascii="Arial" w:cs="Arial" w:eastAsia="Arial" w:hAnsi="Arial"/>
          <w:sz w:val="20"/>
          <w:szCs w:val="20"/>
          <w:color w:val="auto"/>
        </w:rPr>
      </w:pPr>
      <w:r>
        <w:rPr>
          <w:rFonts w:ascii="Times New Roman" w:cs="Times New Roman" w:eastAsia="Times New Roman" w:hAnsi="Times New Roman"/>
          <w:sz w:val="20"/>
          <w:szCs w:val="20"/>
          <w:color w:val="auto"/>
        </w:rPr>
        <w:t>doses compared to the non-deuterated molecule. These pharmacological effects were rapid in onset when administered as an IV bolus over five minutes and persisted for about 40 minutes after the bolus without the need for an extended infusion.</w:t>
      </w:r>
    </w:p>
    <w:p>
      <w:pPr>
        <w:spacing w:after="0" w:line="1"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SPL028 study identified an IM dose of SPL028 that resulted in desired pharmacological effects, with a total duration ranging from 55 to 120 minutes.</w:t>
      </w:r>
    </w:p>
    <w:p>
      <w:pPr>
        <w:ind w:left="660" w:hanging="331"/>
        <w:spacing w:after="0" w:line="324" w:lineRule="auto"/>
        <w:tabs>
          <w:tab w:leader="none" w:pos="624"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Both HLP004 (IV) and SPL028 (IM and IV) were well-tolerated with no serious adverse events, and the majority of adverse events were mild to moderate and self-limiting.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23, 2024, the Company announced that it had received FDA clearance to initiate a Phase 2 study of HLP004 in GAD.</w:t>
      </w:r>
    </w:p>
    <w:p>
      <w:pPr>
        <w:spacing w:after="0" w:line="283" w:lineRule="exact"/>
        <w:rPr>
          <w:sz w:val="20"/>
          <w:szCs w:val="20"/>
          <w:color w:val="auto"/>
        </w:rPr>
      </w:pPr>
    </w:p>
    <w:p>
      <w:pPr>
        <w:ind w:right="460"/>
        <w:spacing w:after="0" w:line="325" w:lineRule="auto"/>
        <w:rPr>
          <w:sz w:val="20"/>
          <w:szCs w:val="20"/>
          <w:color w:val="auto"/>
        </w:rPr>
      </w:pPr>
      <w:r>
        <w:rPr>
          <w:rFonts w:ascii="Times New Roman" w:cs="Times New Roman" w:eastAsia="Times New Roman" w:hAnsi="Times New Roman"/>
          <w:sz w:val="20"/>
          <w:szCs w:val="20"/>
          <w:color w:val="auto"/>
        </w:rPr>
        <w:t>On March 15, 2024, the Company announced that it had initiated a Phase 2 study of IM HLP004 in participants with moderate to severe GAD.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2 HLP004 Study in GAD</w:t>
      </w:r>
    </w:p>
    <w:p>
      <w:pPr>
        <w:spacing w:after="0" w:line="2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HLP004-002 Phase 2 study is a randomized, double-blind study which will evaluate the safety and efficacy of HLP004 in participants with moderate to severe GAD (GAD-7 score ≥10), with concomitant antidepressant/anxiolytic treatment and co-morbid depression allowed. The study has recruited 36 participants, who will be randomized in a double-blind manner, into two groups. The first group will receive two IM doses of HLP004, three weeks apart, while the second group will receive two low-dose control administrations of sub-therapeutic doses of HLP004. The primary endpoint is a change in the Hamilton Anxiety Rating Scale score from baseline at six weeks following the first dose with an additional efficacy assessment twelve weeks following the first dose. Other endpoints include the HAM-D (Hamilton Depression Rating Scale), safety assessments, MEQ30 (mystical experience Questionnaire) and EQ-5D-5L (quality of life assessment). Participants may enroll into an optional follow up for up to a year. Results from this study are expected to provide proof of concept for HLP004’s efficacy in GAD, the time to onset of effects, as well as durability of effects to one year.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8, 2025, the Company announced that it had completed enrollment in the Phase 2 study of HLP004 in GAD.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$8,205 on HLP004 during the nine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As the Company continues to progress its HLP004 Program, additional milestones related to its clinical development have been identified.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w:t>
      </w:r>
    </w:p>
    <w:p>
      <w:pPr>
        <w:spacing w:after="0" w:line="283" w:lineRule="exact"/>
        <w:rPr>
          <w:sz w:val="20"/>
          <w:szCs w:val="20"/>
          <w:color w:val="auto"/>
        </w:rPr>
      </w:pPr>
    </w:p>
    <w:p>
      <w:pPr>
        <w:ind w:left="620" w:hanging="291"/>
        <w:spacing w:after="0"/>
        <w:tabs>
          <w:tab w:leader="none" w:pos="6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Provide topline data readout from the Phase 2 GAD study in Q1 2026.</w:t>
      </w:r>
      <w:r>
        <w:rPr>
          <w:rFonts w:ascii="Times New Roman" w:cs="Times New Roman" w:eastAsia="Times New Roman" w:hAnsi="Times New Roman"/>
          <w:sz w:val="25"/>
          <w:szCs w:val="25"/>
          <w:color w:val="auto"/>
          <w:vertAlign w:val="superscript"/>
        </w:rPr>
        <w:t>15</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The Company spent approximately $9,336</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20"/>
          <w:szCs w:val="20"/>
          <w:color w:val="auto"/>
        </w:rPr>
        <w:t xml:space="preserve"> to complete the Phase 2 GAD study of which approximately $4,306 was spent during the nine months ended December 31, 2025 and approximately $5,030 was spent in prior fiscal years.</w:t>
      </w: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expects to spend approximately $810</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20"/>
          <w:szCs w:val="20"/>
          <w:color w:val="auto"/>
        </w:rPr>
        <w:t xml:space="preserve"> to provide topline data readout from the Phase 2 GAD study by the milestone completion in Q1 2026 of which nil was spent during the nine months ended December 31, 2025, resulting in an approximate remaining spend of $810 by the milestone completion in Q1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HLP004 Program.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HLP005 Program</w:t>
      </w:r>
    </w:p>
    <w:p>
      <w:pPr>
        <w:spacing w:after="0" w:line="28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Company’s Phenethylamine and Tryptamine Derivatives Program (HLP005) is focused on the development of therapeutic phenethylamine and tryptamine derivatives. In Q2 2025, the program, which historically focused on phenethylamine derivatives, was expanded to include tryptamine derivatives. Studies that have been conducted with compounds of a similar chemical structure have demonstrated potential for therapeutic use. The HLP005 program builds upon the current understanding of the mechanisms of action of NSAs and aims to identify key polypharmacological combinations capable of mediating therapeutic effects for target indications. Helus Pharma’s proprietary approach to phenethylamines and tryptamines modification with novel chemistry, proprietary formulations and directed delivery systems has yielded a number of novel, IP-protected leads with diverse pharmacology. Several compounds are now being further studied both in vitro and in vivo for selection of the best development candidates based on qualitative assessment of acute pharmacological effects, mechanistic studies, pharmacokinetics and efficacy and safety of chronic dosing. The Company is investigating the efficacy and durability of the lead compounds to determine their potential for the treatment of a range of psychiatric and neurological conditions.</w:t>
      </w:r>
      <w:r>
        <w:rPr>
          <w:rFonts w:ascii="Times New Roman" w:cs="Times New Roman" w:eastAsia="Times New Roman" w:hAnsi="Times New Roman"/>
          <w:sz w:val="24"/>
          <w:szCs w:val="24"/>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714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10" w:lineRule="exact"/>
        <w:rPr>
          <w:sz w:val="20"/>
          <w:szCs w:val="20"/>
          <w:color w:val="auto"/>
        </w:rPr>
      </w:pPr>
    </w:p>
    <w:p>
      <w:pPr>
        <w:ind w:left="160" w:hanging="152"/>
        <w:spacing w:after="0"/>
        <w:tabs>
          <w:tab w:leader="none" w:pos="16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ind w:left="160" w:hanging="152"/>
        <w:spacing w:after="0" w:line="187" w:lineRule="auto"/>
        <w:tabs>
          <w:tab w:leader="none" w:pos="16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$8,713. Anticipated timing and spending regarding drug development is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also footnote 12.</w:t>
      </w:r>
    </w:p>
    <w:p>
      <w:pPr>
        <w:ind w:left="160" w:hanging="152"/>
        <w:spacing w:after="0" w:line="191" w:lineRule="auto"/>
        <w:tabs>
          <w:tab w:leader="none" w:pos="16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jc w:val="both"/>
        <w:ind w:firstLine="8"/>
        <w:spacing w:after="0"/>
        <w:tabs>
          <w:tab w:leader="none" w:pos="16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92" w:lineRule="auto"/>
        <w:rPr>
          <w:sz w:val="20"/>
          <w:szCs w:val="20"/>
          <w:color w:val="auto"/>
        </w:rPr>
      </w:pPr>
      <w:r>
        <w:rPr>
          <w:rFonts w:ascii="Times New Roman" w:cs="Times New Roman" w:eastAsia="Times New Roman" w:hAnsi="Times New Roman"/>
          <w:sz w:val="20"/>
          <w:szCs w:val="20"/>
          <w:color w:val="auto"/>
        </w:rPr>
        <w:t>In order to assess the feasibility and viability of these phenethylamine and tryptamine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good laboratory practice and GMP (as defined below) material suitable for entry into animal and human studies, studies of the stability of such formulations suitable for human studies, the development of Chemistry, Manufacturing and Controls to meet Current Good Manufacturing Practices (“</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9"/>
          <w:szCs w:val="19"/>
          <w:b w:val="1"/>
          <w:bCs w:val="1"/>
          <w:color w:val="auto"/>
        </w:rPr>
        <w:t>ADME</w:t>
      </w:r>
      <w:r>
        <w:rPr>
          <w:rFonts w:ascii="Times New Roman" w:cs="Times New Roman" w:eastAsia="Times New Roman" w:hAnsi="Times New Roman"/>
          <w:sz w:val="19"/>
          <w:szCs w:val="19"/>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9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October 24, 2024, the Company announced that the United States Patent and Trademark Office granted U.S. patent 12,122,741 with claims to the composition of matter of lead preclinical candidates in the Company’s HLP005 program.</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spent approximately $351 on its preclinical Phenethylamine and Tryptamine Derivatives Program during the nine months ended December 31, 2025.</w:t>
      </w:r>
    </w:p>
    <w:p>
      <w:pPr>
        <w:spacing w:after="0" w:line="1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currently identifying a viable drug development candidate and completing its assessment of the potential path forward for this candidate, including whether it will be developed internally or by way of potential third party partners. The Company anticipates that its Phenethylamine and Tryptamine Derivatives Program may deliver a drug development candidate by the end of Q4 2026.</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The Company expects to spend approximately $2,535</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20"/>
          <w:szCs w:val="20"/>
          <w:color w:val="auto"/>
        </w:rPr>
        <w:t xml:space="preserve"> to deliver a drug development candidate by the end of Q4 2026</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20"/>
          <w:szCs w:val="20"/>
          <w:color w:val="auto"/>
        </w:rPr>
        <w:t>, of which approximately $351 was spent in the 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4" w:lineRule="exact"/>
        <w:rPr>
          <w:sz w:val="20"/>
          <w:szCs w:val="20"/>
          <w:color w:val="auto"/>
        </w:rPr>
      </w:pPr>
    </w:p>
    <w:p>
      <w:pPr>
        <w:jc w:val="both"/>
        <w:ind w:firstLine="8"/>
        <w:spacing w:after="0" w:line="235" w:lineRule="auto"/>
        <w:tabs>
          <w:tab w:leader="none" w:pos="159"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$1,249.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Amount reflects actual spend during the nine months ended December 31, 2025, the financial year ended March 31, 2025, the financial year ended March 31, 2024, and expected spend during the period from October 1, 2025 until the achievement of preclinical development of a drug candidate by Q4 2026. See also footnote 12.</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this milestone would be achieved by Q3 2026. See footnote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54" w:name="page55"/>
    <w:bookmarkEnd w:id="54"/>
    <w:p>
      <w:pPr>
        <w:jc w:val="both"/>
        <w:ind w:right="20"/>
        <w:spacing w:after="0" w:line="317" w:lineRule="auto"/>
        <w:rPr>
          <w:sz w:val="20"/>
          <w:szCs w:val="20"/>
          <w:color w:val="auto"/>
        </w:rPr>
      </w:pPr>
      <w:r>
        <w:rPr>
          <w:rFonts w:ascii="Times New Roman" w:cs="Times New Roman" w:eastAsia="Times New Roman" w:hAnsi="Times New Roman"/>
          <w:sz w:val="20"/>
          <w:szCs w:val="20"/>
          <w:color w:val="auto"/>
        </w:rPr>
        <w:t>2025, approximately $691 was spent in prior fiscal years resulting in an approximate remaining spend as of December 31, 2025, of $1,493 by the milestone completion in Q4 2026</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20"/>
          <w:szCs w:val="20"/>
          <w:color w:val="auto"/>
        </w:rPr>
        <w:t>. The Company intends to continue funding the HLP005 program.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Update on Use of Proceeds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October Prospectus Supplement</w:t>
      </w:r>
    </w:p>
    <w:p>
      <w:pPr>
        <w:spacing w:after="0" w:line="27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The table below covers the period beginning October 1, 2025 until December 31, 2026, and describes the differences between the Company’s anticipated use of proceeds of $164,259 as previously disclosed in the Company’s prospectus supplement dated October 28, 2025 (the “</w:t>
      </w:r>
      <w:r>
        <w:rPr>
          <w:rFonts w:ascii="Times New Roman" w:cs="Times New Roman" w:eastAsia="Times New Roman" w:hAnsi="Times New Roman"/>
          <w:sz w:val="20"/>
          <w:szCs w:val="20"/>
          <w:b w:val="1"/>
          <w:bCs w:val="1"/>
          <w:color w:val="auto"/>
        </w:rPr>
        <w:t>October Prospectus Supplement</w:t>
      </w:r>
      <w:r>
        <w:rPr>
          <w:rFonts w:ascii="Times New Roman" w:cs="Times New Roman" w:eastAsia="Times New Roman" w:hAnsi="Times New Roman"/>
          <w:sz w:val="20"/>
          <w:szCs w:val="20"/>
          <w:color w:val="auto"/>
        </w:rPr>
        <w:t>”) to the Company’s base shelf prospectus dated September 17, 2025, as amended by Amendment No. 1 dated December 19, 2025, (the “</w:t>
      </w:r>
      <w:r>
        <w:rPr>
          <w:rFonts w:ascii="Times New Roman" w:cs="Times New Roman" w:eastAsia="Times New Roman" w:hAnsi="Times New Roman"/>
          <w:sz w:val="20"/>
          <w:szCs w:val="20"/>
          <w:b w:val="1"/>
          <w:bCs w:val="1"/>
          <w:color w:val="auto"/>
        </w:rPr>
        <w:t>2025 Base Shelf Prospectus</w:t>
      </w:r>
      <w:r>
        <w:rPr>
          <w:rFonts w:ascii="Times New Roman" w:cs="Times New Roman" w:eastAsia="Times New Roman" w:hAnsi="Times New Roman"/>
          <w:sz w:val="20"/>
          <w:szCs w:val="20"/>
          <w:color w:val="auto"/>
        </w:rPr>
        <w:t>”), the revised estimated costs as at December 31, 2025, for the same period, and the actual use of proceeds as at December 31, 2025.</w:t>
      </w:r>
    </w:p>
    <w:tbl>
      <w:tblPr>
        <w:tblLayout w:type="fixed"/>
        <w:tblInd w:w="10" w:type="dxa"/>
        <w:tblCellMar>
          <w:top w:w="0" w:type="dxa"/>
          <w:left w:w="0" w:type="dxa"/>
          <w:bottom w:w="0" w:type="dxa"/>
          <w:right w:w="0" w:type="dxa"/>
        </w:tblCellMar>
      </w:tblPr>
      <w:tr>
        <w:trPr>
          <w:trHeight w:val="231"/>
        </w:trPr>
        <w:tc>
          <w:tcPr>
            <w:tcW w:w="5460" w:type="dxa"/>
            <w:vAlign w:val="bottom"/>
            <w:tcBorders>
              <w:top w:val="single" w:sz="8" w:color="auto"/>
              <w:left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Previous Disclosure</w:t>
            </w:r>
          </w:p>
        </w:tc>
        <w:tc>
          <w:tcPr>
            <w:tcW w:w="182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spacing w:after="0"/>
              <w:rPr>
                <w:sz w:val="20"/>
                <w:szCs w:val="20"/>
                <w:color w:val="auto"/>
              </w:rPr>
            </w:pPr>
          </w:p>
        </w:tc>
      </w:tr>
      <w:tr>
        <w:trPr>
          <w:trHeight w:val="235"/>
        </w:trPr>
        <w:tc>
          <w:tcPr>
            <w:tcW w:w="546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Regarding Use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Actual Use of Proceeds as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Revised Estimated Use of</w:t>
            </w:r>
          </w:p>
        </w:tc>
      </w:tr>
      <w:tr>
        <w:trPr>
          <w:trHeight w:val="224"/>
        </w:trPr>
        <w:tc>
          <w:tcPr>
            <w:tcW w:w="546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Proceeds in the October</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December 31, 2025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Proceeds</w:t>
            </w:r>
          </w:p>
        </w:tc>
      </w:tr>
      <w:tr>
        <w:trPr>
          <w:trHeight w:val="303"/>
        </w:trPr>
        <w:tc>
          <w:tcPr>
            <w:tcW w:w="546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Use of Available Funds (USD $000’s)</w:t>
            </w:r>
            <w:r>
              <w:rPr>
                <w:rFonts w:ascii="Times New Roman" w:cs="Times New Roman" w:eastAsia="Times New Roman" w:hAnsi="Times New Roman"/>
                <w:sz w:val="21"/>
                <w:szCs w:val="21"/>
                <w:b w:val="1"/>
                <w:bCs w:val="1"/>
                <w:color w:val="auto"/>
                <w:vertAlign w:val="superscript"/>
              </w:rPr>
              <w:t>(1)(2)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Supplement</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32"/>
        </w:trPr>
        <w:tc>
          <w:tcPr>
            <w:tcW w:w="5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Repayment of Indebtedness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$22,765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$22,765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$22,765</w:t>
            </w:r>
          </w:p>
        </w:tc>
      </w:tr>
      <w:tr>
        <w:trPr>
          <w:trHeight w:val="45"/>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23"/>
        </w:trPr>
        <w:tc>
          <w:tcPr>
            <w:tcW w:w="5460" w:type="dxa"/>
            <w:vAlign w:val="bottom"/>
            <w:tcBorders>
              <w:left w:val="single" w:sz="8" w:color="auto"/>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HLP003 Program</w:t>
            </w:r>
            <w:r>
              <w:rPr>
                <w:rFonts w:ascii="Times New Roman" w:cs="Times New Roman" w:eastAsia="Times New Roman" w:hAnsi="Times New Roman"/>
                <w:sz w:val="23"/>
                <w:szCs w:val="23"/>
                <w:b w:val="1"/>
                <w:bCs w:val="1"/>
                <w:color w:val="auto"/>
                <w:vertAlign w:val="superscript"/>
              </w:rPr>
              <w:t>(4)</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3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Provide topline efficacy data readout from the first Phase 3 study, APPROACH</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$30,305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$4,842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$30,305</w:t>
            </w:r>
          </w:p>
        </w:tc>
      </w:tr>
      <w:tr>
        <w:trPr>
          <w:trHeight w:val="46"/>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30"/>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Initiation of enrollment in the second Phase 3 study, EMBRACE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w:t>
            </w:r>
          </w:p>
        </w:tc>
      </w:tr>
      <w:tr>
        <w:trPr>
          <w:trHeight w:val="47"/>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30"/>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Progression of the second Phase 3 study, EMBRACE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$42,781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$2,283</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$42,781</w:t>
            </w:r>
          </w:p>
        </w:tc>
      </w:tr>
      <w:tr>
        <w:trPr>
          <w:trHeight w:val="47"/>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30"/>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Progression of the third Phase 3 study, EXTEND</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$28,285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$5,451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$28,285</w:t>
            </w:r>
          </w:p>
        </w:tc>
      </w:tr>
      <w:tr>
        <w:trPr>
          <w:trHeight w:val="46"/>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23"/>
        </w:trPr>
        <w:tc>
          <w:tcPr>
            <w:tcW w:w="5460" w:type="dxa"/>
            <w:vAlign w:val="bottom"/>
            <w:tcBorders>
              <w:left w:val="single" w:sz="8" w:color="auto"/>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HLP004 Program</w:t>
            </w:r>
            <w:r>
              <w:rPr>
                <w:rFonts w:ascii="Times New Roman" w:cs="Times New Roman" w:eastAsia="Times New Roman" w:hAnsi="Times New Roman"/>
                <w:sz w:val="23"/>
                <w:szCs w:val="23"/>
                <w:b w:val="1"/>
                <w:bCs w:val="1"/>
                <w:color w:val="auto"/>
                <w:vertAlign w:val="superscript"/>
              </w:rPr>
              <w:t>(5)</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7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Complete the Phase 2 GAD study</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r>
      <w:tr>
        <w:trPr>
          <w:trHeight w:val="46"/>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74"/>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Provide topline data readout from the Phase 2 GAD study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w:t>
            </w:r>
          </w:p>
        </w:tc>
      </w:tr>
      <w:tr>
        <w:trPr>
          <w:trHeight w:val="226"/>
        </w:trPr>
        <w:tc>
          <w:tcPr>
            <w:tcW w:w="5460" w:type="dxa"/>
            <w:vAlign w:val="bottom"/>
            <w:tcBorders>
              <w:left w:val="single" w:sz="8" w:color="auto"/>
              <w:bottom w:val="single" w:sz="8" w:color="auto"/>
            </w:tcBorders>
          </w:tcPr>
          <w:p>
            <w:pPr>
              <w:ind w:left="40"/>
              <w:spacing w:after="0" w:line="226" w:lineRule="exact"/>
              <w:rPr>
                <w:sz w:val="20"/>
                <w:szCs w:val="20"/>
                <w:color w:val="auto"/>
              </w:rPr>
            </w:pPr>
            <w:r>
              <w:rPr>
                <w:rFonts w:ascii="Times New Roman" w:cs="Times New Roman" w:eastAsia="Times New Roman" w:hAnsi="Times New Roman"/>
                <w:sz w:val="18"/>
                <w:szCs w:val="18"/>
                <w:b w:val="1"/>
                <w:bCs w:val="1"/>
                <w:color w:val="auto"/>
              </w:rPr>
              <w:t>HLP005 Program</w:t>
            </w:r>
            <w:r>
              <w:rPr>
                <w:rFonts w:ascii="Times New Roman" w:cs="Times New Roman" w:eastAsia="Times New Roman" w:hAnsi="Times New Roman"/>
                <w:sz w:val="23"/>
                <w:szCs w:val="23"/>
                <w:b w:val="1"/>
                <w:bCs w:val="1"/>
                <w:color w:val="auto"/>
                <w:vertAlign w:val="superscript"/>
              </w:rPr>
              <w:t>(6)</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44"/>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Deliver a drug development candidate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r>
      <w:tr>
        <w:trPr>
          <w:trHeight w:val="33"/>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3"/>
        </w:trPr>
        <w:tc>
          <w:tcPr>
            <w:tcW w:w="54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77"/>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Working Capital, and General Corporate Purposes</w:t>
            </w:r>
            <w:r>
              <w:rPr>
                <w:rFonts w:ascii="Times New Roman" w:cs="Times New Roman" w:eastAsia="Times New Roman" w:hAnsi="Times New Roman"/>
                <w:sz w:val="21"/>
                <w:szCs w:val="21"/>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$36,488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$14,692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$36,488</w:t>
            </w:r>
          </w:p>
        </w:tc>
      </w:tr>
      <w:tr>
        <w:trPr>
          <w:trHeight w:val="230"/>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$164,259</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$52,642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$164,259</w:t>
            </w:r>
          </w:p>
        </w:tc>
      </w:tr>
      <w:tr>
        <w:trPr>
          <w:trHeight w:val="47"/>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Notes:</w:t>
      </w:r>
    </w:p>
    <w:p>
      <w:pPr>
        <w:spacing w:after="0" w:line="34"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the chart are in USD. Certain amounts have been converted from USD to CAD at an exchange rate of 1:0.71.</w:t>
      </w:r>
    </w:p>
    <w:p>
      <w:pPr>
        <w:spacing w:after="0" w:line="30" w:lineRule="exact"/>
        <w:rPr>
          <w:rFonts w:ascii="Times New Roman" w:cs="Times New Roman" w:eastAsia="Times New Roman" w:hAnsi="Times New Roman"/>
          <w:sz w:val="16"/>
          <w:szCs w:val="16"/>
          <w:color w:val="auto"/>
        </w:rPr>
      </w:pPr>
    </w:p>
    <w:p>
      <w:pPr>
        <w:ind w:left="460" w:right="40" w:hanging="452"/>
        <w:spacing w:after="0" w:line="291" w:lineRule="auto"/>
        <w:tabs>
          <w:tab w:leader="none" w:pos="45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amounts do not reflect the entire anticipated expenditures or budget related to the listed programs. For further information see “</w:t>
      </w:r>
      <w:r>
        <w:rPr>
          <w:rFonts w:ascii="Times New Roman" w:cs="Times New Roman" w:eastAsia="Times New Roman" w:hAnsi="Times New Roman"/>
          <w:sz w:val="16"/>
          <w:szCs w:val="16"/>
          <w:i w:val="1"/>
          <w:iCs w:val="1"/>
          <w:color w:val="auto"/>
        </w:rPr>
        <w:t>Non-Revenue Generating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Projects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personnel costs, professional services, overhead expenses and general expenses to be incurred by the Company in the normal course of business.</w:t>
      </w:r>
    </w:p>
    <w:p>
      <w:pPr>
        <w:spacing w:after="0" w:line="45"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known as Deuterated Psilocin Program (CYB003).</w:t>
      </w:r>
    </w:p>
    <w:p>
      <w:pPr>
        <w:spacing w:after="0" w:line="45"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known as Deuterated Dimethyltryptamine Program (CYB004).</w:t>
      </w:r>
    </w:p>
    <w:p>
      <w:pPr>
        <w:spacing w:after="0" w:line="45"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known as Phenethylamine and Tryptamine Derivatives Program (HLP005).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14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1" w:lineRule="exact"/>
        <w:rPr>
          <w:sz w:val="20"/>
          <w:szCs w:val="20"/>
          <w:color w:val="auto"/>
        </w:rPr>
      </w:pPr>
    </w:p>
    <w:p>
      <w:pPr>
        <w:ind w:left="160" w:hanging="152"/>
        <w:spacing w:after="0"/>
        <w:tabs>
          <w:tab w:leader="none" w:pos="16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60"/>
          </w:cols>
          <w:pgMar w:left="320" w:top="1440" w:right="319" w:bottom="1440" w:gutter="0" w:footer="0" w:header="0"/>
          <w:type w:val="continuous"/>
        </w:sectPr>
      </w:pPr>
    </w:p>
    <w:bookmarkStart w:id="55" w:name="page56"/>
    <w:bookmarkEnd w:id="55"/>
    <w:p>
      <w:pPr>
        <w:spacing w:after="0" w:line="2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Relationships with Third Parties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Company’s research and development of its pharmaceutical products is conducted by way of licensed partners. The Company also intends to sponsor clinical and other studies at various clinical trial sites.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Clinilabs Drug Development Corporation</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April 21, 2022, the Company announced that it had partnered with Clinilabs, a global, full-service contract research organization with deep expertise in central nervous system drug development, to carry out the Company’s Phase 1/2a clinical trial of HLP003, its proprietary NSA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Entheon Biomedical Corp.</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20"/>
          <w:szCs w:val="20"/>
          <w:b w:val="1"/>
          <w:bCs w:val="1"/>
          <w:color w:val="auto"/>
        </w:rPr>
        <w:t>CHDR</w:t>
      </w:r>
      <w:r>
        <w:rPr>
          <w:rFonts w:ascii="Times New Roman" w:cs="Times New Roman" w:eastAsia="Times New Roman" w:hAnsi="Times New Roman"/>
          <w:sz w:val="20"/>
          <w:szCs w:val="20"/>
          <w:color w:val="auto"/>
        </w:rPr>
        <w:t>”) to the Company. The Company now maintains a direct contractual relationship with CHDR to conduct the HLP004-E trial. CHDR is an independent institute in the Netherlands specializing in innovative early-stage clinical drug research.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Mindset Pharma Inc.</w:t>
      </w:r>
    </w:p>
    <w:p>
      <w:pPr>
        <w:spacing w:after="0" w:line="2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On September 27, 2022, the Company entered into an agreement, as amended, with Mindset Pharma Inc. (“</w:t>
      </w:r>
      <w:r>
        <w:rPr>
          <w:rFonts w:ascii="Times New Roman" w:cs="Times New Roman" w:eastAsia="Times New Roman" w:hAnsi="Times New Roman"/>
          <w:sz w:val="20"/>
          <w:szCs w:val="20"/>
          <w:b w:val="1"/>
          <w:bCs w:val="1"/>
          <w:color w:val="auto"/>
        </w:rPr>
        <w:t>Mindset</w:t>
      </w:r>
      <w:r>
        <w:rPr>
          <w:rFonts w:ascii="Times New Roman" w:cs="Times New Roman" w:eastAsia="Times New Roman" w:hAnsi="Times New Roman"/>
          <w:sz w:val="20"/>
          <w:szCs w:val="20"/>
          <w:color w:val="auto"/>
        </w:rPr>
        <w:t>”) to acquire an exclusive license to an extensive targeted class of tryptamine-based molecules. The agreement includes an initial license fee payment by Helus Pharma to Mindset of US$500 as well as additional clinical development milestone payments of up to US$9,500,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316" w:lineRule="auto"/>
        <w:rPr>
          <w:sz w:val="20"/>
          <w:szCs w:val="20"/>
          <w:color w:val="auto"/>
        </w:rPr>
      </w:pPr>
      <w:r>
        <w:rPr>
          <w:rFonts w:ascii="Times New Roman" w:cs="Times New Roman" w:eastAsia="Times New Roman" w:hAnsi="Times New Roman"/>
          <w:sz w:val="19"/>
          <w:szCs w:val="19"/>
          <w:color w:val="auto"/>
        </w:rPr>
        <w:t>first milestone payment, in the amount of US$500, payable upon completion of a Phase 1 clinical trial. At the sole discretion of Helus Pharma,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Worldwide Clinical Trials</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Segal Trials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January 15, 2025, the Company launched its first strategic partnership agreement with Segal Trials in furtherance of Helus Pharma’s multinational pivotal Phase 3 program evaluating HLP003 for the potential adjunctive treatment of MDD. Segal Trials is a privately held company with a network of six research sites throughout South Florida. Segal Trials has extensive experience conducting research trials with an emphasis on psychiatry, neurology, addiction, and studies involving serotonergic compounds.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Osmind</w:t>
      </w:r>
    </w:p>
    <w:p>
      <w:pPr>
        <w:spacing w:after="0" w:line="2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April 21, 2025, the Company announced a strategic partnership with Osmind, a leading service provider advancing psychiatry through technology, services, and real-world evidence to bring innovative mental health treatments to patients in need. Through this partnership, the Company will leverage Osmind’s 800-clinic network, point-of-care software, and real-world data to support the commercial preparation for its clinical-stage pipeline.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i w:val="1"/>
          <w:iCs w:val="1"/>
          <w:color w:val="auto"/>
        </w:rPr>
        <w:t>enExel iResearch Atlanta and Cedar Clinical Research</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April 23, 2025, the Company announced the addition of CenExel iResearch Atlanta and Cedar Clinical Research to its SPA program, bringing the total to 18 clinical sites engaged to advance Helus Pharma’s multinational Phase 3 PARADIGM program evaluating HLP003 for the potential adjunctive treatment of MDD. The APPROACH study is expected to include approximately 45 clinical sites.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Thermo Fisher Scientific</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May 15, 2025, the Company announced that it has engaged Thermo Fisher Scientific to provide U.S.-based manufacturing for the HLP003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Third-Party Partners</w:t>
      </w:r>
    </w:p>
    <w:p>
      <w:pPr>
        <w:spacing w:after="0" w:line="30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The Company has established contractual sources of synthetic GMP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20"/>
          <w:szCs w:val="20"/>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3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has conducted due diligence on each such third party, including but not limited to the review of necessary licences and the regulatory framework enacted in the jurisdiction of operation.</w:t>
      </w:r>
    </w:p>
    <w:p>
      <w:pPr>
        <w:spacing w:after="0" w:line="17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20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this MD&amp;A or unforeseen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714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8"/>
        <w:spacing w:after="0" w:line="217" w:lineRule="auto"/>
        <w:tabs>
          <w:tab w:leader="none" w:pos="151"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58" w:name="page59"/>
    <w:bookmarkEnd w:id="58"/>
    <w:p>
      <w:pPr>
        <w:jc w:val="both"/>
        <w:spacing w:after="0" w:line="303" w:lineRule="auto"/>
        <w:rPr>
          <w:sz w:val="20"/>
          <w:szCs w:val="20"/>
          <w:color w:val="auto"/>
        </w:rPr>
      </w:pPr>
      <w:r>
        <w:rPr>
          <w:rFonts w:ascii="Times New Roman" w:cs="Times New Roman" w:eastAsia="Times New Roman" w:hAnsi="Times New Roman"/>
          <w:sz w:val="20"/>
          <w:szCs w:val="20"/>
          <w:color w:val="auto"/>
        </w:rPr>
        <w:t>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Intellectual Property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Helus Pharma has title to twenty six granted US patents and eighty six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Certain of the Company’s patent rights may be subject to out-license and option arrangements, which may limit Helus Pharma’s ability to use or further out-license such patent rights.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11,242,318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11,724,985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11,746,088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11,834,410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11,958,807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12,110,272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12,240,813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12,291,499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7766623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7770467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12,122,741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7802769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2018311307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2020378647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2020381103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2021334933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2021204158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2020286709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1120220221983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3104072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3160337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3179161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3142290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3160334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3179335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046951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048675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049402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049106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3463323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3687515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3532457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3826632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3844147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3873883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3902541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4031529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4062910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4138818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4149460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40042383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40035970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40056359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40060666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40065709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40064531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40045846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40060891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40078818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40089095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507114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528813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570120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292753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288617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298542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298754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298129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298541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7288154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7422474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7423131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7422474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7523474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7579888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404310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411316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412331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bl>
    <w:p>
      <w:pPr>
        <w:spacing w:after="0" w:line="200" w:lineRule="exact"/>
        <w:rPr>
          <w:sz w:val="20"/>
          <w:szCs w:val="20"/>
          <w:color w:val="auto"/>
        </w:rPr>
      </w:pPr>
    </w:p>
    <w:p>
      <w:pPr>
        <w:sectPr>
          <w:pgSz w:w="11900" w:h="16838" w:orient="portrait"/>
          <w:cols w:equalWidth="0" w:num="1">
            <w:col w:w="11220"/>
          </w:cols>
          <w:pgMar w:left="320" w:top="1440" w:right="359" w:bottom="10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20"/>
          </w:cols>
          <w:pgMar w:left="320" w:top="1440" w:right="359" w:bottom="1063" w:gutter="0" w:footer="0" w:header="0"/>
          <w:type w:val="continuous"/>
        </w:sectPr>
      </w:pPr>
    </w:p>
    <w:bookmarkStart w:id="60" w:name="page61"/>
    <w:bookmarkEnd w:id="6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415678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788543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794833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793361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794813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783166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2589605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2636385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2023/01086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2024/03906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I891942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I860478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2585978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2586940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2592822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2595776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11,377,416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11,771,681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11,773,062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11,643,390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11,471,417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11,406,619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11,697,638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11,660,289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11,578,039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12,042,564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12,076,311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12,084,417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12,157,723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12,251,371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12,318,477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12,343,327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12,521,370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bl>
    <w:p>
      <w:pPr>
        <w:spacing w:after="0" w:line="34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Helus Pharma has title to three provisional patent applications, thirty four US non-provisional patent applications, two hundred and forty six national (non-US) patent applications, and two Patent Cooperation Treaty (“</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applications, including claims directed to compositions of matter and methods of use in support of its research and development and preclinical and clinical trial programs.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18/041,728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18/027,810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18/547,100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18/561,152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18/576,487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18/588,132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18/688,125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18/707,825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18/720,922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PCT/EP2024/067458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type w:val="continuous"/>
        </w:sectPr>
      </w:pPr>
    </w:p>
    <w:bookmarkStart w:id="61" w:name="page62"/>
    <w:bookmarkEnd w:id="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18/730,397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18/730,423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18/825,122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18/883,262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18/850,356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18/852,115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18/867,231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19/020,095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19/106,551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19/119,308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19/170,327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63/822,926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19/159,085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19/481,242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19/488,218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63/928,477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793553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812214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297492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312785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325449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3177454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NC2022/0016662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MX/a/2022/014605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MX/a/2024/006467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202203191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10-2022-7040243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10-2024-7019118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EP21808464.8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24175524.8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202180036163.3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202410728550.9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1120220235658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2021276656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2024203974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11202254530T</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10202401521X</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202213256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2201007493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1-2022-553135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1-2024-551326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202227065770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2025-181392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2025-185270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62023078320.6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42024099806.2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10-2023-7003815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2021327136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2023-512063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21766581.9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62023079716.4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20"/>
          </w:cols>
          <w:pgMar w:left="320" w:top="1440" w:right="359" w:bottom="1050" w:gutter="0" w:footer="0" w:header="0"/>
          <w:type w:val="continuous"/>
        </w:sectPr>
      </w:pPr>
    </w:p>
    <w:bookmarkStart w:id="62" w:name="page63"/>
    <w:bookmarkEnd w:id="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10-2023-7006128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2021328671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2023-512107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21763068.0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21786852.0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10-2023-7007858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2021354006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2023-519831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3194558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62023079720.6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802136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305457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3212563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NC2023/0013714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MX/a/2023/010843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202302731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202501220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10-2023-7032581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22716857.2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202280022029.2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1120230188946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2022239825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11202305618U</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202309486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2301005753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1-2023-552572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202327063524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2023-556906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62024086011.9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2022277515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3216799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22729558.1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202327074210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2023-571283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10-2023-7041239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62024089505.7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2022342266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3231021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22716971.1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2024-515026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10-2024-7008355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62024094405.3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2022381220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1120240088332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3236624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202280073355.6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22783493.4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202417038272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312175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2024-526529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10-2024-7017594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810005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20"/>
          </w:cols>
          <w:pgMar w:left="320" w:top="1440" w:right="359" w:bottom="1050" w:gutter="0" w:footer="0" w:header="0"/>
          <w:type w:val="continuous"/>
        </w:sectPr>
      </w:pPr>
    </w:p>
    <w:bookmarkStart w:id="63" w:name="page64"/>
    <w:bookmarkEnd w:id="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1120242311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62024097476.1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2023207801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1120240139522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3259235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202380016531.7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23700949.3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313889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202417058417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2024-541809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10-2024-7026687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MX/a/2024/008691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PI2024003160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811765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1120243886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62024099899.2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2023222397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3244275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23705529.8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10-2024-7028837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62024101488.0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2023222126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3244130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23705530.6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2024-547667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62024101490.6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2023246690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3246274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23715813.4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2024-557460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10-2024-7032719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815769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62025103102.2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2023242469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3247035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23717049.3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2024-557455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813800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62025103101.4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2023331937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3265884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23764241.8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2025-512678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10-2025-7007259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62025111889.4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2023366306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3271746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202380075041.4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23798713.6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2025-524528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10-2025-7014590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20"/>
          </w:cols>
          <w:pgMar w:left="320" w:top="1440" w:right="359" w:bottom="1050" w:gutter="0" w:footer="0" w:header="0"/>
          <w:type w:val="continuous"/>
        </w:sectPr>
      </w:pPr>
    </w:p>
    <w:bookmarkStart w:id="64" w:name="page65"/>
    <w:bookmarkEnd w:id="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1120253030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62025112197.1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2024229430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1120250180169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3284066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202502558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202480014984.0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NC2025/0011490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24708160.7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322138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2025-549789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10-2025-7029225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MX/a/2025/010013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PI2025005159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823179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1-2025-552057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1120256479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11202504641X</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2501005646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2025/06705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62026117641.1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2024270296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3290612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202480035033.1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24725094.7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2025-564163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10-2025-7040256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1120258307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1120220089198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2023-202672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18/921,515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2021391581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3203020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23198784.3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42024091001.8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202317043169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303288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2023-533243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800961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21 816489.5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2022393234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11 2024 009571 1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3238583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22 818741.5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62025102900.0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202417045861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312859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2024-529536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10-2024-7020007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MX/a/2024/005955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811102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11202403174T</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2024002791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20"/>
          </w:cols>
          <w:pgMar w:left="320" w:top="1440" w:right="359" w:bottom="1050" w:gutter="0" w:footer="0" w:header="0"/>
          <w:type w:val="continuous"/>
        </w:sectPr>
      </w:pPr>
    </w:p>
    <w:bookmarkStart w:id="65" w:name="page66"/>
    <w:bookmarkEnd w:id="6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1120242659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202401452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2401003192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12024551165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18/711,130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19/192,691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NC2024/0007518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202280084101.4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24194778.7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42025103259.5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2023000584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11202300697X</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19/202,059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18/619,547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2024242138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BR1120250210513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3,285,080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CN121194779A</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24716712.5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323233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2025-556812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10-2025-7035981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826414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19/469,610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1120257248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202517099658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MX/a/2025/011603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P2025-03094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Arab Emirates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22214748.0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202217028688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21203394.8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18/602,171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1120220245661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42023070531.1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202217076779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1120210243330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18/779,611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2021284861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202217076899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2023361184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3,270,486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23 790574.0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2025-521004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10-2025-7015515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19/119,888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3118556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202180046533.1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18/748,483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24 215587.7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42025109674.9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PCT/EP2025/069677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114126133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20"/>
          </w:cols>
          <w:pgMar w:left="320" w:top="1440" w:right="359" w:bottom="1050" w:gutter="0" w:footer="0" w:header="0"/>
          <w:type w:val="continuous"/>
        </w:sectPr>
      </w:pPr>
    </w:p>
    <w:bookmarkStart w:id="66" w:name="page67"/>
    <w:bookmarkEnd w:id="6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2024212866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3280177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202480014812.3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24 702075.3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322260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2025-542221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10-2025-7027840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823545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19/149,911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63/957,091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Helus Pharma’s patent applications cover a wide range of NSA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9"/>
          <w:szCs w:val="19"/>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compounds to support its library of NSA derivative drug candidates.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owns registrations or applications for forty-three trademarks, including HELUS PHARMA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EMBARK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HELPING MINDS HEAL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mission is to provide treatments designed to foster durable improvements in mental healthcare by engineering proprietary drug discovery platforms, innovative drug delivery systems, novel formulation approaches and treatment regimens to address the unmet needs of patients across a multitude of mental health issues. As the Company generates new data it will continue to file or acquire additional patent applications throughout the Company’s development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is focused on development of next-generation therapies, through research and development of novel chemical compounds and delivery mechanisms and study of such compounds in clinical environments around the world. The Company anticipates growing its pipeline of pharmaceutical products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NSAs are a class of drug designed to activate serotonin receptors and pathways to improve brain and body function, with some NSAs causing thought, visual and auditory changes, and altered states of consciousness. The pharmacokinetics, pharmacology and human metabolism of the non-deuterated form of HLP003 are well known and well characterized. Once ingested, HLP003 acts on serotonin receptors in the brain to produce its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research and development must be conducted in strict compliance with the regulations of federal, state, local and regulatory agencies in the United States, European Union, the UK, Australia, Poland, Greece, Ireland and Canada, and the equivalent regulatory agencies in any other jurisdictions in which the Company operates. These regulatory authorities regulate, among other things, the research, manufacture, promotion and distribution of drugs in specific jurisdictions under applicable laws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Regulatory Framework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Certain serotonergic agonists, including certain NSAs, are strictly controlled under the federal Controlled Substances Act, 21 U.S.C. §801, et. seq. (“</w:t>
      </w:r>
      <w:r>
        <w:rPr>
          <w:rFonts w:ascii="Times New Roman" w:cs="Times New Roman" w:eastAsia="Times New Roman" w:hAnsi="Times New Roman"/>
          <w:sz w:val="20"/>
          <w:szCs w:val="20"/>
          <w:b w:val="1"/>
          <w:bCs w:val="1"/>
          <w:color w:val="auto"/>
        </w:rPr>
        <w:t>CSA</w:t>
      </w:r>
      <w:r>
        <w:rPr>
          <w:rFonts w:ascii="Times New Roman" w:cs="Times New Roman" w:eastAsia="Times New Roman" w:hAnsi="Times New Roman"/>
          <w:sz w:val="20"/>
          <w:szCs w:val="20"/>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certain serotonergic agonists, including certain NSAs, as Schedule I controlled substances. For any product containing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Because HLP003 and HLP004 are treated as Schedule I substances under the CSA, for any product containing HLP003 or HLP004, or any Schedule I substance to be available for commercial marketing in the United States, such substance must be rescheduled, or the product itself must be scheduled, by the DEA to Schedule II, III, IV or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the United States generally involves:</w:t>
      </w:r>
    </w:p>
    <w:p>
      <w:pPr>
        <w:spacing w:after="0" w:line="310" w:lineRule="exact"/>
        <w:rPr>
          <w:sz w:val="20"/>
          <w:szCs w:val="20"/>
          <w:color w:val="auto"/>
        </w:rPr>
      </w:pPr>
    </w:p>
    <w:p>
      <w:pPr>
        <w:ind w:left="660" w:hanging="328"/>
        <w:spacing w:after="0" w:line="273"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completion of extensive non-clinical laboratory tests, animal studies and formulation studies, all performed in accordance with the FDA’s Good Laboratory, Good Clinical and/or Good Manufacturing Practice regulations;</w:t>
      </w:r>
    </w:p>
    <w:p>
      <w:pPr>
        <w:spacing w:after="0" w:line="17"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submission to the FDA of an IND Application, which the FDA must approve before human clinical trials may begin;</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approval by an IRB or independent ethics committee at each clinical trial site before each trial may be initiated;</w:t>
      </w:r>
    </w:p>
    <w:p>
      <w:pPr>
        <w:spacing w:after="0" w:line="57" w:lineRule="exact"/>
        <w:rPr>
          <w:rFonts w:ascii="Arial" w:cs="Arial" w:eastAsia="Arial" w:hAnsi="Arial"/>
          <w:sz w:val="22"/>
          <w:szCs w:val="22"/>
          <w:color w:val="auto"/>
        </w:rPr>
      </w:pPr>
    </w:p>
    <w:p>
      <w:pPr>
        <w:jc w:val="both"/>
        <w:ind w:left="660" w:hanging="328"/>
        <w:spacing w:after="0" w:line="280"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14"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submission to the FDA of a New Drug Application (“</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w:t>
      </w:r>
    </w:p>
    <w:p>
      <w:pPr>
        <w:spacing w:after="0" w:line="48" w:lineRule="exact"/>
        <w:rPr>
          <w:rFonts w:ascii="Arial" w:cs="Arial" w:eastAsia="Arial" w:hAnsi="Arial"/>
          <w:sz w:val="22"/>
          <w:szCs w:val="22"/>
          <w:color w:val="auto"/>
        </w:rPr>
      </w:pPr>
    </w:p>
    <w:p>
      <w:pPr>
        <w:jc w:val="both"/>
        <w:ind w:left="660" w:hanging="328"/>
        <w:spacing w:after="0" w:line="280"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18"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20"/>
          <w:szCs w:val="20"/>
          <w:color w:val="auto"/>
        </w:rPr>
        <w:t>FDA review and approval of the NDA prior to any commercial marketing, sale or shipment of the drug.</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86" w:lineRule="auto"/>
        <w:rPr>
          <w:sz w:val="20"/>
          <w:szCs w:val="20"/>
          <w:color w:val="auto"/>
        </w:rPr>
      </w:pPr>
      <w:r>
        <w:rPr>
          <w:rFonts w:ascii="Times New Roman" w:cs="Times New Roman" w:eastAsia="Times New Roman" w:hAnsi="Times New Roman"/>
          <w:sz w:val="20"/>
          <w:szCs w:val="20"/>
          <w:color w:val="auto"/>
        </w:rPr>
        <w:t>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2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2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70" w:name="page71"/>
    <w:bookmarkEnd w:id="70"/>
    <w:p>
      <w:pPr>
        <w:jc w:val="both"/>
        <w:spacing w:after="0" w:line="325" w:lineRule="auto"/>
        <w:rPr>
          <w:sz w:val="20"/>
          <w:szCs w:val="20"/>
          <w:color w:val="auto"/>
        </w:rPr>
      </w:pPr>
      <w:r>
        <w:rPr>
          <w:rFonts w:ascii="Times New Roman" w:cs="Times New Roman" w:eastAsia="Times New Roman" w:hAnsi="Times New Roman"/>
          <w:sz w:val="20"/>
          <w:szCs w:val="20"/>
          <w:color w:val="auto"/>
        </w:rPr>
        <w:t>manufacturing, product seizures, injunctions, civil penalties or criminal prosecution. There is also a continuing, annual prescription drug product program user fee.</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0"/>
          <w:szCs w:val="20"/>
          <w:i w:val="1"/>
          <w:iCs w:val="1"/>
          <w:color w:val="auto"/>
        </w:rPr>
        <w:t>False Claims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1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made in the previous calendar year. There are a number of states that have various types of additional reporting requirements.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Controlled Substances</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Schedule III, IV and V narcotic, and submit import or export declarations for Schedule III, IV and V non-narcotics.</w:t>
      </w:r>
    </w:p>
    <w:p>
      <w:pPr>
        <w:spacing w:after="0" w:line="2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Individual U.S. states also establish and maintain separate controlled substance laws and regulations, including licensing, recordkeeping, security, distribution, and dispensing requirements. A majority of state laws in the United States also treat HLP003 and HLP004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Union/Netherlands</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International Narcotics Control Board (“</w:t>
      </w:r>
      <w:r>
        <w:rPr>
          <w:rFonts w:ascii="Times New Roman" w:cs="Times New Roman" w:eastAsia="Times New Roman" w:hAnsi="Times New Roman"/>
          <w:sz w:val="20"/>
          <w:szCs w:val="20"/>
          <w:b w:val="1"/>
          <w:bCs w:val="1"/>
          <w:color w:val="auto"/>
        </w:rPr>
        <w:t>INCB</w:t>
      </w:r>
      <w:r>
        <w:rPr>
          <w:rFonts w:ascii="Times New Roman" w:cs="Times New Roman" w:eastAsia="Times New Roman" w:hAnsi="Times New Roman"/>
          <w:sz w:val="20"/>
          <w:szCs w:val="20"/>
          <w:color w:val="auto"/>
        </w:rPr>
        <w:t>”), a United Nations (“</w:t>
      </w:r>
      <w:r>
        <w:rPr>
          <w:rFonts w:ascii="Times New Roman" w:cs="Times New Roman" w:eastAsia="Times New Roman" w:hAnsi="Times New Roman"/>
          <w:sz w:val="20"/>
          <w:szCs w:val="20"/>
          <w:b w:val="1"/>
          <w:bCs w:val="1"/>
          <w:color w:val="auto"/>
        </w:rPr>
        <w:t>UN</w:t>
      </w:r>
      <w:r>
        <w:rPr>
          <w:rFonts w:ascii="Times New Roman" w:cs="Times New Roman" w:eastAsia="Times New Roman" w:hAnsi="Times New Roman"/>
          <w:sz w:val="20"/>
          <w:szCs w:val="20"/>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20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9"/>
          <w:szCs w:val="19"/>
          <w:color w:val="auto"/>
        </w:rPr>
        <w:t xml:space="preserve"> can provoke a Council Decision requiring EU member states to put a drug under national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714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0"/>
          <w:szCs w:val="20"/>
          <w:color w:val="auto"/>
        </w:rPr>
      </w:pPr>
    </w:p>
    <w:p>
      <w:pPr>
        <w:jc w:val="both"/>
        <w:ind w:firstLine="8"/>
        <w:spacing w:after="0" w:line="193" w:lineRule="auto"/>
        <w:tabs>
          <w:tab w:leader="none" w:pos="194"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325" w:lineRule="auto"/>
        <w:rPr>
          <w:sz w:val="20"/>
          <w:szCs w:val="20"/>
          <w:color w:val="auto"/>
        </w:rPr>
      </w:pPr>
      <w:r>
        <w:rPr>
          <w:rFonts w:ascii="Times New Roman" w:cs="Times New Roman" w:eastAsia="Times New Roman" w:hAnsi="Times New Roman"/>
          <w:sz w:val="20"/>
          <w:szCs w:val="20"/>
          <w:color w:val="auto"/>
        </w:rPr>
        <w:t>equivalent to those of the INCB. HLP004 is currently classified as a Schedule I substance under the UN71; the EU member states that are party to the UN71, including the Netherlands, have agreed to the following in respect of Schedule I substances:</w:t>
      </w:r>
    </w:p>
    <w:p>
      <w:pPr>
        <w:spacing w:after="0" w:line="187" w:lineRule="exact"/>
        <w:rPr>
          <w:sz w:val="20"/>
          <w:szCs w:val="20"/>
          <w:color w:val="auto"/>
        </w:rPr>
      </w:pPr>
    </w:p>
    <w:p>
      <w:pPr>
        <w:ind w:left="660" w:right="20" w:hanging="328"/>
        <w:spacing w:after="0" w:line="273" w:lineRule="auto"/>
        <w:tabs>
          <w:tab w:leader="none" w:pos="628"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17" w:lineRule="exact"/>
        <w:rPr>
          <w:rFonts w:ascii="Arial" w:cs="Arial" w:eastAsia="Arial" w:hAnsi="Arial"/>
          <w:sz w:val="22"/>
          <w:szCs w:val="22"/>
          <w:color w:val="auto"/>
        </w:rPr>
      </w:pPr>
    </w:p>
    <w:p>
      <w:pPr>
        <w:ind w:left="620" w:hanging="288"/>
        <w:spacing w:after="0"/>
        <w:tabs>
          <w:tab w:leader="none" w:pos="62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manufacture, trade, distribution and possession be under a special licence or prior authorization;</w:t>
      </w:r>
    </w:p>
    <w:p>
      <w:pPr>
        <w:spacing w:after="0" w:line="57" w:lineRule="exact"/>
        <w:rPr>
          <w:rFonts w:ascii="Arial" w:cs="Arial" w:eastAsia="Arial" w:hAnsi="Arial"/>
          <w:sz w:val="22"/>
          <w:szCs w:val="22"/>
          <w:color w:val="auto"/>
        </w:rPr>
      </w:pPr>
    </w:p>
    <w:p>
      <w:pPr>
        <w:ind w:left="620" w:hanging="288"/>
        <w:spacing w:after="0"/>
        <w:tabs>
          <w:tab w:leader="none" w:pos="62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provide for close supervision of the activities and acts mentioned in paragraphs (a) and (b);</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restrict the amount supplied to a duly authorized person to the quantity required for his authorized purpose;</w:t>
      </w:r>
    </w:p>
    <w:p>
      <w:pPr>
        <w:spacing w:after="0" w:line="44" w:lineRule="exact"/>
        <w:rPr>
          <w:rFonts w:ascii="Arial" w:cs="Arial" w:eastAsia="Arial" w:hAnsi="Arial"/>
          <w:sz w:val="22"/>
          <w:szCs w:val="22"/>
          <w:color w:val="auto"/>
        </w:rPr>
      </w:pPr>
    </w:p>
    <w:p>
      <w:pPr>
        <w:ind w:left="660" w:hanging="328"/>
        <w:spacing w:after="0" w:line="279" w:lineRule="auto"/>
        <w:tabs>
          <w:tab w:leader="none" w:pos="628"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9" w:lineRule="exact"/>
        <w:rPr>
          <w:rFonts w:ascii="Arial" w:cs="Arial" w:eastAsia="Arial" w:hAnsi="Arial"/>
          <w:sz w:val="22"/>
          <w:szCs w:val="22"/>
          <w:color w:val="auto"/>
        </w:rPr>
      </w:pPr>
    </w:p>
    <w:p>
      <w:pPr>
        <w:jc w:val="both"/>
        <w:ind w:left="660" w:hanging="328"/>
        <w:spacing w:after="0" w:line="289" w:lineRule="auto"/>
        <w:tabs>
          <w:tab w:leader="none" w:pos="628" w:val="left"/>
        </w:tabs>
        <w:numPr>
          <w:ilvl w:val="0"/>
          <w:numId w:val="48"/>
        </w:numPr>
        <w:rPr>
          <w:rFonts w:ascii="Arial" w:cs="Arial" w:eastAsia="Arial" w:hAnsi="Arial"/>
          <w:sz w:val="22"/>
          <w:szCs w:val="22"/>
          <w:color w:val="auto"/>
        </w:rPr>
      </w:pPr>
      <w:r>
        <w:rPr>
          <w:rFonts w:ascii="Times New Roman" w:cs="Times New Roman" w:eastAsia="Times New Roman" w:hAnsi="Times New Roman"/>
          <w:sz w:val="20"/>
          <w:szCs w:val="20"/>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2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Helus Pharma will investigate the specific regulatory requirements of such EU member state. As referenced above, a licence is required for individuals and entities who wish to produce, dispense, import, or export Schedule I substances,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0"/>
          <w:szCs w:val="20"/>
          <w:b w:val="1"/>
          <w:bCs w:val="1"/>
          <w:color w:val="auto"/>
        </w:rPr>
        <w:t>Dutch Opium Act</w:t>
      </w:r>
      <w:r>
        <w:rPr>
          <w:rFonts w:ascii="Times New Roman" w:cs="Times New Roman" w:eastAsia="Times New Roman" w:hAnsi="Times New Roman"/>
          <w:sz w:val="20"/>
          <w:szCs w:val="20"/>
          <w:color w:val="auto"/>
        </w:rPr>
        <w:t>”) and as such, subject to express authorization being obtained, the production, trade and possession of DMT are prohibited.</w:t>
      </w:r>
    </w:p>
    <w:p>
      <w:pPr>
        <w:spacing w:after="0" w:line="20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addition to the Dutch Opium Act, two other Dutch Acts may be relevant when it comes to drugs: the Medicines Act and the Commodities Act.</w:t>
      </w:r>
    </w:p>
    <w:p>
      <w:pPr>
        <w:spacing w:after="0" w:line="1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0"/>
          <w:szCs w:val="20"/>
          <w:b w:val="1"/>
          <w:bCs w:val="1"/>
          <w:color w:val="auto"/>
        </w:rPr>
        <w:t>CCMO</w:t>
      </w:r>
      <w:r>
        <w:rPr>
          <w:rFonts w:ascii="Times New Roman" w:cs="Times New Roman" w:eastAsia="Times New Roman" w:hAnsi="Times New Roman"/>
          <w:sz w:val="20"/>
          <w:szCs w:val="20"/>
          <w:color w:val="auto"/>
        </w:rPr>
        <w:t>”), which is also known as the Competent Authority in The Netherlands. In Dutch, the CCMO is called the ‘</w:t>
      </w:r>
      <w:r>
        <w:rPr>
          <w:rFonts w:ascii="Times New Roman" w:cs="Times New Roman" w:eastAsia="Times New Roman" w:hAnsi="Times New Roman"/>
          <w:sz w:val="20"/>
          <w:szCs w:val="20"/>
          <w:i w:val="1"/>
          <w:iCs w:val="1"/>
          <w:color w:val="auto"/>
        </w:rPr>
        <w:t>Centrale Commissie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Mensgebonden Onderzoek</w:t>
      </w:r>
      <w:r>
        <w:rPr>
          <w:rFonts w:ascii="Times New Roman" w:cs="Times New Roman" w:eastAsia="Times New Roman" w:hAnsi="Times New Roman"/>
          <w:sz w:val="20"/>
          <w:szCs w:val="20"/>
          <w:color w:val="auto"/>
        </w:rPr>
        <w:t>’. In cases where the study involves a substance subject to the Dutch Opium Act (such as DMT), an official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exemption by Farmatec is needed, which needs to be included in the CTA.</w:t>
      </w:r>
    </w:p>
    <w:p>
      <w:pPr>
        <w:spacing w:after="0" w:line="22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Specific rules for the submission, assessment and conduct of clinical trials with medicinal products are set out in, among others, the EU Clinical Trial Regulation 536/2014 (CTR), which is applicable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the EU as of January 31, 2022 and the Medical Research (Human Subjects) Act (Wet medisch-wetenschappelijk onderzoek met mensen).</w:t>
      </w:r>
    </w:p>
    <w:p>
      <w:pPr>
        <w:spacing w:after="0" w:line="2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Regulation (EU) No 536/2014 on Clinical Trials on Medicinal Products for Human Use ( the “</w:t>
      </w:r>
      <w:r>
        <w:rPr>
          <w:rFonts w:ascii="Times New Roman" w:cs="Times New Roman" w:eastAsia="Times New Roman" w:hAnsi="Times New Roman"/>
          <w:sz w:val="20"/>
          <w:szCs w:val="20"/>
          <w:b w:val="1"/>
          <w:bCs w:val="1"/>
          <w:color w:val="auto"/>
        </w:rPr>
        <w:t>CTR</w:t>
      </w:r>
      <w:r>
        <w:rPr>
          <w:rFonts w:ascii="Times New Roman" w:cs="Times New Roman" w:eastAsia="Times New Roman" w:hAnsi="Times New Roman"/>
          <w:sz w:val="20"/>
          <w:szCs w:val="20"/>
          <w:color w:val="auto"/>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20"/>
          <w:szCs w:val="20"/>
          <w:color w:val="auto"/>
        </w:rPr>
        <w:t xml:space="preserve"> The CTR repealed the Clinical Trials Directive, which had previously been transformed into the respective national laws of Member States. The CTR now applies directly in all Member States without transposition being necessary. Pursuant to the CTR, as of January 31, 2023 sponsors are obliged to use the Clinical Trials Information System (“</w:t>
      </w:r>
      <w:r>
        <w:rPr>
          <w:rFonts w:ascii="Times New Roman" w:cs="Times New Roman" w:eastAsia="Times New Roman" w:hAnsi="Times New Roman"/>
          <w:sz w:val="20"/>
          <w:szCs w:val="20"/>
          <w:b w:val="1"/>
          <w:bCs w:val="1"/>
          <w:color w:val="auto"/>
        </w:rPr>
        <w:t>CTIS</w:t>
      </w:r>
      <w:r>
        <w:rPr>
          <w:rFonts w:ascii="Times New Roman" w:cs="Times New Roman" w:eastAsia="Times New Roman" w:hAnsi="Times New Roman"/>
          <w:sz w:val="20"/>
          <w:szCs w:val="20"/>
          <w:color w:val="auto"/>
        </w:rPr>
        <w:t>”) for regularity submission, authorization and supervision of clinical trials in the EU and the EEA. CTIS thus serves as the single-entry point for submissions by sponsors and for regulatory assessment. In addition to this obligation, sponsors have transferred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0"/>
          <w:szCs w:val="20"/>
          <w:b w:val="1"/>
          <w:bCs w:val="1"/>
          <w:color w:val="auto"/>
        </w:rPr>
        <w:t>CTAG</w:t>
      </w:r>
      <w:r>
        <w:rPr>
          <w:rFonts w:ascii="Times New Roman" w:cs="Times New Roman" w:eastAsia="Times New Roman" w:hAnsi="Times New Roman"/>
          <w:sz w:val="20"/>
          <w:szCs w:val="20"/>
          <w:color w:val="auto"/>
        </w:rPr>
        <w:t>”) on December 8, 2023. The current version is dated March, 2024.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European Medicines Agency's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jc w:val="both"/>
        <w:ind w:firstLine="8"/>
        <w:spacing w:after="0"/>
        <w:tabs>
          <w:tab w:leader="none" w:pos="208" w:val="left"/>
        </w:tabs>
        <w:numPr>
          <w:ilvl w:val="0"/>
          <w:numId w:val="4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3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“Clinical Trials Information System (CTIS): online training modules” in order to gain a better understanding of the legislative changes that are effected by the CTR.</w:t>
      </w:r>
    </w:p>
    <w:p>
      <w:pPr>
        <w:spacing w:after="0" w:line="16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The Investigational Medicinal Product Dossier (“</w:t>
      </w:r>
      <w:r>
        <w:rPr>
          <w:rFonts w:ascii="Times New Roman" w:cs="Times New Roman" w:eastAsia="Times New Roman" w:hAnsi="Times New Roman"/>
          <w:sz w:val="21"/>
          <w:szCs w:val="21"/>
          <w:b w:val="1"/>
          <w:bCs w:val="1"/>
          <w:color w:val="auto"/>
        </w:rPr>
        <w:t>IMPD</w:t>
      </w:r>
      <w:r>
        <w:rPr>
          <w:rFonts w:ascii="Times New Roman" w:cs="Times New Roman" w:eastAsia="Times New Roman" w:hAnsi="Times New Roman"/>
          <w:sz w:val="20"/>
          <w:szCs w:val="20"/>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EMA guidelines, some of which were originally developed under the former Clinical Trials Directive but have since been updated to reflect the requirements of the CTR.</w:t>
      </w:r>
    </w:p>
    <w:p>
      <w:pPr>
        <w:spacing w:after="0" w:line="21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largely resemble the types of information required in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0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2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36" w:right="339" w:bottom="1440" w:gutter="0" w:footer="0" w:header="0"/>
        </w:sectPr>
      </w:pPr>
    </w:p>
    <w:bookmarkStart w:id="76" w:name="page77"/>
    <w:bookmarkEnd w:id="76"/>
    <w:p>
      <w:pPr>
        <w:jc w:val="both"/>
        <w:spacing w:after="0" w:line="296" w:lineRule="auto"/>
        <w:rPr>
          <w:sz w:val="20"/>
          <w:szCs w:val="20"/>
          <w:color w:val="auto"/>
        </w:rPr>
      </w:pPr>
      <w:r>
        <w:rPr>
          <w:rFonts w:ascii="Times New Roman" w:cs="Times New Roman" w:eastAsia="Times New Roman" w:hAnsi="Times New Roman"/>
          <w:sz w:val="20"/>
          <w:szCs w:val="20"/>
          <w:color w:val="auto"/>
        </w:rPr>
        <w:t>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the Dutch Medicines Act (</w:t>
      </w:r>
      <w:r>
        <w:rPr>
          <w:rFonts w:ascii="Times New Roman" w:cs="Times New Roman" w:eastAsia="Times New Roman" w:hAnsi="Times New Roman"/>
          <w:sz w:val="21"/>
          <w:szCs w:val="21"/>
          <w:i w:val="1"/>
          <w:iCs w:val="1"/>
          <w:color w:val="auto"/>
        </w:rPr>
        <w:t>Geneesmiddelenwet</w:t>
      </w:r>
      <w:r>
        <w:rPr>
          <w:rFonts w:ascii="Times New Roman" w:cs="Times New Roman" w:eastAsia="Times New Roman" w:hAnsi="Times New Roman"/>
          <w:sz w:val="20"/>
          <w:szCs w:val="20"/>
          <w:color w:val="auto"/>
        </w:rPr>
        <w:t>), “medicinal products” are defined as: a substance or a combination of</w:t>
      </w:r>
    </w:p>
    <w:p>
      <w:pPr>
        <w:spacing w:after="0" w:line="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21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303" w:lineRule="auto"/>
        <w:rPr>
          <w:sz w:val="20"/>
          <w:szCs w:val="20"/>
          <w:color w:val="auto"/>
        </w:rPr>
      </w:pPr>
      <w:r>
        <w:rPr>
          <w:rFonts w:ascii="Times New Roman" w:cs="Times New Roman" w:eastAsia="Times New Roman" w:hAnsi="Times New Roman"/>
          <w:sz w:val="20"/>
          <w:szCs w:val="20"/>
          <w:color w:val="auto"/>
        </w:rPr>
        <w:t>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20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Marketing Authorization Regulatory Process</w:t>
      </w: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78" w:name="page79"/>
    <w:bookmarkEnd w:id="78"/>
    <w:p>
      <w:pPr>
        <w:jc w:val="both"/>
        <w:spacing w:after="0" w:line="289" w:lineRule="auto"/>
        <w:rPr>
          <w:sz w:val="20"/>
          <w:szCs w:val="20"/>
          <w:color w:val="auto"/>
        </w:rPr>
      </w:pPr>
      <w:r>
        <w:rPr>
          <w:rFonts w:ascii="Times New Roman" w:cs="Times New Roman" w:eastAsia="Times New Roman" w:hAnsi="Times New Roman"/>
          <w:sz w:val="20"/>
          <w:szCs w:val="20"/>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e.g. cancer, AIDS, neurodegenerative diseases and diabetes and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 in the procedure. After having shared draft assessment reports to which both the applicant and the competent authorities of other Member States may respond, the Decentralized procedure results in coordinated national marketing authorization in all involved Member States.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0"/>
          <w:szCs w:val="20"/>
          <w:b w:val="1"/>
          <w:bCs w:val="1"/>
          <w:color w:val="auto"/>
        </w:rPr>
        <w:t>CMDh</w:t>
      </w:r>
      <w:r>
        <w:rPr>
          <w:rFonts w:ascii="Times New Roman" w:cs="Times New Roman" w:eastAsia="Times New Roman" w:hAnsi="Times New Roman"/>
          <w:sz w:val="20"/>
          <w:szCs w:val="20"/>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9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auto"/>
        </w:rPr>
        <w:t>The main UK controlled drugs legislation is the Misuse of Drugs Act 1971 (the “</w:t>
      </w:r>
      <w:r>
        <w:rPr>
          <w:rFonts w:ascii="Times New Roman" w:cs="Times New Roman" w:eastAsia="Times New Roman" w:hAnsi="Times New Roman"/>
          <w:sz w:val="19"/>
          <w:szCs w:val="19"/>
          <w:b w:val="1"/>
          <w:bCs w:val="1"/>
          <w:color w:val="auto"/>
        </w:rPr>
        <w:t>MDA</w:t>
      </w:r>
      <w:r>
        <w:rPr>
          <w:rFonts w:ascii="Times New Roman" w:cs="Times New Roman" w:eastAsia="Times New Roman" w:hAnsi="Times New Roman"/>
          <w:sz w:val="19"/>
          <w:szCs w:val="19"/>
          <w:color w:val="auto"/>
        </w:rPr>
        <w:t>”) and the Misuse of Drugs Regulations 2001 (the “</w:t>
      </w:r>
      <w:r>
        <w:rPr>
          <w:rFonts w:ascii="Times New Roman" w:cs="Times New Roman" w:eastAsia="Times New Roman" w:hAnsi="Times New Roman"/>
          <w:sz w:val="19"/>
          <w:szCs w:val="19"/>
          <w:b w:val="1"/>
          <w:bCs w:val="1"/>
          <w:color w:val="auto"/>
        </w:rPr>
        <w:t>MDR</w:t>
      </w:r>
      <w:r>
        <w:rPr>
          <w:rFonts w:ascii="Times New Roman" w:cs="Times New Roman" w:eastAsia="Times New Roman" w:hAnsi="Times New Roman"/>
          <w:sz w:val="19"/>
          <w:szCs w:val="19"/>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United Kingdom, HLP003 and HLP004 are controlled as a Class A drug under the MDA and Schedule 1 drug under the MDR.</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22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The Company previously mentioned that it intended to file a clinical trial application with the UK Medical and Healthcare Products Regulatory Agency (“</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related to the HLP003 Program upon completion of its pre-clinical studies and CMC development. The Company had then decided that it would first proceed in the U.S. and would subsequently file a clinical trial application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79" w:name="page80"/>
    <w:bookmarkEnd w:id="79"/>
    <w:p>
      <w:pPr>
        <w:jc w:val="both"/>
        <w:spacing w:after="0" w:line="303" w:lineRule="auto"/>
        <w:rPr>
          <w:sz w:val="20"/>
          <w:szCs w:val="20"/>
          <w:color w:val="auto"/>
        </w:rPr>
      </w:pPr>
      <w:r>
        <w:rPr>
          <w:rFonts w:ascii="Times New Roman" w:cs="Times New Roman" w:eastAsia="Times New Roman" w:hAnsi="Times New Roman"/>
          <w:sz w:val="20"/>
          <w:szCs w:val="20"/>
          <w:color w:val="auto"/>
        </w:rPr>
        <w:t>MHRA. On July 17, 2025, the Company announced that it has received approval from the MHRA to commence EMBRACE, the second pivotal study in PARADIGM. Anticipated timelines related to regulatory filings are based on reasonable assumptions informed by current knowledge and information available to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Licensing Requirements</w:t>
      </w:r>
    </w:p>
    <w:p>
      <w:pPr>
        <w:spacing w:after="0" w:line="2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obtains HLP003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sites in the U.S., Europe, the UK and Australia. As a part of the Asset Acquisition, the Company also acquired API. The HLP004-E API was manufactured in the Netherlands by a pharmaceutical ingredient provider that is US FDA-inspected.</w:t>
      </w:r>
      <w:r>
        <w:rPr>
          <w:rFonts w:ascii="Times New Roman" w:cs="Times New Roman" w:eastAsia="Times New Roman" w:hAnsi="Times New Roman"/>
          <w:sz w:val="25"/>
          <w:szCs w:val="25"/>
          <w:color w:val="auto"/>
          <w:vertAlign w:val="superscript"/>
        </w:rPr>
        <w:t>25</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As mentioned above, in order to produce, possess and supply the API at a UK-based facility, the facility must also hold a domestic license issued by the Home Office covering the manufacture, production, possession and supply of a controlled substance. For export of the API to the United States, an export license is required for each API shipment. The export application must include details of the importer and any import license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212"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5"/>
          <w:szCs w:val="25"/>
          <w:color w:val="auto"/>
          <w:vertAlign w:val="superscript"/>
        </w:rPr>
        <w:t>26</w:t>
      </w:r>
    </w:p>
    <w:p>
      <w:pPr>
        <w:spacing w:after="0" w:line="11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UK entity in possession of controlled drugs holds an appropriate Home Office License and under the Home Office guidance, each UK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4"/>
          <w:szCs w:val="24"/>
          <w:color w:val="auto"/>
          <w:vertAlign w:val="superscript"/>
        </w:rPr>
        <w:t>27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IRL Limited, the sponsor of clinical trials in the UK, is not required to hold a Controlled Drugs Licence as an Irish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1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1"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As a result of the Asset Acquisition, including the existing API, the Company did not direct the manufacturing of the API for HLP004-E and proceeded in reliance upon</w:t>
      </w:r>
    </w:p>
    <w:p>
      <w:pPr>
        <w:spacing w:after="0" w:line="37"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the representations of Entheon and the Company’s acquisition diligence. While the Company believes the HLP004-E API meets all required specifications, the Company did not oversee or direct the manufacture of the DMT API being used in HLP004-E.</w:t>
      </w:r>
    </w:p>
    <w:p>
      <w:pPr>
        <w:spacing w:after="0" w:line="45" w:lineRule="exact"/>
        <w:rPr>
          <w:sz w:val="20"/>
          <w:szCs w:val="20"/>
          <w:color w:val="auto"/>
        </w:rPr>
      </w:pPr>
    </w:p>
    <w:p>
      <w:pPr>
        <w:ind w:firstLine="8"/>
        <w:spacing w:after="0" w:line="187" w:lineRule="auto"/>
        <w:tabs>
          <w:tab w:leader="none" w:pos="19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w:t>
      </w:r>
    </w:p>
    <w:p>
      <w:pPr>
        <w:spacing w:after="0" w:line="6" w:lineRule="exact"/>
        <w:rPr>
          <w:rFonts w:ascii="Times New Roman" w:cs="Times New Roman" w:eastAsia="Times New Roman" w:hAnsi="Times New Roman"/>
          <w:sz w:val="27"/>
          <w:szCs w:val="27"/>
          <w:color w:val="auto"/>
          <w:vertAlign w:val="superscript"/>
        </w:rPr>
      </w:pPr>
    </w:p>
    <w:p>
      <w:pPr>
        <w:ind w:firstLine="8"/>
        <w:spacing w:after="0" w:line="189" w:lineRule="auto"/>
        <w:tabs>
          <w:tab w:leader="none" w:pos="842" w:val="left"/>
        </w:tabs>
        <w:numPr>
          <w:ilvl w:val="0"/>
          <w:numId w:val="5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respect of HLP003 and HLP004, whether a specific product restores, corrects or modifies a physiological function by exerting a pharmacological, immunological or metabolic action will depend on factors such as the concentrations of HLP003 or HLP004 (as applicable) and the mode of action of any HLP003 or HLP004 (as applicable) absorbed in the body. This requires scientific analysis.</w:t>
      </w:r>
    </w:p>
    <w:p>
      <w:pPr>
        <w:spacing w:after="0" w:line="20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1 January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and/or Good Distribution Practice (“</w:t>
      </w:r>
      <w:r>
        <w:rPr>
          <w:rFonts w:ascii="Times New Roman" w:cs="Times New Roman" w:eastAsia="Times New Roman" w:hAnsi="Times New Roman"/>
          <w:sz w:val="19"/>
          <w:szCs w:val="19"/>
          <w:b w:val="1"/>
          <w:bCs w:val="1"/>
          <w:color w:val="auto"/>
        </w:rPr>
        <w:t>GDP</w:t>
      </w:r>
      <w:r>
        <w:rPr>
          <w:rFonts w:ascii="Times New Roman" w:cs="Times New Roman" w:eastAsia="Times New Roman" w:hAnsi="Times New Roman"/>
          <w:sz w:val="19"/>
          <w:szCs w:val="19"/>
          <w:color w:val="auto"/>
        </w:rPr>
        <w:t>”) and to hold a related licence from the MHRA.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 the API is subsequently processed will determine the licences (in addition to any applicable Home Office licences as referred to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UK-based facility must hold. In particular:</w:t>
      </w:r>
    </w:p>
    <w:p>
      <w:pPr>
        <w:spacing w:after="0" w:line="293" w:lineRule="exact"/>
        <w:rPr>
          <w:sz w:val="20"/>
          <w:szCs w:val="20"/>
          <w:color w:val="auto"/>
        </w:rPr>
      </w:pPr>
    </w:p>
    <w:p>
      <w:pPr>
        <w:jc w:val="both"/>
        <w:ind w:left="660" w:hanging="328"/>
        <w:spacing w:after="0" w:line="290" w:lineRule="auto"/>
        <w:tabs>
          <w:tab w:leader="none" w:pos="621"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if the API is just one ‘ingredient’ (i.e. active substance) of the investigational medicinal product (the “</w:t>
      </w:r>
      <w:r>
        <w:rPr>
          <w:rFonts w:ascii="Times New Roman" w:cs="Times New Roman" w:eastAsia="Times New Roman" w:hAnsi="Times New Roman"/>
          <w:sz w:val="20"/>
          <w:szCs w:val="20"/>
          <w:b w:val="1"/>
          <w:bCs w:val="1"/>
          <w:color w:val="auto"/>
        </w:rPr>
        <w:t>IMP</w:t>
      </w:r>
      <w:r>
        <w:rPr>
          <w:rFonts w:ascii="Times New Roman" w:cs="Times New Roman" w:eastAsia="Times New Roman" w:hAnsi="Times New Roman"/>
          <w:sz w:val="20"/>
          <w:szCs w:val="20"/>
          <w:color w:val="auto"/>
        </w:rPr>
        <w:t>”) which is used in the clinical trial then the UK-based facility must apply to be registered with the MHRA and provide the MHRA with 60 days’ notice of</w:t>
      </w:r>
    </w:p>
    <w:p>
      <w:pPr>
        <w:ind w:left="660"/>
        <w:spacing w:after="0" w:line="279" w:lineRule="auto"/>
        <w:rPr>
          <w:rFonts w:ascii="Arial" w:cs="Arial" w:eastAsia="Arial" w:hAnsi="Arial"/>
          <w:sz w:val="20"/>
          <w:szCs w:val="20"/>
          <w:color w:val="auto"/>
        </w:rPr>
      </w:pPr>
      <w:r>
        <w:rPr>
          <w:rFonts w:ascii="Times New Roman" w:cs="Times New Roman" w:eastAsia="Times New Roman" w:hAnsi="Times New Roman"/>
          <w:sz w:val="20"/>
          <w:szCs w:val="20"/>
          <w:color w:val="auto"/>
        </w:rPr>
        <w:t>the intended start of manufacture, import or distribution of the API, and comply with GMP and GDP for active substances. Furthermore, an MHRA inspection may be required; and</w:t>
      </w:r>
    </w:p>
    <w:p>
      <w:pPr>
        <w:spacing w:after="0" w:line="18" w:lineRule="exact"/>
        <w:rPr>
          <w:rFonts w:ascii="Arial" w:cs="Arial" w:eastAsia="Arial" w:hAnsi="Arial"/>
          <w:sz w:val="20"/>
          <w:szCs w:val="20"/>
          <w:color w:val="auto"/>
        </w:rPr>
      </w:pPr>
    </w:p>
    <w:p>
      <w:pPr>
        <w:jc w:val="both"/>
        <w:ind w:left="660" w:hanging="328"/>
        <w:spacing w:after="0" w:line="295" w:lineRule="auto"/>
        <w:tabs>
          <w:tab w:leader="none" w:pos="628" w:val="left"/>
        </w:tabs>
        <w:numPr>
          <w:ilvl w:val="0"/>
          <w:numId w:val="52"/>
        </w:numPr>
        <w:rPr>
          <w:rFonts w:ascii="Arial" w:cs="Arial" w:eastAsia="Arial" w:hAnsi="Arial"/>
          <w:sz w:val="22"/>
          <w:szCs w:val="22"/>
          <w:color w:val="auto"/>
        </w:rPr>
      </w:pPr>
      <w:r>
        <w:rPr>
          <w:rFonts w:ascii="Times New Roman" w:cs="Times New Roman" w:eastAsia="Times New Roman" w:hAnsi="Times New Roman"/>
          <w:sz w:val="20"/>
          <w:szCs w:val="20"/>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0"/>
          <w:szCs w:val="20"/>
          <w:b w:val="1"/>
          <w:bCs w:val="1"/>
          <w:color w:val="auto"/>
        </w:rPr>
        <w:t>MIA(IMP</w:t>
      </w:r>
      <w:r>
        <w:rPr>
          <w:rFonts w:ascii="Times New Roman" w:cs="Times New Roman" w:eastAsia="Times New Roman" w:hAnsi="Times New Roman"/>
          <w:sz w:val="20"/>
          <w:szCs w:val="20"/>
          <w:color w:val="auto"/>
        </w:rPr>
        <w:t>)”) granted by the MHRA. In this scenario, assuming the IMP is manufactured or assembled in the UK, an MIA(IMP) would be required regardless of whether the IMP is for use in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81" w:name="page82"/>
    <w:bookmarkEnd w:id="81"/>
    <w:p>
      <w:pPr>
        <w:ind w:left="660"/>
        <w:spacing w:after="0" w:line="325" w:lineRule="auto"/>
        <w:rPr>
          <w:sz w:val="20"/>
          <w:szCs w:val="20"/>
          <w:color w:val="auto"/>
        </w:rPr>
      </w:pPr>
      <w:r>
        <w:rPr>
          <w:rFonts w:ascii="Times New Roman" w:cs="Times New Roman" w:eastAsia="Times New Roman" w:hAnsi="Times New Roman"/>
          <w:sz w:val="20"/>
          <w:szCs w:val="20"/>
          <w:color w:val="auto"/>
        </w:rPr>
        <w:t>trials in the UK, an EEA Member State or a third country (such as the United States or Canada). GMP, GDP and inspection requirements will apply.</w:t>
      </w:r>
    </w:p>
    <w:p>
      <w:pPr>
        <w:spacing w:after="0" w:line="1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Some products fall on the borderline between medicines and other categories of regulate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Australia</w:t>
      </w:r>
    </w:p>
    <w:p>
      <w:pPr>
        <w:spacing w:after="0" w:line="2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Australian regulatory framework for therapeutic goods (i.e. medicines) and clinical trials is overseen by the Therapeutic Goods Administration (the “</w:t>
      </w:r>
      <w:r>
        <w:rPr>
          <w:rFonts w:ascii="Times New Roman" w:cs="Times New Roman" w:eastAsia="Times New Roman" w:hAnsi="Times New Roman"/>
          <w:sz w:val="20"/>
          <w:szCs w:val="20"/>
          <w:b w:val="1"/>
          <w:bCs w:val="1"/>
          <w:color w:val="auto"/>
        </w:rPr>
        <w:t>TGA</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In most cases, the Therapeutic Goods Act 1989 (Cth) (the “</w:t>
      </w:r>
      <w:r>
        <w:rPr>
          <w:rFonts w:ascii="Times New Roman" w:cs="Times New Roman" w:eastAsia="Times New Roman" w:hAnsi="Times New Roman"/>
          <w:sz w:val="20"/>
          <w:szCs w:val="20"/>
          <w:b w:val="1"/>
          <w:bCs w:val="1"/>
          <w:color w:val="auto"/>
        </w:rPr>
        <w:t>TG Act</w:t>
      </w:r>
      <w:r>
        <w:rPr>
          <w:rFonts w:ascii="Times New Roman" w:cs="Times New Roman" w:eastAsia="Times New Roman" w:hAnsi="Times New Roman"/>
          <w:sz w:val="20"/>
          <w:szCs w:val="20"/>
          <w:color w:val="auto"/>
        </w:rPr>
        <w:t>”) requires that medicines must be entered on the Australian Register of Therapeutic Goods before they can be imported into and/or supplied in Australia. However, in some circumstances the TGA permits access to unapproved therapeutic goods as part of clinical trials, or via a prescription from an authorized clinician.</w:t>
      </w:r>
    </w:p>
    <w:p>
      <w:pPr>
        <w:spacing w:after="0" w:line="194"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19"/>
          <w:szCs w:val="19"/>
          <w:color w:val="auto"/>
        </w:rPr>
        <w:t>In Australia, the regulations applicable to certain drugs are determined by their classification under the Therapeutic Goods (Poisons Standard —October 2025) Instrument 2025 (Poisons Standard), a legislative instrument made under the TG Act and maintained by the TGA.</w:t>
      </w:r>
    </w:p>
    <w:p>
      <w:pPr>
        <w:spacing w:after="0" w:line="15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Poisons Standard is given legal effect and enforced through State and Territory legislation, regulations and instruments across Australia, including:</w:t>
      </w:r>
    </w:p>
    <w:p>
      <w:pPr>
        <w:spacing w:after="0" w:line="214" w:lineRule="exact"/>
        <w:rPr>
          <w:sz w:val="20"/>
          <w:szCs w:val="20"/>
          <w:color w:val="auto"/>
        </w:rPr>
      </w:pPr>
    </w:p>
    <w:p>
      <w:pPr>
        <w:ind w:left="660" w:right="20" w:hanging="328"/>
        <w:spacing w:after="0" w:line="272" w:lineRule="auto"/>
        <w:tabs>
          <w:tab w:leader="none" w:pos="655" w:val="left"/>
        </w:tabs>
        <w:numPr>
          <w:ilvl w:val="0"/>
          <w:numId w:val="53"/>
        </w:numPr>
        <w:rPr>
          <w:rFonts w:ascii="Arial" w:cs="Arial" w:eastAsia="Arial" w:hAnsi="Arial"/>
          <w:sz w:val="22"/>
          <w:szCs w:val="22"/>
          <w:color w:val="auto"/>
        </w:rPr>
      </w:pPr>
      <w:r>
        <w:rPr>
          <w:rFonts w:ascii="Times New Roman" w:cs="Times New Roman" w:eastAsia="Times New Roman" w:hAnsi="Times New Roman"/>
          <w:sz w:val="20"/>
          <w:szCs w:val="20"/>
          <w:color w:val="auto"/>
        </w:rPr>
        <w:t>Australian Capital Territory: Medicines, Poisons and Therapeutic Goods Act 2008 (ACT); Medicines, Poisons and Therapeutic Goods Regulation 2008 (ACT);</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 South Wales: Poisons and Therapeutic Goods Act 1966 (NSW); Poisons and Therapeutic Goods Regulation 2008 (NSW);</w:t>
      </w:r>
    </w:p>
    <w:p>
      <w:pPr>
        <w:spacing w:after="0" w:line="57" w:lineRule="exact"/>
        <w:rPr>
          <w:rFonts w:ascii="Times New Roman" w:cs="Times New Roman" w:eastAsia="Times New Roman" w:hAnsi="Times New Roman"/>
          <w:sz w:val="22"/>
          <w:szCs w:val="22"/>
          <w:color w:val="auto"/>
        </w:rPr>
      </w:pPr>
    </w:p>
    <w:p>
      <w:pPr>
        <w:ind w:left="660" w:right="20" w:hanging="328"/>
        <w:spacing w:after="0" w:line="272" w:lineRule="auto"/>
        <w:tabs>
          <w:tab w:leader="none" w:pos="6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Northern Territory: Medicines, Poisons and Therapeutic Goods Act 2012 (NT); Medicines, Poisons and Therapeutic Goods Regulations 2014 (NT);</w:t>
      </w:r>
    </w:p>
    <w:p>
      <w:pPr>
        <w:spacing w:after="0" w:line="19" w:lineRule="exact"/>
        <w:rPr>
          <w:rFonts w:ascii="Times New Roman" w:cs="Times New Roman" w:eastAsia="Times New Roman" w:hAnsi="Times New Roman"/>
          <w:sz w:val="22"/>
          <w:szCs w:val="22"/>
          <w:color w:val="auto"/>
        </w:rPr>
      </w:pPr>
    </w:p>
    <w:p>
      <w:pPr>
        <w:jc w:val="both"/>
        <w:ind w:left="660" w:right="20" w:hanging="328"/>
        <w:spacing w:after="0" w:line="280" w:lineRule="auto"/>
        <w:tabs>
          <w:tab w:leader="none" w:pos="6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Queensland: Medicines and Poisons Act 2019 (Qld); Medicines and Poisons (Poisons and Prohibited Substances) Regulation 2021 (Qld); Medicines and Poisons (Medicines) Regulation 2021 (Qld); Medicines and Poisons (Pest Management Activities) Regulation 2021 (Qld);</w:t>
      </w:r>
    </w:p>
    <w:p>
      <w:pPr>
        <w:spacing w:after="0" w:line="18"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Australia: Controlled Substances Act 1984 (SA); Controlled Substances (Poisons) Regulations 2011 (SA); Controlled Substances (Controlled Drugs, Precursors and Plants) Regulations 2014 (SA);</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Tasmania: Poisons Act 1971 (Tas); Poisons Regulations 2018 (Tas);</w:t>
      </w:r>
    </w:p>
    <w:p>
      <w:pPr>
        <w:spacing w:after="0" w:line="44"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Victoria: Drugs, Poisons and Controlled Substances Act 1981 (Vic) and Drugs, Poisons and Controlled Substances Regulations 2017 (Vic); and</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Western Australia: Medicines and Poisons Act 2014 (WA); Medicines and Poisons Regulations 2016 (WA).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Schedule 8 of the Poisons Standard lists controlled drugs which are only available for therapeutic use via a prescription for certain indications. These drugs are subject to more stringent controls than other prescription medicines because of the relatively greater risk of misuse. Schedule 9 of the Poisons Standard contains prohibited substances which cannot be used without regulatory approvals (for example, approvals for use in clinical trials) because these substances have been deemed to have a higher risk of abuse, misuse or diversion.</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HLP003 and HLP004 are prohibited substances under Schedule 9 of the Poisons Standard. The use and supply of these substances is only permitted under the TGA’s Authorized Prescriber Scheme, the Special Access Scheme and clinical trials approved by, or notified to, the TGA.</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importation of schedule 9 drugs is prohibited and the importation an/or supply of a prohibited substance without the relevant approvals is a criminal offence. Approvals must be obtained from the TGA and the Office of Drug Control to import HLP003 for the purpose of conducting clinical trials.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Under section 19 of the TG Act, the TGA may grant approval for the importation and/or supply of unapproved therapeutic goods to a clinician for use in the treatment of a patient, or solely for experimental purposes in humans. The Office of Drug Control also regulates the importation of psychotropic substances and a licence must be issued by the Narcotics Control Section in order to import HLP003 into Australia. Individual permits must then be obtained for each consignment of HLP003. Further licences and/or permits must be sought from the State or Territory health authority in the State or Territory in which the trial is to be conducted, in order to manufacture, possess, supply or use schedule 9 drugs for clinical trials. The specific regulations applicable will depend on the State or Territory in which these acts occur.</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By way of example, in New South Wales section 17D of the Poisons and Therapeutic Goods Act 1966 (NSW) enables the Secretary of the New South Wales Ministry of Health to authorise a person to manufacture, possess, use or supply a specified Schedule 9 substance. The conditions of any authorization obtained in New South Wales can also include additional restrictions on the personnel authorized to use Schedule 9 substances in the trial and further storage, handling and disposal requirements. Meanwhile, in the state of Victoria, an additional licence/permit is also required to import schedule 9 drugs.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trials</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All clinical trials conducted in Australia must have a local sponsor (an overseas company cannot be the sponsor of a clinical trial conducted in Australia). The trial sponsor is responsible for the initiation, management and financing of the trial and carries the legal risk arising from the conduct of the trial. The sponsor must also ensure that the use of therapeutic goods in the trial must be in accordance with the Guideline for Good Clinical Practice, the National Statement on Ethical Conduct in Research Involving Humans and the protocol approved by the HREC responsible for monitoring the conduct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300" w:lineRule="auto"/>
        <w:rPr>
          <w:sz w:val="20"/>
          <w:szCs w:val="20"/>
          <w:color w:val="auto"/>
        </w:rPr>
      </w:pPr>
      <w:r>
        <w:rPr>
          <w:rFonts w:ascii="Times New Roman" w:cs="Times New Roman" w:eastAsia="Times New Roman" w:hAnsi="Times New Roman"/>
          <w:sz w:val="20"/>
          <w:szCs w:val="20"/>
          <w:color w:val="auto"/>
        </w:rPr>
        <w:t>Clinical trials involving unapproved therapeutic goods, including products containing HLP003, may be conducted in Australia under two schemes: Clinical Trial Notification (the “</w:t>
      </w:r>
      <w:r>
        <w:rPr>
          <w:rFonts w:ascii="Times New Roman" w:cs="Times New Roman" w:eastAsia="Times New Roman" w:hAnsi="Times New Roman"/>
          <w:sz w:val="21"/>
          <w:szCs w:val="21"/>
          <w:b w:val="1"/>
          <w:bCs w:val="1"/>
          <w:color w:val="auto"/>
        </w:rPr>
        <w:t>CTN</w:t>
      </w:r>
      <w:r>
        <w:rPr>
          <w:rFonts w:ascii="Times New Roman" w:cs="Times New Roman" w:eastAsia="Times New Roman" w:hAnsi="Times New Roman"/>
          <w:sz w:val="20"/>
          <w:szCs w:val="20"/>
          <w:color w:val="auto"/>
        </w:rPr>
        <w:t>”) or Clinical Trial Approval (the “</w:t>
      </w:r>
      <w:r>
        <w:rPr>
          <w:rFonts w:ascii="Times New Roman" w:cs="Times New Roman" w:eastAsia="Times New Roman" w:hAnsi="Times New Roman"/>
          <w:sz w:val="21"/>
          <w:szCs w:val="21"/>
          <w:b w:val="1"/>
          <w:bCs w:val="1"/>
          <w:color w:val="auto"/>
        </w:rPr>
        <w:t>CTA</w:t>
      </w:r>
      <w:r>
        <w:rPr>
          <w:rFonts w:ascii="Times New Roman" w:cs="Times New Roman" w:eastAsia="Times New Roman" w:hAnsi="Times New Roman"/>
          <w:sz w:val="20"/>
          <w:szCs w:val="20"/>
          <w:color w:val="auto"/>
        </w:rPr>
        <w:t>”). The Australian clinical trial involving HLP003 was approved through the CTN scheme, obtained clearance from multiple Ethics Committees of the TGA, and the study site Research Governance Offices.</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Under the CTN scheme the TGA does not review or evaluate any data relating to clinical trials. All material relating to the proposed trial, including the trial protocol is submitted directly to, and reviewed by the HREC and the site where the trial will be conducted. The CTN scheme can be used where a foreign regulator with comparable regulatory requirements has already approved a clinical trial for an equivalent indication.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clinical trial is deemed to be notified by the TGA, after the CTN form has been submitted to the TGA and the relevant fee has been paid.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Once that occurs, the CTN exemption comes into effect and the trial sponsor can lawfully supply the goods.</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Under the CTA scheme, the TGA will review and evaluate relevant, but limited, scientific data (which may be preclinical and early clinical data) prior to the start of a trial. The TGA’s primary responsibility is to review the safety of the product and the HREC is responsible for considering the scientific and ethical issues of the proposed trial protocol. Conduct of a clinical trial under the CTA scheme must also be approved by the responsible HREC.</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Throughout the conduct of the trial, sponsors must ensure that any advertisements and promotional materials relating to the trial do not promote the use of unapproved therapeutic goods. However, materials promoting clinical trials directly to clinicians fall outside of these restrictions.</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Upon the completion of the Australian trial, it will not be possible to make an application to register HLP003 on the Australian Register of Therapeutic Goods because non-deuterated HLP003 is currently listed in schedule 9 of the Poisons Standard. However, this may be possible if an application is made to the TGA to change the scheduling of HLP003 so that it is removed from Schedule 9 of the Poisons Standard.</w:t>
      </w:r>
    </w:p>
    <w:p>
      <w:pPr>
        <w:spacing w:after="0" w:line="19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In some circumstances it is possible for clinicians to import and then supply unapproved therapeutic goods, including schedule 9 drugs, to patients. The Special Access Scheme (the “</w:t>
      </w:r>
      <w:r>
        <w:rPr>
          <w:rFonts w:ascii="Times New Roman" w:cs="Times New Roman" w:eastAsia="Times New Roman" w:hAnsi="Times New Roman"/>
          <w:sz w:val="21"/>
          <w:szCs w:val="21"/>
          <w:b w:val="1"/>
          <w:bCs w:val="1"/>
          <w:color w:val="auto"/>
        </w:rPr>
        <w:t>SAS</w:t>
      </w:r>
      <w:r>
        <w:rPr>
          <w:rFonts w:ascii="Times New Roman" w:cs="Times New Roman" w:eastAsia="Times New Roman" w:hAnsi="Times New Roman"/>
          <w:sz w:val="20"/>
          <w:szCs w:val="20"/>
          <w:color w:val="auto"/>
        </w:rPr>
        <w:t>”) permits approved clinicians to prescribe Schedule 9 drugs to individual patients in limited circumstances. Category A of the SAS enables medical practitioners to access unapproved therapeutic goods for a patient who is seriously ill. Clinicians who are unable to access HLP003 through the Category A can also seek approval to access HLP003 for patients on a case by case basis under Category B of the SAS.</w:t>
      </w:r>
    </w:p>
    <w:p>
      <w:pPr>
        <w:spacing w:after="0" w:line="20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Meanwhile, medical practitioners who wish to prescribe HLP003 to more than one patient can seek to become an authorized prescriber. The medical practitioner must first obtain approval for the proposed use of HLP003 from a human research ethics committee (because the TGA does not consider that non-deuterated forms of HLP003 have an established history of use) and then make an application to the TGA.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Poland</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manufacture, trade, processing, possession, use and distribution of narcotic drugs, psychotropic substances and new psychoactive substances in Poland are governed primarily by two legal acts: the Act of July 29, 2005 on Counteracting Drug Addiction (the “</w:t>
      </w:r>
      <w:r>
        <w:rPr>
          <w:rFonts w:ascii="Times New Roman" w:cs="Times New Roman" w:eastAsia="Times New Roman" w:hAnsi="Times New Roman"/>
          <w:sz w:val="20"/>
          <w:szCs w:val="20"/>
          <w:b w:val="1"/>
          <w:bCs w:val="1"/>
          <w:color w:val="auto"/>
        </w:rPr>
        <w:t>ACDA</w:t>
      </w:r>
      <w:r>
        <w:rPr>
          <w:rFonts w:ascii="Times New Roman" w:cs="Times New Roman" w:eastAsia="Times New Roman" w:hAnsi="Times New Roman"/>
          <w:sz w:val="20"/>
          <w:szCs w:val="20"/>
          <w:color w:val="auto"/>
        </w:rPr>
        <w:t>”), and the Act of September 6, 2001 the Pharmaceutical Law (the “</w:t>
      </w:r>
      <w:r>
        <w:rPr>
          <w:rFonts w:ascii="Times New Roman" w:cs="Times New Roman" w:eastAsia="Times New Roman" w:hAnsi="Times New Roman"/>
          <w:sz w:val="20"/>
          <w:szCs w:val="20"/>
          <w:b w:val="1"/>
          <w:bCs w:val="1"/>
          <w:color w:val="auto"/>
        </w:rPr>
        <w:t>PLA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Under the ACDA, psychotropic substances are defined as substances of natural or synthetic origin, in pure form or in the form of a preparation, acting on the central nervous system.</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Psychotropic substances are divided into four groups: I-P, II-P, III-P and IV-P. Narcotic drugs are analogously divided into groups I-N to IV-N. The classification is based on the risk of abuse and dependence and the extent of recognised medical use.</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According to the ACDA narcotic drugs of groups I-N and II-N and psychotropic substances of groups II-P, III-P and IV-P may only be used for medical, industrial or research purposes. Psychotropic substances of group I-P may be used exclusively for scientific research purposes. This is due to the fact that psychotropic substances classified to group I-P substances are considered the most dangerous, with a high potential for abuse and no accepted medical use under current Polish law.</w:t>
      </w:r>
    </w:p>
    <w:p>
      <w:pPr>
        <w:spacing w:after="0" w:line="20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0"/>
          <w:szCs w:val="20"/>
          <w:color w:val="auto"/>
        </w:rPr>
        <w:t xml:space="preserve">HLP003 and HLP004 are strictly controlled substances. According to the Ordinance of the Minister of Health of 17 August </w:t>
      </w:r>
      <w:r>
        <w:rPr>
          <w:rFonts w:ascii="Times New Roman" w:cs="Times New Roman" w:eastAsia="Times New Roman" w:hAnsi="Times New Roman"/>
          <w:sz w:val="21"/>
          <w:szCs w:val="21"/>
          <w:i w:val="1"/>
          <w:iCs w:val="1"/>
          <w:color w:val="auto"/>
        </w:rPr>
        <w:t>2018 on the list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of psychotropic substances, narcotic drugs and new psychoactive substances (Rozporządzenie Ministra Zdrowia z dnia 17 sierpnia 2018 r. w sprawie wykazu substancji psychotropowych, środków odurzających oraz nowych substancji psychoaktywnych</w:t>
      </w:r>
      <w:r>
        <w:rPr>
          <w:rFonts w:ascii="Times New Roman" w:cs="Times New Roman" w:eastAsia="Times New Roman" w:hAnsi="Times New Roman"/>
          <w:sz w:val="19"/>
          <w:szCs w:val="19"/>
          <w:color w:val="auto"/>
        </w:rPr>
        <w:t>), HLP003 and HLP004 are classified as group I-P psychotropic substances. Thus, for any product containing HLP003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any group I-P psychotropic substances to be available for commercial marketing in Poland, such substance must be first reclassified/reassigned to another group.</w:t>
      </w:r>
    </w:p>
    <w:p>
      <w:pPr>
        <w:spacing w:after="0" w:line="200" w:lineRule="exact"/>
        <w:rPr>
          <w:sz w:val="20"/>
          <w:szCs w:val="20"/>
          <w:color w:val="auto"/>
        </w:rPr>
      </w:pPr>
    </w:p>
    <w:p>
      <w:pPr>
        <w:spacing w:after="0" w:line="27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Only strictly defined entities specified in the ACDA may possess narcotic drugs, psychotropic substances and new psychoactive substances or their preparations, i.e. entrepreneurs holding appropriate permits, scientific institutions, or entities additionally specified in Regulation 273/2004 or Regulation 111/2005. Undertaking activities involving the manufacture, processing, conversion, import, or distribution of narcotic drugs or psychotropic substances requires an appropriate authorization issued by the national authorities. Authorization is also required for the manufacture, processing, or conversion of such substances for the purpose of conducting scientific research by scientific institutions within the scope of their statutory activities, in relation to narcotic drugs of groups I-N, II-N, and IV-N, or psychotropic substances of groups I-P, II-P, III-P, and IV-P. A separate authorization is additionally required for the use of narcotic drugs or psychotropic substances for the purpose of conducting scientific research by scientific institutions within the scope of their statutory activities.</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Obtaining the required authorizations involves meeting numerous criteria set out in detail in the ACDA and in the Ordinance of the Minister of Health of 9 November 2015 on the issuance of permits for the manufacture, processing, conversion, import, distribution or use for scientific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85" w:name="page86"/>
    <w:bookmarkEnd w:id="85"/>
    <w:p>
      <w:pPr>
        <w:jc w:val="both"/>
        <w:spacing w:after="0" w:line="324" w:lineRule="auto"/>
        <w:rPr>
          <w:sz w:val="20"/>
          <w:szCs w:val="20"/>
          <w:color w:val="auto"/>
        </w:rPr>
      </w:pPr>
      <w:r>
        <w:rPr>
          <w:rFonts w:ascii="Times New Roman" w:cs="Times New Roman" w:eastAsia="Times New Roman" w:hAnsi="Times New Roman"/>
          <w:sz w:val="20"/>
          <w:szCs w:val="20"/>
          <w:color w:val="auto"/>
        </w:rPr>
        <w:t>purposes of narcotic drugs, psychotropic substances or category 1 precursors (</w:t>
      </w:r>
      <w:r>
        <w:rPr>
          <w:rFonts w:ascii="Times New Roman" w:cs="Times New Roman" w:eastAsia="Times New Roman" w:hAnsi="Times New Roman"/>
          <w:sz w:val="21"/>
          <w:szCs w:val="21"/>
          <w:i w:val="1"/>
          <w:iCs w:val="1"/>
          <w:color w:val="auto"/>
        </w:rPr>
        <w:t>Rozporządzenie Ministra Zdrowia z dnia 9 listopada 2015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r. w sprawie wydawania zezwoleń na wytwarzanie, przetwarzanie, przerabianie, przywóz, dystrybucję albo stosowanie w celu prowadzenia badań naukowych środków odurzających, substancji psychotropowych lub prekursorów kategorii 1</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criteria include, among others: maintaining adequate procedures and internal control systems, employing a qualified person responsible for supervision of narcotics and psychotropics, ensuring physical security of premises (two-lock doors, alarm system, reinforced windows, safes or fixed metal cabinets), maintaining inventory and turnover records. In the case of conducting scientific research, it is also necessary to:</w:t>
      </w:r>
    </w:p>
    <w:p>
      <w:pPr>
        <w:spacing w:after="0" w:line="21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define the purpose and scope of the research, as well as the methods for sample preparation and analysis of research results;</w:t>
      </w:r>
    </w:p>
    <w:p>
      <w:pPr>
        <w:spacing w:after="0" w:line="57" w:lineRule="exact"/>
        <w:rPr>
          <w:rFonts w:ascii="Times New Roman" w:cs="Times New Roman" w:eastAsia="Times New Roman" w:hAnsi="Times New Roman"/>
          <w:sz w:val="22"/>
          <w:szCs w:val="22"/>
          <w:color w:val="auto"/>
        </w:rPr>
      </w:pPr>
    </w:p>
    <w:p>
      <w:pPr>
        <w:ind w:left="660" w:hanging="328"/>
        <w:spacing w:after="0" w:line="272" w:lineRule="auto"/>
        <w:tabs>
          <w:tab w:leader="none" w:pos="65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submit to the regulatory authority a copy of the institution’s statute and a commitment to provide copies of any amendments to the statute;</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specify the planned start and end dates of the research;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case of manufacture, processing, or conversion of narcotic drugs of groups I-N, II-N, and IV-N or psychotropic substances of</w:t>
      </w:r>
    </w:p>
    <w:p>
      <w:pPr>
        <w:spacing w:after="0" w:line="44" w:lineRule="exact"/>
        <w:rPr>
          <w:rFonts w:ascii="Times New Roman" w:cs="Times New Roman" w:eastAsia="Times New Roman" w:hAnsi="Times New Roman"/>
          <w:sz w:val="22"/>
          <w:szCs w:val="22"/>
          <w:color w:val="auto"/>
        </w:rPr>
      </w:pPr>
    </w:p>
    <w:p>
      <w:pPr>
        <w:ind w:left="660"/>
        <w:spacing w:after="0" w:line="3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groups I-P, II-P, III-P, and IV-P, maintain documentation of technically justified standards for the consumption of raw materials used in the process, as well as the acceptable loss rates at each stage of production.</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records of narcotic drugs, psychotropic substances, and precursors must be kept in a way that allows easy tracking of all events and transactions related to them, especially those involving the receipt and release of these substances. A separate control book must be kept for each narcotic and psychotropic substance (by group and dosage), recording receipts, issues, stock levels, and remarks. Entries are made by qualified person. The control book is retained for five years from the beginning of the year following the last entry.</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Unlawful manufacturing, processing or conversion of narcotic drugs or psychotropic substances is subject to imprisonment for up to three years. In the case of significant quantities of narcotic drugs or psychotropic substances, the perpetrator is liable to a fine and imprisonment for three to 20 years. Narcotic drugs, psychotropic substances, new psychoactive substances, or their preparations, as well as category 1 precursors, possessed without authorization, are subject to seizure by law enforcement or customs authorities in the manner specified in criminal procedure. Sized products are subject to forfeiture of the goods to the benefit of the State Treasury.</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Clinical (scientific) research involving psychotropic substances is regulated by several legal acts, including the ACDA, the PLA, the Act of March 9, 2023, on clinical trials of medicinal products used in humans, Regulation (EU) No 536/2014 of April 16, 2014, on clinical trials on medicinal products for human use and repealing Directive 2001/20/EC, as well as implementing acts and regulations, including the Ordinance of the Minister of Health of November 9, 2015, on the issuance of permits for the manufacture, processing, conversion, import, distribution, or use for scientific research purposes of narcotic drugs, psychotropic substances, or category 1 precursors. Only entities authorised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31" w:right="339" w:bottom="1440" w:gutter="0" w:footer="0" w:header="0"/>
        </w:sectPr>
      </w:pPr>
    </w:p>
    <w:bookmarkStart w:id="86" w:name="page87"/>
    <w:bookmarkEnd w:id="86"/>
    <w:p>
      <w:pPr>
        <w:jc w:val="both"/>
        <w:spacing w:after="0" w:line="288" w:lineRule="auto"/>
        <w:rPr>
          <w:sz w:val="20"/>
          <w:szCs w:val="20"/>
          <w:color w:val="auto"/>
        </w:rPr>
      </w:pPr>
      <w:r>
        <w:rPr>
          <w:rFonts w:ascii="Times New Roman" w:cs="Times New Roman" w:eastAsia="Times New Roman" w:hAnsi="Times New Roman"/>
          <w:sz w:val="20"/>
          <w:szCs w:val="20"/>
          <w:color w:val="auto"/>
        </w:rPr>
        <w:t>purpose may conduct scientific studies involving psychotropic substances from group I-P, including, for example, universities, scientific institutes and research institutes.</w:t>
      </w:r>
    </w:p>
    <w:p>
      <w:pPr>
        <w:spacing w:after="0" w:line="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Clinical trials involving psychotropic substance are legally possible only as scientific research, and only after obtaining all of the following approvals, including authorisation to use the I-P psychotropic substance for research, positive opinion of a Bioethics Committee, clinical-trial authorisation, as well as all permits required for handling a controlled substance, such as authorizations for manufacture, processing, conversion, import, export, intra-EU acquisition, and intra-EU supply of narcotic drugs and psychotropic substances.</w:t>
      </w:r>
    </w:p>
    <w:p>
      <w:pPr>
        <w:spacing w:after="0" w:line="1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All stages of the study must comply with the Good Clinical Practice (“</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standards, relevant EU and national data protection, pharmacovigilance, and biosafety regulations, and the ethical principles set out in the Declaration of Helsinki. Given the high risk of abuse of group I-P substances, the scientific institution must maintain secure storage conditions (in line with the standards included in the Ordinance of the Minister of Health of November 9, 2015), keep detailed logs of the quantity, source, and use of each psychotropic substance, and report any discrepancies or losses immediately to the competent authorities.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Under the current ACDA, medicinal products containing group I-P substances cannot be granted marketing authorisation, as the use of such substances is permitted only for research purposes. This prohibition effectively prevents them from being included in authorised medicinal products. Obtaining a marketing authorisation would thus require first a reclassification of the substance (from group I-P to II-P or lower). Medicinal products containing psychotropic substances may be authorised and marketed in Poland only if they meet the definition of a medicinal product under the PLA and comply with all ACDA restrictions applicable to controlled substances. According to the PLA, a medicinal product is any substance or combination of substances presented for preventing or treating disease in humans or animals, or administered with a view to making a diagnosis or restoring, correcting or modifying physiological functions by exerting a pharmacological, immunological or metabolic action.</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Marketing authorization of a medicinal product can be obtained through several procedures, depending on the product type and the geographical scope:</w:t>
      </w:r>
    </w:p>
    <w:p>
      <w:pPr>
        <w:spacing w:after="0" w:line="174" w:lineRule="exact"/>
        <w:rPr>
          <w:sz w:val="20"/>
          <w:szCs w:val="20"/>
          <w:color w:val="auto"/>
        </w:rPr>
      </w:pPr>
    </w:p>
    <w:p>
      <w:pPr>
        <w:ind w:left="660" w:right="20" w:hanging="328"/>
        <w:spacing w:after="0" w:line="286"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Procedure – authorization is granted by the national authority - the Office for Registration of Medicinal Products. The authorization is valid only in Poland.</w:t>
      </w:r>
    </w:p>
    <w:p>
      <w:pPr>
        <w:spacing w:after="0" w:line="18" w:lineRule="exact"/>
        <w:rPr>
          <w:rFonts w:ascii="Times New Roman" w:cs="Times New Roman" w:eastAsia="Times New Roman" w:hAnsi="Times New Roman"/>
          <w:sz w:val="20"/>
          <w:szCs w:val="20"/>
          <w:color w:val="auto"/>
        </w:rPr>
      </w:pPr>
    </w:p>
    <w:p>
      <w:pPr>
        <w:ind w:left="660" w:hanging="328"/>
        <w:spacing w:after="0" w:line="275" w:lineRule="auto"/>
        <w:tabs>
          <w:tab w:leader="none" w:pos="65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Decentralised Procedure – used for products not yet authorized in any EU Member State. The applicant applies simultaneously in several countries, with one acting as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w:t>
      </w:r>
    </w:p>
    <w:p>
      <w:pPr>
        <w:ind w:left="660" w:right="20" w:hanging="328"/>
        <w:spacing w:after="0" w:line="288"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Recognition Procedure – used when a product is already authorized in one EU Member State. Other countries recognize this authorization based on the RMS assessment.</w:t>
      </w:r>
    </w:p>
    <w:p>
      <w:pPr>
        <w:spacing w:after="0" w:line="1" w:lineRule="exact"/>
        <w:rPr>
          <w:rFonts w:ascii="Times New Roman" w:cs="Times New Roman" w:eastAsia="Times New Roman" w:hAnsi="Times New Roman"/>
          <w:sz w:val="20"/>
          <w:szCs w:val="20"/>
          <w:color w:val="auto"/>
        </w:rPr>
      </w:pPr>
    </w:p>
    <w:p>
      <w:pPr>
        <w:ind w:left="660" w:right="20" w:hanging="328"/>
        <w:spacing w:after="0" w:line="311"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Centralised Procedure – conducted by the EMA. Once approved by the European Commission, the authorization is valid across all EU and EFTA countries.</w:t>
      </w:r>
    </w:p>
    <w:p>
      <w:pPr>
        <w:spacing w:after="0" w:line="200"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Medicinal products that have obtained a marketing authorisation issued by the President of the Office for Registration of Medicinal Products, Medical Devices and Biocidal Products may be lawfully placed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325" w:lineRule="auto"/>
        <w:rPr>
          <w:sz w:val="20"/>
          <w:szCs w:val="20"/>
          <w:color w:val="auto"/>
        </w:rPr>
      </w:pPr>
      <w:r>
        <w:rPr>
          <w:rFonts w:ascii="Times New Roman" w:cs="Times New Roman" w:eastAsia="Times New Roman" w:hAnsi="Times New Roman"/>
          <w:sz w:val="20"/>
          <w:szCs w:val="20"/>
          <w:color w:val="auto"/>
        </w:rPr>
        <w:t>The application for a marketing authorization of a medicinal product must include documentation confirming its manufacturing process, quality control, safety, and efficacy. Specifically:</w:t>
      </w:r>
    </w:p>
    <w:p>
      <w:pPr>
        <w:spacing w:after="0" w:line="18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description of manufacturing process and quality control methods,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confirmation of GMP audit for the active substance manufacturer,</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information on storage, dispensing, and disposal, including environmental risk assessment,</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results and summaries of pharmaceutical, non-clinical, and clinical studies,</w:t>
      </w:r>
    </w:p>
    <w:p>
      <w:pPr>
        <w:spacing w:after="0" w:line="44" w:lineRule="exact"/>
        <w:rPr>
          <w:rFonts w:ascii="Times New Roman" w:cs="Times New Roman" w:eastAsia="Times New Roman" w:hAnsi="Times New Roman"/>
          <w:sz w:val="22"/>
          <w:szCs w:val="22"/>
          <w:color w:val="auto"/>
        </w:rPr>
      </w:pPr>
    </w:p>
    <w:p>
      <w:pPr>
        <w:ind w:left="660" w:hanging="328"/>
        <w:spacing w:after="0" w:line="272" w:lineRule="auto"/>
        <w:tabs>
          <w:tab w:leader="none" w:pos="6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of the pharmacovigilance system, including declarations from the marketing authorization holder and details of the qualified person,</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risk management plan for the product’s use,</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ethical compliance statement for clinical trials conducted outside the EU/EFTA,</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expert declarations of qualifications,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of Product Characteristics,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mock-ups of packaging and patient leaflet, with a readability test report,</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copies of authorizations, decisions, and related documents from EU, EFTA, or third countries,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list of countries where the application is under review,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copy of the manufacturing authorization from the production site.</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By way of a separate national regulation, the Minister of Health indicates psychoactive substances and their maximum content in medicinal products necessary for effective treatment within the acceptable period of safe treatment for one person. This obligation is intended to limit the dispensing of medicinal products in single sales, with a view to protecting public health and the safety and efficacy of medicinal products, as well as their dosage.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Greece</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development activities in Greece relate to its multinational pivotal clinical program evaluating HLP003 for the potential adjunctive treatment of major depressive disorder (EMBRACE). The Company has received European approval to initiate the EMBRACE study in selected EU Member States, including Greece, and will conduct any activities in Greece in accordance with applicable EU and Greek legal and regulatory frameworks governing investigational medicinal products and controlled substances.</w:t>
      </w:r>
    </w:p>
    <w:p>
      <w:pPr>
        <w:spacing w:after="0" w:line="2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Greece, controlled substances are regulated under national legislation implementing the UN Single Convention on Narcotic Drugs (1961), the UN Convention on Psychotropic Substances (1971) and related EU law, including Greek Law 4139/2013 on addictive substances and Presidential Decree 148/2007 (codification of provisions of national drugs legislation). HLP003, as a controlled substance, is subject to strict prohibitions on manufacture, possession, distribution, import and export, unless expressly authorized for scientific or very limited medical purposes by duly authorized persons or entities, operating under licence and subject to stringent security, recordkeeping and oversight requirements. Licensing and enforcement responsibilities are shared between the Ministry of Health (Department for Narcotic and Psychotropic Substances) and the Greek National Organization for Medicines (the “</w:t>
      </w:r>
      <w:r>
        <w:rPr>
          <w:rFonts w:ascii="Times New Roman" w:cs="Times New Roman" w:eastAsia="Times New Roman" w:hAnsi="Times New Roman"/>
          <w:sz w:val="20"/>
          <w:szCs w:val="20"/>
          <w:b w:val="1"/>
          <w:bCs w:val="1"/>
          <w:color w:val="auto"/>
        </w:rPr>
        <w:t>EOF</w:t>
      </w:r>
      <w:r>
        <w:rPr>
          <w:rFonts w:ascii="Times New Roman" w:cs="Times New Roman" w:eastAsia="Times New Roman" w:hAnsi="Times New Roman"/>
          <w:sz w:val="20"/>
          <w:szCs w:val="20"/>
          <w:color w:val="auto"/>
        </w:rPr>
        <w:t>”). As an EU Member State, Greece applies Regulation (EU) No. 536/2014 on clinical trials of medicinal products for human use (the Clinical Trials Regulation; “CTR”),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88" w:name="page89"/>
    <w:bookmarkEnd w:id="88"/>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Clinical Trials Information System for submissions, supervision and transparency. The EOF and the competent National Ethics Committee are responsible, within their respective remits, for authorization and ethical review of clinical trials conducted in Greece.</w:t>
      </w:r>
    </w:p>
    <w:p>
      <w:pPr>
        <w:spacing w:after="0" w:line="17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Clinical trials in Greece involving controlled substances require all standard clinical trial approvals under the EU Clinical Trials Regulation, together with any specific national licences and permits applicable to the handling, storage, receipt, use, transport, import and export of the relevant controlled substances at trial sites and other facilities involved in the conduct of the study. Compliance includes, among other obligations, appropriate physical security, access controls, inventory reconciliation, documentation and retention, diversion prevention and incident reporting. Additionally, import and export of controlled substances are subject to prior authorization and documentation by the competent authorities pursuant to Law 4139/2013 and the relevant codified provisions under Presidential Decree 148/2007, as well as the requirements of the exporting and importing jurisdictions.</w:t>
      </w:r>
    </w:p>
    <w:p>
      <w:pPr>
        <w:spacing w:after="0" w:line="22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Helus Pharma does not itself manufacture, handle or distribute controlled substances in Greece. The Company sponsors and oversees clinical research conducted by licensed third-party institutions and clinical sites, that are responsible for obtaining and maintaining all applicable Greek licences, permits and authorizations for controlled substances and investigational medicinal products, and for ensuring site-level compliance with the Clinical Trials Regulation, current GCP standards, and Greek controlled drug requirements under Law 4139/2013, including security, storage, documentation, and reporting obligations. Helus Pharma continues to monitor compliance through its quality and clinical governance systems and relies on contractual undertakings, ongoing oversight, and representations and warranties from its partners and vendors with respect to regulatory compliance.</w:t>
      </w:r>
    </w:p>
    <w:p>
      <w:pPr>
        <w:spacing w:after="0" w:line="2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Any future commercialization of the HLP003 product would require marketing authorization (“</w:t>
      </w:r>
      <w:r>
        <w:rPr>
          <w:rFonts w:ascii="Times New Roman" w:cs="Times New Roman" w:eastAsia="Times New Roman" w:hAnsi="Times New Roman"/>
          <w:sz w:val="20"/>
          <w:szCs w:val="20"/>
          <w:b w:val="1"/>
          <w:bCs w:val="1"/>
          <w:color w:val="auto"/>
        </w:rPr>
        <w:t>MA</w:t>
      </w:r>
      <w:r>
        <w:rPr>
          <w:rFonts w:ascii="Times New Roman" w:cs="Times New Roman" w:eastAsia="Times New Roman" w:hAnsi="Times New Roman"/>
          <w:sz w:val="20"/>
          <w:szCs w:val="20"/>
          <w:color w:val="auto"/>
        </w:rPr>
        <w:t>”) and continued compliance with applicable controlled-substance controls, pharmacovigilance, labelling, GDP/GMP and other requirements. Pharmaceutical products in Greece are regulated primarily under the EU and national frameworks implementing Directive 2001/83/EC and Regulation No. 726/2004. Products authorized through the EU centralized procedure receive a single marketing authorization issued by the European Commission, which is automatically valid in all EU Member States, including Greece.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While the centralized MA permits marketing throughout the EU, national-level compliance obligations remain in place, including:</w:t>
      </w:r>
    </w:p>
    <w:p>
      <w:pPr>
        <w:spacing w:after="0" w:line="29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Times New Roman" w:cs="Times New Roman" w:eastAsia="Times New Roman" w:hAnsi="Times New Roman"/>
          <w:sz w:val="20"/>
          <w:szCs w:val="20"/>
          <w:color w:val="auto"/>
        </w:rPr>
        <w:t>Pricing and reimbursement procedures overseen by the Ministry of Health and EOF;</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Notification to EOF prior to product launch in the national market;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Pharmacovigilance and safety reporting obligations in accordance with Regulation (EU) No. 1235/2010 and Directive 2010/84/EU;</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GMP and GDP requirements, implemented through Greek secondary legislation (Ministerial Decision ΔΥΓ3α/Γ.Π. 32221/2013);</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Greek-language labelling and patient information leaflet requirements; and</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Restrictions on advertising and promotion,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96" w:lineRule="auto"/>
        <w:rPr>
          <w:sz w:val="20"/>
          <w:szCs w:val="20"/>
          <w:color w:val="auto"/>
        </w:rPr>
      </w:pPr>
      <w:r>
        <w:rPr>
          <w:rFonts w:ascii="Times New Roman" w:cs="Times New Roman" w:eastAsia="Times New Roman" w:hAnsi="Times New Roman"/>
          <w:sz w:val="20"/>
          <w:szCs w:val="20"/>
          <w:color w:val="auto"/>
        </w:rPr>
        <w:t>For centrally authorized medicinal products containing controlled substances, additional Greek licensing and notification requirements apply for importation, distribution, and storage, consistent with the national controlled substance framework under Law 4139/2013. EOF may require confirmation of appropriate site licences prior to allowing local supply chain activities. To be noted that changes to Greek or EU legislation, regulations, scheduling or enforcement priorities could increase compliance burdens, delay clinical timelines, or adversely affect the Company’s operations in Greece.</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of the date of this MD&amp;A, the Company is in compliance with applicable EU and Greek laws and the related licensing frameworks, as they pertain to the Company’s activities in Greece conducted through authorized third parties. The Company and, to its knowledge, its third party researchers and suppliers have not received any notices of violation that may have a material impact on the Company’s licences, business activities or operations in Greece.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In Ireland, HLP003 is a controlled substance under the </w:t>
      </w:r>
      <w:r>
        <w:rPr>
          <w:rFonts w:ascii="Times New Roman" w:cs="Times New Roman" w:eastAsia="Times New Roman" w:hAnsi="Times New Roman"/>
          <w:sz w:val="20"/>
          <w:szCs w:val="20"/>
          <w:i w:val="1"/>
          <w:iCs w:val="1"/>
          <w:color w:val="auto"/>
        </w:rPr>
        <w:t>Misuse of Drugs Act, 1977, 1984 and 2015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Ireland MDA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Misuse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Drugs Regulations 2017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Ireland MDR</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i w:val="1"/>
          <w:iCs w:val="1"/>
          <w:color w:val="auto"/>
        </w:rPr>
        <w:t xml:space="preserve"> Criminal Justice (Psychoactive Substances) Act 2010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2010 Act</w:t>
      </w:r>
      <w:r>
        <w:rPr>
          <w:rFonts w:ascii="Times New Roman" w:cs="Times New Roman" w:eastAsia="Times New Roman" w:hAnsi="Times New Roman"/>
          <w:sz w:val="20"/>
          <w:szCs w:val="20"/>
          <w:color w:val="auto"/>
        </w:rPr>
        <w:t>”). These are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202"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Any substance, product or preparation (whether natural or otherwise) containing HLP003 is classed as a Schedule 1 controlled substance under the Ireland MDA and the Ireland MDR. Accordingly, HLP003 is subject to the strict regime of control that applies.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Schedule 1 controlled substance under the Ireland MDA, unlawful manufacturing, production, preparation, importation, exportation, supply, or distribution of Schedule 1 controlled substances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Pursuant to section 14 of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“substance, product, preparation, plant, fungus or natural organism” as specified in the order.</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Irish Government’s Legislative Programme for Autumn 2025 does not contain any proposed amendments to the above-mentioned legislation which currently govern controlled substances.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received European Clinical Trial Application approval to initiate the EMBRACE study in Ireland and, as such, will have to abide by the regulations governing clinical trials in Ireland. EU Regulation 536/2014 (the “</w:t>
      </w:r>
      <w:r>
        <w:rPr>
          <w:rFonts w:ascii="Times New Roman" w:cs="Times New Roman" w:eastAsia="Times New Roman" w:hAnsi="Times New Roman"/>
          <w:sz w:val="20"/>
          <w:szCs w:val="20"/>
          <w:b w:val="1"/>
          <w:bCs w:val="1"/>
          <w:color w:val="auto"/>
        </w:rPr>
        <w:t>CTR</w:t>
      </w:r>
      <w:r>
        <w:rPr>
          <w:rFonts w:ascii="Times New Roman" w:cs="Times New Roman" w:eastAsia="Times New Roman" w:hAnsi="Times New Roman"/>
          <w:sz w:val="20"/>
          <w:szCs w:val="20"/>
          <w:color w:val="auto"/>
        </w:rPr>
        <w:t>”) is implemented in Ireland via the EU (Clinical Trials on Medicinal Products for Human Use) (Principal) Regulations 2022 (S.I. No. 99 of 2022), the EU (Clinical Trials on Medicinal Products for Human Use) (National Research Ethics Committees) Regulations 2022 (S.I. No. 41 of 2022), and the EU (Clinical Trials on Medicinal Products for Human Use) Regulations 2022 (S.I. No. 40 of 2022), (together, the “2022 Regulations”).</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Clinical trials taking place in Ireland must be conducted in accordance with the CTR, the 2022 Regulations, the Declaration of Helsinki, clinical trial authorization (which has been granted), CT protocol(s), any accompanying documentation relevant to the clinical trial and the conditions and principles of good clinical practice. The manufacturing and importation of an investigational medicinal product in Ireland requires a manufacturer’s authorisation.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Schedule 1 controlled substances can be used for “research, forensic analysis or use as an essential intermediate or starting material in an industrial manufacturing process” once a Ministerial licence under section 14 of the MDA has been obtained. Where the controlled substance is so licensed and the</w:t>
      </w:r>
    </w:p>
    <w:p>
      <w:pPr>
        <w:spacing w:after="0" w:line="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proposed trial is fully compliant with the CTR and the 2022 Regulations, it is possible for a Schedule 1 controlled substance to be used in clinical trials in Ireland.</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clinical trial sponsor (i.e., the Company) must also upload the clinical trial protocol, the investigator’s brochure, the assessment report and any inspection reports to the EU-wide Clinical Trials Information System (“</w:t>
      </w:r>
      <w:r>
        <w:rPr>
          <w:rFonts w:ascii="Times New Roman" w:cs="Times New Roman" w:eastAsia="Times New Roman" w:hAnsi="Times New Roman"/>
          <w:sz w:val="20"/>
          <w:szCs w:val="20"/>
          <w:b w:val="1"/>
          <w:bCs w:val="1"/>
          <w:color w:val="auto"/>
        </w:rPr>
        <w:t>CTIS</w:t>
      </w:r>
      <w:r>
        <w:rPr>
          <w:rFonts w:ascii="Times New Roman" w:cs="Times New Roman" w:eastAsia="Times New Roman" w:hAnsi="Times New Roman"/>
          <w:sz w:val="20"/>
          <w:szCs w:val="20"/>
          <w:color w:val="auto"/>
        </w:rPr>
        <w:t>”). Personal and commercially sensitive/confidential information may be redacted from these documents prior to upload as once they are posted to the CTIS they will be publicly available on the CTIS website.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Canada, oversight of healthcare is divided between the federal and provincial governments. The federal government is responsible for regulating, among other things, the approval, import, sale, and marketing of drugs,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2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Certain compounds, such as HLP003, are considered controlled substances under Schedule III of the </w:t>
      </w:r>
      <w:r>
        <w:rPr>
          <w:rFonts w:ascii="Times New Roman" w:cs="Times New Roman" w:eastAsia="Times New Roman" w:hAnsi="Times New Roman"/>
          <w:sz w:val="20"/>
          <w:szCs w:val="20"/>
          <w:i w:val="1"/>
          <w:iCs w:val="1"/>
          <w:color w:val="auto"/>
        </w:rPr>
        <w:t>Controlled Drugs and Substances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CDSA</w:t>
      </w:r>
      <w:r>
        <w:rPr>
          <w:rFonts w:ascii="Times New Roman" w:cs="Times New Roman" w:eastAsia="Times New Roman" w:hAnsi="Times New Roman"/>
          <w:sz w:val="20"/>
          <w:szCs w:val="20"/>
          <w:color w:val="auto"/>
        </w:rPr>
        <w:t>”). In order to conduct any scientific research, including preclinical and clinical trials, using compounds listed as controlled substances under Schedule III of the CDSA, an exemption under Section 56 of the CDSA (“</w:t>
      </w:r>
      <w:r>
        <w:rPr>
          <w:rFonts w:ascii="Times New Roman" w:cs="Times New Roman" w:eastAsia="Times New Roman" w:hAnsi="Times New Roman"/>
          <w:sz w:val="20"/>
          <w:szCs w:val="20"/>
          <w:b w:val="1"/>
          <w:bCs w:val="1"/>
          <w:color w:val="auto"/>
        </w:rPr>
        <w:t>Section 56 Exemption</w:t>
      </w:r>
      <w:r>
        <w:rPr>
          <w:rFonts w:ascii="Times New Roman" w:cs="Times New Roman" w:eastAsia="Times New Roman" w:hAnsi="Times New Roman"/>
          <w:sz w:val="20"/>
          <w:szCs w:val="20"/>
          <w:color w:val="auto"/>
        </w:rPr>
        <w:t>”) is required.</w:t>
      </w:r>
    </w:p>
    <w:p>
      <w:pPr>
        <w:spacing w:after="0" w:line="21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Health Canada has not approved HLP003 as a drug for any indication. However, there are legal routes through which HLP003 may be accessed for medical or scientific purposes. The Canadian Minister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91" w:lineRule="auto"/>
        <w:rPr>
          <w:sz w:val="20"/>
          <w:szCs w:val="20"/>
          <w:color w:val="auto"/>
        </w:rPr>
      </w:pPr>
      <w:r>
        <w:rPr>
          <w:rFonts w:ascii="Times New Roman" w:cs="Times New Roman" w:eastAsia="Times New Roman" w:hAnsi="Times New Roman"/>
          <w:sz w:val="20"/>
          <w:szCs w:val="20"/>
          <w:color w:val="auto"/>
        </w:rPr>
        <w:t>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20"/>
          <w:szCs w:val="20"/>
          <w:b w:val="1"/>
          <w:bCs w:val="1"/>
          <w:color w:val="auto"/>
        </w:rPr>
        <w:t>SAP</w:t>
      </w:r>
      <w:r>
        <w:rPr>
          <w:rFonts w:ascii="Times New Roman" w:cs="Times New Roman" w:eastAsia="Times New Roman" w:hAnsi="Times New Roman"/>
          <w:sz w:val="20"/>
          <w:szCs w:val="20"/>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HLP003 through the SAP. The Company has not applied for access under the SAP.</w:t>
      </w: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HLP003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HLP003) (see s. J.01.009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of the Food and Drug Regulations).</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Canada generally involves:</w:t>
      </w:r>
    </w:p>
    <w:p>
      <w:pPr>
        <w:spacing w:after="0" w:line="293" w:lineRule="exact"/>
        <w:rPr>
          <w:sz w:val="20"/>
          <w:szCs w:val="20"/>
          <w:color w:val="auto"/>
        </w:rPr>
      </w:pPr>
    </w:p>
    <w:p>
      <w:pPr>
        <w:ind w:left="660" w:hanging="328"/>
        <w:spacing w:after="0" w:line="319" w:lineRule="auto"/>
        <w:tabs>
          <w:tab w:leader="none" w:pos="628" w:val="left"/>
        </w:tabs>
        <w:numPr>
          <w:ilvl w:val="0"/>
          <w:numId w:val="58"/>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Chemical and Biological Research – </w:t>
      </w:r>
      <w:r>
        <w:rPr>
          <w:rFonts w:ascii="Times New Roman" w:cs="Times New Roman" w:eastAsia="Times New Roman" w:hAnsi="Times New Roman"/>
          <w:sz w:val="20"/>
          <w:szCs w:val="20"/>
          <w:color w:val="auto"/>
        </w:rPr>
        <w:t>Laboratory tests are carried out on tissue cultures and with a variety of small animals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effects of the drug. If the results are promising, the manufacturer will proceed to the next step of development.</w:t>
      </w:r>
    </w:p>
    <w:p>
      <w:pPr>
        <w:spacing w:after="0" w:line="181" w:lineRule="exact"/>
        <w:rPr>
          <w:rFonts w:ascii="Arial" w:cs="Arial" w:eastAsia="Arial" w:hAnsi="Arial"/>
          <w:sz w:val="22"/>
          <w:szCs w:val="22"/>
          <w:color w:val="auto"/>
        </w:rPr>
      </w:pPr>
    </w:p>
    <w:p>
      <w:pPr>
        <w:ind w:left="660" w:hanging="328"/>
        <w:spacing w:after="0" w:line="305" w:lineRule="auto"/>
        <w:tabs>
          <w:tab w:leader="none" w:pos="628" w:val="left"/>
        </w:tabs>
        <w:numPr>
          <w:ilvl w:val="0"/>
          <w:numId w:val="58"/>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Preclinical Development – </w:t>
      </w:r>
      <w:r>
        <w:rPr>
          <w:rFonts w:ascii="Times New Roman" w:cs="Times New Roman" w:eastAsia="Times New Roman" w:hAnsi="Times New Roman"/>
          <w:sz w:val="20"/>
          <w:szCs w:val="20"/>
          <w:color w:val="auto"/>
        </w:rPr>
        <w:t>Animals are given the drug in varying amounts over differing periods of time. If it can be shown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drug causes no serious or unexpected harm at the doses required to have an effect, the manufacturer will proceed to clinical trials.</w:t>
      </w:r>
    </w:p>
    <w:p>
      <w:pPr>
        <w:spacing w:after="0" w:line="196" w:lineRule="exact"/>
        <w:rPr>
          <w:rFonts w:ascii="Arial" w:cs="Arial" w:eastAsia="Arial" w:hAnsi="Arial"/>
          <w:sz w:val="22"/>
          <w:szCs w:val="22"/>
          <w:color w:val="auto"/>
        </w:rPr>
      </w:pPr>
    </w:p>
    <w:p>
      <w:pPr>
        <w:ind w:left="660" w:right="20" w:hanging="328"/>
        <w:spacing w:after="0" w:line="314" w:lineRule="auto"/>
        <w:tabs>
          <w:tab w:leader="none" w:pos="621"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1 - </w:t>
      </w:r>
      <w:r>
        <w:rPr>
          <w:rFonts w:ascii="Times New Roman" w:cs="Times New Roman" w:eastAsia="Times New Roman" w:hAnsi="Times New Roman"/>
          <w:sz w:val="20"/>
          <w:szCs w:val="20"/>
          <w:color w:val="auto"/>
        </w:rPr>
        <w:t>The first administration in humans is to test if people can tolerate the drug. If this testing is to take place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Canada, the manufacturer must prepare a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92" w:name="page93"/>
    <w:bookmarkEnd w:id="92"/>
    <w:p>
      <w:pPr>
        <w:jc w:val="both"/>
        <w:ind w:left="660"/>
        <w:spacing w:after="0" w:line="305" w:lineRule="auto"/>
        <w:rPr>
          <w:sz w:val="20"/>
          <w:szCs w:val="20"/>
          <w:color w:val="auto"/>
        </w:rPr>
      </w:pPr>
      <w:r>
        <w:rPr>
          <w:rFonts w:ascii="Times New Roman" w:cs="Times New Roman" w:eastAsia="Times New Roman" w:hAnsi="Times New Roman"/>
          <w:sz w:val="20"/>
          <w:szCs w:val="20"/>
          <w:color w:val="auto"/>
        </w:rPr>
        <w:t>trial application for the Therapeutic Products Directorate of Health Canada (the “</w:t>
      </w:r>
      <w:r>
        <w:rPr>
          <w:rFonts w:ascii="Times New Roman" w:cs="Times New Roman" w:eastAsia="Times New Roman" w:hAnsi="Times New Roman"/>
          <w:sz w:val="20"/>
          <w:szCs w:val="20"/>
          <w:b w:val="1"/>
          <w:bCs w:val="1"/>
          <w:color w:val="auto"/>
        </w:rPr>
        <w:t>TPD</w:t>
      </w:r>
      <w:r>
        <w:rPr>
          <w:rFonts w:ascii="Times New Roman" w:cs="Times New Roman" w:eastAsia="Times New Roman" w:hAnsi="Times New Roman"/>
          <w:sz w:val="20"/>
          <w:szCs w:val="20"/>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0"/>
          <w:szCs w:val="20"/>
          <w:b w:val="1"/>
          <w:bCs w:val="1"/>
          <w:color w:val="auto"/>
        </w:rPr>
        <w:t>HPFB</w:t>
      </w:r>
      <w:r>
        <w:rPr>
          <w:rFonts w:ascii="Times New Roman" w:cs="Times New Roman" w:eastAsia="Times New Roman" w:hAnsi="Times New Roman"/>
          <w:sz w:val="20"/>
          <w:szCs w:val="20"/>
          <w:color w:val="auto"/>
        </w:rPr>
        <w:t>”) grants permission to start testing the drug, generally first on healthy volunteers.</w:t>
      </w:r>
    </w:p>
    <w:p>
      <w:pPr>
        <w:spacing w:after="0" w:line="190" w:lineRule="exact"/>
        <w:rPr>
          <w:sz w:val="20"/>
          <w:szCs w:val="20"/>
          <w:color w:val="auto"/>
        </w:rPr>
      </w:pPr>
    </w:p>
    <w:p>
      <w:pPr>
        <w:ind w:left="620" w:hanging="288"/>
        <w:spacing w:after="0"/>
        <w:tabs>
          <w:tab w:leader="none" w:pos="6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2 - Phase 2 </w:t>
      </w:r>
      <w:r>
        <w:rPr>
          <w:rFonts w:ascii="Times New Roman" w:cs="Times New Roman" w:eastAsia="Times New Roman" w:hAnsi="Times New Roman"/>
          <w:sz w:val="20"/>
          <w:szCs w:val="20"/>
          <w:color w:val="auto"/>
        </w:rPr>
        <w:t>trials are carried out on people with the target condition, who are usually otherwise healthy, with</w:t>
      </w:r>
    </w:p>
    <w:p>
      <w:pPr>
        <w:spacing w:after="0" w:line="56" w:lineRule="exact"/>
        <w:rPr>
          <w:rFonts w:ascii="Arial" w:cs="Arial" w:eastAsia="Arial" w:hAnsi="Arial"/>
          <w:sz w:val="20"/>
          <w:szCs w:val="20"/>
          <w:color w:val="auto"/>
        </w:rPr>
      </w:pPr>
    </w:p>
    <w:p>
      <w:pPr>
        <w:ind w:left="660"/>
        <w:spacing w:after="0" w:line="311" w:lineRule="auto"/>
        <w:rPr>
          <w:rFonts w:ascii="Arial" w:cs="Arial" w:eastAsia="Arial" w:hAnsi="Arial"/>
          <w:sz w:val="20"/>
          <w:szCs w:val="20"/>
          <w:color w:val="auto"/>
        </w:rPr>
      </w:pPr>
      <w:r>
        <w:rPr>
          <w:rFonts w:ascii="Times New Roman" w:cs="Times New Roman" w:eastAsia="Times New Roman" w:hAnsi="Times New Roman"/>
          <w:sz w:val="20"/>
          <w:szCs w:val="20"/>
          <w:color w:val="auto"/>
        </w:rPr>
        <w:t>no other medical condition. Trials carried out in Canada must be approved by the TPD. In phase II, the objective of the trials is to continue to gather information on the safety of the drug and begin to determine its effectiveness.</w:t>
      </w:r>
    </w:p>
    <w:p>
      <w:pPr>
        <w:spacing w:after="0" w:line="196" w:lineRule="exact"/>
        <w:rPr>
          <w:rFonts w:ascii="Arial" w:cs="Arial" w:eastAsia="Arial" w:hAnsi="Arial"/>
          <w:sz w:val="20"/>
          <w:szCs w:val="20"/>
          <w:color w:val="auto"/>
        </w:rPr>
      </w:pPr>
    </w:p>
    <w:p>
      <w:pPr>
        <w:ind w:left="620" w:hanging="288"/>
        <w:spacing w:after="0"/>
        <w:tabs>
          <w:tab w:leader="none" w:pos="62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Clinical Trials – Phase 3 - </w:t>
      </w:r>
      <w:r>
        <w:rPr>
          <w:rFonts w:ascii="Times New Roman" w:cs="Times New Roman" w:eastAsia="Times New Roman" w:hAnsi="Times New Roman"/>
          <w:sz w:val="20"/>
          <w:szCs w:val="20"/>
          <w:color w:val="auto"/>
        </w:rPr>
        <w:t>If the results from phase II show promise, the manufacturer provides an updated clinical trial application</w:t>
      </w:r>
    </w:p>
    <w:p>
      <w:pPr>
        <w:spacing w:after="0" w:line="48" w:lineRule="exact"/>
        <w:rPr>
          <w:rFonts w:ascii="Arial" w:cs="Arial" w:eastAsia="Arial" w:hAnsi="Arial"/>
          <w:sz w:val="22"/>
          <w:szCs w:val="22"/>
          <w:color w:val="auto"/>
        </w:rPr>
      </w:pPr>
    </w:p>
    <w:p>
      <w:pPr>
        <w:jc w:val="both"/>
        <w:ind w:left="660"/>
        <w:spacing w:after="0" w:line="296" w:lineRule="auto"/>
        <w:rPr>
          <w:rFonts w:ascii="Arial" w:cs="Arial" w:eastAsia="Arial" w:hAnsi="Arial"/>
          <w:sz w:val="22"/>
          <w:szCs w:val="22"/>
          <w:color w:val="auto"/>
        </w:rPr>
      </w:pPr>
      <w:r>
        <w:rPr>
          <w:rFonts w:ascii="Times New Roman" w:cs="Times New Roman" w:eastAsia="Times New Roman" w:hAnsi="Times New Roman"/>
          <w:sz w:val="20"/>
          <w:szCs w:val="20"/>
          <w:color w:val="auto"/>
        </w:rPr>
        <w:t>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i w:val="1"/>
          <w:iCs w:val="1"/>
          <w:color w:val="auto"/>
        </w:rPr>
        <w:t xml:space="preserve">New Drug Submission – </w:t>
      </w:r>
      <w:r>
        <w:rPr>
          <w:rFonts w:ascii="Times New Roman" w:cs="Times New Roman" w:eastAsia="Times New Roman" w:hAnsi="Times New Roman"/>
          <w:sz w:val="20"/>
          <w:szCs w:val="20"/>
          <w:color w:val="auto"/>
        </w:rPr>
        <w:t>If the results from phase III continue to be favourable, the drug manufacturer can submit a new drug submission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NDS</w:t>
      </w:r>
      <w:r>
        <w:rPr>
          <w:rFonts w:ascii="Times New Roman" w:cs="Times New Roman" w:eastAsia="Times New Roman" w:hAnsi="Times New Roman"/>
          <w:sz w:val="20"/>
          <w:szCs w:val="20"/>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Applicable Laws</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serotonergic agonists to advise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36" w:right="339" w:bottom="1440" w:gutter="0" w:footer="0" w:header="0"/>
        </w:sectPr>
      </w:pPr>
    </w:p>
    <w:bookmarkStart w:id="93" w:name="page94"/>
    <w:bookmarkEnd w:id="93"/>
    <w:p>
      <w:pPr>
        <w:jc w:val="both"/>
        <w:spacing w:after="0" w:line="296" w:lineRule="auto"/>
        <w:rPr>
          <w:sz w:val="20"/>
          <w:szCs w:val="20"/>
          <w:color w:val="auto"/>
        </w:rPr>
      </w:pPr>
      <w:r>
        <w:rPr>
          <w:rFonts w:ascii="Times New Roman" w:cs="Times New Roman" w:eastAsia="Times New Roman" w:hAnsi="Times New Roman"/>
          <w:sz w:val="20"/>
          <w:szCs w:val="20"/>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9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Cooperation Treaty</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PCT facilitates filing for patent recognition in multiple jurisdictions simultaneously using a single uniform patent application. 158 countries, including Canada and the United States have ratified the PCT.</w:t>
      </w:r>
    </w:p>
    <w:p>
      <w:pPr>
        <w:spacing w:after="0" w:line="14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While the Company is focused on programs using compounds that are regulated as controlled substances in many jurisdictions,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94" w:name="page95"/>
    <w:bookmarkEnd w:id="94"/>
    <w:p>
      <w:pPr>
        <w:jc w:val="both"/>
        <w:spacing w:after="0" w:line="303" w:lineRule="auto"/>
        <w:rPr>
          <w:sz w:val="20"/>
          <w:szCs w:val="20"/>
          <w:color w:val="auto"/>
        </w:rPr>
      </w:pPr>
      <w:r>
        <w:rPr>
          <w:rFonts w:ascii="Times New Roman" w:cs="Times New Roman" w:eastAsia="Times New Roman" w:hAnsi="Times New Roman"/>
          <w:sz w:val="20"/>
          <w:szCs w:val="20"/>
          <w:color w:val="auto"/>
        </w:rPr>
        <w:t>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Quarterly Information</w:t>
      </w:r>
    </w:p>
    <w:p>
      <w:pPr>
        <w:spacing w:after="0" w:line="2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Effective April 1, 2025, the Company changed its presentation currency from the Canadian Dollar to the United States dollar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w:t>
      </w: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following table sets forth selected consolidated financial information for the periods indicated that are derived </w:t>
      </w:r>
      <w:r>
        <w:rPr>
          <w:rFonts w:ascii="Times New Roman" w:cs="Times New Roman" w:eastAsia="Times New Roman" w:hAnsi="Times New Roman"/>
          <w:sz w:val="21"/>
          <w:szCs w:val="21"/>
          <w:color w:val="auto"/>
        </w:rPr>
        <w:t>f</w:t>
      </w:r>
      <w:r>
        <w:rPr>
          <w:rFonts w:ascii="Times New Roman" w:cs="Times New Roman" w:eastAsia="Times New Roman" w:hAnsi="Times New Roman"/>
          <w:sz w:val="20"/>
          <w:szCs w:val="20"/>
          <w:color w:val="auto"/>
        </w:rPr>
        <w:t>rom, and should be read in conjunction with, the Financial Statements and related notes thereto. As a result of the change in reporting currency, the dollar amounts in the table below have been restated from CAD to USD. Assets and liabilities at each balance sheet date were translated at the closing rate on those dates. Expense items for prior periods were translated using the average rate for the respective periods.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i w:val="1"/>
                <w:iCs w:val="1"/>
                <w:color w:val="auto"/>
              </w:rPr>
              <w:t>(United States dollars in thousands,</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2"/>
        </w:trPr>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i w:val="1"/>
                <w:iCs w:val="1"/>
                <w:color w:val="auto"/>
              </w:rPr>
              <w:t>except per share and share figures)</w:t>
            </w: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14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June 30, 2025 March 31, 2025</w:t>
            </w:r>
          </w:p>
        </w:tc>
        <w:tc>
          <w:tcPr>
            <w:tcW w:w="1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 March 31, 2024</w:t>
            </w:r>
          </w:p>
        </w:tc>
      </w:tr>
      <w:tr>
        <w:trPr>
          <w:trHeight w:val="192"/>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Revenues ($)</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Expenses ($)</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41,210</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28,894</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24,624</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23,183</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22,388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42,705</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14,849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18,680</w:t>
            </w:r>
          </w:p>
        </w:tc>
      </w:tr>
      <w:tr>
        <w:trPr>
          <w:trHeight w:val="203"/>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Net loss ($)</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(42,668)</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(33,722)</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(24,613)</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(21,307)</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(7,539)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(41,927)</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(10,834)</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(15,826)</w:t>
            </w:r>
          </w:p>
        </w:tc>
      </w:tr>
      <w:tr>
        <w:trPr>
          <w:trHeight w:val="473"/>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 Basic</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42,521,389</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24,205,871</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22,401,197</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20,898,038</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20,001,406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20,001,406</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20,001,404</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12,045,467</w:t>
            </w:r>
          </w:p>
        </w:tc>
      </w:tr>
      <w:tr>
        <w:trPr>
          <w:trHeight w:val="203"/>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(1.00)</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(1.39)</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(1.10)</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(0.54)</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426"/>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Diluted</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42,521,389</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24,205,871</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22,401,197</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20,898,038</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20,001,406</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20,001,406</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20,001,404</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12,045,467</w:t>
            </w:r>
          </w:p>
        </w:tc>
      </w:tr>
      <w:tr>
        <w:trPr>
          <w:trHeight w:val="203"/>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(1.00)</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(1.39)</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(1.10)</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(0.38)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(0.54)</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473"/>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195,128</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83,752</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118,692</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93,922</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94,718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114,318</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133,904</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154,238</w:t>
            </w:r>
          </w:p>
        </w:tc>
      </w:tr>
      <w:tr>
        <w:trPr>
          <w:trHeight w:val="203"/>
        </w:trPr>
        <w:tc>
          <w:tcPr>
            <w:tcW w:w="24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Total Assets ($)</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290,112</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181,246</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210,813</w:t>
            </w: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179,897</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176,208</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194,378</w:t>
            </w: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207,969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222,895</w:t>
            </w:r>
          </w:p>
        </w:tc>
      </w:tr>
      <w:tr>
        <w:trPr>
          <w:trHeight w:val="207"/>
        </w:trPr>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Total Non-Current Liabilities ($)</w:t>
            </w: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28,888</w:t>
            </w:r>
          </w:p>
        </w:tc>
        <w:tc>
          <w:tcPr>
            <w:tcW w:w="11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44,500</w:t>
            </w:r>
          </w:p>
        </w:tc>
        <w:tc>
          <w:tcPr>
            <w:tcW w:w="10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Total assets increased by $110,215 from April 1, 2025 to December 31, 2025, mainly as a result of an increase in cash due to the Registered Direct Offering (as defined below) and prepaid expense. As at December 31, 2025, the Company had prepaid expenses related to future clinical work of $18,969 (March 31, 2025 - $11,165).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302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5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3020" w:type="dxa"/>
            <w:vAlign w:val="bottom"/>
            <w:tcBorders>
              <w:bottom w:val="single" w:sz="8" w:color="auto"/>
            </w:tcBorders>
            <w:gridSpan w:val="2"/>
            <w:vMerge w:val="continue"/>
          </w:tcPr>
          <w:p>
            <w:pPr>
              <w:spacing w:after="0"/>
              <w:rPr>
                <w:sz w:val="21"/>
                <w:szCs w:val="21"/>
                <w:color w:val="auto"/>
              </w:rPr>
            </w:pPr>
          </w:p>
        </w:tc>
        <w:tc>
          <w:tcPr>
            <w:tcW w:w="256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304"/>
        </w:trPr>
        <w:tc>
          <w:tcPr>
            <w:tcW w:w="5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23,857</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13,435</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57,702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0" w:type="dxa"/>
            <w:vAlign w:val="bottom"/>
          </w:tcPr>
          <w:p>
            <w:pPr>
              <w:spacing w:after="0"/>
              <w:rPr>
                <w:sz w:val="1"/>
                <w:szCs w:val="1"/>
                <w:color w:val="auto"/>
              </w:rPr>
            </w:pPr>
          </w:p>
        </w:tc>
      </w:tr>
      <w:tr>
        <w:trPr>
          <w:trHeight w:val="81"/>
        </w:trPr>
        <w:tc>
          <w:tcPr>
            <w:tcW w:w="56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12,876</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6,563</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31,419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0" w:type="dxa"/>
            <w:vAlign w:val="bottom"/>
          </w:tcPr>
          <w:p>
            <w:pPr>
              <w:spacing w:after="0"/>
              <w:rPr>
                <w:sz w:val="1"/>
                <w:szCs w:val="1"/>
                <w:color w:val="auto"/>
              </w:rPr>
            </w:pPr>
          </w:p>
        </w:tc>
      </w:tr>
      <w:tr>
        <w:trPr>
          <w:trHeight w:val="81"/>
        </w:trPr>
        <w:tc>
          <w:tcPr>
            <w:tcW w:w="56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4,477</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2,390</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5,607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0" w:type="dxa"/>
            <w:vAlign w:val="bottom"/>
          </w:tcPr>
          <w:p>
            <w:pPr>
              <w:spacing w:after="0"/>
              <w:rPr>
                <w:sz w:val="1"/>
                <w:szCs w:val="1"/>
                <w:color w:val="auto"/>
              </w:rPr>
            </w:pPr>
          </w:p>
        </w:tc>
      </w:tr>
      <w:tr>
        <w:trPr>
          <w:trHeight w:val="81"/>
        </w:trPr>
        <w:tc>
          <w:tcPr>
            <w:tcW w:w="56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6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41,210</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22,388</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94,728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79,942</w:t>
            </w:r>
          </w:p>
        </w:tc>
        <w:tc>
          <w:tcPr>
            <w:tcW w:w="0" w:type="dxa"/>
            <w:vAlign w:val="bottom"/>
          </w:tcPr>
          <w:p>
            <w:pPr>
              <w:spacing w:after="0"/>
              <w:rPr>
                <w:sz w:val="1"/>
                <w:szCs w:val="1"/>
                <w:color w:val="auto"/>
              </w:rPr>
            </w:pPr>
          </w:p>
        </w:tc>
      </w:tr>
      <w:tr>
        <w:trPr>
          <w:trHeight w:val="304"/>
        </w:trPr>
        <w:tc>
          <w:tcPr>
            <w:tcW w:w="5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13,704</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1,206</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0" w:type="dxa"/>
            <w:vAlign w:val="bottom"/>
          </w:tcPr>
          <w:p>
            <w:pPr>
              <w:spacing w:after="0"/>
              <w:rPr>
                <w:sz w:val="1"/>
                <w:szCs w:val="1"/>
                <w:color w:val="auto"/>
              </w:rPr>
            </w:pPr>
          </w:p>
        </w:tc>
      </w:tr>
      <w:tr>
        <w:trPr>
          <w:trHeight w:val="81"/>
        </w:trPr>
        <w:tc>
          <w:tcPr>
            <w:tcW w:w="56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1,502</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1,165</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3,522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81"/>
        </w:trPr>
        <w:tc>
          <w:tcPr>
            <w:tcW w:w="56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(2,615)</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loss on financial instruments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(362)</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(EXPENSES)</w:t>
            </w: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(1,458)</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14,849</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(6,275)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0" w:type="dxa"/>
            <w:vAlign w:val="bottom"/>
          </w:tcPr>
          <w:p>
            <w:pPr>
              <w:spacing w:after="0"/>
              <w:rPr>
                <w:sz w:val="1"/>
                <w:szCs w:val="1"/>
                <w:color w:val="auto"/>
              </w:rPr>
            </w:pPr>
          </w:p>
        </w:tc>
      </w:tr>
      <w:tr>
        <w:trPr>
          <w:trHeight w:val="75"/>
        </w:trPr>
        <w:tc>
          <w:tcPr>
            <w:tcW w:w="56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162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(42,668)</w:t>
            </w:r>
          </w:p>
        </w:tc>
        <w:tc>
          <w:tcPr>
            <w:tcW w:w="1400" w:type="dxa"/>
            <w:vAlign w:val="bottom"/>
            <w:tcBorders>
              <w:bottom w:val="single" w:sz="8" w:color="auto"/>
            </w:tcBorders>
            <w:shd w:val="clear" w:color="auto" w:fill="DBDBDB"/>
          </w:tcPr>
          <w:p>
            <w:pPr>
              <w:jc w:val="right"/>
              <w:ind w:right="230"/>
              <w:spacing w:after="0"/>
              <w:rPr>
                <w:sz w:val="20"/>
                <w:szCs w:val="20"/>
                <w:color w:val="auto"/>
              </w:rPr>
            </w:pPr>
            <w:r>
              <w:rPr>
                <w:rFonts w:ascii="Times New Roman" w:cs="Times New Roman" w:eastAsia="Times New Roman" w:hAnsi="Times New Roman"/>
                <w:sz w:val="18"/>
                <w:szCs w:val="18"/>
                <w:color w:val="auto"/>
              </w:rPr>
              <w:t>(7,539)</w:t>
            </w:r>
          </w:p>
        </w:tc>
        <w:tc>
          <w:tcPr>
            <w:tcW w:w="142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(101,003)</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(60,300)</w:t>
            </w:r>
          </w:p>
        </w:tc>
        <w:tc>
          <w:tcPr>
            <w:tcW w:w="0" w:type="dxa"/>
            <w:vAlign w:val="bottom"/>
          </w:tcPr>
          <w:p>
            <w:pPr>
              <w:spacing w:after="0"/>
              <w:rPr>
                <w:sz w:val="1"/>
                <w:szCs w:val="1"/>
                <w:color w:val="auto"/>
              </w:rPr>
            </w:pPr>
          </w:p>
        </w:tc>
      </w:tr>
      <w:tr>
        <w:trPr>
          <w:trHeight w:val="318"/>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Basic loss per share for the period</w:t>
            </w: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(0.38)</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1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42,521,389</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20,001,406</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29,736,061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20,001,406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 xml:space="preserve">For the three and nine months ended December 31, 2025, Helus Pharma incurred a net loss of $42,668 and $101,003, respectively, compared to a net loss of $7,539 and $60,300 during the same periods in prior year. The net loss for the three and nine months ended December 31, 2025, includes </w:t>
      </w:r>
      <w:r>
        <w:rPr>
          <w:rFonts w:ascii="Times New Roman" w:cs="Times New Roman" w:eastAsia="Times New Roman" w:hAnsi="Times New Roman"/>
          <w:sz w:val="21"/>
          <w:szCs w:val="21"/>
          <w:color w:val="auto"/>
        </w:rPr>
        <w:t>a non-cash component</w:t>
      </w:r>
      <w:r>
        <w:rPr>
          <w:rFonts w:ascii="Times New Roman" w:cs="Times New Roman" w:eastAsia="Times New Roman" w:hAnsi="Times New Roman"/>
          <w:sz w:val="20"/>
          <w:szCs w:val="20"/>
          <w:color w:val="auto"/>
        </w:rPr>
        <w:t xml:space="preserve"> related to share-based compensation of $4,477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5,607</w:t>
      </w:r>
      <w:r>
        <w:rPr>
          <w:rFonts w:ascii="Times New Roman" w:cs="Times New Roman" w:eastAsia="Times New Roman" w:hAnsi="Times New Roman"/>
          <w:sz w:val="21"/>
          <w:szCs w:val="21"/>
          <w:color w:val="auto"/>
        </w:rPr>
        <w:t>, respectively, compared to $</w:t>
      </w:r>
      <w:r>
        <w:rPr>
          <w:rFonts w:ascii="Times New Roman" w:cs="Times New Roman" w:eastAsia="Times New Roman" w:hAnsi="Times New Roman"/>
          <w:sz w:val="20"/>
          <w:szCs w:val="20"/>
          <w:color w:val="auto"/>
        </w:rPr>
        <w:t xml:space="preserve">2,390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29,824 during the same periods in prior year.</w:t>
      </w:r>
    </w:p>
    <w:p>
      <w:pPr>
        <w:spacing w:after="0" w:line="32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During the nine months ended December 31, 2025, the Company was focused on progressing its various research programs, with a focus on its HLP003 Program and HLP004 Program, and raising awareness of the Company and its industry. During such period, both the HLP003 and the HLP004 clinical programs have progressed towards the milestones noted above. See “</w:t>
      </w:r>
      <w:r>
        <w:rPr>
          <w:rFonts w:ascii="Times New Roman" w:cs="Times New Roman" w:eastAsia="Times New Roman" w:hAnsi="Times New Roman"/>
          <w:sz w:val="20"/>
          <w:szCs w:val="20"/>
          <w:i w:val="1"/>
          <w:iCs w:val="1"/>
          <w:color w:val="auto"/>
        </w:rPr>
        <w:t>Non-Revenue Generating Projects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month period ended December 31, 2025, operating expenses totaled $41,210 (2024 - $22,388). The operating expenses include a non-cash component of $4,477 (2024 - $2,390) related to share-based compensation. The remaining operating expenses were incurred to support research activities, raising capital, and the overall development of the Company.</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nine month period ended December 31, 2025, operating expenses totaled $94,728 (2024 - $79,942). The operating expenses include a non-cash component of $5,607 (2024 - $29,824) related to share-based compensation. The remaining operating expenses were incurred to support research activities, raising capital, and the overall development of the Company.</w:t>
      </w:r>
    </w:p>
    <w:p>
      <w:pPr>
        <w:sectPr>
          <w:pgSz w:w="11900" w:h="16838" w:orient="portrait"/>
          <w:cols w:equalWidth="0" w:num="1">
            <w:col w:w="11240"/>
          </w:cols>
          <w:pgMar w:left="320" w:top="1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36"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 period ended December 31, 2025, the Company’s research expenses totaled $23,857 compared to $13,435 during the same period in the prior year. Research expenses for the three month period are comprised of advancement of the development programs of $19,448 (2024 - $10,565), payroll related expenses of $3,397 (2024 - $2,215), lab and administration expenses of $533 (2024- $445) and professional and consulting fees of $479 (2024 - $210).</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nine month period ended December 31, 2025, the Company’s research expenses totaled $57,702 compared to $25,994 during the same period in the prior year. Research expenses for the nine month period are comprised of advancement of the development programs of $46,735 (2024 - $18,185), payroll related expenses of $9,009 (2024 - $5,998), lab and administration expenses of $1,131 (2024 - $1,077), and professional and consulting fees of $827 (2024 - $734).</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The overall increase for the three and nine month periods ended December 31, 2025 in research expenses is due to the progression of the Company’s various research programs, primarily related to the advancement of its clinical trials for both its HLP003 Program and its HLP004 Program. Both of the Company’s proprietary clinical programs, HLP003 and HLP004, have shown positive phase 2 safety and efficacy results. Furthermore, HLP003, which has been granted FDA BTD, is progressing its phase 3 studies.Refer to </w:t>
      </w:r>
      <w:r>
        <w:rPr>
          <w:rFonts w:ascii="Times New Roman" w:cs="Times New Roman" w:eastAsia="Times New Roman" w:hAnsi="Times New Roman"/>
          <w:sz w:val="20"/>
          <w:szCs w:val="20"/>
          <w:i w:val="1"/>
          <w:iCs w:val="1"/>
          <w:color w:val="auto"/>
        </w:rPr>
        <w:t>Non-Revenue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Generating Projects </w:t>
      </w:r>
      <w:r>
        <w:rPr>
          <w:rFonts w:ascii="Times New Roman" w:cs="Times New Roman" w:eastAsia="Times New Roman" w:hAnsi="Times New Roman"/>
          <w:sz w:val="20"/>
          <w:szCs w:val="20"/>
          <w:color w:val="auto"/>
        </w:rPr>
        <w:t>for additional information on the advancement of the Company's proprietary clinical programs.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Administration Costs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For the three month period ended December 31, 2025, general and administrative expenses were $12,876 compared to $6,563 during the same period in the prior year. General and administrative expenses for the three month period are comprised of capital markets expenses of $7,295 (2024 - $1,266), payroll and benefits of $1,728 (2024 - $1,857), professional and consulting fees $1,148 (2024 - $1,375), investor relations and marketing media expenses of $1,071 (2024 - $435</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office and administration expenses of $916 (2024 - $930), business development expenses of $698 (2024 - $670), and listing fees of $20 (2024 - $30). The overall increase for the three month period ended December 31, 2025, is largely related to higher capital markets, investor relations, and marketing media expenses incurred as the Company prepared for its Registered Direct Offering and completed the transfer of its U.S. stock exchange listing from NYSE American to Nasdaq.</w:t>
      </w:r>
    </w:p>
    <w:p>
      <w:pPr>
        <w:spacing w:after="0" w:line="2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For the nine month period ended December 31, 2025, general and administrative expenses were $31,419 compared to $24,124 during the same period in the prior year. General and administrative expenses for the nine month period are comprised of capital markets expenses of $13,787 (2024 - $10,214), payroll and benefits of $6,273 (2024 - $6,326), professional and consulting fees $5,184 (2024 - $2,430), office and administration expenses of $2,622 (2024 - $2,113), investor relations and marketing media expenses of $1,801 (2024 - $1,508) business development expenses of $1,580 (2024 - $1,371) and listing fees of $172 (2024 - $162). The overall increase for the nine month period ended December 31, 2025 is due to due to additional capital markets spend, professional and consulting fees incurred related to exploring financing opportunities and additional spend due to the overall growth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3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30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For the three and nine month periods ended December 31, 2025, the Company recorded a share-based compensation expense of $4,477 and $5,607, respectively, compared to $2,390 and $29,824 during the same periods in prior year. The variance is largely related to the timing and amount of new options grants and restricted share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issued to consultants, officers, directors and employees</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share-based compensation expense related to options and warrants granted was recorded based on the fair value using a Black Scholes Model. On exercise of warrants and options the equity reserve balances will be moved to share capital. The share-based compensation expense related to RSUs was recorded based on the closing price of the Common Shares on the grant dates. Upon issuance of Common Shares on vested RSUs, the respective amounts for the vested RSUs are transferred to Common Share capital from RSU reserve.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Foreign Currency Translation Gain</w:t>
      </w:r>
    </w:p>
    <w:p>
      <w:pPr>
        <w:spacing w:after="0" w:line="2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and nine month periods ended December 31, 2025, the Company incurred foreign currency translation gains from operations and revaluations of balance sheet assets and liabilities held in foreign currencies of $17 and $1,206, respectively. The Company holds assets and liabilities in Canadian dollars, United States dollars, Euros, and British pounds.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Interest Income</w:t>
      </w:r>
    </w:p>
    <w:p>
      <w:pPr>
        <w:spacing w:after="0" w:line="256" w:lineRule="exact"/>
        <w:rPr>
          <w:sz w:val="20"/>
          <w:szCs w:val="20"/>
          <w:color w:val="auto"/>
        </w:rPr>
      </w:pPr>
    </w:p>
    <w:p>
      <w:pPr>
        <w:jc w:val="both"/>
        <w:spacing w:after="0" w:line="280" w:lineRule="exact"/>
        <w:rPr>
          <w:sz w:val="20"/>
          <w:szCs w:val="20"/>
          <w:color w:val="auto"/>
        </w:rPr>
      </w:pPr>
      <w:r>
        <w:rPr>
          <w:rFonts w:ascii="Times New Roman" w:cs="Times New Roman" w:eastAsia="Times New Roman" w:hAnsi="Times New Roman"/>
          <w:sz w:val="20"/>
          <w:szCs w:val="20"/>
          <w:color w:val="auto"/>
        </w:rPr>
        <w:t>For the three and nine month period ended December 31, 2025, the Company recorded interest income of $1,502 and $3,522, respectively, compared to $1,165 and $4,986 during the same periods in prior year. The Company earns interest on certain cash balances, and the resulting interest income will fluctuate in line with both the level of average interest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bearing cash and movements in market interest rates.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Loss</w:t>
      </w:r>
    </w:p>
    <w:p>
      <w:pPr>
        <w:spacing w:after="0" w:line="2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For the three and nine month period ended December 31, 2025, the Company recorded other losses of $2,615 and $2,586, respectively, as a result of the repayment fees associated with the Convertible Debentures.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 Issuance Costs</w:t>
      </w:r>
    </w:p>
    <w:p>
      <w:pPr>
        <w:spacing w:after="0" w:line="238"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 xml:space="preserve">For the three and nine month period ended December 31, 2025, the Company recorded Nil </w:t>
      </w:r>
      <w:r>
        <w:rPr>
          <w:rFonts w:ascii="Times New Roman" w:cs="Times New Roman" w:eastAsia="Times New Roman" w:hAnsi="Times New Roman"/>
          <w:sz w:val="21"/>
          <w:szCs w:val="21"/>
          <w:color w:val="auto"/>
        </w:rPr>
        <w:t>and $</w:t>
      </w:r>
      <w:r>
        <w:rPr>
          <w:rFonts w:ascii="Times New Roman" w:cs="Times New Roman" w:eastAsia="Times New Roman" w:hAnsi="Times New Roman"/>
          <w:sz w:val="20"/>
          <w:szCs w:val="20"/>
          <w:color w:val="auto"/>
        </w:rPr>
        <w:t>2,917, respectively, related to debt issuance costs incurred as a result of the Convertible Debentures (as defined below) issued on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3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auto"/>
        </w:rPr>
        <w:t>Fair Value Loss on Financial Instruments</w:t>
      </w:r>
    </w:p>
    <w:p>
      <w:pPr>
        <w:spacing w:after="0" w:line="256"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For the three and nine month period ended December 31, 2025, the Company recorded a fair value loss of $362,and $5,500 respectively as a result of the revaluation of the Convertible Debentures.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Capital Resources and Cash Flows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22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0" w:type="dxa"/>
            <w:vAlign w:val="bottom"/>
            <w:gridSpan w:val="2"/>
            <w:vMerge w:val="restart"/>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0" w:type="dxa"/>
            <w:vAlign w:val="bottom"/>
            <w:tcBorders>
              <w:bottom w:val="single" w:sz="8" w:color="auto"/>
            </w:tcBorders>
            <w:gridSpan w:val="2"/>
            <w:vMerge w:val="continue"/>
          </w:tcPr>
          <w:p>
            <w:pPr>
              <w:spacing w:after="0"/>
              <w:rPr>
                <w:sz w:val="18"/>
                <w:szCs w:val="18"/>
                <w:color w:val="auto"/>
              </w:rPr>
            </w:pPr>
          </w:p>
        </w:tc>
        <w:tc>
          <w:tcPr>
            <w:tcW w:w="17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Borders>
              <w:bottom w:val="single" w:sz="8" w:color="auto"/>
            </w:tcBorders>
            <w:gridSpan w:val="2"/>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(31,947)</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(18,593)</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(13,354)</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72 %</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(95,980)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(57,595)</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(38,385)</w:t>
            </w:r>
          </w:p>
        </w:tc>
        <w:tc>
          <w:tcPr>
            <w:tcW w:w="420" w:type="dxa"/>
            <w:vAlign w:val="bottom"/>
            <w:shd w:val="clear" w:color="auto" w:fill="DBDBDB"/>
          </w:tcPr>
          <w:p>
            <w:pPr>
              <w:spacing w:after="0"/>
              <w:rPr>
                <w:sz w:val="17"/>
                <w:szCs w:val="17"/>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(217)</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76 %</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42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11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143,748</w:t>
            </w: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(128)</w:t>
            </w:r>
          </w:p>
        </w:tc>
        <w:tc>
          <w:tcPr>
            <w:tcW w:w="9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143,876</w:t>
            </w: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(112403)%</w:t>
            </w: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198,408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198,978</w:t>
            </w:r>
          </w:p>
        </w:tc>
        <w:tc>
          <w:tcPr>
            <w:tcW w:w="420" w:type="dxa"/>
            <w:vAlign w:val="bottom"/>
            <w:shd w:val="clear" w:color="auto" w:fill="DBDBDB"/>
          </w:tcPr>
          <w:p>
            <w:pPr>
              <w:spacing w:after="0"/>
              <w:rPr>
                <w:sz w:val="14"/>
                <w:szCs w:val="14"/>
                <w:color w:val="auto"/>
              </w:rPr>
            </w:pPr>
          </w:p>
        </w:tc>
        <w:tc>
          <w:tcPr>
            <w:tcW w:w="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(34908)</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financing activities</w:t>
            </w:r>
          </w:p>
        </w:tc>
        <w:tc>
          <w:tcPr>
            <w:tcW w:w="112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111,418</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(18,938)</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130,356</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(688)%</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101,388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(58,806)</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160,194</w:t>
            </w:r>
          </w:p>
        </w:tc>
        <w:tc>
          <w:tcPr>
            <w:tcW w:w="42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foreign exchange difference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(662)</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620</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420" w:type="dxa"/>
            <w:vAlign w:val="bottom"/>
            <w:shd w:val="clear" w:color="auto" w:fill="DBDBDB"/>
          </w:tcPr>
          <w:p>
            <w:pPr>
              <w:spacing w:after="0"/>
              <w:rPr>
                <w:sz w:val="18"/>
                <w:szCs w:val="18"/>
                <w:color w:val="auto"/>
              </w:rPr>
            </w:pPr>
          </w:p>
        </w:tc>
        <w:tc>
          <w:tcPr>
            <w:tcW w:w="5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83,752</w:t>
            </w:r>
          </w:p>
        </w:tc>
        <w:tc>
          <w:tcPr>
            <w:tcW w:w="1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114,318</w:t>
            </w: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(30,566)</w:t>
            </w: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93,922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154,238</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(60,316)</w:t>
            </w:r>
          </w:p>
        </w:tc>
        <w:tc>
          <w:tcPr>
            <w:tcW w:w="420" w:type="dxa"/>
            <w:vAlign w:val="bottom"/>
            <w:shd w:val="clear" w:color="auto" w:fill="DBDBDB"/>
          </w:tcPr>
          <w:p>
            <w:pPr>
              <w:spacing w:after="0"/>
              <w:rPr>
                <w:sz w:val="14"/>
                <w:szCs w:val="14"/>
                <w:color w:val="auto"/>
              </w:rPr>
            </w:pPr>
          </w:p>
        </w:tc>
        <w:tc>
          <w:tcPr>
            <w:tcW w:w="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beginning of period</w:t>
            </w:r>
          </w:p>
        </w:tc>
        <w:tc>
          <w:tcPr>
            <w:tcW w:w="112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195,128</w:t>
            </w:r>
          </w:p>
        </w:tc>
        <w:tc>
          <w:tcPr>
            <w:tcW w:w="1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94,718</w:t>
            </w:r>
          </w:p>
        </w:tc>
        <w:tc>
          <w:tcPr>
            <w:tcW w:w="9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100,410</w:t>
            </w: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106 %</w:t>
            </w: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195,128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94,718</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100,410</w:t>
            </w:r>
          </w:p>
        </w:tc>
        <w:tc>
          <w:tcPr>
            <w:tcW w:w="420" w:type="dxa"/>
            <w:vAlign w:val="bottom"/>
            <w:shd w:val="clear" w:color="auto" w:fill="DBDBDB"/>
          </w:tcPr>
          <w:p>
            <w:pPr>
              <w:spacing w:after="0"/>
              <w:rPr>
                <w:sz w:val="13"/>
                <w:szCs w:val="13"/>
                <w:color w:val="auto"/>
              </w:rPr>
            </w:pPr>
          </w:p>
        </w:tc>
        <w:tc>
          <w:tcPr>
            <w:tcW w:w="5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112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vMerge w:val="continue"/>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3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40" w:type="dxa"/>
            <w:vAlign w:val="bottom"/>
            <w:tcBorders>
              <w:left w:val="single" w:sz="8" w:color="auto"/>
            </w:tcBorders>
            <w:shd w:val="clear" w:color="auto" w:fill="DBDBDB"/>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60" w:type="dxa"/>
            <w:vAlign w:val="bottom"/>
            <w:shd w:val="clear" w:color="auto" w:fill="DBDBDB"/>
          </w:tcPr>
          <w:p>
            <w:pPr>
              <w:spacing w:after="0"/>
              <w:rPr>
                <w:sz w:val="14"/>
                <w:szCs w:val="14"/>
                <w:color w:val="auto"/>
              </w:rPr>
            </w:pPr>
          </w:p>
        </w:tc>
        <w:tc>
          <w:tcPr>
            <w:tcW w:w="7560" w:type="dxa"/>
            <w:vAlign w:val="bottom"/>
            <w:tcBorders>
              <w:right w:val="single" w:sz="8" w:color="auto"/>
            </w:tcBorders>
            <w:gridSpan w:val="11"/>
          </w:tcPr>
          <w:p>
            <w:pPr>
              <w:ind w:left="20"/>
              <w:spacing w:after="0" w:line="169"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expenses, salaries, and other general and</w:t>
            </w:r>
          </w:p>
        </w:tc>
        <w:tc>
          <w:tcPr>
            <w:tcW w:w="0" w:type="dxa"/>
            <w:vAlign w:val="bottom"/>
          </w:tcPr>
          <w:p>
            <w:pPr>
              <w:spacing w:after="0"/>
              <w:rPr>
                <w:sz w:val="1"/>
                <w:szCs w:val="1"/>
                <w:color w:val="auto"/>
              </w:rPr>
            </w:pPr>
          </w:p>
        </w:tc>
      </w:tr>
      <w:tr>
        <w:trPr>
          <w:trHeight w:val="176"/>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7560" w:type="dxa"/>
            <w:vAlign w:val="bottom"/>
            <w:tcBorders>
              <w:right w:val="single" w:sz="8" w:color="auto"/>
            </w:tcBorders>
            <w:gridSpan w:val="11"/>
          </w:tcPr>
          <w:p>
            <w:pPr>
              <w:ind w:left="20"/>
              <w:spacing w:after="0" w:line="175" w:lineRule="exact"/>
              <w:rPr>
                <w:sz w:val="20"/>
                <w:szCs w:val="20"/>
                <w:color w:val="auto"/>
              </w:rPr>
            </w:pPr>
            <w:r>
              <w:rPr>
                <w:rFonts w:ascii="Times New Roman" w:cs="Times New Roman" w:eastAsia="Times New Roman" w:hAnsi="Times New Roman"/>
                <w:sz w:val="16"/>
                <w:szCs w:val="16"/>
                <w:color w:val="auto"/>
              </w:rPr>
              <w:t>administration expenses. Cash flows from operating activities exclude expenses not affecting cash, such as share</w:t>
            </w:r>
          </w:p>
        </w:tc>
        <w:tc>
          <w:tcPr>
            <w:tcW w:w="0" w:type="dxa"/>
            <w:vAlign w:val="bottom"/>
          </w:tcPr>
          <w:p>
            <w:pPr>
              <w:spacing w:after="0"/>
              <w:rPr>
                <w:sz w:val="1"/>
                <w:szCs w:val="1"/>
                <w:color w:val="auto"/>
              </w:rPr>
            </w:pPr>
          </w:p>
        </w:tc>
      </w:tr>
      <w:tr>
        <w:trPr>
          <w:trHeight w:val="176"/>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7560" w:type="dxa"/>
            <w:vAlign w:val="bottom"/>
            <w:tcBorders>
              <w:right w:val="single" w:sz="8" w:color="auto"/>
            </w:tcBorders>
            <w:gridSpan w:val="11"/>
          </w:tcPr>
          <w:p>
            <w:pPr>
              <w:ind w:left="20"/>
              <w:spacing w:after="0" w:line="175" w:lineRule="exact"/>
              <w:rPr>
                <w:sz w:val="20"/>
                <w:szCs w:val="20"/>
                <w:color w:val="auto"/>
              </w:rPr>
            </w:pPr>
            <w:r>
              <w:rPr>
                <w:rFonts w:ascii="Times New Roman" w:cs="Times New Roman" w:eastAsia="Times New Roman" w:hAnsi="Times New Roman"/>
                <w:sz w:val="16"/>
                <w:szCs w:val="16"/>
                <w:color w:val="auto"/>
              </w:rPr>
              <w:t>based compensation expense, depreciation and amortization, lease interest, unrealized foreign exchange gains or</w:t>
            </w:r>
          </w:p>
        </w:tc>
        <w:tc>
          <w:tcPr>
            <w:tcW w:w="0" w:type="dxa"/>
            <w:vAlign w:val="bottom"/>
          </w:tcPr>
          <w:p>
            <w:pPr>
              <w:spacing w:after="0"/>
              <w:rPr>
                <w:sz w:val="1"/>
                <w:szCs w:val="1"/>
                <w:color w:val="auto"/>
              </w:rPr>
            </w:pPr>
          </w:p>
        </w:tc>
      </w:tr>
      <w:tr>
        <w:trPr>
          <w:trHeight w:val="210"/>
        </w:trPr>
        <w:tc>
          <w:tcPr>
            <w:tcW w:w="3240" w:type="dxa"/>
            <w:vAlign w:val="bottom"/>
            <w:tcBorders>
              <w:left w:val="single" w:sz="8" w:color="auto"/>
            </w:tcBorders>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7560" w:type="dxa"/>
            <w:vAlign w:val="bottom"/>
            <w:tcBorders>
              <w:right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color w:val="auto"/>
              </w:rPr>
              <w:t>losses, fair value loss on financial instruments and net changes in non-cash balances relating to operations.</w:t>
            </w:r>
          </w:p>
        </w:tc>
        <w:tc>
          <w:tcPr>
            <w:tcW w:w="0" w:type="dxa"/>
            <w:vAlign w:val="bottom"/>
          </w:tcPr>
          <w:p>
            <w:pPr>
              <w:spacing w:after="0"/>
              <w:rPr>
                <w:sz w:val="1"/>
                <w:szCs w:val="1"/>
                <w:color w:val="auto"/>
              </w:rPr>
            </w:pPr>
          </w:p>
        </w:tc>
      </w:tr>
      <w:tr>
        <w:trPr>
          <w:trHeight w:val="208"/>
        </w:trPr>
        <w:tc>
          <w:tcPr>
            <w:tcW w:w="3240" w:type="dxa"/>
            <w:vAlign w:val="bottom"/>
            <w:tcBorders>
              <w:left w:val="single" w:sz="8" w:color="auto"/>
            </w:tcBorders>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For the three months ended December 31, 2025, cash</w:t>
            </w: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For the nine months ended December 31, 2025, cash</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used in operating activities was $31,947 driven by a net</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used in operating activities was $95,980 driven by a net</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loss for the period of $42,668 and a non-cash foreign</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loss for the period of $101,003, a increase in working</w:t>
            </w:r>
          </w:p>
        </w:tc>
        <w:tc>
          <w:tcPr>
            <w:tcW w:w="0" w:type="dxa"/>
            <w:vAlign w:val="bottom"/>
          </w:tcPr>
          <w:p>
            <w:pPr>
              <w:spacing w:after="0"/>
              <w:rPr>
                <w:sz w:val="1"/>
                <w:szCs w:val="1"/>
                <w:color w:val="auto"/>
              </w:rPr>
            </w:pPr>
          </w:p>
        </w:tc>
      </w:tr>
      <w:tr>
        <w:trPr>
          <w:trHeight w:val="189"/>
        </w:trPr>
        <w:tc>
          <w:tcPr>
            <w:tcW w:w="3240" w:type="dxa"/>
            <w:vAlign w:val="bottom"/>
            <w:tcBorders>
              <w:left w:val="single" w:sz="8" w:color="auto"/>
            </w:tcBorders>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translation gain of $17 partially offset by a decrease in</w:t>
            </w: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capital  of  $4,960,  a  non-cash  unrealized  foreign</w:t>
            </w:r>
          </w:p>
        </w:tc>
        <w:tc>
          <w:tcPr>
            <w:tcW w:w="0" w:type="dxa"/>
            <w:vAlign w:val="bottom"/>
          </w:tcPr>
          <w:p>
            <w:pPr>
              <w:spacing w:after="0"/>
              <w:rPr>
                <w:sz w:val="1"/>
                <w:szCs w:val="1"/>
                <w:color w:val="auto"/>
              </w:rPr>
            </w:pPr>
          </w:p>
        </w:tc>
      </w:tr>
      <w:tr>
        <w:trPr>
          <w:trHeight w:val="176"/>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working capital of $5,877 and by the following non-</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exchange gain of $1,206 and a gain on sale of lab</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cash items: fair value loss on financial instruments of</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equipment of $7, partially offset by the following non-</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$362,  share-based  compensation  of  $4,477  and</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cash items: fair value loss on financial instruments of</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26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depreciation and amortization of $22.</w:t>
            </w:r>
          </w:p>
        </w:tc>
        <w:tc>
          <w:tcPr>
            <w:tcW w:w="1100" w:type="dxa"/>
            <w:vAlign w:val="bottom"/>
          </w:tcPr>
          <w:p>
            <w:pPr>
              <w:spacing w:after="0"/>
              <w:rPr>
                <w:sz w:val="15"/>
                <w:szCs w:val="15"/>
                <w:color w:val="auto"/>
              </w:rPr>
            </w:pP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$5,500,  share-based  compensation  of  $5,607  and</w:t>
            </w:r>
          </w:p>
        </w:tc>
        <w:tc>
          <w:tcPr>
            <w:tcW w:w="0" w:type="dxa"/>
            <w:vAlign w:val="bottom"/>
          </w:tcPr>
          <w:p>
            <w:pPr>
              <w:spacing w:after="0"/>
              <w:rPr>
                <w:sz w:val="1"/>
                <w:szCs w:val="1"/>
                <w:color w:val="auto"/>
              </w:rPr>
            </w:pPr>
          </w:p>
        </w:tc>
      </w:tr>
      <w:tr>
        <w:trPr>
          <w:trHeight w:val="243"/>
        </w:trPr>
        <w:tc>
          <w:tcPr>
            <w:tcW w:w="3240" w:type="dxa"/>
            <w:vAlign w:val="bottom"/>
            <w:tcBorders>
              <w:left w:val="single" w:sz="8" w:color="auto"/>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 of $89.</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240" w:type="dxa"/>
            <w:vAlign w:val="bottom"/>
            <w:tcBorders>
              <w:top w:val="single" w:sz="8" w:color="auto"/>
              <w:left w:val="single" w:sz="8" w:color="auto"/>
            </w:tcBorders>
            <w:shd w:val="clear" w:color="auto" w:fill="DBDBDB"/>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60" w:type="dxa"/>
            <w:vAlign w:val="bottom"/>
            <w:tcBorders>
              <w:top w:val="single" w:sz="8" w:color="auto"/>
            </w:tcBorders>
            <w:shd w:val="clear" w:color="auto" w:fill="DBDBDB"/>
          </w:tcPr>
          <w:p>
            <w:pPr>
              <w:spacing w:after="0"/>
              <w:rPr>
                <w:sz w:val="14"/>
                <w:szCs w:val="14"/>
                <w:color w:val="auto"/>
              </w:rPr>
            </w:pPr>
          </w:p>
        </w:tc>
        <w:tc>
          <w:tcPr>
            <w:tcW w:w="3760" w:type="dxa"/>
            <w:vAlign w:val="bottom"/>
            <w:tcBorders>
              <w:top w:val="single" w:sz="8" w:color="auto"/>
            </w:tcBorders>
            <w:gridSpan w:val="4"/>
          </w:tcPr>
          <w:p>
            <w:pPr>
              <w:ind w:left="20"/>
              <w:spacing w:after="0" w:line="169" w:lineRule="exact"/>
              <w:rPr>
                <w:sz w:val="20"/>
                <w:szCs w:val="20"/>
                <w:color w:val="auto"/>
              </w:rPr>
            </w:pPr>
            <w:r>
              <w:rPr>
                <w:rFonts w:ascii="Times New Roman" w:cs="Times New Roman" w:eastAsia="Times New Roman" w:hAnsi="Times New Roman"/>
                <w:sz w:val="16"/>
                <w:szCs w:val="16"/>
                <w:color w:val="auto"/>
              </w:rPr>
              <w:t>For the three months ended December 31, 2025, cash</w:t>
            </w:r>
          </w:p>
        </w:tc>
        <w:tc>
          <w:tcPr>
            <w:tcW w:w="3800" w:type="dxa"/>
            <w:vAlign w:val="bottom"/>
            <w:tcBorders>
              <w:top w:val="single" w:sz="8" w:color="auto"/>
              <w:right w:val="single" w:sz="8" w:color="auto"/>
            </w:tcBorders>
            <w:gridSpan w:val="7"/>
          </w:tcPr>
          <w:p>
            <w:pPr>
              <w:ind w:left="80"/>
              <w:spacing w:after="0" w:line="169" w:lineRule="exact"/>
              <w:rPr>
                <w:sz w:val="20"/>
                <w:szCs w:val="20"/>
                <w:color w:val="auto"/>
              </w:rPr>
            </w:pPr>
            <w:r>
              <w:rPr>
                <w:rFonts w:ascii="Times New Roman" w:cs="Times New Roman" w:eastAsia="Times New Roman" w:hAnsi="Times New Roman"/>
                <w:sz w:val="16"/>
                <w:szCs w:val="16"/>
                <w:color w:val="auto"/>
              </w:rPr>
              <w:t>For the nine months ended December 31, 2025, cash</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used in investing activities was driven by the purchase</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used in investing activities was driven by the purchase</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of intangible assets and equipment of $383.</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of intangible assets and equipment of $1,050 offset by</w:t>
            </w:r>
          </w:p>
        </w:tc>
        <w:tc>
          <w:tcPr>
            <w:tcW w:w="0" w:type="dxa"/>
            <w:vAlign w:val="bottom"/>
          </w:tcPr>
          <w:p>
            <w:pPr>
              <w:spacing w:after="0"/>
              <w:rPr>
                <w:sz w:val="1"/>
                <w:szCs w:val="1"/>
                <w:color w:val="auto"/>
              </w:rPr>
            </w:pPr>
          </w:p>
        </w:tc>
      </w:tr>
      <w:tr>
        <w:trPr>
          <w:trHeight w:val="243"/>
        </w:trPr>
        <w:tc>
          <w:tcPr>
            <w:tcW w:w="3240" w:type="dxa"/>
            <w:vAlign w:val="bottom"/>
            <w:tcBorders>
              <w:left w:val="single" w:sz="8" w:color="auto"/>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the proceeds received from sale of lab equipment of $10.</w:t>
            </w:r>
          </w:p>
        </w:tc>
        <w:tc>
          <w:tcPr>
            <w:tcW w:w="0" w:type="dxa"/>
            <w:vAlign w:val="bottom"/>
          </w:tcPr>
          <w:p>
            <w:pPr>
              <w:spacing w:after="0"/>
              <w:rPr>
                <w:sz w:val="1"/>
                <w:szCs w:val="1"/>
                <w:color w:val="auto"/>
              </w:rPr>
            </w:pPr>
          </w:p>
        </w:tc>
      </w:tr>
      <w:tr>
        <w:trPr>
          <w:trHeight w:val="169"/>
        </w:trPr>
        <w:tc>
          <w:tcPr>
            <w:tcW w:w="3240" w:type="dxa"/>
            <w:vAlign w:val="bottom"/>
            <w:tcBorders>
              <w:top w:val="single" w:sz="8" w:color="auto"/>
              <w:left w:val="single" w:sz="8" w:color="auto"/>
            </w:tcBorders>
            <w:shd w:val="clear" w:color="auto" w:fill="DBDBDB"/>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60" w:type="dxa"/>
            <w:vAlign w:val="bottom"/>
            <w:tcBorders>
              <w:top w:val="single" w:sz="8" w:color="auto"/>
            </w:tcBorders>
            <w:shd w:val="clear" w:color="auto" w:fill="DBDBDB"/>
          </w:tcPr>
          <w:p>
            <w:pPr>
              <w:spacing w:after="0"/>
              <w:rPr>
                <w:sz w:val="14"/>
                <w:szCs w:val="14"/>
                <w:color w:val="auto"/>
              </w:rPr>
            </w:pPr>
          </w:p>
        </w:tc>
        <w:tc>
          <w:tcPr>
            <w:tcW w:w="3760" w:type="dxa"/>
            <w:vAlign w:val="bottom"/>
            <w:tcBorders>
              <w:top w:val="single" w:sz="8" w:color="auto"/>
            </w:tcBorders>
            <w:gridSpan w:val="4"/>
          </w:tcPr>
          <w:p>
            <w:pPr>
              <w:ind w:left="20"/>
              <w:spacing w:after="0" w:line="169" w:lineRule="exact"/>
              <w:rPr>
                <w:sz w:val="20"/>
                <w:szCs w:val="20"/>
                <w:color w:val="auto"/>
              </w:rPr>
            </w:pPr>
            <w:r>
              <w:rPr>
                <w:rFonts w:ascii="Times New Roman" w:cs="Times New Roman" w:eastAsia="Times New Roman" w:hAnsi="Times New Roman"/>
                <w:sz w:val="16"/>
                <w:szCs w:val="16"/>
                <w:color w:val="auto"/>
              </w:rPr>
              <w:t>For the three months ended December 31, 2025, cash</w:t>
            </w:r>
          </w:p>
        </w:tc>
        <w:tc>
          <w:tcPr>
            <w:tcW w:w="3800" w:type="dxa"/>
            <w:vAlign w:val="bottom"/>
            <w:tcBorders>
              <w:top w:val="single" w:sz="8" w:color="auto"/>
              <w:right w:val="single" w:sz="8" w:color="auto"/>
            </w:tcBorders>
            <w:gridSpan w:val="7"/>
          </w:tcPr>
          <w:p>
            <w:pPr>
              <w:ind w:left="80"/>
              <w:spacing w:after="0" w:line="169" w:lineRule="exact"/>
              <w:rPr>
                <w:sz w:val="20"/>
                <w:szCs w:val="20"/>
                <w:color w:val="auto"/>
              </w:rPr>
            </w:pPr>
            <w:r>
              <w:rPr>
                <w:rFonts w:ascii="Times New Roman" w:cs="Times New Roman" w:eastAsia="Times New Roman" w:hAnsi="Times New Roman"/>
                <w:sz w:val="16"/>
                <w:szCs w:val="16"/>
                <w:color w:val="auto"/>
              </w:rPr>
              <w:t>For the nine months ended December 31, 2025, cash</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from financing activities was driven by proceeds on</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from financing activities was driven by the net cash</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Shares net of issuance costs of</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received from the issuance of Common Shares net of</w:t>
            </w:r>
          </w:p>
        </w:tc>
        <w:tc>
          <w:tcPr>
            <w:tcW w:w="0" w:type="dxa"/>
            <w:vAlign w:val="bottom"/>
          </w:tcPr>
          <w:p>
            <w:pPr>
              <w:spacing w:after="0"/>
              <w:rPr>
                <w:sz w:val="1"/>
                <w:szCs w:val="1"/>
                <w:color w:val="auto"/>
              </w:rPr>
            </w:pPr>
          </w:p>
        </w:tc>
      </w:tr>
      <w:tr>
        <w:trPr>
          <w:trHeight w:val="189"/>
        </w:trPr>
        <w:tc>
          <w:tcPr>
            <w:tcW w:w="3240" w:type="dxa"/>
            <w:vAlign w:val="bottom"/>
            <w:tcBorders>
              <w:left w:val="single" w:sz="8" w:color="auto"/>
            </w:tcBorders>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$135,919, proceeds from issuance of the Pre-Funded</w:t>
            </w: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issuance costs of $146,052, proceeds received from the</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6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Warrants</w:t>
            </w:r>
          </w:p>
        </w:tc>
        <w:tc>
          <w:tcPr>
            <w:tcW w:w="20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(as  defined  below)  net  of</w:t>
            </w: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issuance  costs</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issuance of the Convertible Debentures of $44,500,</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$28,099,  partially  offset  by  repayment  of  the</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proceeds from issuance of the Pre-Funded Warrants net</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3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auto"/>
              </w:rPr>
              <w:t>Convertible  Debentures  of  $20,150  and  additional</w:t>
            </w: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of  issuance  costs  $28,099,  proceeds  from  options</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tcBorders>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26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Share issuance costs $120.</w:t>
            </w:r>
          </w:p>
        </w:tc>
        <w:tc>
          <w:tcPr>
            <w:tcW w:w="1100" w:type="dxa"/>
            <w:vAlign w:val="bottom"/>
          </w:tcPr>
          <w:p>
            <w:pPr>
              <w:spacing w:after="0"/>
              <w:rPr>
                <w:sz w:val="15"/>
                <w:szCs w:val="15"/>
                <w:color w:val="auto"/>
              </w:rPr>
            </w:pPr>
          </w:p>
        </w:tc>
        <w:tc>
          <w:tcPr>
            <w:tcW w:w="3800" w:type="dxa"/>
            <w:vAlign w:val="bottom"/>
            <w:tcBorders>
              <w:right w:val="single" w:sz="8" w:color="auto"/>
            </w:tcBorders>
            <w:gridSpan w:val="7"/>
          </w:tcPr>
          <w:p>
            <w:pPr>
              <w:ind w:left="80"/>
              <w:spacing w:after="0" w:line="175" w:lineRule="exact"/>
              <w:rPr>
                <w:sz w:val="20"/>
                <w:szCs w:val="20"/>
                <w:color w:val="auto"/>
              </w:rPr>
            </w:pPr>
            <w:r>
              <w:rPr>
                <w:rFonts w:ascii="Times New Roman" w:cs="Times New Roman" w:eastAsia="Times New Roman" w:hAnsi="Times New Roman"/>
                <w:sz w:val="16"/>
                <w:szCs w:val="16"/>
                <w:color w:val="auto"/>
              </w:rPr>
              <w:t>exercised $53 partially offset by repayment of the</w:t>
            </w:r>
          </w:p>
        </w:tc>
        <w:tc>
          <w:tcPr>
            <w:tcW w:w="0" w:type="dxa"/>
            <w:vAlign w:val="bottom"/>
          </w:tcPr>
          <w:p>
            <w:pPr>
              <w:spacing w:after="0"/>
              <w:rPr>
                <w:sz w:val="1"/>
                <w:szCs w:val="1"/>
                <w:color w:val="auto"/>
              </w:rPr>
            </w:pPr>
          </w:p>
        </w:tc>
      </w:tr>
      <w:tr>
        <w:trPr>
          <w:trHeight w:val="189"/>
        </w:trPr>
        <w:tc>
          <w:tcPr>
            <w:tcW w:w="3240" w:type="dxa"/>
            <w:vAlign w:val="bottom"/>
            <w:tcBorders>
              <w:left w:val="single" w:sz="8" w:color="auto"/>
            </w:tcBorders>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color w:val="auto"/>
              </w:rPr>
              <w:t>Convertible  Debentures  of  $20,150  and  additional</w:t>
            </w:r>
          </w:p>
        </w:tc>
        <w:tc>
          <w:tcPr>
            <w:tcW w:w="0" w:type="dxa"/>
            <w:vAlign w:val="bottom"/>
          </w:tcPr>
          <w:p>
            <w:pPr>
              <w:spacing w:after="0"/>
              <w:rPr>
                <w:sz w:val="1"/>
                <w:szCs w:val="1"/>
                <w:color w:val="auto"/>
              </w:rPr>
            </w:pPr>
          </w:p>
        </w:tc>
      </w:tr>
      <w:tr>
        <w:trPr>
          <w:trHeight w:val="223"/>
        </w:trPr>
        <w:tc>
          <w:tcPr>
            <w:tcW w:w="3240" w:type="dxa"/>
            <w:vAlign w:val="bottom"/>
            <w:tcBorders>
              <w:left w:val="single" w:sz="8" w:color="auto"/>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Common Share issuance costs of $146.</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60"/>
          </w:cols>
          <w:pgMar w:left="320" w:top="1399" w:right="319" w:bottom="1440" w:gutter="0" w:footer="0" w:header="0"/>
        </w:sectPr>
      </w:pPr>
    </w:p>
    <w:bookmarkStart w:id="99" w:name="page100"/>
    <w:bookmarkEnd w:id="99"/>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2023 ATM Program</w:t>
      </w:r>
    </w:p>
    <w:p>
      <w:pPr>
        <w:spacing w:after="0" w:line="4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August 23, 2023, the Company announced the filing of a prospectus supplement (the “</w:t>
      </w:r>
      <w:r>
        <w:rPr>
          <w:rFonts w:ascii="Times New Roman" w:cs="Times New Roman" w:eastAsia="Times New Roman" w:hAnsi="Times New Roman"/>
          <w:sz w:val="20"/>
          <w:szCs w:val="20"/>
          <w:b w:val="1"/>
          <w:bCs w:val="1"/>
          <w:color w:val="auto"/>
        </w:rPr>
        <w:t>ATM Prospectus Supplement</w:t>
      </w:r>
      <w:r>
        <w:rPr>
          <w:rFonts w:ascii="Times New Roman" w:cs="Times New Roman" w:eastAsia="Times New Roman" w:hAnsi="Times New Roman"/>
          <w:sz w:val="20"/>
          <w:szCs w:val="20"/>
          <w:color w:val="auto"/>
        </w:rPr>
        <w:t>”) under the 2023 Base Shelf Prospectus to renew its previously established at-the-market equity program (the “</w:t>
      </w:r>
      <w:r>
        <w:rPr>
          <w:rFonts w:ascii="Times New Roman" w:cs="Times New Roman" w:eastAsia="Times New Roman" w:hAnsi="Times New Roman"/>
          <w:sz w:val="20"/>
          <w:szCs w:val="20"/>
          <w:b w:val="1"/>
          <w:bCs w:val="1"/>
          <w:color w:val="auto"/>
        </w:rPr>
        <w:t>2023 ATM Program</w:t>
      </w:r>
      <w:r>
        <w:rPr>
          <w:rFonts w:ascii="Times New Roman" w:cs="Times New Roman" w:eastAsia="Times New Roman" w:hAnsi="Times New Roman"/>
          <w:sz w:val="20"/>
          <w:szCs w:val="20"/>
          <w:color w:val="auto"/>
        </w:rPr>
        <w:t>”) that allowed the Company to issue and sell up to US$35,000 of Common Shares from treasury to the public, from time to time. Distributions of Common Shares under the 2023 ATM Program were made pursuant to the terms and conditions of an at-the-market equity distribution agreement dated August 23, 2023 among the Company, Cantor Fitzgerald Canada Corporation and Cantor Fitzgerald &amp; Co. (the “</w:t>
      </w:r>
      <w:r>
        <w:rPr>
          <w:rFonts w:ascii="Times New Roman" w:cs="Times New Roman" w:eastAsia="Times New Roman" w:hAnsi="Times New Roman"/>
          <w:sz w:val="20"/>
          <w:szCs w:val="20"/>
          <w:b w:val="1"/>
          <w:bCs w:val="1"/>
          <w:color w:val="auto"/>
        </w:rPr>
        <w:t>2023 Distribution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2023 ATM Program was effective until February 10, 2025, when it was terminated in accordance with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Distribution Agreement.</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From August 23, 2023, being the date of the launch of the 2023 ATM Program to February 10, 2025, the Company sold 1,653,320 Common Shares under the 2023 ATM Program, at an average price of $11.05 per Common Share, for aggregate gross proceeds of $18,265. Share issuance costs related to the 2023 ATM Program were US$829.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LPC Agreement</w:t>
      </w:r>
    </w:p>
    <w:p>
      <w:pPr>
        <w:spacing w:after="0" w:line="2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On May 30, 2023, the Company entered into a Common Share purchase agreement (the “</w:t>
      </w:r>
      <w:r>
        <w:rPr>
          <w:rFonts w:ascii="Times New Roman" w:cs="Times New Roman" w:eastAsia="Times New Roman" w:hAnsi="Times New Roman"/>
          <w:sz w:val="20"/>
          <w:szCs w:val="20"/>
          <w:b w:val="1"/>
          <w:bCs w:val="1"/>
          <w:color w:val="auto"/>
        </w:rPr>
        <w:t>LPC Purchase Agreement</w:t>
      </w:r>
      <w:r>
        <w:rPr>
          <w:rFonts w:ascii="Times New Roman" w:cs="Times New Roman" w:eastAsia="Times New Roman" w:hAnsi="Times New Roman"/>
          <w:sz w:val="20"/>
          <w:szCs w:val="20"/>
          <w:color w:val="auto"/>
        </w:rPr>
        <w:t>”) with Lincoln Park Capital Fund, LLC (“</w:t>
      </w:r>
      <w:r>
        <w:rPr>
          <w:rFonts w:ascii="Times New Roman" w:cs="Times New Roman" w:eastAsia="Times New Roman" w:hAnsi="Times New Roman"/>
          <w:sz w:val="20"/>
          <w:szCs w:val="20"/>
          <w:b w:val="1"/>
          <w:bCs w:val="1"/>
          <w:color w:val="auto"/>
        </w:rPr>
        <w:t>LPC</w:t>
      </w:r>
      <w:r>
        <w:rPr>
          <w:rFonts w:ascii="Times New Roman" w:cs="Times New Roman" w:eastAsia="Times New Roman" w:hAnsi="Times New Roman"/>
          <w:sz w:val="20"/>
          <w:szCs w:val="20"/>
          <w:color w:val="auto"/>
        </w:rPr>
        <w:t>”). Subject to the terms and conditions of the LPC Purchase Agreement, the Company has the right to sell, and LPC is obligated to purchase, up to US$30,000 of Common Shares over a 36-month period at prices that are based on the market price at the time of each sale to LPC. Helus Pharma, in its sole discretion, controls the timing and amount of all sales of Common Shares under the LPC Purchase Agreement. Helus Pharma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Helus Pharma issued 66,812 Common Shares to LPC as a commitment fee on May 30, 2023. The LPC Purchase Agreement provides that Helus Pharma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Helus Pharma 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 On November 9, 2023, the Company announced that it has, again, suspended all sales under the LPC Agreement.</w:t>
      </w:r>
    </w:p>
    <w:p>
      <w:pPr>
        <w:spacing w:after="0" w:line="2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During the nine months ended December 31, 2025, no Common Shares were issued under the LPC Purchase Agreement. As at December 31, 2025, the Company has sold 50,658 Common Shares, at an average price of $9.18 per Common Share, for aggregate gross proceeds of $465 pursuant to the LPC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2025 ATM Program</w:t>
      </w:r>
    </w:p>
    <w:p>
      <w:pPr>
        <w:spacing w:after="0" w:line="2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February 10, 2025, the Company launched a new at-the-market equity program (the “</w:t>
      </w:r>
      <w:r>
        <w:rPr>
          <w:rFonts w:ascii="Times New Roman" w:cs="Times New Roman" w:eastAsia="Times New Roman" w:hAnsi="Times New Roman"/>
          <w:sz w:val="20"/>
          <w:szCs w:val="20"/>
          <w:b w:val="1"/>
          <w:bCs w:val="1"/>
          <w:color w:val="auto"/>
        </w:rPr>
        <w:t>2025 ATM Program</w:t>
      </w:r>
      <w:r>
        <w:rPr>
          <w:rFonts w:ascii="Times New Roman" w:cs="Times New Roman" w:eastAsia="Times New Roman" w:hAnsi="Times New Roman"/>
          <w:sz w:val="20"/>
          <w:szCs w:val="20"/>
          <w:color w:val="auto"/>
        </w:rPr>
        <w:t>”) to allow the Company to issue and sell up to US$100,000 of Common Shares from treasury to the public. In connection with the 2025 ATM Program, the Company entered into an at-the-market equity distribution agreement (the “</w:t>
      </w:r>
      <w:r>
        <w:rPr>
          <w:rFonts w:ascii="Times New Roman" w:cs="Times New Roman" w:eastAsia="Times New Roman" w:hAnsi="Times New Roman"/>
          <w:sz w:val="20"/>
          <w:szCs w:val="20"/>
          <w:b w:val="1"/>
          <w:bCs w:val="1"/>
          <w:color w:val="auto"/>
        </w:rPr>
        <w:t>2025 Distribution Agreement</w:t>
      </w:r>
      <w:r>
        <w:rPr>
          <w:rFonts w:ascii="Times New Roman" w:cs="Times New Roman" w:eastAsia="Times New Roman" w:hAnsi="Times New Roman"/>
          <w:sz w:val="20"/>
          <w:szCs w:val="20"/>
          <w:color w:val="auto"/>
        </w:rPr>
        <w:t>”) dated February 10, 2025, among the Company, Cantor Fitzgerald Canada Corporation and Cantor Fitzgerald &amp; Co. The 2025 ATM Program was effective until September 17, 2025, when it was terminated in accordance with the terms of the 2025 Distribution Agreement.</w:t>
      </w:r>
    </w:p>
    <w:p>
      <w:pPr>
        <w:spacing w:after="0" w:line="2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From February 10, 2025, being the date of the launch of the 2025 ATM Program to September 17, 2025, the Company sold 1,997,205 Common Shares under the 2025 ATM Program, at an average price of $7.83 per Common Share, for aggregate gross proceeds of $15,631. Share issuance costs related to the 2025 ATM Program were $470. During the nine months ended December 31, 2025, the Company sold 1,422,423 Common Shares under the 2025 ATM Program at an average price of $7.36 per Common Share, for aggregate gross proceeds of $10,465.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Convertible Debentures</w:t>
      </w:r>
    </w:p>
    <w:p>
      <w:pPr>
        <w:spacing w:after="0" w:line="2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On June 30, 2025, the Company announced that it has entered into a securities purchase agreement (the “</w:t>
      </w:r>
      <w:r>
        <w:rPr>
          <w:rFonts w:ascii="Times New Roman" w:cs="Times New Roman" w:eastAsia="Times New Roman" w:hAnsi="Times New Roman"/>
          <w:sz w:val="20"/>
          <w:szCs w:val="20"/>
          <w:b w:val="1"/>
          <w:bCs w:val="1"/>
          <w:color w:val="auto"/>
        </w:rPr>
        <w:t>Securities Purchase Agreement</w:t>
      </w:r>
      <w:r>
        <w:rPr>
          <w:rFonts w:ascii="Times New Roman" w:cs="Times New Roman" w:eastAsia="Times New Roman" w:hAnsi="Times New Roman"/>
          <w:sz w:val="20"/>
          <w:szCs w:val="20"/>
          <w:color w:val="auto"/>
        </w:rPr>
        <w:t>”) with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pursuant to which the Company agreed to sell and issue to High Trail up to US$500,000 aggregate principal amount of unsecured convertible debentures (the “</w:t>
      </w:r>
      <w:r>
        <w:rPr>
          <w:rFonts w:ascii="Times New Roman" w:cs="Times New Roman" w:eastAsia="Times New Roman" w:hAnsi="Times New Roman"/>
          <w:sz w:val="20"/>
          <w:szCs w:val="20"/>
          <w:b w:val="1"/>
          <w:bCs w:val="1"/>
          <w:color w:val="auto"/>
        </w:rPr>
        <w:t>Convertible Debentures</w:t>
      </w:r>
      <w:r>
        <w:rPr>
          <w:rFonts w:ascii="Times New Roman" w:cs="Times New Roman" w:eastAsia="Times New Roman" w:hAnsi="Times New Roman"/>
          <w:sz w:val="20"/>
          <w:szCs w:val="20"/>
          <w:color w:val="auto"/>
        </w:rPr>
        <w:t>”). The sale and issue of US$50,000 principal amount of Convertible Debentures was completed on June 30, 2025 (the “</w:t>
      </w:r>
      <w:r>
        <w:rPr>
          <w:rFonts w:ascii="Times New Roman" w:cs="Times New Roman" w:eastAsia="Times New Roman" w:hAnsi="Times New Roman"/>
          <w:sz w:val="20"/>
          <w:szCs w:val="20"/>
          <w:b w:val="1"/>
          <w:bCs w:val="1"/>
          <w:color w:val="auto"/>
        </w:rPr>
        <w:t>Convertible Debenture Private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Placement</w:t>
      </w:r>
      <w:r>
        <w:rPr>
          <w:rFonts w:ascii="Times New Roman" w:cs="Times New Roman" w:eastAsia="Times New Roman" w:hAnsi="Times New Roman"/>
          <w:sz w:val="20"/>
          <w:szCs w:val="20"/>
          <w:color w:val="auto"/>
        </w:rPr>
        <w:t>”). The sale and issue of US$450,000 principal amount of Convertible Debentures shall be determined at a future date,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mutual agreement of the parties.</w:t>
      </w:r>
    </w:p>
    <w:p>
      <w:pPr>
        <w:spacing w:after="0" w:line="20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Convertible Debentures had a two-year term from the closing date (the “</w:t>
      </w:r>
      <w:r>
        <w:rPr>
          <w:rFonts w:ascii="Times New Roman" w:cs="Times New Roman" w:eastAsia="Times New Roman" w:hAnsi="Times New Roman"/>
          <w:sz w:val="20"/>
          <w:szCs w:val="20"/>
          <w:b w:val="1"/>
          <w:bCs w:val="1"/>
          <w:color w:val="auto"/>
        </w:rPr>
        <w:t>Convertible Denture Term</w:t>
      </w:r>
      <w:r>
        <w:rPr>
          <w:rFonts w:ascii="Times New Roman" w:cs="Times New Roman" w:eastAsia="Times New Roman" w:hAnsi="Times New Roman"/>
          <w:sz w:val="20"/>
          <w:szCs w:val="20"/>
          <w:color w:val="auto"/>
        </w:rPr>
        <w:t>”). On closing, the Company pre-paid guaranteed interest of $5,500, equal to 11% of the amount issued for the Convertible Debenture Term (the equivalent of 5.5% per annum). Upon the occurrence of an event of default, interest shall increase to a rate of 18% on the outstanding principal balance. Pursuant to the terms of the Securities Purchase Agreement, the Company and High Tail may, upon mutual consent, enter into subsequent securities purchase agreements for the purchase and sale of up to an additional US$450,000 principal amount of Convertible Debentures, in tranches, in amounts on such dates as may be mutually agreed and each subsequent tranche shall include prepaid interest at a rate of 9.5%.</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Subject to the terms of the Securities Purchase Agreement and the Convertible Debentures, High Trail was entitled to convert the principal amount and accrued and unpaid interest, if any, on each Convertible Debenture, in whole or in part, from time to time, into Common Shares at a conversion price per Common Share equal to the lower of (a) $10.92, which is 130% of the volume weighted average price (“</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of the Common Shares on the day prior to the initial issuance of the Convertible Debentures, or (b) the VWAP of the Common Shares during the five trading days immediately prior to the date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 its sole discretion, could prepay any outstanding amount under the Convertible Debentures, in whole or in part, in cash by providing High Trail with advance written notice prior to such prepayment. The prepayment was to include, (i) if paid during the first year after closing, a 5% prepayment premium on the amount of the prepayment or (ii) if paid during the second year after closing, a 3% prepayment premium on the amount of the prepayment.</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terms of the Convertible Debentures restricted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connection with the offering, the Company and High Trail entered into a customary Registration Rights Agreement pursuant to which the Company has agreed to provide certain registration rights to High Trail under the U.S. Securities Act of 1933, as amended.</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intends to use the net proceeds from the Convertible Debenture Private Placement for working capital and general corporate purposes.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During the three month period ended December 31, 2025, High Trail converted portions of the Convertible Debentures with aggregate principal amounts of $9,100 less issuance costs of $17 for which the Company issued 1,515,301 Common Shares at an average conversion price of $6.0054 which represented the VWAP of the Common Shares for the five trading days immediately prior to each conversion. During the nine month period ended December 31, 2025, High Trail converted portions of the Convertible Debentures with aggregate principal amounts $29,850 less issuance costs of $35 for which the Company issued 4,584,856 Common Shares at an average conversion price of $6.5106 which represented the VWAP of the Common Shares for the five trading days immediately prior to each conversion. Consistent with IFRS 9, each conversion was accounted for as an extinguishment of the related portion of the liability, with the derecognized principal recognized in equity.</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November 3, 2025, the Company repaid the remaining outstanding balance of the Convertible Debentures. The Company paid a total of $22,765 which included repayment of the remaining principal of $20,150, as well as early repayment fees of $2,615. The withholding taxes of $492 owed to the Company by High Trail was also settled upon repayment of the principal and early repayment fees. The early repayment fees are recorded in the condensed interim consolidated statements of loss and comprehensive loss as “Other loss”. The repayment was accounted for as an extinguishment of the liability at fair value through profit or loss, and the difference between the carrying fair value and the cash consideration paid was recognized in profit or loss. As a result of the repayment, the Convertible Debentures were fully extinguished and derecognized as at December 31, 2025.</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a result of the change in fair value, during the three and nine months ended December 31, 2025, the Company recognized a fair value loss of $362 and $5,500, respectively, in the condensed interim consolidated statements of loss and comprehensive loss as “Fair value loss on financial instruments”. The change in fair value includes the recognition of the deferred day 1 loss of $674 and $1,200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three and nine month periods respectively. As at December 31, 2025, the deferred day 1 loss was fully recognized in net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Base Shelf Prospectus</w:t>
      </w:r>
    </w:p>
    <w:p>
      <w:pPr>
        <w:spacing w:after="0" w:line="26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9"/>
          <w:szCs w:val="19"/>
          <w:color w:val="auto"/>
        </w:rPr>
        <w:t>On September 17, 2025, the Company filed the 2025 Base Shelf Prospectus in each of the provinces and territories of Canada. The 2025 Base Shelf Prospectus qualifies for distribution, from time to time during the 25-month period from the date of the 2025 Base Shelf Prospectus, of up to C$1,700,000 in the aggregate of Common Shares, warrants, units, debt securities and subscription receipts of the Company.</w:t>
      </w:r>
    </w:p>
    <w:p>
      <w:pPr>
        <w:spacing w:after="0" w:line="17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determining that the Company has a reasonable expectation to distribute, during the 25-month period that the 2025 Base Shelf Prospectus, including any amendments hereto, remains valid, up to C$1,700,000 in the aggregate of securities, management of the Company considered its ongoing contractual commitments amounting to (i) approximately C$60,083 which will be used to qualify, in the United States pursuant to prospectus supplements to the Company’s registration statement on Form F-10, the Common Shares issuable from time to time upon the exercise of certain Common Share purchase warrants issued by the Company on August 4, 2023 and November 14, 2023 in connection with unit offerings of the Company, and (ii) approximately C$238,408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0"/>
          <w:szCs w:val="20"/>
          <w:b w:val="1"/>
          <w:bCs w:val="1"/>
          <w:color w:val="auto"/>
        </w:rPr>
        <w:t>Commitment Amount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Further, under the Registered Direct Offering, the Company qualified, in the United States pursuant to a prospectus supplement to the Corporation’s registration statement on Form F-10, as amended (File No. 333-289139)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the Offered Securities (as defined below). Given the Commitment Amount and the closing of the Registered Direct Offering, as of the date hereof, the Company will have approximately C$1,050,300 available under the 2025 Base Shelf Prospectus, which management of the Company reasonably expects to distribute during the 25-month period that the 2025 Base Shelf Prospectus, including any amendments hereto, remains valid.</w:t>
      </w:r>
      <w:r>
        <w:rPr>
          <w:rFonts w:ascii="Times New Roman" w:cs="Times New Roman" w:eastAsia="Times New Roman" w:hAnsi="Times New Roman"/>
          <w:sz w:val="25"/>
          <w:szCs w:val="25"/>
          <w:color w:val="auto"/>
          <w:vertAlign w:val="superscript"/>
        </w:rPr>
        <w:t>28</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believes that the size of its the 2025 Base Shelf Prospectus is reasonable having regard to its current liquidity position, working capital of $206,718 as at December 31, 2025, cash balance of $195,128, its anticipated cash needs over the next 12–24 months (see “Non-Revenue Generating Projects”) and its historical and expected access to the public capital markets. The Company’s future funding strategy contemplates continued access to both public and private sources of capital as required to advance its non-revenue-generating research and development programs, fund capital expenditures and meet ongoing operating obligations. The Company will continue to assess, on a prospective basis, its liquidity, capital resources and market conditions to ensure that the total amount of securities qualified under its base shelf prospectus remains appropriate in relation to its business, growth plans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714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firstLine="8"/>
        <w:spacing w:after="0" w:line="210" w:lineRule="auto"/>
        <w:tabs>
          <w:tab w:leader="none" w:pos="159"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There is no certainty as to the Company’s ability to distribute securities or to raise additional funding to support operations.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i w:val="1"/>
          <w:iCs w:val="1"/>
          <w:color w:val="auto"/>
        </w:rPr>
        <w:t>Registered Direct Offering</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October 31, 2025, the Company completed a registered direct offering of 22,277,750 Common Shares and, in lieu of Common Shares to certain investors, 4,605,500 pre-funded Common Share purchase warrants (the "</w:t>
      </w:r>
      <w:r>
        <w:rPr>
          <w:rFonts w:ascii="Times New Roman" w:cs="Times New Roman" w:eastAsia="Times New Roman" w:hAnsi="Times New Roman"/>
          <w:sz w:val="20"/>
          <w:szCs w:val="20"/>
          <w:b w:val="1"/>
          <w:bCs w:val="1"/>
          <w:color w:val="auto"/>
        </w:rPr>
        <w:t>Pre-Funded Warrant</w:t>
      </w:r>
      <w:r>
        <w:rPr>
          <w:rFonts w:ascii="Times New Roman" w:cs="Times New Roman" w:eastAsia="Times New Roman" w:hAnsi="Times New Roman"/>
          <w:sz w:val="20"/>
          <w:szCs w:val="20"/>
          <w:color w:val="auto"/>
        </w:rPr>
        <w:t>") at a price of $6.51 per Common Share or Pre-Funded Warrant for aggregate gross proceeds of approximately $175,010 (the “</w:t>
      </w:r>
      <w:r>
        <w:rPr>
          <w:rFonts w:ascii="Times New Roman" w:cs="Times New Roman" w:eastAsia="Times New Roman" w:hAnsi="Times New Roman"/>
          <w:sz w:val="20"/>
          <w:szCs w:val="20"/>
          <w:b w:val="1"/>
          <w:bCs w:val="1"/>
          <w:color w:val="auto"/>
        </w:rPr>
        <w:t>Registered Direct Offering</w:t>
      </w:r>
      <w:r>
        <w:rPr>
          <w:rFonts w:ascii="Times New Roman" w:cs="Times New Roman" w:eastAsia="Times New Roman" w:hAnsi="Times New Roman"/>
          <w:sz w:val="20"/>
          <w:szCs w:val="20"/>
          <w:color w:val="auto"/>
        </w:rPr>
        <w:t>”). Common Share issuance costs related to the Registered Direct Offering was $10,992, of which $9,109 was allocated to Common Shares and $1,883 allocated to the Pre-Funded Warrants.</w:t>
      </w:r>
    </w:p>
    <w:p>
      <w:pPr>
        <w:spacing w:after="0" w:line="20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Each Pre-Funded Warrant entitles the holder thereof to acquire one Common Share at a nominal exercise price. The Pre-Funded Warrants do not expire.</w:t>
      </w:r>
    </w:p>
    <w:p>
      <w:pPr>
        <w:spacing w:after="0" w:line="1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Each Common Share and each Pre-Funded Warrant is accompanied by 0.35 of one Common Share purchase warrant (each whole warrant, a “Warrant” and together with the Common Shares and Pre-Funded Warrants, the “ </w:t>
      </w:r>
      <w:r>
        <w:rPr>
          <w:rFonts w:ascii="Times New Roman" w:cs="Times New Roman" w:eastAsia="Times New Roman" w:hAnsi="Times New Roman"/>
          <w:sz w:val="20"/>
          <w:szCs w:val="20"/>
          <w:b w:val="1"/>
          <w:bCs w:val="1"/>
          <w:color w:val="auto"/>
        </w:rPr>
        <w:t>Offered Securities</w:t>
      </w:r>
      <w:r>
        <w:rPr>
          <w:rFonts w:ascii="Times New Roman" w:cs="Times New Roman" w:eastAsia="Times New Roman" w:hAnsi="Times New Roman"/>
          <w:sz w:val="20"/>
          <w:szCs w:val="20"/>
          <w:color w:val="auto"/>
        </w:rPr>
        <w:t>”). Each Warrant is exercisable to acquire one Common Share at a price of $8.14 per Common Share at any time prior to the earlier of: (i) June 30, 2027; (ii) thirty days following the publication by press release of topline data for the APPROACH trial of HLP003 in major depressive disorder; and (iii) thirty days following the date a press release is issued by the Company announcing exercise of its acceleration right, which right can only be exercised if the closing price of the Common Share on NYSE American is equal to or exceeds $19.53 per Common Share for any five consecutive trading days. The Company used a portion of the net proceeds from the Registered Direct Offering to repay the outstanding Convertible Debentures, and intends to use the remaining net proceeds to progress the Company’s HLP003, HLP004, and HLP005 programs, and for working capital and general corporate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2026 ATM Program</w:t>
      </w:r>
    </w:p>
    <w:p>
      <w:pPr>
        <w:spacing w:after="0" w:line="2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December 30, 2025, the Company established a new at-the-market equity program (the “</w:t>
      </w:r>
      <w:r>
        <w:rPr>
          <w:rFonts w:ascii="Times New Roman" w:cs="Times New Roman" w:eastAsia="Times New Roman" w:hAnsi="Times New Roman"/>
          <w:sz w:val="20"/>
          <w:szCs w:val="20"/>
          <w:b w:val="1"/>
          <w:bCs w:val="1"/>
          <w:color w:val="auto"/>
        </w:rPr>
        <w:t>2026 ATM Program</w:t>
      </w:r>
      <w:r>
        <w:rPr>
          <w:rFonts w:ascii="Times New Roman" w:cs="Times New Roman" w:eastAsia="Times New Roman" w:hAnsi="Times New Roman"/>
          <w:sz w:val="20"/>
          <w:szCs w:val="20"/>
          <w:color w:val="auto"/>
        </w:rPr>
        <w:t>”) that allows the Company to issue and sell up to US$100,000 of Common Shares from treasury to the public, from time to time. Distributions of Common Shares under the 2026 ATM Program are made pursuant to the terms and conditions of an at-the-market equity distribution agreement (the “2026 Distribution Agreement”) dated December 30, 2026, among the Company, Cantor Fitzgerald Canada Corporation and Cantor Fitzgerald &amp; Co. The 2026 ATM Program is to be effective until the earlier of the issuance and sale of all of the Common Shares issuable pursuant to the 2026 ATM Program and October 17, 2027, unless earlier terminated in accordance with the terms of the 2026 Distribution Agreement. As at December 31, 2025, the Company has not sold any shares under the 2026 ATM Program. During the period ended December 31, 2025, the Company incurred professional fees of $111 related to establishing the 2026 ATM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Overview</w:t>
      </w:r>
    </w:p>
    <w:p>
      <w:pPr>
        <w:spacing w:after="0" w:line="2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0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conditions, regulatory and financial, business and other factors, some of which are beyond the Company’s control.</w:t>
      </w:r>
    </w:p>
    <w:p>
      <w:pPr>
        <w:spacing w:after="0" w:line="29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As at December 31, 2025, the Company had working capital of $206,718. The Company is in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current expenditure obligations include commitments for those projects described in the section entitled “</w:t>
      </w:r>
      <w:r>
        <w:rPr>
          <w:rFonts w:ascii="Times New Roman" w:cs="Times New Roman" w:eastAsia="Times New Roman" w:hAnsi="Times New Roman"/>
          <w:sz w:val="20"/>
          <w:szCs w:val="20"/>
          <w:i w:val="1"/>
          <w:iCs w:val="1"/>
          <w:color w:val="auto"/>
        </w:rPr>
        <w:t>Non-Revenue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Generating Projects</w:t>
      </w:r>
      <w:r>
        <w:rPr>
          <w:rFonts w:ascii="Times New Roman" w:cs="Times New Roman" w:eastAsia="Times New Roman" w:hAnsi="Times New Roman"/>
          <w:sz w:val="20"/>
          <w:szCs w:val="20"/>
          <w:color w:val="auto"/>
        </w:rPr>
        <w:t>” in this MD&amp;A. The Company expects to continue funding these projects with available cash and cash equivalents,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8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constantly monitors and manages its capital resources to assess the liquidity necessary to fund operations and capacity expansion. As at December 31, 2025, the Company had a cash balance of $195,128 and current liabilities of $16,178. The Company’s current resources are sufficient to settle its current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continues to raise the capital necessary to become a fully operational enterprise.</w:t>
      </w:r>
    </w:p>
    <w:p>
      <w:pPr>
        <w:spacing w:after="0" w:line="2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96" w:lineRule="auto"/>
        <w:rPr>
          <w:sz w:val="20"/>
          <w:szCs w:val="20"/>
          <w:color w:val="auto"/>
        </w:rPr>
      </w:pPr>
      <w:r>
        <w:rPr>
          <w:rFonts w:ascii="Times New Roman" w:cs="Times New Roman" w:eastAsia="Times New Roman" w:hAnsi="Times New Roman"/>
          <w:sz w:val="20"/>
          <w:szCs w:val="20"/>
          <w:color w:val="auto"/>
        </w:rPr>
        <w:t>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at December 31, 2025, the Company had also entered into agreements for various studies which may require the Company to spend up to an additional $109,950.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$9,500. At the sole discretion of Helus Pharma, the milestones may be paid in cash or in Common Shares, or a combination thereof, subject to the approval of the Cboe Canada. There is no assurance that the aforementioned milestones will be met.</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of the December 31, 2025, no litigation or class proceedings have been commenced or certified. The Company is aware that certain U.S. plaintiff law firms have announced that they are investigating the Company following the Company’s news release dated September 2, 2025, announcing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106" w:name="page107"/>
    <w:bookmarkEnd w:id="106"/>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resignation of the Company’s former chief executive officer.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95" w:lineRule="exact"/>
        <w:rPr>
          <w:sz w:val="20"/>
          <w:szCs w:val="20"/>
          <w:color w:val="auto"/>
        </w:rPr>
      </w:pPr>
    </w:p>
    <w:p>
      <w:pPr>
        <w:jc w:val="both"/>
        <w:ind w:right="40"/>
        <w:spacing w:after="0" w:line="325" w:lineRule="auto"/>
        <w:rPr>
          <w:sz w:val="20"/>
          <w:szCs w:val="20"/>
          <w:color w:val="auto"/>
        </w:rPr>
      </w:pPr>
      <w:r>
        <w:rPr>
          <w:rFonts w:ascii="Times New Roman" w:cs="Times New Roman" w:eastAsia="Times New Roman" w:hAnsi="Times New Roman"/>
          <w:sz w:val="20"/>
          <w:szCs w:val="20"/>
          <w:color w:val="auto"/>
        </w:rPr>
        <w:t>In the normal course of business, the Company may be subject to legal proceedings and claims. As at December 31, 2025, there was no ongoing litigation and therefore no contingent liabilities have been recorded.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Outstanding Share Data</w:t>
      </w:r>
    </w:p>
    <w:p>
      <w:pPr>
        <w:spacing w:after="0" w:line="30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restricted share units, performance share units and earnings per share presented in this MD&amp;A have been restated retrospectively for all periods to reflect the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sets out the outstanding share capital of the Company as at December 31, 2025, and as of the date of this MD&amp;A:</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34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40" w:type="dxa"/>
            <w:vAlign w:val="bottom"/>
            <w:tcBorders>
              <w:top w:val="single" w:sz="8" w:color="auto"/>
              <w:bottom w:val="single" w:sz="8" w:color="auto"/>
              <w:right w:val="single" w:sz="8" w:color="auto"/>
            </w:tcBorders>
            <w:shd w:val="clear" w:color="auto" w:fill="DBDBDB"/>
          </w:tcPr>
          <w:p>
            <w:pPr>
              <w:ind w:left="7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680" w:type="dxa"/>
            <w:vAlign w:val="bottom"/>
            <w:tcBorders>
              <w:top w:val="single" w:sz="8" w:color="auto"/>
              <w:bottom w:val="single" w:sz="8" w:color="auto"/>
              <w:right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Shares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49,894,131</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50,035,795</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Pre-funded 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4,605,500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4,605,500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options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4,169,617</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4,165,044</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RSUs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4,164,440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4,997,776</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PSUs (as defined below)</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325,000</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12,205,335</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12,205,335</w:t>
            </w:r>
          </w:p>
        </w:tc>
        <w:tc>
          <w:tcPr>
            <w:tcW w:w="0" w:type="dxa"/>
            <w:vAlign w:val="bottom"/>
          </w:tcPr>
          <w:p>
            <w:pPr>
              <w:spacing w:after="0"/>
              <w:rPr>
                <w:sz w:val="1"/>
                <w:szCs w:val="1"/>
                <w:color w:val="auto"/>
              </w:rPr>
            </w:pPr>
          </w:p>
        </w:tc>
      </w:tr>
      <w:tr>
        <w:trPr>
          <w:trHeight w:val="266"/>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Class B Shares (as defined below) </w:t>
            </w:r>
            <w:r>
              <w:rPr>
                <w:rFonts w:ascii="Times New Roman" w:cs="Times New Roman" w:eastAsia="Times New Roman" w:hAnsi="Times New Roman"/>
                <w:sz w:val="21"/>
                <w:szCs w:val="21"/>
                <w:color w:val="auto"/>
                <w:w w:val="99"/>
                <w:vertAlign w:val="superscript"/>
              </w:rPr>
              <w:t>(1)</w:t>
            </w: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1"/>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vMerge w:val="continue"/>
          </w:tcPr>
          <w:p>
            <w:pPr>
              <w:spacing w:after="0"/>
              <w:rPr>
                <w:sz w:val="4"/>
                <w:szCs w:val="4"/>
                <w:color w:val="auto"/>
              </w:rPr>
            </w:pPr>
          </w:p>
        </w:tc>
        <w:tc>
          <w:tcPr>
            <w:tcW w:w="36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w:t>
      </w:r>
    </w:p>
    <w:p>
      <w:pPr>
        <w:spacing w:after="0" w:line="88" w:lineRule="exact"/>
        <w:rPr>
          <w:sz w:val="20"/>
          <w:szCs w:val="20"/>
          <w:color w:val="auto"/>
        </w:rPr>
      </w:pPr>
    </w:p>
    <w:p>
      <w:pPr>
        <w:ind w:left="660" w:right="20" w:hanging="4"/>
        <w:spacing w:after="0" w:line="368" w:lineRule="auto"/>
        <w:tabs>
          <w:tab w:leader="none" w:pos="91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B Shares were exchangeable for Common Shares, on the basis of 0.26316 Common Shares for each Class B Share, at the option of the holder thereof, subject to customary adjustments.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Shares</w:t>
      </w:r>
    </w:p>
    <w:p>
      <w:pPr>
        <w:spacing w:after="0" w:line="274"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The authorized capital of the Company consists of an unlimited number of Common Shares without par value and an unlimited number of preferred shares. As of December 31, 2025, 49,894,131 Common Shares were outstanding and no preferred shares were issued and outstanding. As of the date of this MD&amp;A 50,035,795 Common Shares were outstanding and no preferred shares were issued and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Pre-funded Common Share Purchase Warrants</w:t>
      </w:r>
    </w:p>
    <w:p>
      <w:pPr>
        <w:spacing w:after="0" w:line="26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As of December 31, 2025 and as of the date of this MD&amp;A, pre-funded warrants to purchase up to 4,605,500 Common Shares are outstanding, exercisable at an exercise price of US$0.00001.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7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As of December 31, 2025, options to purchase up to 4,169,617 Common Shares were outstanding under Helus Pharma’s equity incentive plan. As of the date of this MD&amp;A, options to purchase up to 4,165,044 Common Shares are outstanding under Helus Pharma’s equity incentive plan.</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60"/>
          </w:cols>
          <w:pgMar w:left="320" w:top="1440" w:right="319" w:bottom="1440" w:gutter="0" w:footer="0" w:header="0"/>
          <w:type w:val="continuous"/>
        </w:sectPr>
      </w:pPr>
    </w:p>
    <w:bookmarkStart w:id="107" w:name="page108"/>
    <w:bookmarkEnd w:id="107"/>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Share Units</w:t>
      </w:r>
    </w:p>
    <w:p>
      <w:pPr>
        <w:spacing w:after="0" w:line="27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0"/>
          <w:szCs w:val="20"/>
          <w:color w:val="auto"/>
        </w:rPr>
        <w:t xml:space="preserve">As of December 31, 2025, 4,164,440 RSUs were outstanding under Helus Pharma’s equity incentive plan. As of the date of this MD&amp;A, 4,997,776 RSUs are outstanding, of which 4,022,776 </w:t>
      </w:r>
      <w:r>
        <w:rPr>
          <w:rFonts w:ascii="Times New Roman" w:cs="Times New Roman" w:eastAsia="Times New Roman" w:hAnsi="Times New Roman"/>
          <w:sz w:val="21"/>
          <w:szCs w:val="21"/>
          <w:color w:val="auto"/>
        </w:rPr>
        <w:t>were</w:t>
      </w:r>
      <w:r>
        <w:rPr>
          <w:rFonts w:ascii="Times New Roman" w:cs="Times New Roman" w:eastAsia="Times New Roman" w:hAnsi="Times New Roman"/>
          <w:sz w:val="20"/>
          <w:szCs w:val="20"/>
          <w:color w:val="auto"/>
        </w:rPr>
        <w:t xml:space="preserve"> issued under Helus Pharma’s equity incentive plan, and 975,000 were issued outside of the equity incentive plan.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Share Units</w:t>
      </w:r>
    </w:p>
    <w:p>
      <w:pPr>
        <w:spacing w:after="0" w:line="27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As of December 31, 2025, no performance share units (the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xml:space="preserve">”) were outstanding under Helus Pharma's equity incentive plan. As of the date of this MD&amp;A, </w:t>
      </w:r>
      <w:r>
        <w:rPr>
          <w:rFonts w:ascii="Times New Roman" w:cs="Times New Roman" w:eastAsia="Times New Roman" w:hAnsi="Times New Roman"/>
          <w:sz w:val="21"/>
          <w:szCs w:val="21"/>
          <w:color w:val="auto"/>
        </w:rPr>
        <w:t>325,000</w:t>
      </w:r>
      <w:r>
        <w:rPr>
          <w:rFonts w:ascii="Times New Roman" w:cs="Times New Roman" w:eastAsia="Times New Roman" w:hAnsi="Times New Roman"/>
          <w:sz w:val="20"/>
          <w:szCs w:val="20"/>
          <w:color w:val="auto"/>
        </w:rPr>
        <w:t xml:space="preserve"> PSUs are outstanding under Helus Pharma’s equity incentive plan.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 Purchase Warrants</w:t>
      </w:r>
    </w:p>
    <w:p>
      <w:pPr>
        <w:spacing w:after="0" w:line="26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of December 31, 2025 and as of the date of this MD&amp;A, warrants to purchase up to 12,205,335 Common Shares were outstanding, exercisable at a weighted average exercise price of $10.12 per Common Share.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B Shares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connection with the Adelia Transaction (as defined below) (see “</w:t>
      </w:r>
      <w:r>
        <w:rPr>
          <w:rFonts w:ascii="Times New Roman" w:cs="Times New Roman" w:eastAsia="Times New Roman" w:hAnsi="Times New Roman"/>
          <w:sz w:val="20"/>
          <w:szCs w:val="20"/>
          <w:b w:val="1"/>
          <w:bCs w:val="1"/>
          <w:color w:val="auto"/>
        </w:rPr>
        <w:t>Adelia Acquisition</w:t>
      </w:r>
      <w:r>
        <w:rPr>
          <w:rFonts w:ascii="Times New Roman" w:cs="Times New Roman" w:eastAsia="Times New Roman" w:hAnsi="Times New Roman"/>
          <w:sz w:val="20"/>
          <w:szCs w:val="20"/>
          <w:color w:val="auto"/>
        </w:rPr>
        <w:t>”), Helus US Inc. (formerly Cybin US Holdings Inc.) (a subsidiary of the Company) has issued 1,591,625.3 Class B Shares. Of the Class B Shares issued, 1,555,540.6 have been exchanged into Common Shares, and the remaining 36,084.7 Class B Shares were cancelled, effective August 20, 2025. The Class B Shares were exchangeable at the holder’s option for Common Shares on the basis of 0.26316 Common Shares for 1 Class B Share, subject to customary adjustments. As of the date of this MD&amp;A, no Class B Shares are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Adelia Acquisition</w:t>
      </w: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On December 4, 2020, Helus Pharma entered into a contribution agreement, as amended on September 24, 2021, (the “</w:t>
      </w:r>
      <w:r>
        <w:rPr>
          <w:rFonts w:ascii="Times New Roman" w:cs="Times New Roman" w:eastAsia="Times New Roman" w:hAnsi="Times New Roman"/>
          <w:sz w:val="20"/>
          <w:szCs w:val="20"/>
          <w:b w:val="1"/>
          <w:bCs w:val="1"/>
          <w:color w:val="auto"/>
        </w:rPr>
        <w:t>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with Helus Pharma Corp., Helus US Inc. (formerly Cybin US Holdings Inc.)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a newly formed fully-controlled subsidiary of Helus Pharma created for the purposes of the Adelia Transaction, and all of the shareholders of Adelia (the “</w:t>
      </w:r>
      <w:r>
        <w:rPr>
          <w:rFonts w:ascii="Times New Roman" w:cs="Times New Roman" w:eastAsia="Times New Roman" w:hAnsi="Times New Roman"/>
          <w:sz w:val="20"/>
          <w:szCs w:val="20"/>
          <w:b w:val="1"/>
          <w:bCs w:val="1"/>
          <w:color w:val="auto"/>
        </w:rPr>
        <w:t>Adelia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whereby the Acquiror has agreed to purchase from the Adelia Shareholders all of the issued and outstanding common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Adelia (the “</w:t>
      </w:r>
      <w:r>
        <w:rPr>
          <w:rFonts w:ascii="Times New Roman" w:cs="Times New Roman" w:eastAsia="Times New Roman" w:hAnsi="Times New Roman"/>
          <w:sz w:val="20"/>
          <w:szCs w:val="20"/>
          <w:b w:val="1"/>
          <w:bCs w:val="1"/>
          <w:color w:val="auto"/>
        </w:rPr>
        <w:t>Adelia Shares</w:t>
      </w:r>
      <w:r>
        <w:rPr>
          <w:rFonts w:ascii="Times New Roman" w:cs="Times New Roman" w:eastAsia="Times New Roman" w:hAnsi="Times New Roman"/>
          <w:sz w:val="20"/>
          <w:szCs w:val="20"/>
          <w:color w:val="auto"/>
        </w:rPr>
        <w:t>”) in exchange for non-voting Class B common shares in the capital of the Acquiror (the “</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Adelia Transaction</w:t>
      </w:r>
      <w:r>
        <w:rPr>
          <w:rFonts w:ascii="Times New Roman" w:cs="Times New Roman" w:eastAsia="Times New Roman" w:hAnsi="Times New Roman"/>
          <w:sz w:val="20"/>
          <w:szCs w:val="20"/>
          <w:color w:val="auto"/>
        </w:rPr>
        <w:t>”). The Adelia Transaction closed on December 14, 2020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C$12.40 (approximately $9.69). The aggregate value of the Class B Shares to be issued to the Adelia Shareholders on the Closing was C$19,549 (approximately $15.28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 w:cs="Times New Roman" w:eastAsia="Times New Roman" w:hAnsi="Times New Roman"/>
          <w:sz w:val="21"/>
          <w:szCs w:val="21"/>
          <w:color w:val="auto"/>
        </w:rPr>
        <w:t>228,640</w:t>
      </w:r>
      <w:r>
        <w:rPr>
          <w:rFonts w:ascii="Times New Roman" w:cs="Times New Roman" w:eastAsia="Times New Roman" w:hAnsi="Times New Roman"/>
          <w:sz w:val="20"/>
          <w:szCs w:val="20"/>
          <w:color w:val="auto"/>
        </w:rPr>
        <w:t xml:space="preserve"> Common Shares, resulting in an effective issue price of C</w:t>
      </w:r>
      <w:r>
        <w:rPr>
          <w:rFonts w:ascii="Times New Roman" w:cs="Times New Roman" w:eastAsia="Times New Roman" w:hAnsi="Times New Roman"/>
          <w:sz w:val="21"/>
          <w:szCs w:val="21"/>
          <w:color w:val="auto"/>
        </w:rPr>
        <w:t>$47.12</w:t>
      </w:r>
      <w:r>
        <w:rPr>
          <w:rFonts w:ascii="Times New Roman" w:cs="Times New Roman" w:eastAsia="Times New Roman" w:hAnsi="Times New Roman"/>
          <w:sz w:val="20"/>
          <w:szCs w:val="20"/>
          <w:color w:val="auto"/>
        </w:rPr>
        <w:t xml:space="preserve"> per Helus Pharma Share.</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On the occurrence of certain milestones as set out in the Contribution Agreement (each a “</w:t>
      </w:r>
      <w:r>
        <w:rPr>
          <w:rFonts w:ascii="Times New Roman" w:cs="Times New Roman" w:eastAsia="Times New Roman" w:hAnsi="Times New Roman"/>
          <w:sz w:val="20"/>
          <w:szCs w:val="20"/>
          <w:b w:val="1"/>
          <w:bCs w:val="1"/>
          <w:color w:val="auto"/>
        </w:rPr>
        <w:t>Milestone</w:t>
      </w:r>
      <w:r>
        <w:rPr>
          <w:rFonts w:ascii="Times New Roman" w:cs="Times New Roman" w:eastAsia="Times New Roman" w:hAnsi="Times New Roman"/>
          <w:sz w:val="20"/>
          <w:szCs w:val="20"/>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20"/>
          <w:szCs w:val="20"/>
          <w:b w:val="1"/>
          <w:bCs w:val="1"/>
          <w:color w:val="auto"/>
        </w:rPr>
        <w:t>Milestone Determination Date</w:t>
      </w:r>
      <w:r>
        <w:rPr>
          <w:rFonts w:ascii="Times New Roman" w:cs="Times New Roman" w:eastAsia="Times New Roman" w:hAnsi="Times New Roman"/>
          <w:sz w:val="20"/>
          <w:szCs w:val="20"/>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C$28.50; (ii) the 10 day volume weighted average trading price of the Common Shares on the Cboe Canada (or, in the event that the Common Shares are no longer traded on the Cboe Canada, such other nationally recognized exchange as the Common Shares may at the applicable time be trading); and (iii) the closing market price of the Common Shares on the Cboe Canada (or, in the event that the Common Shares are no longer traded on the Cboe Canada,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C$9,388 (approximately $7.33 million). Pursuant to the Contribution Agreement, Helus Pharma, the Acquiror and the Adelia Shareholders also entered into a support agreement dated December 14, 2020 (the “</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 which for the purpose of Canadian securities law, is deemed a “security” as it is a document evidencing an interest in or to a security (i.e. the Common Shares), and, as such, constitutes a security of Helus Pharma.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91" w:lineRule="auto"/>
        <w:rPr>
          <w:sz w:val="20"/>
          <w:szCs w:val="20"/>
          <w:color w:val="auto"/>
        </w:rPr>
      </w:pPr>
      <w:r>
        <w:rPr>
          <w:rFonts w:ascii="Times New Roman" w:cs="Times New Roman" w:eastAsia="Times New Roman" w:hAnsi="Times New Roman"/>
          <w:sz w:val="20"/>
          <w:szCs w:val="20"/>
          <w:color w:val="auto"/>
        </w:rPr>
        <w:t>As of August 31, 2022, all of the Milestones contemplated by the terms of the Adelia Contribution Agreement were successfully achieved and as a result 1,591,625.3 Class B Shares have been issued and 1,555,540.6 Class B Shares have been exchanged into Common Shares. Effective August 20, 2025, the remaining 36,084.7 Class B Shares were cancelled. The Milestones focused on bringing Helus Pharma’s NSA programs from the lab to the clinic. As Helus Pharma has advanced its research and development pipeline, these milestone achievements have contributed to discovering potential new drug formulations and delivery methods, creating clinical protocols for certain of its NSA compounds, and most recently, supporting clinical-stage development of the Company’s HLP003 and HLP004 programs for MDD and anxiety disorders, respectively.</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Pursuant to the Contribution Agreement certain members of Adelia entered into advisory and/or executive employment arrangements with Helus Pharma upon the Closing and, in such capacity, received, in the aggregate, a grant of options to purchase up to 59,055 Common Shares, pursuant to Helus Pharma’s equity incentive plan, exercisable for a period of five (5) years and subject to vesting, at an exercise price of $66.12 per Helus Pharma Share. An additional 14,629 options to acquire Common Shares were issued to eligible participants at the direction of the Adelia Shareholders following the Closing.</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transitioned into advisory roles at the Company. Alex Nivorozhkin Ph.D., one of Adelia’s founders, is continuing in his role as Chief Scientific Officer of Helus Pharma.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Small Pharma Acquisition</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August 28, 2023, the Company entered into the Arrangement Agreement with Small Pharma pursuant to which Helus Pharma agreed to acquire all of the issued and outstanding shares of Small Pharma (each, a “</w:t>
      </w:r>
      <w:r>
        <w:rPr>
          <w:rFonts w:ascii="Times New Roman" w:cs="Times New Roman" w:eastAsia="Times New Roman" w:hAnsi="Times New Roman"/>
          <w:sz w:val="20"/>
          <w:szCs w:val="20"/>
          <w:b w:val="1"/>
          <w:bCs w:val="1"/>
          <w:color w:val="auto"/>
        </w:rPr>
        <w:t>Small Pharma Share</w:t>
      </w:r>
      <w:r>
        <w:rPr>
          <w:rFonts w:ascii="Times New Roman" w:cs="Times New Roman" w:eastAsia="Times New Roman" w:hAnsi="Times New Roman"/>
          <w:sz w:val="20"/>
          <w:szCs w:val="20"/>
          <w:color w:val="auto"/>
        </w:rPr>
        <w:t>”) in an all-equity business combination transaction to be completed by way the Arrangement.</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September 13, 2023, Small Pharma was granted an interim order (the “</w:t>
      </w:r>
      <w:r>
        <w:rPr>
          <w:rFonts w:ascii="Times New Roman" w:cs="Times New Roman" w:eastAsia="Times New Roman" w:hAnsi="Times New Roman"/>
          <w:sz w:val="20"/>
          <w:szCs w:val="20"/>
          <w:b w:val="1"/>
          <w:bCs w:val="1"/>
          <w:color w:val="auto"/>
        </w:rPr>
        <w:t>Interim Order</w:t>
      </w:r>
      <w:r>
        <w:rPr>
          <w:rFonts w:ascii="Times New Roman" w:cs="Times New Roman" w:eastAsia="Times New Roman" w:hAnsi="Times New Roman"/>
          <w:sz w:val="20"/>
          <w:szCs w:val="20"/>
          <w:color w:val="auto"/>
        </w:rPr>
        <w:t>”) by the Supreme Court of British Columbia (the “</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October 12, 2023, the Company held an annual and special meeting of shareholders (the “</w:t>
      </w:r>
      <w:r>
        <w:rPr>
          <w:rFonts w:ascii="Times New Roman" w:cs="Times New Roman" w:eastAsia="Times New Roman" w:hAnsi="Times New Roman"/>
          <w:sz w:val="20"/>
          <w:szCs w:val="20"/>
          <w:b w:val="1"/>
          <w:bCs w:val="1"/>
          <w:color w:val="auto"/>
        </w:rPr>
        <w:t>Special Meeting</w:t>
      </w:r>
      <w:r>
        <w:rPr>
          <w:rFonts w:ascii="Times New Roman" w:cs="Times New Roman" w:eastAsia="Times New Roman" w:hAnsi="Times New Roman"/>
          <w:sz w:val="20"/>
          <w:szCs w:val="20"/>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October 23, 2023, the Company completed the Arrangement and issued 0.00634 Common Shares for every one Small Pharma Share outstanding, resulting in a total of 2,130,138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110" w:name="page111"/>
    <w:bookmarkEnd w:id="110"/>
    <w:p>
      <w:pPr>
        <w:jc w:val="both"/>
        <w:spacing w:after="0" w:line="277" w:lineRule="auto"/>
        <w:rPr>
          <w:sz w:val="20"/>
          <w:szCs w:val="20"/>
          <w:color w:val="auto"/>
        </w:rPr>
      </w:pPr>
      <w:r>
        <w:rPr>
          <w:rFonts w:ascii="Times New Roman" w:cs="Times New Roman" w:eastAsia="Times New Roman" w:hAnsi="Times New Roman"/>
          <w:sz w:val="20"/>
          <w:szCs w:val="20"/>
          <w:color w:val="auto"/>
        </w:rPr>
        <w:t>being issued to Small Pharma shareholders. As a result of the Arrangement, Small Pharma became a wholly-owned subsidiary of Helus Pharma.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at December 31, 2025, and the date of this MD&amp;A, other than those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Between Related Parties</w:t>
      </w:r>
    </w:p>
    <w:p>
      <w:pPr>
        <w:spacing w:after="0" w:line="24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Key management personnel of the Company are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the President, Chief Executive Officer, Chief Financial Officer, Chief Operating Officer, Chief Growth Officer, Chief Legal Officer, and Chief Business Officer.</w:t>
      </w:r>
    </w:p>
    <w:p>
      <w:pPr>
        <w:spacing w:after="0" w:line="1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Compensation for key management personnel of the Company for the three and nine month periods ended December 31, 2025, consisted of consulting fees, short term benefits and other compensation of $4,307 and $7,753, respectively (three and nine-month periods ended December 31, 2024 - $2,082 and $22,581).</w:t>
      </w:r>
    </w:p>
    <w:p>
      <w:pPr>
        <w:spacing w:after="0" w:line="16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The Board of Directors formed a committee to conduct a formal search for a 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xml:space="preserve">”) to guide the Company through its next phase of growth and clinical advancement. On February 10, 2026, the Company announced the appointment of Michael Cola as CEO, effective immediately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September 26, 2025, the Board authorized the Company to enter into amended consulting agreements with the Company’s President and Interim Chief Executive Officer, Eric So, and Chief Growth Officer, Paul Glavine (each, an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through their respective consulting corporation, pursuant to which each Executive would be entitled to receive, subject to the approval of the Board and the terms of the Helus Pharma’s equity incentive plan, performance-based awards within the available equity pool on or prior to December 31, 2026 or cash payments in lieu thereof. Such performance awards would vest into Common Shares over a three-year period following the grant date, subject to acceleration upon satisfaction of certain performance-related conditions or other customary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29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color w:val="auto"/>
        </w:rPr>
        <w:t>The Board has adopted a shareholder rights plan (the “</w:t>
      </w:r>
      <w:r>
        <w:rPr>
          <w:rFonts w:ascii="Times New Roman" w:cs="Times New Roman" w:eastAsia="Times New Roman" w:hAnsi="Times New Roman"/>
          <w:sz w:val="19"/>
          <w:szCs w:val="19"/>
          <w:b w:val="1"/>
          <w:bCs w:val="1"/>
          <w:color w:val="auto"/>
        </w:rPr>
        <w:t>Rights Plan</w:t>
      </w:r>
      <w:r>
        <w:rPr>
          <w:rFonts w:ascii="Times New Roman" w:cs="Times New Roman" w:eastAsia="Times New Roman" w:hAnsi="Times New Roman"/>
          <w:sz w:val="19"/>
          <w:szCs w:val="19"/>
          <w:color w:val="auto"/>
        </w:rPr>
        <w:t>”) to ensure, to the extent possible, that all shareholders of the Company and the Board have adequate time to consider and evaluate any unsolicited take-over bid for the Company, provide the Board with adequate time to evaluate any such take-over bid and explore and develop value-enhancing alternatives to any such take-over bid, encourage the fair treatment of the Company’s shareholders in connection with any such take-over bid, and generally assist the Board in enhancing shareholder value. The Rights Plan was approved by the Company’s shareholders on, and took effect as of, August 16, 2021. An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2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Rights Plan was approved by shareholders at the Company’s annual and special meeting of shareholders held on August 27,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the Financial Statements requires management to make certain estimates, judgments and assumptions that affect the reported amounts of assets and liabilities at the date of the financial statements and reported amounts of expenses during the reporting year. Actual outcomes could differ from these estimates. The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2 of the Financial Statements and in note 3 of the Company’s annual consolidated financial statements for the year ended March 31, 2025 found on SEDAR+ at www.sedarplus.ca.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Significant Accounting Policies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The Company’s significant accounting policies are set out in note 2 of the Company’s annual consolidated financial statements for the year ended March 31, 2025, found on SEDAR+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Management maintains appropriate information systems, procedures and controls to provide reasonable assurance that information that is publicly disclosed is complete, reliable and timely. The Chief Executive Officer (the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Chief Financial Officer (the “</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Control Over Financial Reporting</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112" w:name="page113"/>
    <w:bookmarkEnd w:id="112"/>
    <w:p>
      <w:pPr>
        <w:ind w:left="620" w:hanging="291"/>
        <w:spacing w:after="0"/>
        <w:tabs>
          <w:tab w:leader="none" w:pos="6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records in reasonable detail, that accurately and fairly reflect the transactions and dispositions of assets;</w:t>
      </w:r>
    </w:p>
    <w:p>
      <w:pPr>
        <w:spacing w:after="0" w:line="52" w:lineRule="exact"/>
        <w:rPr>
          <w:rFonts w:ascii="Arial" w:cs="Arial" w:eastAsia="Arial" w:hAnsi="Arial"/>
          <w:sz w:val="20"/>
          <w:szCs w:val="20"/>
          <w:color w:val="auto"/>
        </w:rPr>
      </w:pPr>
    </w:p>
    <w:p>
      <w:pPr>
        <w:ind w:left="660" w:hanging="331"/>
        <w:spacing w:after="0" w:line="281" w:lineRule="auto"/>
        <w:tabs>
          <w:tab w:leader="none" w:pos="624"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that transactions are recorded as necessary to permit preparation of financial statements in accordance with applicable IFRS;</w:t>
      </w:r>
    </w:p>
    <w:p>
      <w:pPr>
        <w:ind w:left="620" w:hanging="291"/>
        <w:spacing w:after="0"/>
        <w:tabs>
          <w:tab w:leader="none" w:pos="6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receipts and expenditures are only being made in accordance with authorizations of management or the Board; and</w:t>
      </w:r>
    </w:p>
    <w:p>
      <w:pPr>
        <w:spacing w:after="0" w:line="52" w:lineRule="exact"/>
        <w:rPr>
          <w:rFonts w:ascii="Arial" w:cs="Arial" w:eastAsia="Arial" w:hAnsi="Arial"/>
          <w:sz w:val="20"/>
          <w:szCs w:val="20"/>
          <w:color w:val="auto"/>
        </w:rPr>
      </w:pPr>
    </w:p>
    <w:p>
      <w:pPr>
        <w:ind w:left="660" w:right="20" w:hanging="331"/>
        <w:spacing w:after="0" w:line="310" w:lineRule="auto"/>
        <w:tabs>
          <w:tab w:leader="none" w:pos="624"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regarding prevention or timely detection of unauthorized acquisition, use or disposition of the Company’s assets that could have a material effect on the financial instruments.</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During the period ended December 31, 2025, the Company did not make any significant changes to its internal controls over financial reporting that would have materially affected, or reasonably likely to materially affect, its internal controls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Disclosure Controls and Procedures and Internal Control Over Financial Reporting</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Standards and Interpretations Not Yet Adopted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18, Presentation and Disclosure in Financial Statements</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April 2024, the IASB issued IFRS 18 that will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9, Financial Instruments (“IFRS 9”) and IFRS 7, Financial Instruments: Disclosures (“IFRS 7”)</w:t>
      </w:r>
    </w:p>
    <w:p>
      <w:pPr>
        <w:spacing w:after="0" w:line="2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93" w:lineRule="auto"/>
        <w:rPr>
          <w:sz w:val="20"/>
          <w:szCs w:val="20"/>
          <w:color w:val="auto"/>
        </w:rPr>
      </w:pPr>
      <w:r>
        <w:rPr>
          <w:rFonts w:ascii="Times New Roman" w:cs="Times New Roman" w:eastAsia="Times New Roman" w:hAnsi="Times New Roman"/>
          <w:sz w:val="20"/>
          <w:szCs w:val="20"/>
          <w:color w:val="auto"/>
        </w:rPr>
        <w:t>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will be effective for annual periods beginning on or after January 1, 2026. The Company is in the process of assessing the impact of the standard on the consolidated financial statements.</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All other IFRSs and amendments issued but not yet effective have been assessed by the Company and are not expected to have a material impact on the Company’s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Risk Management</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13,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Company noted the following risks specific to the pharmaceutical industry that it is exposed 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Risk</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Company routinely monitors regulatory changes occurring in the regulation of serotonergic agonists as controlled substances at the city, state, and national levels as it relates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114" w:name="page115"/>
    <w:bookmarkEnd w:id="114"/>
    <w:p>
      <w:pPr>
        <w:jc w:val="both"/>
        <w:spacing w:after="0" w:line="325" w:lineRule="auto"/>
        <w:rPr>
          <w:sz w:val="20"/>
          <w:szCs w:val="20"/>
          <w:color w:val="auto"/>
        </w:rPr>
      </w:pPr>
      <w:r>
        <w:rPr>
          <w:rFonts w:ascii="Times New Roman" w:cs="Times New Roman" w:eastAsia="Times New Roman" w:hAnsi="Times New Roman"/>
          <w:sz w:val="20"/>
          <w:szCs w:val="20"/>
          <w:color w:val="auto"/>
        </w:rPr>
        <w:t>pharmaceutical industry. Although the general regulatory outlook for the industry has been moving in a positive direction, unforeseen regulatory changes could have a material adverse effect on the business as a whole.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Currency Risk</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United States dollar.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Subsequent Events</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January 5, 2026, the Company transferred its U.S. stock exchange listing from NYSE American (previous ticker: CYBN) to the Nasdaq under the ticker symbol “HELP”. The Company continues to be listed on Cboe Canada under the same “HELP” ticker symbol. Concurrent with the commencement of trading on Nasdaq, the Company announced it will be doing business as Helus (pronounced "Heal Us") Pharma. The Company expects to seek approval from shareholders to change its legal name to Helus Pharma Inc. at the Company's next annual and special meeting of shareholders. Furthermore, the following subsidiaries have changed their legal names: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Prior Name</w:t>
            </w:r>
          </w:p>
        </w:tc>
        <w:tc>
          <w:tcPr>
            <w:tcW w:w="37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New Name</w:t>
            </w:r>
          </w:p>
        </w:tc>
        <w:tc>
          <w:tcPr>
            <w:tcW w:w="44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Effective Date</w:t>
            </w:r>
          </w:p>
        </w:tc>
      </w:tr>
      <w:tr>
        <w:trPr>
          <w:trHeight w:val="244"/>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US Holdings Inc.</w:t>
            </w:r>
          </w:p>
        </w:tc>
        <w:tc>
          <w:tcPr>
            <w:tcW w:w="37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US Inc.</w:t>
            </w:r>
          </w:p>
        </w:tc>
        <w:tc>
          <w:tcPr>
            <w:tcW w:w="44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January 2, 2026</w:t>
            </w:r>
          </w:p>
        </w:tc>
      </w:tr>
      <w:tr>
        <w:trPr>
          <w:trHeight w:val="256"/>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Corp.</w:t>
            </w:r>
          </w:p>
        </w:tc>
        <w:tc>
          <w:tcPr>
            <w:tcW w:w="37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Pharma Corp.</w:t>
            </w:r>
          </w:p>
        </w:tc>
        <w:tc>
          <w:tcPr>
            <w:tcW w:w="44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January 5, 2026</w:t>
            </w:r>
          </w:p>
        </w:tc>
      </w:tr>
      <w:tr>
        <w:trPr>
          <w:trHeight w:val="258"/>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International Limited</w:t>
            </w:r>
          </w:p>
        </w:tc>
        <w:tc>
          <w:tcPr>
            <w:tcW w:w="37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International Limited</w:t>
            </w:r>
          </w:p>
        </w:tc>
        <w:tc>
          <w:tcPr>
            <w:tcW w:w="44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January 6, 2026</w:t>
            </w:r>
          </w:p>
        </w:tc>
      </w:tr>
    </w:tbl>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February 10, 2026, the Company announced the appointment of Michael Cola as CEO, effective immediately.</w:t>
      </w:r>
    </w:p>
    <w:p>
      <w:pPr>
        <w:spacing w:after="0" w:line="297" w:lineRule="exact"/>
        <w:rPr>
          <w:sz w:val="20"/>
          <w:szCs w:val="20"/>
          <w:color w:val="auto"/>
        </w:rPr>
      </w:pPr>
    </w:p>
    <w:p>
      <w:pPr>
        <w:jc w:val="both"/>
        <w:spacing w:after="0" w:line="276" w:lineRule="exact"/>
        <w:rPr>
          <w:sz w:val="20"/>
          <w:szCs w:val="20"/>
          <w:color w:val="auto"/>
        </w:rPr>
      </w:pPr>
      <w:r>
        <w:rPr>
          <w:rFonts w:ascii="Times New Roman" w:cs="Times New Roman" w:eastAsia="Times New Roman" w:hAnsi="Times New Roman"/>
          <w:sz w:val="20"/>
          <w:szCs w:val="20"/>
          <w:color w:val="auto"/>
        </w:rPr>
        <w:t>On February 10, 2026, the Company granted a total of 975,000 RSUs as an inducement grant outside of the Company's equity incentive plan and 325,000 PSUs granted under the Company's equity incentive plan to an individual who was appointed as an officer of the Company on February 10, 2026. The RSUs were granted at no cost to the recipient and vest in thirteen installments over four years, subject to continued engagement or employment. The PSUs were granted at no cost to the recipient and vest based on both market and service conditions, in accordance with the terms of the PSU agreement. Vesting occurs in three tranches and requires the achievement of specified Common Share price targets during the period from February 10, 2026 to February 10, 2031, as well as continued service through the applicable service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based dates. Each RSU and PSU entitles the holder to receive one Common Share upon vesting.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addition to the risks described herein, reference is made to the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115" w:name="page116"/>
    <w:bookmarkEnd w:id="115"/>
    <w:p>
      <w:pPr>
        <w:jc w:val="both"/>
        <w:spacing w:after="0" w:line="293" w:lineRule="auto"/>
        <w:rPr>
          <w:sz w:val="20"/>
          <w:szCs w:val="20"/>
          <w:color w:val="auto"/>
        </w:rPr>
      </w:pPr>
      <w:r>
        <w:rPr>
          <w:rFonts w:ascii="Times New Roman" w:cs="Times New Roman" w:eastAsia="Times New Roman" w:hAnsi="Times New Roman"/>
          <w:sz w:val="20"/>
          <w:szCs w:val="20"/>
          <w:color w:val="auto"/>
        </w:rPr>
        <w:t>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Company’s Business and Industry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Operating History</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Common Shares commenced trading on Cboe Canada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Achieving Publicly Announced Milestones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Speculative Nature of Investment Risk</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Early Stage of the Industry and Product Development</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20"/>
          <w:szCs w:val="20"/>
          <w:b w:val="1"/>
          <w:bCs w:val="1"/>
          <w:color w:val="auto"/>
        </w:rPr>
        <w:t>PDD</w:t>
      </w:r>
      <w:r>
        <w:rPr>
          <w:rFonts w:ascii="Times New Roman" w:cs="Times New Roman" w:eastAsia="Times New Roman" w:hAnsi="Times New Roman"/>
          <w:sz w:val="20"/>
          <w:szCs w:val="20"/>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20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17" w:name="page118"/>
    <w:bookmarkEnd w:id="117"/>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third-party payors, or proposed changes in health care systems. If the Company is unable to successfully market and commercialize any of its products, its financial condition and results of operations may be materially and adversely affected.</w:t>
      </w:r>
    </w:p>
    <w:p>
      <w:pPr>
        <w:spacing w:after="0" w:line="1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The Company’s business relies on its ability to access, develop, and sell HLP003, HLP004, HLP005 and any other compounds the Company is developing or may develop. HLP003, HLP004, certain compounds being developed under the HLP005 Program, and other compounds being developed by the Company are controlled substances in many jurisdictions, including in Canada under Schedule III of the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Drugs and Substances Act </w:t>
      </w:r>
      <w:r>
        <w:rPr>
          <w:rFonts w:ascii="Times New Roman" w:cs="Times New Roman" w:eastAsia="Times New Roman" w:hAnsi="Times New Roman"/>
          <w:sz w:val="20"/>
          <w:szCs w:val="20"/>
          <w:color w:val="auto"/>
        </w:rPr>
        <w:t>and in the United States. The Company may face difficulty accessing the public capital markets in Canada 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United States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HLP003, HLP004 and other compounds being developed under the HLP005 Program has not been confirmed and requires further study and scientific rigour.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Risks and Uncertainties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In Canada, certain drugs, including HLP003 and HLP004, are classified as Schedule III drugs under the CDSA and as such, medical and recreational use is illegal under Canadian federal laws. In the United States, certain serotonergic agonists, including HLP003 and HLP004, are classified as Schedule I drugs under the CSA and the Controlled Substances Import and Export Act and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118" w:name="page119"/>
    <w:bookmarkEnd w:id="118"/>
    <w:p>
      <w:pPr>
        <w:jc w:val="both"/>
        <w:spacing w:after="0" w:line="273" w:lineRule="auto"/>
        <w:rPr>
          <w:sz w:val="20"/>
          <w:szCs w:val="20"/>
          <w:color w:val="auto"/>
        </w:rPr>
      </w:pPr>
      <w:r>
        <w:rPr>
          <w:rFonts w:ascii="Times New Roman" w:cs="Times New Roman" w:eastAsia="Times New Roman" w:hAnsi="Times New Roman"/>
          <w:sz w:val="20"/>
          <w:szCs w:val="20"/>
          <w:color w:val="auto"/>
        </w:rPr>
        <w:t>medical and recreational use is illegal under the U.S. federal laws. Anyone wishing to conduct research on substances listed in Schedule I under the CSA must register with the DEA and obtain DEA approval of the research proposal. The EU member states currently classify HLP003 and HLP004 as a Schedule I substance under the UN 71 and, as such, a licence is required to produce, dispense, import or export any Schedule I substances, but the specific requirements vary from country to country. Currently in the Netherlands, HLP004 is classified as a List 1 Drug under the Dutch Opium Act and, as such, subject to express authorization being obtained, the production, trade and possession of HLP004 are prohibited. In the United Kingdom, HLP003 and HLP004 are controlled as a Class A drug under the MDA and Schedule 1 drug under the MDR. Schedule 1 drugs can only be lawfully manufactured, produced, possessed and supplied under a controlled drugs domestic licence issued by the UK Home Office.</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There is no guarantee that HLP003, HLP004, compounds being developed under the HLP005 Program or any other compounds the Company may develop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serotonergic agonist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1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loss of the necessary licences and permits for any of the above scheduled drugs could have an adverse effect on the Company’s operations.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NSA segment of the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20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success of the Company’s business is dependent on the reform of controlled substances laws pertaining to HLP003 and HLP004. If controlled substances laws are not favourably reformed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26" w:right="339" w:bottom="1440" w:gutter="0" w:footer="0" w:header="0"/>
        </w:sectPr>
      </w:pPr>
    </w:p>
    <w:bookmarkStart w:id="119" w:name="page120"/>
    <w:bookmarkEnd w:id="119"/>
    <w:p>
      <w:pPr>
        <w:jc w:val="both"/>
        <w:spacing w:after="0" w:line="325" w:lineRule="auto"/>
        <w:rPr>
          <w:sz w:val="20"/>
          <w:szCs w:val="20"/>
          <w:color w:val="auto"/>
        </w:rPr>
      </w:pPr>
      <w:r>
        <w:rPr>
          <w:rFonts w:ascii="Times New Roman" w:cs="Times New Roman" w:eastAsia="Times New Roman" w:hAnsi="Times New Roman"/>
          <w:sz w:val="20"/>
          <w:szCs w:val="20"/>
          <w:color w:val="auto"/>
        </w:rPr>
        <w:t>United States, the UK, the EU, and other global jurisdictions, the commercial opportunity that the Company is pursuing may be highly limited.</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makes no medical, treatment or health benefit claims about the Company’s proposed products. The FDA, Health Canada, the EMA or other similar regulatory authorities have not evaluated claims regarding HLP003, HLP004, or compounds being developed under the HLP005 Program. The efficacy of such products have not been confirmed by approved research. There is no assurance that the use of HLP003, HLP004, or compounds being developed under the HLP005 Program can diagnose, treat, cure or prevent any disease or condition. Vigorous scientific research and clinical trials are needed. The Company is currently conducting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of Operating in Australia and European Countries</w:t>
      </w:r>
    </w:p>
    <w:p>
      <w:pPr>
        <w:spacing w:after="0" w:line="28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The Company is subject to additional risks related to operating in Australia and certain countries in Europe including: (i) differing regulatory requirements in Australia and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w:t>
      </w:r>
    </w:p>
    <w:p>
      <w:pPr>
        <w:spacing w:after="0" w:line="1"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taxes, including withholding of payroll taxes; (vii) foreign currency fluctuations, which could result in increased operating</w:t>
      </w:r>
    </w:p>
    <w:p>
      <w:pPr>
        <w:spacing w:after="0" w:line="53"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Australia and those European countries that do not respect and protect intellectual</w:t>
      </w:r>
    </w:p>
    <w:p>
      <w:pPr>
        <w:spacing w:after="0" w:line="1" w:lineRule="exact"/>
        <w:rPr>
          <w:rFonts w:ascii="Times New Roman" w:cs="Times New Roman" w:eastAsia="Times New Roman" w:hAnsi="Times New Roman"/>
          <w:sz w:val="20"/>
          <w:szCs w:val="20"/>
          <w:color w:val="auto"/>
        </w:rPr>
      </w:pPr>
    </w:p>
    <w:p>
      <w:pPr>
        <w:jc w:val="both"/>
        <w:spacing w:after="0" w:line="34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7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These and other risks associated with the Company’s international operations may materially adversely affect its ability to attain or maintain profitable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Private Issuer” Status Under the U.S. Securities Laws</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303" w:lineRule="auto"/>
        <w:rPr>
          <w:sz w:val="20"/>
          <w:szCs w:val="20"/>
          <w:color w:val="auto"/>
        </w:rPr>
      </w:pPr>
      <w:r>
        <w:rPr>
          <w:rFonts w:ascii="Times New Roman" w:cs="Times New Roman" w:eastAsia="Times New Roman" w:hAnsi="Times New Roman"/>
          <w:sz w:val="20"/>
          <w:szCs w:val="20"/>
          <w:color w:val="auto"/>
        </w:rPr>
        <w:t>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Plans for Growth</w:t>
      </w:r>
    </w:p>
    <w:p>
      <w:pPr>
        <w:spacing w:after="0" w:line="26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Products</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will be heavily reliant on the production and distribution of NSAs and related products. If they do not achieve sufficient market acceptance, it will be difficult for the Company to achieve profitability.</w:t>
      </w:r>
    </w:p>
    <w:p>
      <w:pPr>
        <w:spacing w:after="0" w:line="1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revenue will be derived almost exclusively from sales of NSA pharmaceutical products, and the Company expects that its NSA pharmaceutical products will account for substantially all of its revenue for the foreseeable future. If the NSA pharmaceutical market segment declines or fails to achieve substantially greater market acceptance than it currently enjoys, the Company will not be able to grow its revenues sufficiently for it to achieve consistent profitability.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Even if products to be distributed by the Company conform to international safety and quality standards, sales could be adversely affected if consumers in target markets lose confidence in the safety, efficacy, and quality of NSA pharmaceutical products. Adverse publicity about serotonergic agonist pharmaceutical products, similar to those that the Company may sell or the NSAs that the Company may sell could discourage consumers from buying products distributed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Marketing and Sales Capabilities</w:t>
      </w:r>
    </w:p>
    <w:p>
      <w:pPr>
        <w:spacing w:after="0" w:line="30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Assurance of Commercial Success</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Profits or Significant Revenues</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Third Parties for Clinical Development Activities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3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Third Party Relationships</w:t>
      </w:r>
    </w:p>
    <w:p>
      <w:pPr>
        <w:spacing w:after="0" w:line="30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addition to the foregoing, the success of the Company’s business will depend, in large part, on the Company’s ability to enter into, and maintain collaborative arrangements with various participants in the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Contract Manufacturers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has limited manufacturing experience and relies on contract manufacturing organizations (“</w:t>
      </w:r>
      <w:r>
        <w:rPr>
          <w:rFonts w:ascii="Times New Roman" w:cs="Times New Roman" w:eastAsia="Times New Roman" w:hAnsi="Times New Roman"/>
          <w:sz w:val="20"/>
          <w:szCs w:val="20"/>
          <w:b w:val="1"/>
          <w:bCs w:val="1"/>
          <w:color w:val="auto"/>
        </w:rPr>
        <w:t>CMOs</w:t>
      </w:r>
      <w:r>
        <w:rPr>
          <w:rFonts w:ascii="Times New Roman" w:cs="Times New Roman" w:eastAsia="Times New Roman" w:hAnsi="Times New Roman"/>
          <w:sz w:val="20"/>
          <w:szCs w:val="20"/>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 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36" w:right="339" w:bottom="1440" w:gutter="0" w:footer="0" w:header="0"/>
        </w:sectPr>
      </w:pPr>
    </w:p>
    <w:bookmarkStart w:id="123" w:name="page124"/>
    <w:bookmarkEnd w:id="123"/>
    <w:p>
      <w:pPr>
        <w:jc w:val="both"/>
        <w:spacing w:after="0" w:line="325" w:lineRule="auto"/>
        <w:rPr>
          <w:sz w:val="20"/>
          <w:szCs w:val="20"/>
          <w:color w:val="auto"/>
        </w:rPr>
      </w:pPr>
      <w:r>
        <w:rPr>
          <w:rFonts w:ascii="Times New Roman" w:cs="Times New Roman" w:eastAsia="Times New Roman" w:hAnsi="Times New Roman"/>
          <w:sz w:val="20"/>
          <w:szCs w:val="20"/>
          <w:color w:val="auto"/>
        </w:rPr>
        <w:t>disruption of product supplies. The Company’s dependence upon third parties for the manufacture of its products may adversely affect its profit margins and its ability to develop and deliver products on a timely and competitive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Efficacy of Products</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spacing w:after="0" w:line="22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Testing and Commercializing Products</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21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91"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commencement and completion of clinical trials for the Company’s prescription drug product candidates may be delayed for a number of reasons, including but not limited, to:</w:t>
      </w:r>
    </w:p>
    <w:p>
      <w:pPr>
        <w:spacing w:after="0" w:line="200" w:lineRule="exact"/>
        <w:rPr>
          <w:sz w:val="20"/>
          <w:szCs w:val="20"/>
          <w:color w:val="auto"/>
        </w:rPr>
      </w:pPr>
    </w:p>
    <w:p>
      <w:pPr>
        <w:ind w:left="620" w:hanging="291"/>
        <w:spacing w:after="0"/>
        <w:tabs>
          <w:tab w:leader="none" w:pos="6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regulatory authorities to grant permission to proceed or placing clinical trials on hold;</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termination of clinical trials by regulators for many reasons, including concerns about patient safety or failure of the Company’s CMOs to comply with cGMP requirements or latent defects in product quality;</w:t>
      </w:r>
    </w:p>
    <w:p>
      <w:pPr>
        <w:ind w:left="660" w:hanging="331"/>
        <w:spacing w:after="0" w:line="288" w:lineRule="auto"/>
        <w:tabs>
          <w:tab w:leader="none" w:pos="624"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any changes to the Company’s manufacturing process that may be necessary or desired, delays or failure to obtain clinical supply from CMOs of the Company’s products necessary to conduct clinical trials;</w:t>
      </w:r>
    </w:p>
    <w:p>
      <w:pPr>
        <w:ind w:left="660" w:hanging="331"/>
        <w:spacing w:after="0" w:line="281" w:lineRule="auto"/>
        <w:tabs>
          <w:tab w:leader="none" w:pos="624"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prescription drug product candidates demonstrating a lack of safety or efficacy during clinical trials, reports of clinical testing on similar technologies and products raising safety or efficacy concerns;</w:t>
      </w:r>
    </w:p>
    <w:p>
      <w:pPr>
        <w:ind w:left="620" w:hanging="291"/>
        <w:spacing w:after="0"/>
        <w:tabs>
          <w:tab w:leader="none" w:pos="62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clinical investigators not performing the Company’s clinical trials on their anticipated schedule, dropping out of a trial, or employing</w:t>
      </w:r>
    </w:p>
    <w:p>
      <w:pPr>
        <w:spacing w:after="0" w:line="64" w:lineRule="exact"/>
        <w:rPr>
          <w:rFonts w:ascii="Arial" w:cs="Arial" w:eastAsia="Arial" w:hAnsi="Arial"/>
          <w:sz w:val="19"/>
          <w:szCs w:val="19"/>
          <w:color w:val="auto"/>
        </w:rPr>
      </w:pPr>
    </w:p>
    <w:p>
      <w:pPr>
        <w:ind w:left="660"/>
        <w:spacing w:after="0" w:line="311" w:lineRule="auto"/>
        <w:rPr>
          <w:rFonts w:ascii="Arial" w:cs="Arial" w:eastAsia="Arial" w:hAnsi="Arial"/>
          <w:sz w:val="19"/>
          <w:szCs w:val="19"/>
          <w:color w:val="auto"/>
        </w:rPr>
      </w:pPr>
      <w:r>
        <w:rPr>
          <w:rFonts w:ascii="Times New Roman" w:cs="Times New Roman" w:eastAsia="Times New Roman" w:hAnsi="Times New Roman"/>
          <w:sz w:val="20"/>
          <w:szCs w:val="20"/>
          <w:color w:val="auto"/>
        </w:rPr>
        <w:t>methods not consistent with the clinical trial protocol, regulatory requirements or other third parties not performing data collection and analysis in a timely or accurate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36" w:right="339" w:bottom="1440" w:gutter="0" w:footer="0" w:header="0"/>
        </w:sectPr>
      </w:pPr>
    </w:p>
    <w:bookmarkStart w:id="125" w:name="page126"/>
    <w:bookmarkEnd w:id="125"/>
    <w:p>
      <w:pPr>
        <w:ind w:left="620" w:hanging="291"/>
        <w:spacing w:after="0"/>
        <w:tabs>
          <w:tab w:leader="none" w:pos="6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the Company’s contract research organizations to satisfy their contractual duties or meet expected deadlines;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inspections of clinical trial sites by regulatory authorities;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660" w:hanging="331"/>
        <w:spacing w:after="0" w:line="281" w:lineRule="auto"/>
        <w:tabs>
          <w:tab w:leader="none" w:pos="624"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one or more regulatory authorities or ethics committees rejecting, suspending or terminating the study at an investigational site, precluding enrollment of additional subjects, or withdrawing its approval of the trial; or</w:t>
      </w:r>
    </w:p>
    <w:p>
      <w:pPr>
        <w:ind w:left="620" w:hanging="291"/>
        <w:spacing w:after="0"/>
        <w:tabs>
          <w:tab w:leader="none" w:pos="6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reach agreement on acceptable terms with prospective clinical trial sites.</w:t>
      </w:r>
    </w:p>
    <w:p>
      <w:pPr>
        <w:spacing w:after="0" w:line="2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22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Completion of Clinical Trials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Grade Product Manufacturing</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Regulatory Approvals</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36" w:right="339" w:bottom="1440" w:gutter="0" w:footer="0" w:header="0"/>
        </w:sectPr>
      </w:pPr>
    </w:p>
    <w:bookmarkStart w:id="127" w:name="page128"/>
    <w:bookmarkEnd w:id="127"/>
    <w:p>
      <w:pPr>
        <w:jc w:val="both"/>
        <w:spacing w:after="0" w:line="303" w:lineRule="auto"/>
        <w:rPr>
          <w:sz w:val="20"/>
          <w:szCs w:val="20"/>
          <w:color w:val="auto"/>
        </w:rPr>
      </w:pPr>
      <w:r>
        <w:rPr>
          <w:rFonts w:ascii="Times New Roman" w:cs="Times New Roman" w:eastAsia="Times New Roman" w:hAnsi="Times New Roman"/>
          <w:sz w:val="20"/>
          <w:szCs w:val="20"/>
          <w:color w:val="auto"/>
        </w:rPr>
        <w:t>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 the PDD or other regulatory authorities may impose a risk evaluation and mitigation strategy, thereby imposing certain restrictions on the sale and marketability of such products.</w:t>
      </w:r>
    </w:p>
    <w:p>
      <w:pPr>
        <w:spacing w:after="0" w:line="2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Access and Acceptance</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serotonergic agonist substances, including those resulting in non-ordinary states of consciousness.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28" w:name="page129"/>
    <w:bookmarkEnd w:id="128"/>
    <w:p>
      <w:pPr>
        <w:ind w:right="20"/>
        <w:spacing w:after="0" w:line="325" w:lineRule="auto"/>
        <w:rPr>
          <w:sz w:val="20"/>
          <w:szCs w:val="20"/>
          <w:color w:val="auto"/>
        </w:rPr>
      </w:pPr>
      <w:r>
        <w:rPr>
          <w:rFonts w:ascii="Times New Roman" w:cs="Times New Roman" w:eastAsia="Times New Roman" w:hAnsi="Times New Roman"/>
          <w:sz w:val="20"/>
          <w:szCs w:val="20"/>
          <w:color w:val="auto"/>
        </w:rPr>
        <w:t>payors and health technology assessment bodies will depend on a number of factors, many of which are beyond the Company’s control, including, but not limited to, the following:</w:t>
      </w:r>
    </w:p>
    <w:p>
      <w:pPr>
        <w:spacing w:after="0" w:line="174" w:lineRule="exact"/>
        <w:rPr>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by healthcare professionals, patients and healthcare payors of each product as safe, effective and cost-effective;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any product;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product’s relative convenience, ease of use, ease of administration and other perceived advantages over alternatives;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adverse events or publicity;</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precautions or warnings listed in the summary of product characteristics, patient information leaflet, package labeling or instructions for use;</w:t>
      </w: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with the Company’s product in relation to alternatives;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steps that prescribers and dispensers must take, as well as the perceived risks based upon its controlled substance status;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manufacture the Company’s product in sufficient quantities and yields with adequate purity;</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and amount of coverage and reimbursement from healthcare payors, and the willingness of patients to pay out of pocket in the absence of healthcare payor coverage or adequate reimbursement;</w:t>
      </w: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and of healthcare professionals to prescribe, the product;</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any potential unfavorable publicity, including negative publicity associated with recreational use or abuse of non-deuterated forms of the Company's NSAs or other serotonergic agonist compounds; and</w:t>
      </w:r>
    </w:p>
    <w:p>
      <w:pPr>
        <w:ind w:left="620" w:hanging="291"/>
        <w:spacing w:after="0"/>
        <w:tabs>
          <w:tab w:leader="none" w:pos="6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any restrictions on the use, sale or distribution of the Company’s future products.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industry segment. A failure in the demand for the Company’s products to materialize as a result of competition, technological change or other factors could have a material adverse effect on the business, results of operations and financial condition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Unfavourable Publicity or Consumer Perception</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believes that the serotonergic agonist pharmaceutical industry segment is highly dependent upon consumer perception regarding the safety, efficacy and quality of the pharmaceutical products. Consumer perception of the Company’s pharmaceutical products can be significantly influenced by scientific research or findings, regulatory investigations, litigation, media attention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90" w:lineRule="auto"/>
        <w:rPr>
          <w:sz w:val="20"/>
          <w:szCs w:val="20"/>
          <w:color w:val="auto"/>
        </w:rPr>
      </w:pPr>
      <w:r>
        <w:rPr>
          <w:rFonts w:ascii="Times New Roman" w:cs="Times New Roman" w:eastAsia="Times New Roman" w:hAnsi="Times New Roman"/>
          <w:sz w:val="20"/>
          <w:szCs w:val="20"/>
          <w:color w:val="auto"/>
        </w:rPr>
        <w:t>other publicity regarding the consumption of serotonergic agonists. There can be no assurance that future scientific research, findings, regulatory proceedings, litigation, media attention or other research findings or publicity will be favourable to the serotonergic agonist pharmaceutical industry segment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NSA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NSA products, and the business, results of operations, financial condition and cash flows of the Company. Further, adverse publicity reports or other media attention regarding the safety, efficacy and quality of serotonergic agonist products in general, or the Company’s NSA products and services specifically or associating the consumption of serotonergic agonists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20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serotonergic agonist pharmaceutical industry segment is highly dependent upon consumer perception regarding the medical benefits, safety, efficacy and quality of the medicine distributed for medical purposes to such consumers. There can be no assurance that future scientific research or findings on the medical benefits, viability, safety, efficacy and dosing of HLP003, HLP004, or compounds being developed under the HLP005 Program,, regulatory proceedings, litigation, media attention or other research findings or publicity will be favourable to the industry or the Company or any particular product, or consistent with earlier publicity.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Social Media</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Biotechnology and Pharmaceutical Market Competition</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325" w:lineRule="auto"/>
        <w:rPr>
          <w:sz w:val="20"/>
          <w:szCs w:val="20"/>
          <w:color w:val="auto"/>
        </w:rPr>
      </w:pPr>
      <w:r>
        <w:rPr>
          <w:rFonts w:ascii="Times New Roman" w:cs="Times New Roman" w:eastAsia="Times New Roman" w:hAnsi="Times New Roman"/>
          <w:sz w:val="20"/>
          <w:szCs w:val="20"/>
          <w:color w:val="auto"/>
        </w:rPr>
        <w:t>may be useful. Although there are no approved therapies that specifically target opioid addiction, some competitors use therapeutic approaches that may compete directly with the Company’s prescription drug product candidates.</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221" w:lineRule="exact"/>
        <w:rPr>
          <w:sz w:val="20"/>
          <w:szCs w:val="20"/>
          <w:color w:val="auto"/>
        </w:rPr>
      </w:pPr>
    </w:p>
    <w:p>
      <w:pPr>
        <w:ind w:left="660" w:hanging="331"/>
        <w:spacing w:after="0" w:line="288" w:lineRule="auto"/>
        <w:tabs>
          <w:tab w:leader="none" w:pos="624"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profile of its prescription drug product candidates relative to marketed products and other prescription drug product candidates in development;</w:t>
      </w:r>
    </w:p>
    <w:p>
      <w:pPr>
        <w:ind w:left="620" w:hanging="291"/>
        <w:spacing w:after="0"/>
        <w:tabs>
          <w:tab w:leader="none" w:pos="62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the Company’s ability to develop and maintain a competitive position in the product categories and technologies on which it focuses;</w:t>
      </w:r>
    </w:p>
    <w:p>
      <w:pPr>
        <w:spacing w:after="0" w:line="50" w:lineRule="exact"/>
        <w:rPr>
          <w:rFonts w:ascii="Arial" w:cs="Arial" w:eastAsia="Arial" w:hAnsi="Arial"/>
          <w:sz w:val="19"/>
          <w:szCs w:val="19"/>
          <w:color w:val="auto"/>
        </w:rPr>
      </w:pPr>
    </w:p>
    <w:p>
      <w:pPr>
        <w:ind w:left="660" w:hanging="331"/>
        <w:spacing w:after="0" w:line="288" w:lineRule="auto"/>
        <w:tabs>
          <w:tab w:leader="none" w:pos="624"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time it takes for the Company’s prescription drug product candidates to complete clinical development and receive marketing approval;</w:t>
      </w:r>
    </w:p>
    <w:p>
      <w:pPr>
        <w:ind w:left="620" w:hanging="291"/>
        <w:spacing w:after="0"/>
        <w:tabs>
          <w:tab w:leader="none" w:pos="6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obtain required regulatory approvals;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commercialize any of its prescription drug product candidates that receive regulatory approval;</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establish, maintain and protect intellectual property rights related to its prescription drug product candidates; and</w:t>
      </w:r>
    </w:p>
    <w:p>
      <w:pPr>
        <w:ind w:left="660" w:hanging="331"/>
        <w:spacing w:after="0" w:line="324" w:lineRule="auto"/>
        <w:tabs>
          <w:tab w:leader="none" w:pos="624"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any of the Company’s prescription drug product candidates that receive regulatory approval by physicians and other healthcare providers and payers.</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serotonergic agonist based compounds.</w:t>
      </w:r>
    </w:p>
    <w:p>
      <w:pPr>
        <w:spacing w:after="0" w:line="205"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If the Company is not able to compete effectively against its current and future competitors, the Company’s business will not grow, and its financial condition and operations will substantially suffer.</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could materially and adversely affect the business, financial condition and results of operations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Executives and Scientists</w:t>
      </w:r>
    </w:p>
    <w:p>
      <w:pPr>
        <w:spacing w:after="0" w:line="28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Misconduct</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32" w:name="page133"/>
    <w:bookmarkEnd w:id="132"/>
    <w:p>
      <w:pPr>
        <w:jc w:val="both"/>
        <w:spacing w:after="0" w:line="325" w:lineRule="auto"/>
        <w:rPr>
          <w:sz w:val="20"/>
          <w:szCs w:val="20"/>
          <w:color w:val="auto"/>
        </w:rPr>
      </w:pPr>
      <w:r>
        <w:rPr>
          <w:rFonts w:ascii="Times New Roman" w:cs="Times New Roman" w:eastAsia="Times New Roman" w:hAnsi="Times New Roman"/>
          <w:sz w:val="20"/>
          <w:szCs w:val="20"/>
          <w:color w:val="auto"/>
        </w:rPr>
        <w:t>could have a substantial impact on the Company’s business and results of operations, including the imposition of substantial fines or other sanctions.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Expansion and Growth</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21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Results of External Clinical Trials or Studies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Liability</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33" w:name="page134"/>
    <w:bookmarkEnd w:id="133"/>
    <w:p>
      <w:pPr>
        <w:jc w:val="both"/>
        <w:spacing w:after="0" w:line="325" w:lineRule="auto"/>
        <w:rPr>
          <w:sz w:val="20"/>
          <w:szCs w:val="20"/>
          <w:color w:val="auto"/>
        </w:rPr>
      </w:pPr>
      <w:r>
        <w:rPr>
          <w:rFonts w:ascii="Times New Roman" w:cs="Times New Roman" w:eastAsia="Times New Roman" w:hAnsi="Times New Roman"/>
          <w:sz w:val="20"/>
          <w:szCs w:val="20"/>
          <w:color w:val="auto"/>
        </w:rPr>
        <w:t>against it. A successful liability claim or series of claims brought against the Company could have a material adverse effect on its business, financial condition and results of operations.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Enforcing Contracts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Due to the nature of the business of the Company and the fact that certain of its contracts involve HLP003 and HLP004,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and Material Recalls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34" w:name="page135"/>
    <w:bookmarkEnd w:id="134"/>
    <w:p>
      <w:pPr>
        <w:jc w:val="both"/>
        <w:spacing w:after="0" w:line="296" w:lineRule="auto"/>
        <w:rPr>
          <w:sz w:val="20"/>
          <w:szCs w:val="20"/>
          <w:color w:val="auto"/>
        </w:rPr>
      </w:pPr>
      <w:r>
        <w:rPr>
          <w:rFonts w:ascii="Times New Roman" w:cs="Times New Roman" w:eastAsia="Times New Roman" w:hAnsi="Times New Roman"/>
          <w:sz w:val="20"/>
          <w:szCs w:val="20"/>
          <w:color w:val="auto"/>
        </w:rPr>
        <w:t>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Supply Chain Interruption</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Difficulty to Forecast</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serotonergic agonist pharmaceutical industry segment. A failure in the demand for the Company’s NSA pharmaceutical industry products to materialize as a result of competition, technological change or other factors could have a material adverse effect on the business, results of operations and financial condition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Promoting the Brand</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Promoting the Company’s brand will be critical to creating and expanding a customer base. Promoting the brand will depend largely on the Company’s ability to provide NSA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Viability</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 Company’s pharmaceutical products are not perceived to have the effects intended by the end user, the Company’s business may suffer. In general, pharmaceutical products in the class of drugs including HLP003 and HLP004 have minimal long-term data with respect to efficacy, unknown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35" w:name="page136"/>
    <w:bookmarkEnd w:id="135"/>
    <w:p>
      <w:pPr>
        <w:jc w:val="both"/>
        <w:spacing w:after="0" w:line="303" w:lineRule="auto"/>
        <w:rPr>
          <w:sz w:val="20"/>
          <w:szCs w:val="20"/>
          <w:color w:val="auto"/>
        </w:rPr>
      </w:pPr>
      <w:r>
        <w:rPr>
          <w:rFonts w:ascii="Times New Roman" w:cs="Times New Roman" w:eastAsia="Times New Roman" w:hAnsi="Times New Roman"/>
          <w:sz w:val="20"/>
          <w:szCs w:val="20"/>
          <w:color w:val="auto"/>
        </w:rPr>
        <w:t>effects and/or interaction with individual human biochemistry or other supplements or medications. As a result, the Company’s pharmaceutical products could have certain side effects if not used as directed or if taken by an end user that has certain known or unknown medical conditions.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of Quality Control Systems</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Inputs</w:t>
      </w:r>
    </w:p>
    <w:p>
      <w:pPr>
        <w:spacing w:after="0" w:line="28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Liability Arising from Fraudulent or Illegal Activity</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36" w:name="page137"/>
    <w:bookmarkEnd w:id="136"/>
    <w:p>
      <w:pPr>
        <w:jc w:val="both"/>
        <w:spacing w:after="0" w:line="296" w:lineRule="auto"/>
        <w:rPr>
          <w:sz w:val="20"/>
          <w:szCs w:val="20"/>
          <w:color w:val="auto"/>
        </w:rPr>
      </w:pPr>
      <w:r>
        <w:rPr>
          <w:rFonts w:ascii="Times New Roman" w:cs="Times New Roman" w:eastAsia="Times New Roman" w:hAnsi="Times New Roman"/>
          <w:sz w:val="20"/>
          <w:szCs w:val="20"/>
          <w:color w:val="auto"/>
        </w:rPr>
        <w:t>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Risk and Insurance Coverage</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Operating as Public Company</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of Growth</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37" w:name="page138"/>
    <w:bookmarkEnd w:id="137"/>
    <w:p>
      <w:pPr>
        <w:jc w:val="both"/>
        <w:spacing w:after="0" w:line="325" w:lineRule="auto"/>
        <w:rPr>
          <w:sz w:val="20"/>
          <w:szCs w:val="20"/>
          <w:color w:val="auto"/>
        </w:rPr>
      </w:pPr>
      <w:r>
        <w:rPr>
          <w:rFonts w:ascii="Times New Roman" w:cs="Times New Roman" w:eastAsia="Times New Roman" w:hAnsi="Times New Roman"/>
          <w:sz w:val="20"/>
          <w:szCs w:val="20"/>
          <w:color w:val="auto"/>
        </w:rPr>
        <w:t>could adversely affect the Company’s operations. These outside business interests could require significant time and attention of the Company’s executive officers and directors.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20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Operations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95" w:lineRule="exact"/>
        <w:rPr>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in the regulatory requirements for drug approvals;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requirements for securing, maintaining or obtaining freedom to operate;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reduced protection for intellectual property rights;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with compliance to different regulations and court systems of multiple jurisdictions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 wide variety of foreign laws, treaties and regulations;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reimbursement regimes and price controls in certain international markets;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labor relations that create challenges with staffing and managing international operations;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impacts on manufacturing capabilities leading to production shortages.</w:t>
      </w:r>
    </w:p>
    <w:p>
      <w:pPr>
        <w:spacing w:after="0" w:line="28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138" w:name="page139"/>
    <w:bookmarkEnd w:id="138"/>
    <w:p>
      <w:pPr>
        <w:jc w:val="both"/>
        <w:spacing w:after="0" w:line="325" w:lineRule="auto"/>
        <w:rPr>
          <w:sz w:val="20"/>
          <w:szCs w:val="20"/>
          <w:color w:val="auto"/>
        </w:rPr>
      </w:pPr>
      <w:r>
        <w:rPr>
          <w:rFonts w:ascii="Times New Roman" w:cs="Times New Roman" w:eastAsia="Times New Roman" w:hAnsi="Times New Roman"/>
          <w:sz w:val="20"/>
          <w:szCs w:val="20"/>
          <w:color w:val="auto"/>
        </w:rPr>
        <w:t>The Company may also be hindered or prevented from enforcing its rights with respect to a governmental entity or instrumentality because of the doctrine of sovereign immunity.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Due to the international scope of the Company’s current and future operations, the Company’s assets, future earnings and cash flows may be influenced by movements in exchange rates of several currencies, particularly the British Pound, the United States dollar, Canadian Dollar and the Euro. The Company’s reporting currency is denominated in United States dollars and the Company’s functional currency is the United States dollar and the majority of the Company’s operating expenses are paid in United States dollars. The Company may also regularly acquire services, consumables and materials in British Pounds, United States dollars, Canadian dollars and other currencies. Further, future revenue may be derived from abroad. As a result, the Company’s business and the price of the Company’s products may be affected by fluctuations in foreign exchange rates between the British Pound, the United States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Privacy Risk</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39" w:name="page140"/>
    <w:bookmarkEnd w:id="139"/>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20"/>
          <w:szCs w:val="20"/>
          <w:i w:val="1"/>
          <w:iCs w:val="1"/>
          <w:color w:val="auto"/>
        </w:rPr>
        <w:t>Personal Information Protection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Electronics Documents Act </w:t>
      </w:r>
      <w:r>
        <w:rPr>
          <w:rFonts w:ascii="Times New Roman" w:cs="Times New Roman" w:eastAsia="Times New Roman" w:hAnsi="Times New Roman"/>
          <w:sz w:val="20"/>
          <w:szCs w:val="20"/>
          <w:color w:val="auto"/>
        </w:rPr>
        <w:t>(Canada) (“</w:t>
      </w:r>
      <w:r>
        <w:rPr>
          <w:rFonts w:ascii="Times New Roman" w:cs="Times New Roman" w:eastAsia="Times New Roman" w:hAnsi="Times New Roman"/>
          <w:sz w:val="20"/>
          <w:szCs w:val="20"/>
          <w:b w:val="1"/>
          <w:bCs w:val="1"/>
          <w:color w:val="auto"/>
        </w:rPr>
        <w:t>PIPEDA</w:t>
      </w:r>
      <w:r>
        <w:rPr>
          <w:rFonts w:ascii="Times New Roman" w:cs="Times New Roman" w:eastAsia="Times New Roman" w:hAnsi="Times New Roman"/>
          <w:sz w:val="20"/>
          <w:szCs w:val="20"/>
          <w:color w:val="auto"/>
        </w:rPr>
        <w:t>”) and where applicable, provincial legislation governing personal health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Artificial Intelligence</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uses, and may further adopt, artificial intelligence (“</w:t>
      </w:r>
      <w:r>
        <w:rPr>
          <w:rFonts w:ascii="Times New Roman" w:cs="Times New Roman" w:eastAsia="Times New Roman" w:hAnsi="Times New Roman"/>
          <w:sz w:val="20"/>
          <w:szCs w:val="20"/>
          <w:b w:val="1"/>
          <w:bCs w:val="1"/>
          <w:color w:val="auto"/>
        </w:rPr>
        <w:t>AI</w:t>
      </w:r>
      <w:r>
        <w:rPr>
          <w:rFonts w:ascii="Times New Roman" w:cs="Times New Roman" w:eastAsia="Times New Roman" w:hAnsi="Times New Roman"/>
          <w:sz w:val="20"/>
          <w:szCs w:val="20"/>
          <w:color w:val="auto"/>
        </w:rPr>
        <w:t>”) technologies to support research, development, data analysis, and operational activities. The use of AI involves risks, including potential errors, biases, or limitations in AI outputs and the underlying data sets, which could adversely affect research results, development decisions, or regulatory submissions. The regulatory framework governing AI, particularly in healthcare and life sciences, is evolving and may impose additional compliance requirements or restrict certain AI applications, increasing costs or delaying development. The Company may also rely on third-party AI tools, which may present risks related to data security, intellectual property rights, and service availability. Any failure to effectively manage these risks could have a material adverse effect on the Company’s business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and Risks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Amendments to current laws, regulations and permits governing NSAs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Legalization of Scheduled Serotonergic Agonists</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The legalization of scheduled serotonergic agonists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serotonergic agonist industry, leading to challenges for the Company to achieve regulatory approval. The legalization of psychotropic compounds in the future may also impact commercial sales for the Company due to a reduced barrier to entry for serotonergic agonists leading to a risk of increasing competition.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 May Prove to be Inaccurate</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and Economic Conditions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41" w:name="page142"/>
    <w:bookmarkEnd w:id="141"/>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inflation;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exchange controls and restrictions on remittances abroad;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rates and monetary policies;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import and export controls;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liquidity of domestic capital, credit and financial markets;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or contraction of foreign economies, as measured by rates of growth in gross domestic product;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fiscal policies; and</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other political, social and economic developments in or affecting foreign markets.</w:t>
      </w:r>
    </w:p>
    <w:p>
      <w:pPr>
        <w:spacing w:after="0" w:line="29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Risk</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of the date hereof, no litigation or class proceedings have been commenced or certified. The Company is aware that certain U.S. plaintiff law firms have announced that they are investigating the Company following the Company’s news release dated September 2, 2025, announcing the resignation of the Company’s former chief executive officer.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2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liability exceeding insurance coverage could materially and adversely affect the Company’s business, financial condition, and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 and Interpretation of Tax Laws</w:t>
      </w:r>
    </w:p>
    <w:p>
      <w:pPr>
        <w:spacing w:after="0" w:line="28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Enforcement of Civil Liabilities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0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Pandemics, Epidemics and Other Health Risks</w:t>
      </w:r>
    </w:p>
    <w:p>
      <w:pPr>
        <w:spacing w:after="0" w:line="287"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Company’s business. Pandemics, epidemics and other health risks could occur, which could adversely affect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43" w:name="page144"/>
    <w:bookmarkEnd w:id="143"/>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ability to conduct its operations as currently conducted, or the ability of suppliers to provide the Company with products and services needed to operate the business.</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Intellectual Property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 Protection</w:t>
      </w:r>
    </w:p>
    <w:p>
      <w:pPr>
        <w:spacing w:after="0" w:line="2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Failure to register or maintain trademarks for the Company or its products could require the Company to rebrand its products resulting in a material adverse impact on its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2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Law Reform</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144" w:name="page145"/>
    <w:bookmarkEnd w:id="144"/>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20"/>
          <w:szCs w:val="20"/>
          <w:b w:val="1"/>
          <w:bCs w:val="1"/>
          <w:color w:val="auto"/>
        </w:rPr>
        <w:t>CIPO</w:t>
      </w:r>
      <w:r>
        <w:rPr>
          <w:rFonts w:ascii="Times New Roman" w:cs="Times New Roman" w:eastAsia="Times New Roman" w:hAnsi="Times New Roman"/>
          <w:sz w:val="20"/>
          <w:szCs w:val="20"/>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2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2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45" w:name="page146"/>
    <w:bookmarkEnd w:id="145"/>
    <w:p>
      <w:pPr>
        <w:jc w:val="both"/>
        <w:spacing w:after="0" w:line="325" w:lineRule="auto"/>
        <w:rPr>
          <w:sz w:val="20"/>
          <w:szCs w:val="20"/>
          <w:color w:val="auto"/>
        </w:rPr>
      </w:pPr>
      <w:r>
        <w:rPr>
          <w:rFonts w:ascii="Times New Roman" w:cs="Times New Roman" w:eastAsia="Times New Roman" w:hAnsi="Times New Roman"/>
          <w:sz w:val="20"/>
          <w:szCs w:val="20"/>
          <w:color w:val="auto"/>
        </w:rPr>
        <w:t>fully cooperative or disagree with the Company as to the prosecution, maintenance or enforcement of any patent rights, such patent rights could be compromised.</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2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2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146" w:name="page147"/>
    <w:bookmarkEnd w:id="146"/>
    <w:p>
      <w:pPr>
        <w:jc w:val="both"/>
        <w:spacing w:after="0" w:line="303" w:lineRule="auto"/>
        <w:rPr>
          <w:sz w:val="20"/>
          <w:szCs w:val="20"/>
          <w:color w:val="auto"/>
        </w:rPr>
      </w:pPr>
      <w:r>
        <w:rPr>
          <w:rFonts w:ascii="Times New Roman" w:cs="Times New Roman" w:eastAsia="Times New Roman" w:hAnsi="Times New Roman"/>
          <w:sz w:val="20"/>
          <w:szCs w:val="20"/>
          <w:color w:val="auto"/>
        </w:rPr>
        <w:t>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19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Litigation and Intellectual Property</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40" w:right="339" w:bottom="1440" w:gutter="0" w:footer="0" w:header="0"/>
        </w:sectPr>
      </w:pPr>
    </w:p>
    <w:bookmarkStart w:id="147" w:name="page148"/>
    <w:bookmarkEnd w:id="147"/>
    <w:p>
      <w:pPr>
        <w:jc w:val="both"/>
        <w:spacing w:after="0" w:line="291" w:lineRule="auto"/>
        <w:rPr>
          <w:sz w:val="20"/>
          <w:szCs w:val="20"/>
          <w:color w:val="auto"/>
        </w:rPr>
      </w:pPr>
      <w:r>
        <w:rPr>
          <w:rFonts w:ascii="Times New Roman" w:cs="Times New Roman" w:eastAsia="Times New Roman" w:hAnsi="Times New Roman"/>
          <w:sz w:val="20"/>
          <w:szCs w:val="20"/>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Protection of Intellectual Property</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and other third parties may be permitted to use the Company’s therapies without payment to the Company.</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21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Third-Party Licences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inability to obtain such licences may hinder or eliminate its ability to manufacture and market its products.</w:t>
      </w:r>
    </w:p>
    <w:p>
      <w:pPr>
        <w:spacing w:after="0" w:line="2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8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Accounting Risks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Number of Authorized but Unissued Common Shares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Dilution</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150" w:name="page151"/>
    <w:bookmarkEnd w:id="150"/>
    <w:p>
      <w:pPr>
        <w:jc w:val="both"/>
        <w:spacing w:after="0" w:line="303" w:lineRule="auto"/>
        <w:rPr>
          <w:sz w:val="20"/>
          <w:szCs w:val="20"/>
          <w:color w:val="auto"/>
        </w:rPr>
      </w:pPr>
      <w:r>
        <w:rPr>
          <w:rFonts w:ascii="Times New Roman" w:cs="Times New Roman" w:eastAsia="Times New Roman" w:hAnsi="Times New Roman"/>
          <w:sz w:val="20"/>
          <w:szCs w:val="20"/>
          <w:color w:val="auto"/>
        </w:rPr>
        <w:t>market prices for the Common Shares. With any additional issuance of Common Shares, investors will suffer dilution to their voting power and the Company may experience dilution in its earnings per share, including as a result of issuances under Helus Pharma’s equity incentive plan, convertible or exchangeable securities, or other corporate arrangements, including the Rights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Cash Flow from Operating Activities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Capital Requirements</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2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i w:val="1"/>
          <w:iCs w:val="1"/>
          <w:color w:val="auto"/>
        </w:rPr>
        <w:t>Lack of Significant Product Revenue</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Estimates or Judgments Relating to Critical Accounting Policies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Inadequate Internal Controls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Common Shares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for the Common Shares</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36" w:right="339" w:bottom="1440" w:gutter="0" w:footer="0" w:header="0"/>
        </w:sectPr>
      </w:pPr>
    </w:p>
    <w:bookmarkStart w:id="152" w:name="page153"/>
    <w:bookmarkEnd w:id="152"/>
    <w:p>
      <w:pPr>
        <w:jc w:val="both"/>
        <w:spacing w:after="0" w:line="290" w:lineRule="auto"/>
        <w:rPr>
          <w:sz w:val="20"/>
          <w:szCs w:val="20"/>
          <w:color w:val="auto"/>
        </w:rPr>
      </w:pPr>
      <w:r>
        <w:rPr>
          <w:rFonts w:ascii="Times New Roman" w:cs="Times New Roman" w:eastAsia="Times New Roman" w:hAnsi="Times New Roman"/>
          <w:sz w:val="20"/>
          <w:szCs w:val="20"/>
          <w:color w:val="auto"/>
        </w:rPr>
        <w:t>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serotonergic agonist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Sales of the Common Shares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Volatile Market Price for the Common Shares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in operating performance. These broad market fluctuations may materially adversely affect the market price of the Company.</w:t>
      </w:r>
    </w:p>
    <w:p>
      <w:pPr>
        <w:spacing w:after="0" w:line="2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Issues</w:t>
      </w:r>
    </w:p>
    <w:p>
      <w:pPr>
        <w:spacing w:after="0" w:line="26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There may be income tax consequences in relation to the Common Shares, which will vary according to circumstances. Independent advice from tax and legal advisers should be obtained.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Dividends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Additional information on the Company has been filed electronically through SEDAR+ and is available online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Approval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CERTIFICATE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Cola, as Chief Executive Officer of Cybin Inc., certify the following:</w:t>
      </w:r>
    </w:p>
    <w:p>
      <w:pPr>
        <w:spacing w:after="0" w:line="248" w:lineRule="exact"/>
        <w:rPr>
          <w:sz w:val="20"/>
          <w:szCs w:val="20"/>
          <w:color w:val="auto"/>
        </w:rPr>
      </w:pPr>
    </w:p>
    <w:p>
      <w:pPr>
        <w:ind w:left="660" w:hanging="328"/>
        <w:spacing w:after="0" w:line="28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statements and interim MD&amp;A (together, the “interim filings”) of Cybin Inc.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December 31, 2025.</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misrepresentations</w:t>
      </w:r>
      <w:r>
        <w:rPr>
          <w:rFonts w:ascii="Times New Roman" w:cs="Times New Roman" w:eastAsia="Times New Roman" w:hAnsi="Times New Roman"/>
          <w:sz w:val="18"/>
          <w:szCs w:val="18"/>
          <w:color w:val="auto"/>
        </w:rPr>
        <w:t>: 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statements together with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included in the interim filings fairly present in all material respects the financial condition, results of operations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(DC&amp;P) and internal control over financial reporting (ICFR), as those terms are defined in National Instrument 52-109 Certification of Disclosure in Issuers’ Annual and Interim Filings, for the issuer.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8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i w:val="1"/>
          <w:iCs w:val="1"/>
          <w:color w:val="auto"/>
        </w:rPr>
        <w:t xml:space="preserve">Control framework: </w:t>
      </w:r>
      <w:r>
        <w:rPr>
          <w:rFonts w:ascii="Times New Roman" w:cs="Times New Roman" w:eastAsia="Times New Roman" w:hAnsi="Times New Roman"/>
          <w:sz w:val="18"/>
          <w:szCs w:val="18"/>
          <w:color w:val="auto"/>
        </w:rPr>
        <w:t>The control framework the issuer’s other certifying officer(s) and I used to design the issuer’s ICFR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Control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Integrated Framework (2013) issued by The Committee of Sponsoring Organization of the Treadway Commission (COSO).</w:t>
      </w:r>
    </w:p>
    <w:p>
      <w:pPr>
        <w:spacing w:after="0" w:line="23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jc w:val="both"/>
        <w:ind w:left="660" w:hanging="328"/>
        <w:spacing w:after="0" w:line="268"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October 1, 2025 and ended on December 31, 2025 that has materially affected, or is reasonably likely to materially affect, the issuer’s ICFR.</w:t>
      </w:r>
    </w:p>
    <w:p>
      <w:pPr>
        <w:sectPr>
          <w:pgSz w:w="11900" w:h="16838" w:orient="portrait"/>
          <w:cols w:equalWidth="0" w:num="1">
            <w:col w:w="11240"/>
          </w:cols>
          <w:pgMar w:left="320" w:top="1413" w:right="339" w:bottom="1440" w:gutter="0" w:footer="0" w:header="0"/>
        </w:sectPr>
      </w:pPr>
    </w:p>
    <w:bookmarkStart w:id="155" w:name="page156"/>
    <w:bookmarkEnd w:id="15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"Michael 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3228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Michael Cola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39"/>
          </w:cols>
          <w:pgMar w:left="320" w:top="1440" w:right="1440"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Cavers, as Chief Financial Officer of Cybin Inc.,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statements and interim MD&amp;A (together, the “interim filings”) of Cybin Inc.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December 31, 2025.</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misrepresentations</w:t>
      </w:r>
      <w:r>
        <w:rPr>
          <w:rFonts w:ascii="Times New Roman" w:cs="Times New Roman" w:eastAsia="Times New Roman" w:hAnsi="Times New Roman"/>
          <w:sz w:val="18"/>
          <w:szCs w:val="18"/>
          <w:color w:val="auto"/>
        </w:rPr>
        <w:t>: 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statements together with the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included in the interim filings fairly present in all material respects the financial condition, results of operations and cash flows of the issuer, as of the date of and for the periods presented in the interim filings.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(DC&amp;P) and internal control over financial reporting (ICFR), as those terms are defined in National Instrument 52-109 Certification of Disclosure in Issuers’ Annual and Interim Filings, for the issuer.</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8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52"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85" w:lineRule="exact"/>
        <w:rPr>
          <w:sz w:val="20"/>
          <w:szCs w:val="20"/>
          <w:color w:val="auto"/>
        </w:rPr>
      </w:pPr>
    </w:p>
    <w:p>
      <w:pPr>
        <w:ind w:left="340"/>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i w:val="1"/>
          <w:iCs w:val="1"/>
          <w:color w:val="auto"/>
        </w:rPr>
        <w:t xml:space="preserve">Control framework: </w:t>
      </w:r>
      <w:r>
        <w:rPr>
          <w:rFonts w:ascii="Times New Roman" w:cs="Times New Roman" w:eastAsia="Times New Roman" w:hAnsi="Times New Roman"/>
          <w:sz w:val="18"/>
          <w:szCs w:val="18"/>
          <w:color w:val="auto"/>
        </w:rPr>
        <w:t>The control framework the issuer’s other certifying officer(s) and I used to design the issuer’s ICFR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Control</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Integrated Framework (2013) issued by The Committee of Sponsoring Organization of the Treadway Commission (COSO).</w:t>
      </w:r>
    </w:p>
    <w:p>
      <w:pPr>
        <w:spacing w:after="0" w:line="23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N/A.</w:t>
      </w:r>
    </w:p>
    <w:p>
      <w:pPr>
        <w:spacing w:after="0" w:line="252" w:lineRule="exact"/>
        <w:rPr>
          <w:sz w:val="20"/>
          <w:szCs w:val="20"/>
          <w:color w:val="auto"/>
        </w:rPr>
      </w:pPr>
    </w:p>
    <w:p>
      <w:pPr>
        <w:jc w:val="both"/>
        <w:ind w:left="660" w:hanging="328"/>
        <w:spacing w:after="0" w:line="268"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October 1, 2025 and ended on December 31, 2025 that has materially affected, or is reasonably likely to materially affect, the issuer’s ICFR.</w:t>
      </w:r>
    </w:p>
    <w:p>
      <w:pPr>
        <w:sectPr>
          <w:pgSz w:w="11900" w:h="16838" w:orient="portrait"/>
          <w:cols w:equalWidth="0" w:num="1">
            <w:col w:w="11240"/>
          </w:cols>
          <w:pgMar w:left="320" w:top="141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Date February 13,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(signed)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945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Greg Cavers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139"/>
          </w:cols>
          <w:pgMar w:left="320" w:top="1417" w:right="1440"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865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40"/>
        <w:spacing w:after="0" w:line="321" w:lineRule="auto"/>
        <w:rPr>
          <w:sz w:val="20"/>
          <w:szCs w:val="20"/>
          <w:color w:val="auto"/>
        </w:rPr>
      </w:pPr>
      <w:r>
        <w:rPr>
          <w:rFonts w:ascii="Arial" w:cs="Arial" w:eastAsia="Arial" w:hAnsi="Arial"/>
          <w:sz w:val="25"/>
          <w:szCs w:val="25"/>
          <w:b w:val="1"/>
          <w:bCs w:val="1"/>
          <w:color w:val="auto"/>
        </w:rPr>
        <w:t>HELUS Pharma Reports Third Quarter Fiscal Year 2026 Financial Results and Recent Business Highlights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Cash position of US$195 million as of December 31, 2025, before adjustment for post quarter events -</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 Topline data readout from the Phase 2 study evaluating HLP004 in generalized anxiety disorder (“GAD”) expected in Q1 2026 -</w:t>
      </w:r>
    </w:p>
    <w:p>
      <w:pPr>
        <w:spacing w:after="0" w:line="28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This news release constitutes a “designated news release” for the purpose of the Company’s prospectus supplement dated December 30, 2025, to it short form base shelf prospectus dated September 17, 2025, as amended on December 19, 2025.</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BOSTON &amp; TORONTO </w:t>
      </w:r>
      <w:r>
        <w:rPr>
          <w:rFonts w:ascii="Arial" w:cs="Arial" w:eastAsia="Arial" w:hAnsi="Arial"/>
          <w:sz w:val="20"/>
          <w:szCs w:val="20"/>
          <w:color w:val="auto"/>
        </w:rPr>
        <w:t>– February 13, 2026 – HELUS Pharma</w:t>
      </w:r>
      <w:r>
        <w:rPr>
          <w:rFonts w:ascii="Arial" w:cs="Arial" w:eastAsia="Arial" w:hAnsi="Arial"/>
          <w:sz w:val="25"/>
          <w:szCs w:val="25"/>
          <w:color w:val="auto"/>
          <w:vertAlign w:val="superscript"/>
        </w:rPr>
        <w:t>TM</w:t>
      </w:r>
      <w:r>
        <w:rPr>
          <w:rFonts w:ascii="Arial" w:cs="Arial" w:eastAsia="Arial" w:hAnsi="Arial"/>
          <w:sz w:val="20"/>
          <w:szCs w:val="20"/>
          <w:b w:val="1"/>
          <w:bCs w:val="1"/>
          <w:color w:val="auto"/>
        </w:rPr>
        <w:t xml:space="preserve"> </w:t>
      </w:r>
      <w:r>
        <w:rPr>
          <w:rFonts w:ascii="Arial" w:cs="Arial" w:eastAsia="Arial" w:hAnsi="Arial"/>
          <w:sz w:val="20"/>
          <w:szCs w:val="20"/>
          <w:color w:val="auto"/>
        </w:rPr>
        <w:t>(Nasdaq: HELP) (Cboe CA: HELP),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reported unaudited financial results for its third quarter ended December 31, 2025, and recent business highlights.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third quarter reflects continued disciplined execution across Helus Pharma’s clinical and operational priorities,” said Michael Cola, Chief Executive Officer of Helus Pharma. “We are advancing a differentiated, multi-asset neuroscience portfolio with programs spanning multiple stages of development and indications. With a strong balance sheet, continued progress across our HLP003 Phase 3 and HLP004 Phase 2 programs, and a focus on scalable, repeatable clinical architectures, Helus Pharma is well positioned as we move toward upcoming clinical catalysts and long-term value creation.”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43" w:lineRule="exact"/>
        <w:rPr>
          <w:sz w:val="20"/>
          <w:szCs w:val="20"/>
          <w:color w:val="auto"/>
        </w:rPr>
      </w:pPr>
    </w:p>
    <w:p>
      <w:pPr>
        <w:ind w:left="660" w:hanging="328"/>
        <w:spacing w:after="0" w:line="272" w:lineRule="auto"/>
        <w:tabs>
          <w:tab w:leader="none" w:pos="648"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Leadership transition completed with the appointment of Michael Cola as Chief Executive Officer to lead the Company’s transition to a potential first commercial product launch.</w:t>
      </w:r>
    </w:p>
    <w:p>
      <w:pPr>
        <w:spacing w:after="0" w:line="3" w:lineRule="exact"/>
        <w:rPr>
          <w:rFonts w:ascii="Times New Roman" w:cs="Times New Roman" w:eastAsia="Times New Roman" w:hAnsi="Times New Roman"/>
          <w:sz w:val="20"/>
          <w:szCs w:val="20"/>
          <w:color w:val="auto"/>
        </w:rPr>
      </w:pPr>
    </w:p>
    <w:p>
      <w:pPr>
        <w:jc w:val="both"/>
        <w:ind w:left="660" w:hanging="328"/>
        <w:spacing w:after="0" w:line="273" w:lineRule="auto"/>
        <w:tabs>
          <w:tab w:leader="none" w:pos="648"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advancement of HLP003, the Company’s lead proprietary NSA, through its Phase 3 clinical development program for the adjunctive treatment of major depressive disorder (“MDD”), including ongoing activities across both the APPROACH™ and EMBRACE™ pivotal studies and the EXTEND long-term extension study.</w:t>
      </w:r>
    </w:p>
    <w:p>
      <w:pPr>
        <w:spacing w:after="0" w:line="1" w:lineRule="exact"/>
        <w:rPr>
          <w:rFonts w:ascii="Times New Roman" w:cs="Times New Roman" w:eastAsia="Times New Roman" w:hAnsi="Times New Roman"/>
          <w:sz w:val="20"/>
          <w:szCs w:val="20"/>
          <w:color w:val="auto"/>
        </w:rPr>
      </w:pPr>
    </w:p>
    <w:p>
      <w:pPr>
        <w:ind w:left="660" w:hanging="328"/>
        <w:spacing w:after="0" w:line="308" w:lineRule="auto"/>
        <w:tabs>
          <w:tab w:leader="none" w:pos="648" w:val="left"/>
        </w:tabs>
        <w:numPr>
          <w:ilvl w:val="0"/>
          <w:numId w:val="74"/>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progress in the HLP004 Phase 2 program for GAD, with study activities supporting an upcoming topline data readout in Q1 2026.¹</w:t>
      </w:r>
    </w:p>
    <w:p>
      <w:pPr>
        <w:sectPr>
          <w:pgSz w:w="11900" w:h="16838" w:orient="portrait"/>
          <w:cols w:equalWidth="0" w:num="1">
            <w:col w:w="11240"/>
          </w:cols>
          <w:pgMar w:left="320" w:top="1440" w:right="339" w:bottom="1440" w:gutter="0" w:footer="0" w:header="0"/>
        </w:sectPr>
      </w:pPr>
    </w:p>
    <w:bookmarkStart w:id="159" w:name="page160"/>
    <w:bookmarkEnd w:id="159"/>
    <w:p>
      <w:pPr>
        <w:ind w:left="640" w:hanging="308"/>
        <w:spacing w:after="0"/>
        <w:tabs>
          <w:tab w:leader="none" w:pos="640"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0"/>
          <w:szCs w:val="20"/>
          <w:color w:val="auto"/>
        </w:rPr>
        <w:t>Executed the rebranding to “Helus Pharma”.</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73" w:lineRule="auto"/>
        <w:tabs>
          <w:tab w:leader="none" w:pos="648"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0"/>
          <w:szCs w:val="20"/>
          <w:color w:val="auto"/>
        </w:rPr>
        <w:t>Reframed the Company’s focus on engineered serotonergic agonists designed for controlled pharmacokinetics and potential future commercial scalability, which management of the Company believes more appropriately reflects the Company's transition from a clinical stage entity to a potential commercial stage pharmaceutical company.</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88" w:lineRule="auto"/>
        <w:tabs>
          <w:tab w:leader="none" w:pos="648"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expansion and defense of the Company’s intellectual property portfolio supporting multiple programs and indications and providing protection around lead programs HLP003 and HLP004 until at least 2041, reinforcing long-term differentiation, strategic flexibility and potential blocking position within the field.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and Catalysts</w:t>
      </w:r>
      <w:r>
        <w:rPr>
          <w:rFonts w:ascii="Arial" w:cs="Arial" w:eastAsia="Arial" w:hAnsi="Arial"/>
          <w:sz w:val="20"/>
          <w:szCs w:val="20"/>
          <w:color w:val="auto"/>
        </w:rPr>
        <w:t>¹</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HLP004 Phase 2 Program in Generalized Anxiety Disorder</w:t>
      </w:r>
    </w:p>
    <w:p>
      <w:pPr>
        <w:spacing w:after="0" w:line="43" w:lineRule="exact"/>
        <w:rPr>
          <w:sz w:val="20"/>
          <w:szCs w:val="20"/>
          <w:color w:val="auto"/>
        </w:rPr>
      </w:pPr>
    </w:p>
    <w:p>
      <w:pPr>
        <w:ind w:left="640" w:hanging="308"/>
        <w:spacing w:after="0"/>
        <w:tabs>
          <w:tab w:leader="none" w:pos="6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Anticipated topline data readout from the Phase 2 study evaluating HLP004 in GAD in Q1 2026.</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HLP003 Phase 3 Program in Major Depressive Disorder</w:t>
      </w:r>
    </w:p>
    <w:p>
      <w:pPr>
        <w:spacing w:after="0" w:line="43" w:lineRule="exact"/>
        <w:rPr>
          <w:sz w:val="20"/>
          <w:szCs w:val="20"/>
          <w:color w:val="auto"/>
        </w:rPr>
      </w:pPr>
    </w:p>
    <w:p>
      <w:pPr>
        <w:ind w:left="660" w:hanging="328"/>
        <w:spacing w:after="0" w:line="272" w:lineRule="auto"/>
        <w:tabs>
          <w:tab w:leader="none" w:pos="64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execution of the APPROACH™ pivotal Phase 3 study evaluating HLP003 as an adjunctive treatment for MDD with topline data anticipated in Q4 2026.</w:t>
      </w:r>
    </w:p>
    <w:p>
      <w:pPr>
        <w:spacing w:after="0" w:line="3"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execution of the EMBRACE™ complementary Phase 3 study, which initiated patient enrollment in the prior quarter, designed to reinforce efficacy findings and support the overall evidence package for HLP003 in MDD.</w:t>
      </w:r>
    </w:p>
    <w:p>
      <w:pPr>
        <w:spacing w:after="0" w:line="2"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Ongoing patient participation in the EXTEND long-term extension study, supporting the collection of long-term safety and durability data.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Third-Quarter Financial Highlights</w:t>
      </w:r>
    </w:p>
    <w:p>
      <w:pPr>
        <w:spacing w:after="0" w:line="272" w:lineRule="exact"/>
        <w:rPr>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US$195.1 million as of December 31, 2025, before any adjustments for post quarter events.</w:t>
      </w:r>
    </w:p>
    <w:p>
      <w:pPr>
        <w:spacing w:after="0" w:line="39"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US$42.7 million for the quarter ended December 31, 2025, compared to a net loss of US$7.5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US$36.7 million for the quarter ended December 31, 2025, compared to US$20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US$31.9 million for the quarter ended December 31, 2025, compared to US$18.6 million in the same period last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7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Helus Pharma</w:t>
      </w:r>
      <w:r>
        <w:rPr>
          <w:rFonts w:ascii="Arial" w:cs="Arial" w:eastAsia="Arial" w:hAnsi="Arial"/>
          <w:sz w:val="25"/>
          <w:szCs w:val="25"/>
          <w:color w:val="auto"/>
          <w:vertAlign w:val="superscript"/>
        </w:rPr>
        <w:t>TM</w:t>
      </w:r>
      <w:r>
        <w:rPr>
          <w:rFonts w:ascii="Arial" w:cs="Arial" w:eastAsia="Arial" w:hAnsi="Arial"/>
          <w:sz w:val="20"/>
          <w:szCs w:val="20"/>
          <w:color w:val="auto"/>
        </w:rPr>
        <w:t>, the commercial operating name of Cybin Inc. (the “Company” or "Helus Pharma") is a clinical stage pharmaceutical company committed to helping minds heal by developing proprietary NSAs: synthetic molecules designed to activate serotonin pathways that</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314" w:lineRule="auto"/>
        <w:rPr>
          <w:sz w:val="20"/>
          <w:szCs w:val="20"/>
          <w:color w:val="auto"/>
        </w:rPr>
      </w:pPr>
      <w:r>
        <w:rPr>
          <w:rFonts w:ascii="Arial" w:cs="Arial" w:eastAsia="Arial" w:hAnsi="Arial"/>
          <w:sz w:val="20"/>
          <w:szCs w:val="20"/>
          <w:color w:val="auto"/>
        </w:rPr>
        <w:t>are believed to promote neuroplasticity. The Company’s proprietary NSAs are intended to potentially address the large unmet need for people who suffer from depression, anxiety, and other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w:t>
      </w:r>
    </w:p>
    <w:p>
      <w:pPr>
        <w:spacing w:after="0" w:line="177" w:lineRule="exact"/>
        <w:rPr>
          <w:sz w:val="20"/>
          <w:szCs w:val="20"/>
          <w:color w:val="auto"/>
        </w:rPr>
      </w:pPr>
    </w:p>
    <w:p>
      <w:pPr>
        <w:jc w:val="both"/>
        <w:ind w:left="660" w:hanging="328"/>
        <w:spacing w:after="0" w:line="290" w:lineRule="auto"/>
        <w:tabs>
          <w:tab w:leader="none" w:pos="649"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continued execution of the APPROACH and EMBRACE pivotal Phase 3 studies evaluating HLP003 as an adjunctive treatment for MDD with topline data anticipated in Q4 2026; the Company’s ongoing patient participation in the EXTEND long-term extension study, supporting the collection of long-term safety and durability data; the Company’s anticipated topline data readout from the Phase 2 study evaluating HLP004 in GAD in Q1 2026; the ability of the Company’s NSAs to address the large unmet need for people who suffer from depression, anxiety, and other mental health conditions; the Company’s ability to transition to a potential commercial stage pharmaceutical company; the Company’s ability establish an intellectual property blocking position around lead</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314" w:lineRule="auto"/>
        <w:rPr>
          <w:sz w:val="20"/>
          <w:szCs w:val="20"/>
          <w:color w:val="auto"/>
        </w:rPr>
      </w:pPr>
      <w:r>
        <w:rPr>
          <w:rFonts w:ascii="Arial" w:cs="Arial" w:eastAsia="Arial" w:hAnsi="Arial"/>
          <w:sz w:val="20"/>
          <w:szCs w:val="20"/>
          <w:color w:val="auto"/>
        </w:rPr>
        <w:t>programs HLP003 and HLP004; and the Company’s plans to engineer proprietary drug discovery platforms, innovative drug delivery systems, novel formulation approaches and treatment regimens for mental health conditions.</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ectPr>
          <w:pgSz w:w="11900" w:h="16838" w:orient="portrait"/>
          <w:cols w:equalWidth="0" w:num="1">
            <w:col w:w="11240"/>
          </w:cols>
          <w:pgMar w:left="320" w:top="1428" w:right="33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astr partners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1" w:lineRule="exact"/>
        <w:rPr>
          <w:sz w:val="20"/>
          <w:szCs w:val="20"/>
          <w:color w:val="auto"/>
        </w:rPr>
      </w:pPr>
    </w:p>
    <w:p>
      <w:pPr>
        <w:ind w:right="7559" w:firstLine="8"/>
        <w:spacing w:after="0" w:line="338" w:lineRule="auto"/>
        <w:tabs>
          <w:tab w:leader="none" w:pos="517"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467886"/>
        </w:rPr>
        <w:t>josh.barer@astrpartners.com</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467886"/>
        </w:rPr>
        <w:t xml:space="preserve">irteam@helus.com </w:t>
      </w:r>
      <w:r>
        <w:rPr>
          <w:rFonts w:ascii="Arial" w:cs="Arial" w:eastAsia="Arial" w:hAnsi="Arial"/>
          <w:sz w:val="19"/>
          <w:szCs w:val="19"/>
          <w:color w:val="000000"/>
        </w:rPr>
        <w:t>– or –</w:t>
      </w:r>
      <w:r>
        <w:rPr>
          <w:rFonts w:ascii="Arial" w:cs="Arial" w:eastAsia="Arial" w:hAnsi="Arial"/>
          <w:sz w:val="19"/>
          <w:szCs w:val="19"/>
          <w:color w:val="467886"/>
        </w:rPr>
        <w:t xml:space="preserve"> media@helus.com</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5" w:lineRule="exact"/>
        <w:rPr>
          <w:sz w:val="20"/>
          <w:szCs w:val="20"/>
          <w:color w:val="auto"/>
        </w:rPr>
      </w:pPr>
    </w:p>
    <w:p>
      <w:pPr>
        <w:ind w:right="7859" w:firstLine="8"/>
        <w:spacing w:after="0" w:line="328" w:lineRule="auto"/>
        <w:tabs>
          <w:tab w:leader="none" w:pos="517"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772-7562 </w:t>
      </w:r>
      <w:r>
        <w:rPr>
          <w:rFonts w:ascii="Arial" w:cs="Arial" w:eastAsia="Arial" w:hAnsi="Arial"/>
          <w:sz w:val="19"/>
          <w:szCs w:val="19"/>
          <w:color w:val="467886"/>
        </w:rPr>
        <w:t>jtokarczyk@rxmedyn.com</w:t>
      </w:r>
    </w:p>
    <w:sectPr>
      <w:pgSz w:w="11900" w:h="16838" w:orient="portrait"/>
      <w:cols w:equalWidth="0" w:num="1">
        <w:col w:w="10139"/>
      </w:cols>
      <w:pgMar w:left="320" w:top="14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2"/>
    </w:lvl>
  </w:abstractNum>
  <w:abstractNum w:abstractNumId="2">
    <w:nsid w:val="70A64E2A"/>
    <w:multiLevelType w:val="hybridMultilevel"/>
    <w:lvl w:ilvl="0">
      <w:lvlJc w:val="left"/>
      <w:lvlText w:val="1"/>
      <w:numFmt w:val="bullet"/>
      <w:start w:val="1"/>
    </w:lvl>
  </w:abstractNum>
  <w:abstractNum w:abstractNumId="3">
    <w:nsid w:val="6A2342EC"/>
    <w:multiLevelType w:val="hybridMultilevel"/>
    <w:lvl w:ilvl="0">
      <w:lvlJc w:val="left"/>
      <w:lvlText w:val="2"/>
      <w:numFmt w:val="bullet"/>
      <w:start w:val="1"/>
    </w:lvl>
  </w:abstractNum>
  <w:abstractNum w:abstractNumId="4">
    <w:nsid w:val="2A487CB0"/>
    <w:multiLevelType w:val="hybridMultilevel"/>
    <w:lvl w:ilvl="0">
      <w:lvlJc w:val="left"/>
      <w:lvlText w:val="3"/>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decimal"/>
      <w:start w:val="6"/>
    </w:lvl>
  </w:abstractNum>
  <w:abstractNum w:abstractNumId="8">
    <w:nsid w:val="57E4CCAF"/>
    <w:multiLevelType w:val="hybridMultilevel"/>
    <w:lvl w:ilvl="0">
      <w:lvlJc w:val="left"/>
      <w:lvlText w:val="%1."/>
      <w:numFmt w:val="decimal"/>
      <w:start w:val="7"/>
    </w:lvl>
    <w:lvl w:ilvl="1">
      <w:lvlJc w:val="left"/>
      <w:lvlText w:val="%2)"/>
      <w:numFmt w:val="lowerLetter"/>
      <w:start w:val="1"/>
    </w:lvl>
  </w:abstractNum>
  <w:abstractNum w:abstractNumId="9">
    <w:nsid w:val="7A6D8D3C"/>
    <w:multiLevelType w:val="hybridMultilevel"/>
    <w:lvl w:ilvl="0">
      <w:lvlJc w:val="left"/>
      <w:lvlText w:val="%1)"/>
      <w:numFmt w:val="lowerLetter"/>
      <w:start w:val="2"/>
    </w:lvl>
  </w:abstractNum>
  <w:abstractNum w:abstractNumId="10">
    <w:nsid w:val="4B588F54"/>
    <w:multiLevelType w:val="hybridMultilevel"/>
    <w:lvl w:ilvl="0">
      <w:lvlJc w:val="left"/>
      <w:lvlText w:val="%1)"/>
      <w:numFmt w:val="lowerLetter"/>
      <w:start w:val="3"/>
    </w:lvl>
  </w:abstractNum>
  <w:abstractNum w:abstractNumId="11">
    <w:nsid w:val="542289EC"/>
    <w:multiLevelType w:val="hybridMultilevel"/>
    <w:lvl w:ilvl="0">
      <w:lvlJc w:val="left"/>
      <w:lvlText w:val="%1)"/>
      <w:numFmt w:val="lowerLetter"/>
      <w:start w:val="4"/>
    </w:lvl>
  </w:abstractNum>
  <w:abstractNum w:abstractNumId="12">
    <w:nsid w:val="6DE91B18"/>
    <w:multiLevelType w:val="hybridMultilevel"/>
    <w:lvl w:ilvl="0">
      <w:lvlJc w:val="left"/>
      <w:lvlText w:val="1"/>
      <w:numFmt w:val="bullet"/>
      <w:start w:val="1"/>
    </w:lvl>
  </w:abstractNum>
  <w:abstractNum w:abstractNumId="13">
    <w:nsid w:val="38437FDB"/>
    <w:multiLevelType w:val="hybridMultilevel"/>
    <w:lvl w:ilvl="0">
      <w:lvlJc w:val="left"/>
      <w:lvlText w:val="%1)"/>
      <w:numFmt w:val="lowerLetter"/>
      <w:start w:val="5"/>
    </w:lvl>
  </w:abstractNum>
  <w:abstractNum w:abstractNumId="14">
    <w:nsid w:val="7644A45C"/>
    <w:multiLevelType w:val="hybridMultilevel"/>
    <w:lvl w:ilvl="0">
      <w:lvlJc w:val="left"/>
      <w:lvlText w:val="1"/>
      <w:numFmt w:val="bullet"/>
      <w:start w:val="1"/>
    </w:lvl>
  </w:abstractNum>
  <w:abstractNum w:abstractNumId="15">
    <w:nsid w:val="32FFF902"/>
    <w:multiLevelType w:val="hybridMultilevel"/>
    <w:lvl w:ilvl="0">
      <w:lvlJc w:val="left"/>
      <w:lvlText w:val="%1."/>
      <w:numFmt w:val="decimal"/>
      <w:start w:val="12"/>
    </w:lvl>
  </w:abstractNum>
  <w:abstractNum w:abstractNumId="16">
    <w:nsid w:val="684A481A"/>
    <w:multiLevelType w:val="hybridMultilevel"/>
    <w:lvl w:ilvl="0">
      <w:lvlJc w:val="left"/>
      <w:lvlText w:val="%1."/>
      <w:numFmt w:val="decimal"/>
      <w:start w:val="13"/>
    </w:lvl>
  </w:abstractNum>
  <w:abstractNum w:abstractNumId="17">
    <w:nsid w:val="579478FE"/>
    <w:multiLevelType w:val="hybridMultilevel"/>
    <w:lvl w:ilvl="0">
      <w:lvlJc w:val="left"/>
      <w:lvlText w:val="%1."/>
      <w:numFmt w:val="decimal"/>
      <w:start w:val="14"/>
    </w:lvl>
    <w:lvl w:ilvl="1">
      <w:lvlJc w:val="left"/>
      <w:lvlText w:val="%2)"/>
      <w:numFmt w:val="lowerLetter"/>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bullet"/>
      <w:start w:val="1"/>
    </w:lvl>
  </w:abstractNum>
  <w:abstractNum w:abstractNumId="26">
    <w:nsid w:val="374A3FE6"/>
    <w:multiLevelType w:val="hybridMultilevel"/>
    <w:lvl w:ilvl="0">
      <w:lvlJc w:val="left"/>
      <w:lvlText w:val="2"/>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7"/>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2"/>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5"/>
    </w:lvl>
  </w:abstractNum>
  <w:abstractNum w:abstractNumId="40">
    <w:nsid w:val="10233C99"/>
    <w:multiLevelType w:val="hybridMultilevel"/>
    <w:lvl w:ilvl="0">
      <w:lvlJc w:val="left"/>
      <w:lvlText w:val="%1"/>
      <w:numFmt w:val="decimal"/>
      <w:start w:val="17"/>
    </w:lvl>
  </w:abstractNum>
  <w:abstractNum w:abstractNumId="41">
    <w:nsid w:val="3F6AB60F"/>
    <w:multiLevelType w:val="hybridMultilevel"/>
    <w:lvl w:ilvl="0">
      <w:lvlJc w:val="left"/>
      <w:lvlText w:val="%1"/>
      <w:numFmt w:val="decimal"/>
      <w:start w:val="19"/>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21"/>
    </w:lvl>
  </w:abstractNum>
  <w:abstractNum w:abstractNumId="44">
    <w:nsid w:val="77AE35EB"/>
    <w:multiLevelType w:val="hybridMultilevel"/>
    <w:lvl w:ilvl="0">
      <w:lvlJc w:val="left"/>
      <w:lvlText w:val="%1"/>
      <w:numFmt w:val="decimal"/>
      <w:start w:val="22"/>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23"/>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24"/>
    </w:lvl>
  </w:abstractNum>
  <w:abstractNum w:abstractNumId="49">
    <w:nsid w:val="25A70BF7"/>
    <w:multiLevelType w:val="hybridMultilevel"/>
    <w:lvl w:ilvl="0">
      <w:lvlJc w:val="left"/>
      <w:lvlText w:val="%1"/>
      <w:numFmt w:val="decimal"/>
      <w:start w:val="25"/>
    </w:lvl>
  </w:abstractNum>
  <w:abstractNum w:abstractNumId="50">
    <w:nsid w:val="1DBABF00"/>
    <w:multiLevelType w:val="hybridMultilevel"/>
    <w:lvl w:ilvl="0">
      <w:lvlJc w:val="left"/>
      <w:lvlText w:val="%1"/>
      <w:numFmt w:val="decimal"/>
      <w:start w:val="26"/>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1"/>
      <w:numFmt w:val="decimal"/>
      <w:start w:val="28"/>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lowerRoman"/>
      <w:start w:val="6"/>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0">
    <w:nsid w:val="613EFDC5"/>
    <w:multiLevelType w:val="hybridMultilevel"/>
    <w:lvl w:ilvl="0">
      <w:lvlJc w:val="left"/>
      <w:lvlText w:val="%1."/>
      <w:numFmt w:val="decimal"/>
      <w:start w:val="6"/>
    </w:lvl>
  </w:abstractNum>
  <w:abstractNum w:abstractNumId="71">
    <w:nsid w:val="BF72B1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2">
    <w:nsid w:val="11447B73"/>
    <w:multiLevelType w:val="hybridMultilevel"/>
    <w:lvl w:ilvl="0">
      <w:lvlJc w:val="left"/>
      <w:lvlText w:val="%1."/>
      <w:numFmt w:val="decimal"/>
      <w:start w:val="6"/>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908"/>
    </w:lvl>
  </w:abstractNum>
  <w:abstractNum w:abstractNumId="80">
    <w:nsid w:val="60B6DF70"/>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8" Type="http://schemas.openxmlformats.org/officeDocument/2006/relationships/hyperlink" Target="https://www.sec.gov/Archives/edgar/data/1833141/000106299325013362/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2026-02-13T07:44:45Z</dcterms:created>
  <dcterms:modified xsi:type="dcterms:W3CDTF">2026-02-13T07:44:45Z</dcterms:modified>
</cp:coreProperties>
</file>