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6-K</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REPORT OF FOREIGN PRIVATE ISSUER PURSUANT TO RULE 13a-16 OR 15d-16</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For the month of February, 2022.</w:t>
      </w:r>
    </w:p>
    <w:p>
      <w:pPr>
        <w:spacing w:after="0" w:line="8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001-40673</w:t>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Cybin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Charter)</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100 King Street West, Suite 5600, Toronto, Ontario, M5X 1C9</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20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17" w:lineRule="exact"/>
        <w:rPr>
          <w:sz w:val="24"/>
          <w:szCs w:val="24"/>
          <w:color w:val="auto"/>
        </w:rPr>
      </w:pPr>
    </w:p>
    <w:p>
      <w:pPr>
        <w:spacing w:after="0" w:line="253" w:lineRule="exact"/>
        <w:rPr>
          <w:sz w:val="20"/>
          <w:szCs w:val="20"/>
          <w:color w:val="auto"/>
        </w:rPr>
      </w:pPr>
      <w:r>
        <w:rPr>
          <w:rFonts w:ascii="Arial" w:cs="Arial" w:eastAsia="Arial" w:hAnsi="Arial"/>
          <w:sz w:val="16"/>
          <w:szCs w:val="16"/>
          <w:color w:val="auto"/>
        </w:rPr>
        <w:t xml:space="preserve">Form 20-F </w:t>
      </w:r>
      <w:r>
        <w:rPr>
          <w:rFonts w:ascii="Arial" w:cs="Arial" w:eastAsia="Arial" w:hAnsi="Arial"/>
          <w:sz w:val="22"/>
          <w:szCs w:val="22"/>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1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Note</w:t>
      </w:r>
      <w:r>
        <w:rPr>
          <w:rFonts w:ascii="Arial" w:cs="Arial" w:eastAsia="Arial" w:hAnsi="Arial"/>
          <w:sz w:val="15"/>
          <w:szCs w:val="15"/>
          <w:color w:val="auto"/>
        </w:rPr>
        <w:t>: Regulation S-T Rule 101(b)(1) only permits the submission in paper of a Form 6-K if submitted solely to provide an attached annual report to security holders.</w:t>
      </w:r>
    </w:p>
    <w:p>
      <w:pPr>
        <w:spacing w:after="0" w:line="22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191" w:lineRule="exact"/>
        <w:rPr>
          <w:sz w:val="24"/>
          <w:szCs w:val="24"/>
          <w:color w:val="auto"/>
        </w:rPr>
      </w:pPr>
    </w:p>
    <w:p>
      <w:pPr>
        <w:spacing w:after="0" w:line="24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 registrant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INCORPORATION BY REFERENCE</w:t>
      </w:r>
    </w:p>
    <w:p>
      <w:pPr>
        <w:spacing w:after="0" w:line="77" w:lineRule="exact"/>
        <w:rPr>
          <w:sz w:val="24"/>
          <w:szCs w:val="24"/>
          <w:color w:val="auto"/>
        </w:rPr>
      </w:pPr>
    </w:p>
    <w:p>
      <w:pPr>
        <w:ind w:left="580"/>
        <w:spacing w:after="0"/>
        <w:rPr>
          <w:sz w:val="20"/>
          <w:szCs w:val="20"/>
          <w:color w:val="auto"/>
        </w:rPr>
      </w:pPr>
      <w:r>
        <w:rPr>
          <w:rFonts w:ascii="Arial" w:cs="Arial" w:eastAsia="Arial" w:hAnsi="Arial"/>
          <w:sz w:val="15"/>
          <w:szCs w:val="15"/>
          <w:color w:val="auto"/>
        </w:rPr>
        <w:t>Exhibits 99.1 - 99.2 of this Form 6-K of Cybin Inc. (the "Company") are hereby incorporated by reference into the Registration Statement on Form F-10 (File No.</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479"/>
        <w:spacing w:after="0"/>
        <w:rPr>
          <w:sz w:val="20"/>
          <w:szCs w:val="20"/>
          <w:color w:val="auto"/>
        </w:rPr>
      </w:pPr>
      <w:r>
        <w:rPr>
          <w:rFonts w:ascii="Arial" w:cs="Arial" w:eastAsia="Arial" w:hAnsi="Arial"/>
          <w:sz w:val="16"/>
          <w:szCs w:val="16"/>
          <w:b w:val="1"/>
          <w:bCs w:val="1"/>
          <w:color w:val="auto"/>
        </w:rPr>
        <w:t>SIGNATURE</w:t>
      </w:r>
    </w:p>
    <w:p>
      <w:pPr>
        <w:spacing w:after="0" w:line="89" w:lineRule="exact"/>
        <w:rPr>
          <w:sz w:val="20"/>
          <w:szCs w:val="20"/>
          <w:color w:val="auto"/>
        </w:rPr>
      </w:pPr>
    </w:p>
    <w:p>
      <w:pPr>
        <w:ind w:firstLine="587"/>
        <w:spacing w:after="0" w:line="26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CYBIN INC.</w:t>
            </w:r>
          </w:p>
        </w:tc>
      </w:tr>
      <w:tr>
        <w:trPr>
          <w:trHeight w:val="232"/>
        </w:trPr>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(Registrant)</w:t>
            </w:r>
          </w:p>
        </w:tc>
      </w:tr>
      <w:tr>
        <w:trPr>
          <w:trHeight w:val="471"/>
        </w:trPr>
        <w:tc>
          <w:tcPr>
            <w:tcW w:w="500" w:type="dxa"/>
            <w:vAlign w:val="bottom"/>
          </w:tcPr>
          <w:p>
            <w:pPr>
              <w:spacing w:after="0"/>
              <w:rPr>
                <w:sz w:val="20"/>
                <w:szCs w:val="20"/>
                <w:color w:val="auto"/>
              </w:rPr>
            </w:pPr>
            <w:r>
              <w:rPr>
                <w:rFonts w:ascii="Arial" w:cs="Arial" w:eastAsia="Arial" w:hAnsi="Arial"/>
                <w:sz w:val="16"/>
                <w:szCs w:val="16"/>
                <w:color w:val="auto"/>
              </w:rPr>
              <w:t>Date:</w:t>
            </w:r>
          </w:p>
        </w:tc>
        <w:tc>
          <w:tcPr>
            <w:tcW w:w="5100" w:type="dxa"/>
            <w:vAlign w:val="bottom"/>
          </w:tcPr>
          <w:p>
            <w:pPr>
              <w:ind w:left="160"/>
              <w:spacing w:after="0"/>
              <w:rPr>
                <w:sz w:val="20"/>
                <w:szCs w:val="20"/>
                <w:color w:val="auto"/>
              </w:rPr>
            </w:pPr>
            <w:r>
              <w:rPr>
                <w:rFonts w:ascii="Arial" w:cs="Arial" w:eastAsia="Arial" w:hAnsi="Arial"/>
                <w:sz w:val="16"/>
                <w:szCs w:val="16"/>
                <w:color w:val="auto"/>
              </w:rPr>
              <w:t>February 10, 2022</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404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/s/ Doug Drysdale</w:t>
            </w:r>
          </w:p>
        </w:tc>
      </w:tr>
      <w:tr>
        <w:trPr>
          <w:trHeight w:val="218"/>
        </w:trPr>
        <w:tc>
          <w:tcPr>
            <w:tcW w:w="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Name:</w:t>
            </w:r>
          </w:p>
        </w:tc>
        <w:tc>
          <w:tcPr>
            <w:tcW w:w="4040" w:type="dxa"/>
            <w:vAlign w:val="bottom"/>
          </w:tcPr>
          <w:p>
            <w:pPr>
              <w:ind w:left="160"/>
              <w:spacing w:after="0"/>
              <w:rPr>
                <w:sz w:val="20"/>
                <w:szCs w:val="20"/>
                <w:color w:val="auto"/>
              </w:rPr>
            </w:pPr>
            <w:r>
              <w:rPr>
                <w:rFonts w:ascii="Arial" w:cs="Arial" w:eastAsia="Arial" w:hAnsi="Arial"/>
                <w:sz w:val="16"/>
                <w:szCs w:val="16"/>
                <w:color w:val="auto"/>
              </w:rPr>
              <w:t>Doug Drysdale</w:t>
            </w:r>
          </w:p>
        </w:tc>
      </w:tr>
      <w:tr>
        <w:trPr>
          <w:trHeight w:val="232"/>
        </w:trPr>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Title:</w:t>
            </w:r>
          </w:p>
        </w:tc>
        <w:tc>
          <w:tcPr>
            <w:tcW w:w="4040" w:type="dxa"/>
            <w:vAlign w:val="bottom"/>
          </w:tcPr>
          <w:p>
            <w:pPr>
              <w:ind w:left="16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0780"/>
          </w:cols>
          <w:pgMar w:left="320" w:top="1297" w:right="7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EXHIBIT INDEX</w:t>
            </w:r>
          </w:p>
        </w:tc>
        <w:tc>
          <w:tcPr>
            <w:tcW w:w="1380" w:type="dxa"/>
            <w:vAlign w:val="bottom"/>
            <w:gridSpan w:val="3"/>
          </w:tcPr>
          <w:p>
            <w:pPr>
              <w:spacing w:after="0"/>
              <w:rPr>
                <w:sz w:val="16"/>
                <w:szCs w:val="16"/>
                <w:color w:val="auto"/>
              </w:rPr>
            </w:pPr>
          </w:p>
        </w:tc>
      </w:tr>
      <w:tr>
        <w:trPr>
          <w:trHeight w:val="518"/>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99.1</w:t>
            </w:r>
          </w:p>
        </w:tc>
        <w:tc>
          <w:tcPr>
            <w:tcW w:w="6500" w:type="dxa"/>
            <w:vAlign w:val="bottom"/>
            <w:gridSpan w:val="8"/>
          </w:tcPr>
          <w:p>
            <w:pPr>
              <w:spacing w:after="0"/>
              <w:rPr>
                <w:rFonts w:ascii="Arial" w:cs="Arial" w:eastAsia="Arial" w:hAnsi="Arial"/>
                <w:sz w:val="16"/>
                <w:szCs w:val="16"/>
                <w:color w:val="0000FF"/>
                <w:w w:val="91"/>
              </w:rPr>
            </w:pPr>
            <w:hyperlink w:anchor="page4">
              <w:r>
                <w:rPr>
                  <w:rFonts w:ascii="Arial" w:cs="Arial" w:eastAsia="Arial" w:hAnsi="Arial"/>
                  <w:sz w:val="16"/>
                  <w:szCs w:val="16"/>
                  <w:color w:val="0000FF"/>
                  <w:w w:val="91"/>
                </w:rPr>
                <w:t xml:space="preserve">Interim Consolidated Financial Statements for the three and </w:t>
              </w:r>
            </w:hyperlink>
            <w:r>
              <w:rPr>
                <w:rFonts w:ascii="Arial" w:cs="Arial" w:eastAsia="Arial" w:hAnsi="Arial"/>
                <w:sz w:val="16"/>
                <w:szCs w:val="16"/>
                <w:color w:val="0000FF"/>
                <w:w w:val="91"/>
              </w:rPr>
              <w:t xml:space="preserve">nine </w:t>
            </w:r>
            <w:hyperlink w:anchor="page4">
              <w:r>
                <w:rPr>
                  <w:rFonts w:ascii="Arial" w:cs="Arial" w:eastAsia="Arial" w:hAnsi="Arial"/>
                  <w:sz w:val="16"/>
                  <w:szCs w:val="16"/>
                  <w:color w:val="0000FF"/>
                  <w:w w:val="91"/>
                </w:rPr>
                <w:t xml:space="preserve">months ended </w:t>
              </w:r>
            </w:hyperlink>
            <w:r>
              <w:rPr>
                <w:rFonts w:ascii="Arial" w:cs="Arial" w:eastAsia="Arial" w:hAnsi="Arial"/>
                <w:sz w:val="16"/>
                <w:szCs w:val="16"/>
                <w:color w:val="0000FF"/>
                <w:w w:val="91"/>
              </w:rPr>
              <w:t xml:space="preserve">December 31, </w:t>
            </w:r>
            <w:hyperlink w:anchor="page4">
              <w:r>
                <w:rPr>
                  <w:rFonts w:ascii="Arial" w:cs="Arial" w:eastAsia="Arial" w:hAnsi="Arial"/>
                  <w:sz w:val="16"/>
                  <w:szCs w:val="16"/>
                  <w:color w:val="0000FF"/>
                  <w:w w:val="91"/>
                </w:rPr>
                <w:t>2021</w:t>
              </w:r>
            </w:hyperlink>
          </w:p>
        </w:tc>
      </w:tr>
      <w:tr>
        <w:trPr>
          <w:trHeight w:val="212"/>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99.2</w:t>
            </w:r>
          </w:p>
        </w:tc>
        <w:tc>
          <w:tcPr>
            <w:tcW w:w="6480" w:type="dxa"/>
            <w:vAlign w:val="bottom"/>
            <w:tcBorders>
              <w:top w:val="single" w:sz="8" w:color="0000FF"/>
            </w:tcBorders>
            <w:gridSpan w:val="7"/>
          </w:tcPr>
          <w:p>
            <w:pPr>
              <w:spacing w:after="0"/>
              <w:rPr>
                <w:rFonts w:ascii="Arial" w:cs="Arial" w:eastAsia="Arial" w:hAnsi="Arial"/>
                <w:sz w:val="16"/>
                <w:szCs w:val="16"/>
                <w:color w:val="0000FF"/>
                <w:w w:val="93"/>
              </w:rPr>
            </w:pPr>
            <w:hyperlink w:anchor="page29">
              <w:r>
                <w:rPr>
                  <w:rFonts w:ascii="Arial" w:cs="Arial" w:eastAsia="Arial" w:hAnsi="Arial"/>
                  <w:sz w:val="16"/>
                  <w:szCs w:val="16"/>
                  <w:color w:val="0000FF"/>
                  <w:w w:val="93"/>
                </w:rPr>
                <w:t xml:space="preserve">Management’s Discussion and Analysis for the three and nine months ended December </w:t>
              </w:r>
            </w:hyperlink>
            <w:r>
              <w:rPr>
                <w:rFonts w:ascii="Arial" w:cs="Arial" w:eastAsia="Arial" w:hAnsi="Arial"/>
                <w:sz w:val="16"/>
                <w:szCs w:val="16"/>
                <w:color w:val="0000FF"/>
                <w:w w:val="93"/>
              </w:rPr>
              <w:t xml:space="preserve">31, </w:t>
            </w:r>
            <w:hyperlink w:anchor="page29">
              <w:r>
                <w:rPr>
                  <w:rFonts w:ascii="Arial" w:cs="Arial" w:eastAsia="Arial" w:hAnsi="Arial"/>
                  <w:sz w:val="16"/>
                  <w:szCs w:val="16"/>
                  <w:color w:val="0000FF"/>
                  <w:w w:val="93"/>
                </w:rPr>
                <w:t>2021</w:t>
              </w:r>
            </w:hyperlink>
          </w:p>
        </w:tc>
        <w:tc>
          <w:tcPr>
            <w:tcW w:w="20" w:type="dxa"/>
            <w:vAlign w:val="bottom"/>
          </w:tcPr>
          <w:p>
            <w:pPr>
              <w:spacing w:after="0"/>
              <w:rPr>
                <w:sz w:val="18"/>
                <w:szCs w:val="18"/>
                <w:color w:val="auto"/>
              </w:rPr>
            </w:pPr>
          </w:p>
        </w:tc>
      </w:tr>
      <w:tr>
        <w:trPr>
          <w:trHeight w:val="212"/>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99.3</w:t>
            </w:r>
          </w:p>
        </w:tc>
        <w:tc>
          <w:tcPr>
            <w:tcW w:w="6300" w:type="dxa"/>
            <w:vAlign w:val="bottom"/>
            <w:tcBorders>
              <w:top w:val="single" w:sz="8" w:color="0000FF"/>
            </w:tcBorders>
            <w:gridSpan w:val="6"/>
          </w:tcPr>
          <w:p>
            <w:pPr>
              <w:spacing w:after="0"/>
              <w:rPr>
                <w:rFonts w:ascii="Arial" w:cs="Arial" w:eastAsia="Arial" w:hAnsi="Arial"/>
                <w:sz w:val="16"/>
                <w:szCs w:val="16"/>
                <w:color w:val="0000FF"/>
              </w:rPr>
            </w:pPr>
            <w:hyperlink w:anchor="page96">
              <w:r>
                <w:rPr>
                  <w:rFonts w:ascii="Arial" w:cs="Arial" w:eastAsia="Arial" w:hAnsi="Arial"/>
                  <w:sz w:val="16"/>
                  <w:szCs w:val="16"/>
                  <w:color w:val="0000FF"/>
                </w:rPr>
                <w:t xml:space="preserve">Certification of Interim Filings by CFO dated February </w:t>
              </w:r>
            </w:hyperlink>
            <w:r>
              <w:rPr>
                <w:rFonts w:ascii="Arial" w:cs="Arial" w:eastAsia="Arial" w:hAnsi="Arial"/>
                <w:sz w:val="16"/>
                <w:szCs w:val="16"/>
                <w:color w:val="0000FF"/>
              </w:rPr>
              <w:t>10, 2022</w:t>
            </w:r>
          </w:p>
        </w:tc>
        <w:tc>
          <w:tcPr>
            <w:tcW w:w="200" w:type="dxa"/>
            <w:vAlign w:val="bottom"/>
            <w:gridSpan w:val="2"/>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r>
      <w:tr>
        <w:trPr>
          <w:trHeight w:val="212"/>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99.4</w:t>
            </w:r>
          </w:p>
        </w:tc>
        <w:tc>
          <w:tcPr>
            <w:tcW w:w="4220" w:type="dxa"/>
            <w:vAlign w:val="bottom"/>
            <w:tcBorders>
              <w:bottom w:val="single" w:sz="8" w:color="0000FF"/>
            </w:tcBorders>
            <w:gridSpan w:val="4"/>
          </w:tcPr>
          <w:p>
            <w:pPr>
              <w:spacing w:after="0"/>
              <w:rPr>
                <w:rFonts w:ascii="Arial" w:cs="Arial" w:eastAsia="Arial" w:hAnsi="Arial"/>
                <w:sz w:val="16"/>
                <w:szCs w:val="16"/>
                <w:color w:val="0000FF"/>
                <w:w w:val="94"/>
              </w:rPr>
            </w:pPr>
            <w:hyperlink w:anchor="page97">
              <w:r>
                <w:rPr>
                  <w:rFonts w:ascii="Arial" w:cs="Arial" w:eastAsia="Arial" w:hAnsi="Arial"/>
                  <w:sz w:val="16"/>
                  <w:szCs w:val="16"/>
                  <w:color w:val="0000FF"/>
                  <w:w w:val="94"/>
                </w:rPr>
                <w:t xml:space="preserve">Certification of Interim Filings by CEO dated February </w:t>
              </w:r>
            </w:hyperlink>
            <w:r>
              <w:rPr>
                <w:rFonts w:ascii="Arial" w:cs="Arial" w:eastAsia="Arial" w:hAnsi="Arial"/>
                <w:sz w:val="16"/>
                <w:szCs w:val="16"/>
                <w:color w:val="0000FF"/>
                <w:w w:val="94"/>
              </w:rPr>
              <w:t>10, 2022</w:t>
            </w:r>
          </w:p>
        </w:tc>
        <w:tc>
          <w:tcPr>
            <w:tcW w:w="2280" w:type="dxa"/>
            <w:vAlign w:val="bottom"/>
            <w:gridSpan w:val="4"/>
          </w:tcPr>
          <w:p>
            <w:pPr>
              <w:spacing w:after="0"/>
              <w:rPr>
                <w:sz w:val="18"/>
                <w:szCs w:val="18"/>
                <w:color w:val="auto"/>
              </w:rPr>
            </w:pPr>
          </w:p>
        </w:tc>
      </w:tr>
      <w:tr>
        <w:trPr>
          <w:trHeight w:val="212"/>
        </w:trPr>
        <w:tc>
          <w:tcPr>
            <w:tcW w:w="1120" w:type="dxa"/>
            <w:vAlign w:val="bottom"/>
          </w:tcPr>
          <w:p>
            <w:pPr>
              <w:jc w:val="right"/>
              <w:ind w:right="758"/>
              <w:spacing w:after="0"/>
              <w:rPr>
                <w:sz w:val="20"/>
                <w:szCs w:val="20"/>
                <w:color w:val="auto"/>
              </w:rPr>
            </w:pPr>
            <w:r>
              <w:rPr>
                <w:rFonts w:ascii="Arial" w:cs="Arial" w:eastAsia="Arial" w:hAnsi="Arial"/>
                <w:sz w:val="16"/>
                <w:szCs w:val="16"/>
                <w:color w:val="auto"/>
                <w:w w:val="83"/>
              </w:rPr>
              <w:t>99.5</w:t>
            </w:r>
          </w:p>
        </w:tc>
        <w:tc>
          <w:tcPr>
            <w:tcW w:w="2560" w:type="dxa"/>
            <w:vAlign w:val="bottom"/>
            <w:tcBorders>
              <w:bottom w:val="single" w:sz="8" w:color="0000FF"/>
            </w:tcBorders>
          </w:tcPr>
          <w:p>
            <w:pPr>
              <w:spacing w:after="0"/>
              <w:rPr>
                <w:rFonts w:ascii="Arial" w:cs="Arial" w:eastAsia="Arial" w:hAnsi="Arial"/>
                <w:sz w:val="16"/>
                <w:szCs w:val="16"/>
                <w:color w:val="0000FF"/>
                <w:w w:val="89"/>
              </w:rPr>
            </w:pPr>
            <w:hyperlink w:anchor="page98">
              <w:r>
                <w:rPr>
                  <w:rFonts w:ascii="Arial" w:cs="Arial" w:eastAsia="Arial" w:hAnsi="Arial"/>
                  <w:sz w:val="16"/>
                  <w:szCs w:val="16"/>
                  <w:color w:val="0000FF"/>
                  <w:w w:val="89"/>
                </w:rPr>
                <w:t>News Release dated February 10, 2022</w:t>
              </w:r>
            </w:hyperlink>
          </w:p>
        </w:tc>
        <w:tc>
          <w:tcPr>
            <w:tcW w:w="3940" w:type="dxa"/>
            <w:vAlign w:val="bottom"/>
            <w:gridSpan w:val="7"/>
          </w:tcPr>
          <w:p>
            <w:pPr>
              <w:spacing w:after="0"/>
              <w:rPr>
                <w:sz w:val="18"/>
                <w:szCs w:val="18"/>
                <w:color w:val="auto"/>
              </w:rPr>
            </w:pPr>
          </w:p>
        </w:tc>
      </w:tr>
    </w:tbl>
    <w:p>
      <w:pPr>
        <w:sectPr>
          <w:pgSz w:w="11900" w:h="16838" w:orient="portrait"/>
          <w:cols w:equalWidth="0" w:num="1">
            <w:col w:w="10119"/>
          </w:cols>
          <w:pgMar w:left="340" w:top="1289"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2997835</wp:posOffset>
            </wp:positionH>
            <wp:positionV relativeFrom="page">
              <wp:posOffset>2752725</wp:posOffset>
            </wp:positionV>
            <wp:extent cx="1553210" cy="1002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53210" cy="100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39"/>
          <w:szCs w:val="39"/>
          <w:b w:val="1"/>
          <w:bCs w:val="1"/>
          <w:color w:val="auto"/>
        </w:rPr>
        <w:t>CYBIN INC.</w:t>
      </w:r>
    </w:p>
    <w:p>
      <w:pPr>
        <w:spacing w:after="0" w:line="198" w:lineRule="exact"/>
        <w:rPr>
          <w:sz w:val="20"/>
          <w:szCs w:val="20"/>
          <w:color w:val="auto"/>
        </w:rPr>
      </w:pPr>
    </w:p>
    <w:p>
      <w:pPr>
        <w:jc w:val="center"/>
        <w:ind w:left="900" w:right="919"/>
        <w:spacing w:after="0" w:line="405" w:lineRule="auto"/>
        <w:rPr>
          <w:sz w:val="20"/>
          <w:szCs w:val="20"/>
          <w:color w:val="auto"/>
        </w:rPr>
      </w:pPr>
      <w:r>
        <w:rPr>
          <w:rFonts w:ascii="Arial" w:cs="Arial" w:eastAsia="Arial" w:hAnsi="Arial"/>
          <w:sz w:val="23"/>
          <w:szCs w:val="23"/>
          <w:b w:val="1"/>
          <w:bCs w:val="1"/>
          <w:color w:val="auto"/>
        </w:rPr>
        <w:t>CONDENSED INTERIM CONSOLIDATED FINANCIAL STATEMENTS FOR THE THREE AND NINE MONTHS ENDED DECEMBER 31, 2021</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(UNAUDITED)</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OUR SHAREHOLDERS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accompanying unaudited condensed interim consolidated financial statements of Cybin Inc. ("Cybin") have been prepared by and are the responsibility of Cybin's management in accordance with International Accounting Standards (“IAS”) 34, Interim Financial Reporting as issued by the International Accounting Standards Board ("IASB''). These unaudited condensed interim consolidated financial statements do not include all the information and notes required by International Financial Reporting Standards ("IFRS'') for annual financial statements and should be read in conjunction with Cybin’s annual financial statements and notes for the year ended March 31, 2021, which are available on SEDAR at </w:t>
      </w:r>
      <w:r>
        <w:rPr>
          <w:rFonts w:ascii="Arial" w:cs="Arial" w:eastAsia="Arial" w:hAnsi="Arial"/>
          <w:sz w:val="20"/>
          <w:szCs w:val="20"/>
          <w:u w:val="single" w:color="auto"/>
          <w:color w:val="0000E1"/>
        </w:rPr>
        <w:t>www.sedar.com</w:t>
      </w:r>
      <w:r>
        <w:rPr>
          <w:rFonts w:ascii="Arial" w:cs="Arial" w:eastAsia="Arial" w:hAnsi="Arial"/>
          <w:sz w:val="20"/>
          <w:szCs w:val="20"/>
          <w:color w:val="auto"/>
        </w:rPr>
        <w:t>.</w:t>
      </w:r>
    </w:p>
    <w:p>
      <w:pPr>
        <w:sectPr>
          <w:pgSz w:w="11900" w:h="16838" w:orient="portrait"/>
          <w:cols w:equalWidth="0" w:num="1">
            <w:col w:w="11260"/>
          </w:cols>
          <w:pgMar w:left="320" w:top="1440" w:right="319" w:bottom="1440" w:gutter="0" w:footer="0" w:header="0"/>
        </w:sectPr>
      </w:pPr>
    </w:p>
    <w:bookmarkStart w:id="5" w:name="page6"/>
    <w:bookmarkEnd w:id="5"/>
    <w:p>
      <w:pPr>
        <w:ind w:left="60"/>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0" w:right="3700"/>
        <w:spacing w:after="0" w:line="245" w:lineRule="auto"/>
        <w:rPr>
          <w:sz w:val="20"/>
          <w:szCs w:val="20"/>
          <w:color w:val="auto"/>
        </w:rPr>
      </w:pPr>
      <w:r>
        <w:rPr>
          <w:rFonts w:ascii="Arial" w:cs="Arial" w:eastAsia="Arial" w:hAnsi="Arial"/>
          <w:sz w:val="20"/>
          <w:szCs w:val="20"/>
          <w:b w:val="1"/>
          <w:bCs w:val="1"/>
          <w:color w:val="auto"/>
        </w:rPr>
        <w:t>CONDENSED INTERIM CONSOLIDATED STATEMENTS OF FINANCIAL POSITION (All amounts expressed in thousands of Canadian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450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As at</w:t>
            </w:r>
          </w:p>
        </w:tc>
        <w:tc>
          <w:tcPr>
            <w:tcW w:w="2280" w:type="dxa"/>
            <w:vAlign w:val="bottom"/>
            <w:tcBorders>
              <w:bottom w:val="single" w:sz="8" w:color="auto"/>
            </w:tcBorders>
          </w:tcPr>
          <w:p>
            <w:pPr>
              <w:jc w:val="center"/>
              <w:ind w:left="947"/>
              <w:spacing w:after="0"/>
              <w:rPr>
                <w:sz w:val="20"/>
                <w:szCs w:val="20"/>
                <w:color w:val="auto"/>
              </w:rPr>
            </w:pPr>
            <w:r>
              <w:rPr>
                <w:rFonts w:ascii="Arial" w:cs="Arial" w:eastAsia="Arial" w:hAnsi="Arial"/>
                <w:sz w:val="15"/>
                <w:szCs w:val="15"/>
                <w:i w:val="1"/>
                <w:iCs w:val="1"/>
                <w:color w:val="auto"/>
                <w:w w:val="96"/>
              </w:rPr>
              <w:t>Notes</w:t>
            </w:r>
          </w:p>
        </w:tc>
        <w:tc>
          <w:tcPr>
            <w:tcW w:w="21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December 31, 2021</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March 31, 2021</w:t>
            </w:r>
          </w:p>
        </w:tc>
      </w:tr>
      <w:tr>
        <w:trPr>
          <w:trHeight w:val="381"/>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ASSETS</w:t>
            </w:r>
          </w:p>
        </w:tc>
        <w:tc>
          <w:tcPr>
            <w:tcW w:w="2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8"/>
        </w:trPr>
        <w:tc>
          <w:tcPr>
            <w:tcW w:w="5260" w:type="dxa"/>
            <w:vAlign w:val="bottom"/>
          </w:tcPr>
          <w:p>
            <w:pPr>
              <w:ind w:left="200"/>
              <w:spacing w:after="0"/>
              <w:rPr>
                <w:sz w:val="20"/>
                <w:szCs w:val="20"/>
                <w:color w:val="auto"/>
              </w:rPr>
            </w:pPr>
            <w:r>
              <w:rPr>
                <w:rFonts w:ascii="Arial" w:cs="Arial" w:eastAsia="Arial" w:hAnsi="Arial"/>
                <w:sz w:val="15"/>
                <w:szCs w:val="15"/>
                <w:b w:val="1"/>
                <w:bCs w:val="1"/>
                <w:color w:val="auto"/>
              </w:rPr>
              <w:t>Current</w:t>
            </w: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2"/>
        </w:trPr>
        <w:tc>
          <w:tcPr>
            <w:tcW w:w="5260" w:type="dxa"/>
            <w:vAlign w:val="bottom"/>
          </w:tcPr>
          <w:p>
            <w:pPr>
              <w:ind w:left="500"/>
              <w:spacing w:after="0"/>
              <w:rPr>
                <w:sz w:val="20"/>
                <w:szCs w:val="20"/>
                <w:color w:val="auto"/>
              </w:rPr>
            </w:pPr>
            <w:r>
              <w:rPr>
                <w:rFonts w:ascii="Arial" w:cs="Arial" w:eastAsia="Arial" w:hAnsi="Arial"/>
                <w:sz w:val="15"/>
                <w:szCs w:val="15"/>
                <w:color w:val="auto"/>
              </w:rPr>
              <w:t>Cash</w:t>
            </w:r>
          </w:p>
        </w:tc>
        <w:tc>
          <w:tcPr>
            <w:tcW w:w="2280" w:type="dxa"/>
            <w:vAlign w:val="bottom"/>
          </w:tcPr>
          <w:p>
            <w:pPr>
              <w:spacing w:after="0"/>
              <w:rPr>
                <w:sz w:val="20"/>
                <w:szCs w:val="20"/>
                <w:color w:val="auto"/>
              </w:rPr>
            </w:pP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63,580</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64,026</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Accounts receivable</w:t>
            </w:r>
          </w:p>
        </w:tc>
        <w:tc>
          <w:tcPr>
            <w:tcW w:w="2280" w:type="dxa"/>
            <w:vAlign w:val="bottom"/>
          </w:tcPr>
          <w:p>
            <w:pPr>
              <w:spacing w:after="0"/>
              <w:rPr>
                <w:sz w:val="19"/>
                <w:szCs w:val="19"/>
                <w:color w:val="auto"/>
              </w:rPr>
            </w:pP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2,167</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1,329</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Prepaid expenses</w:t>
            </w:r>
          </w:p>
        </w:tc>
        <w:tc>
          <w:tcPr>
            <w:tcW w:w="2280" w:type="dxa"/>
            <w:vAlign w:val="bottom"/>
          </w:tcPr>
          <w:p>
            <w:pPr>
              <w:spacing w:after="0"/>
              <w:rPr>
                <w:sz w:val="19"/>
                <w:szCs w:val="19"/>
                <w:color w:val="auto"/>
              </w:rPr>
            </w:pP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2,664</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1,129</w:t>
            </w:r>
          </w:p>
        </w:tc>
      </w:tr>
      <w:tr>
        <w:trPr>
          <w:trHeight w:val="220"/>
        </w:trPr>
        <w:tc>
          <w:tcPr>
            <w:tcW w:w="5260" w:type="dxa"/>
            <w:vAlign w:val="bottom"/>
          </w:tcPr>
          <w:p>
            <w:pPr>
              <w:ind w:left="620"/>
              <w:spacing w:after="0"/>
              <w:rPr>
                <w:sz w:val="20"/>
                <w:szCs w:val="20"/>
                <w:color w:val="auto"/>
              </w:rPr>
            </w:pPr>
            <w:r>
              <w:rPr>
                <w:rFonts w:ascii="Arial" w:cs="Arial" w:eastAsia="Arial" w:hAnsi="Arial"/>
                <w:sz w:val="15"/>
                <w:szCs w:val="15"/>
                <w:color w:val="auto"/>
              </w:rPr>
              <w:t>Other current assets</w:t>
            </w:r>
          </w:p>
        </w:tc>
        <w:tc>
          <w:tcPr>
            <w:tcW w:w="2280" w:type="dxa"/>
            <w:vAlign w:val="bottom"/>
          </w:tcPr>
          <w:p>
            <w:pPr>
              <w:spacing w:after="0"/>
              <w:rPr>
                <w:sz w:val="19"/>
                <w:szCs w:val="19"/>
                <w:color w:val="auto"/>
              </w:rPr>
            </w:pP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733</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w:t>
            </w:r>
          </w:p>
        </w:tc>
      </w:tr>
      <w:tr>
        <w:trPr>
          <w:trHeight w:val="103"/>
        </w:trPr>
        <w:tc>
          <w:tcPr>
            <w:tcW w:w="52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8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Current Assets</w:t>
            </w:r>
          </w:p>
        </w:tc>
        <w:tc>
          <w:tcPr>
            <w:tcW w:w="2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69,144</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66,484</w:t>
            </w:r>
          </w:p>
        </w:tc>
      </w:tr>
      <w:tr>
        <w:trPr>
          <w:trHeight w:val="355"/>
        </w:trPr>
        <w:tc>
          <w:tcPr>
            <w:tcW w:w="5260" w:type="dxa"/>
            <w:vAlign w:val="bottom"/>
          </w:tcPr>
          <w:p>
            <w:pPr>
              <w:ind w:left="200"/>
              <w:spacing w:after="0"/>
              <w:rPr>
                <w:sz w:val="20"/>
                <w:szCs w:val="20"/>
                <w:color w:val="auto"/>
              </w:rPr>
            </w:pPr>
            <w:r>
              <w:rPr>
                <w:rFonts w:ascii="Arial" w:cs="Arial" w:eastAsia="Arial" w:hAnsi="Arial"/>
                <w:sz w:val="15"/>
                <w:szCs w:val="15"/>
                <w:b w:val="1"/>
                <w:bCs w:val="1"/>
                <w:color w:val="auto"/>
              </w:rPr>
              <w:t>Non-current</w:t>
            </w:r>
          </w:p>
        </w:tc>
        <w:tc>
          <w:tcPr>
            <w:tcW w:w="2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2"/>
        </w:trPr>
        <w:tc>
          <w:tcPr>
            <w:tcW w:w="5260" w:type="dxa"/>
            <w:vAlign w:val="bottom"/>
          </w:tcPr>
          <w:p>
            <w:pPr>
              <w:ind w:left="500"/>
              <w:spacing w:after="0"/>
              <w:rPr>
                <w:sz w:val="20"/>
                <w:szCs w:val="20"/>
                <w:color w:val="auto"/>
              </w:rPr>
            </w:pPr>
            <w:r>
              <w:rPr>
                <w:rFonts w:ascii="Arial" w:cs="Arial" w:eastAsia="Arial" w:hAnsi="Arial"/>
                <w:sz w:val="15"/>
                <w:szCs w:val="15"/>
                <w:color w:val="auto"/>
              </w:rPr>
              <w:t>Investments</w:t>
            </w:r>
          </w:p>
        </w:tc>
        <w:tc>
          <w:tcPr>
            <w:tcW w:w="22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3</w:t>
            </w: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250</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Equipment</w:t>
            </w:r>
          </w:p>
        </w:tc>
        <w:tc>
          <w:tcPr>
            <w:tcW w:w="22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4</w:t>
            </w: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528</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557</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Intangible assets</w:t>
            </w:r>
          </w:p>
        </w:tc>
        <w:tc>
          <w:tcPr>
            <w:tcW w:w="22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5</w:t>
            </w: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2,013</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1,701</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Goodwill</w:t>
            </w:r>
          </w:p>
        </w:tc>
        <w:tc>
          <w:tcPr>
            <w:tcW w:w="2280" w:type="dxa"/>
            <w:vAlign w:val="bottom"/>
          </w:tcPr>
          <w:p>
            <w:pPr>
              <w:spacing w:after="0"/>
              <w:rPr>
                <w:sz w:val="19"/>
                <w:szCs w:val="19"/>
                <w:color w:val="auto"/>
              </w:rPr>
            </w:pP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23,226</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23,370</w:t>
            </w:r>
          </w:p>
        </w:tc>
      </w:tr>
      <w:tr>
        <w:trPr>
          <w:trHeight w:val="103"/>
        </w:trPr>
        <w:tc>
          <w:tcPr>
            <w:tcW w:w="52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87"/>
        </w:trPr>
        <w:tc>
          <w:tcPr>
            <w:tcW w:w="5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26,017</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25,628</w:t>
            </w:r>
          </w:p>
        </w:tc>
      </w:tr>
      <w:tr>
        <w:trPr>
          <w:trHeight w:val="29"/>
        </w:trPr>
        <w:tc>
          <w:tcPr>
            <w:tcW w:w="5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5"/>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ASSETS</w:t>
            </w:r>
          </w:p>
        </w:tc>
        <w:tc>
          <w:tcPr>
            <w:tcW w:w="2280" w:type="dxa"/>
            <w:vAlign w:val="bottom"/>
            <w:tcBorders>
              <w:bottom w:val="single" w:sz="8" w:color="auto"/>
            </w:tcBorders>
            <w:shd w:val="clear" w:color="auto" w:fill="D9D9D9"/>
          </w:tcPr>
          <w:p>
            <w:pPr>
              <w:spacing w:after="0"/>
              <w:rPr>
                <w:sz w:val="16"/>
                <w:szCs w:val="16"/>
                <w:color w:val="auto"/>
              </w:rPr>
            </w:pPr>
          </w:p>
        </w:tc>
        <w:tc>
          <w:tcPr>
            <w:tcW w:w="218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95,161</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92,112</w:t>
            </w:r>
          </w:p>
        </w:tc>
      </w:tr>
      <w:tr>
        <w:trPr>
          <w:trHeight w:val="220"/>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LIABILITIES</w:t>
            </w:r>
          </w:p>
        </w:tc>
        <w:tc>
          <w:tcPr>
            <w:tcW w:w="22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8"/>
        </w:trPr>
        <w:tc>
          <w:tcPr>
            <w:tcW w:w="5260" w:type="dxa"/>
            <w:vAlign w:val="bottom"/>
          </w:tcPr>
          <w:p>
            <w:pPr>
              <w:ind w:left="200"/>
              <w:spacing w:after="0"/>
              <w:rPr>
                <w:sz w:val="20"/>
                <w:szCs w:val="20"/>
                <w:color w:val="auto"/>
              </w:rPr>
            </w:pPr>
            <w:r>
              <w:rPr>
                <w:rFonts w:ascii="Arial" w:cs="Arial" w:eastAsia="Arial" w:hAnsi="Arial"/>
                <w:sz w:val="15"/>
                <w:szCs w:val="15"/>
                <w:b w:val="1"/>
                <w:bCs w:val="1"/>
                <w:color w:val="auto"/>
              </w:rPr>
              <w:t>Current</w:t>
            </w: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2"/>
        </w:trPr>
        <w:tc>
          <w:tcPr>
            <w:tcW w:w="5260" w:type="dxa"/>
            <w:vAlign w:val="bottom"/>
          </w:tcPr>
          <w:p>
            <w:pPr>
              <w:ind w:left="500"/>
              <w:spacing w:after="0"/>
              <w:rPr>
                <w:sz w:val="20"/>
                <w:szCs w:val="20"/>
                <w:color w:val="auto"/>
              </w:rPr>
            </w:pPr>
            <w:r>
              <w:rPr>
                <w:rFonts w:ascii="Arial" w:cs="Arial" w:eastAsia="Arial" w:hAnsi="Arial"/>
                <w:sz w:val="15"/>
                <w:szCs w:val="15"/>
                <w:color w:val="auto"/>
              </w:rPr>
              <w:t>Accounts payable and accrued liabilities</w:t>
            </w:r>
          </w:p>
        </w:tc>
        <w:tc>
          <w:tcPr>
            <w:tcW w:w="2280" w:type="dxa"/>
            <w:vAlign w:val="bottom"/>
          </w:tcPr>
          <w:p>
            <w:pPr>
              <w:spacing w:after="0"/>
              <w:rPr>
                <w:sz w:val="20"/>
                <w:szCs w:val="20"/>
                <w:color w:val="auto"/>
              </w:rPr>
            </w:pP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3,045</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2,793</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Current portion of contingent consideration payable</w:t>
            </w:r>
          </w:p>
        </w:tc>
        <w:tc>
          <w:tcPr>
            <w:tcW w:w="22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6</w:t>
            </w: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3,020</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2,107</w:t>
            </w:r>
          </w:p>
        </w:tc>
      </w:tr>
      <w:tr>
        <w:trPr>
          <w:trHeight w:val="103"/>
        </w:trPr>
        <w:tc>
          <w:tcPr>
            <w:tcW w:w="52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8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Current Liabilities</w:t>
            </w:r>
          </w:p>
        </w:tc>
        <w:tc>
          <w:tcPr>
            <w:tcW w:w="2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6,065</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4,900</w:t>
            </w:r>
          </w:p>
        </w:tc>
      </w:tr>
      <w:tr>
        <w:trPr>
          <w:trHeight w:val="232"/>
        </w:trPr>
        <w:tc>
          <w:tcPr>
            <w:tcW w:w="5260" w:type="dxa"/>
            <w:vAlign w:val="bottom"/>
          </w:tcPr>
          <w:p>
            <w:pPr>
              <w:ind w:left="200"/>
              <w:spacing w:after="0"/>
              <w:rPr>
                <w:sz w:val="20"/>
                <w:szCs w:val="20"/>
                <w:color w:val="auto"/>
              </w:rPr>
            </w:pPr>
            <w:r>
              <w:rPr>
                <w:rFonts w:ascii="Arial" w:cs="Arial" w:eastAsia="Arial" w:hAnsi="Arial"/>
                <w:sz w:val="15"/>
                <w:szCs w:val="15"/>
                <w:b w:val="1"/>
                <w:bCs w:val="1"/>
                <w:color w:val="auto"/>
              </w:rPr>
              <w:t>Non-current</w:t>
            </w:r>
          </w:p>
        </w:tc>
        <w:tc>
          <w:tcPr>
            <w:tcW w:w="2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2"/>
        </w:trPr>
        <w:tc>
          <w:tcPr>
            <w:tcW w:w="5260" w:type="dxa"/>
            <w:vAlign w:val="bottom"/>
          </w:tcPr>
          <w:p>
            <w:pPr>
              <w:ind w:left="500"/>
              <w:spacing w:after="0"/>
              <w:rPr>
                <w:sz w:val="20"/>
                <w:szCs w:val="20"/>
                <w:color w:val="auto"/>
              </w:rPr>
            </w:pPr>
            <w:r>
              <w:rPr>
                <w:rFonts w:ascii="Arial" w:cs="Arial" w:eastAsia="Arial" w:hAnsi="Arial"/>
                <w:sz w:val="15"/>
                <w:szCs w:val="15"/>
                <w:color w:val="auto"/>
              </w:rPr>
              <w:t>Contingent consideration payable</w:t>
            </w:r>
          </w:p>
        </w:tc>
        <w:tc>
          <w:tcPr>
            <w:tcW w:w="22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6</w:t>
            </w: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1,094</w:t>
            </w:r>
          </w:p>
        </w:tc>
      </w:tr>
      <w:tr>
        <w:trPr>
          <w:trHeight w:val="103"/>
        </w:trPr>
        <w:tc>
          <w:tcPr>
            <w:tcW w:w="52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87"/>
        </w:trPr>
        <w:tc>
          <w:tcPr>
            <w:tcW w:w="5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1,094</w:t>
            </w:r>
          </w:p>
        </w:tc>
      </w:tr>
      <w:tr>
        <w:trPr>
          <w:trHeight w:val="115"/>
        </w:trPr>
        <w:tc>
          <w:tcPr>
            <w:tcW w:w="52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95"/>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LIABILITIES</w:t>
            </w:r>
          </w:p>
        </w:tc>
        <w:tc>
          <w:tcPr>
            <w:tcW w:w="2280" w:type="dxa"/>
            <w:vAlign w:val="bottom"/>
            <w:tcBorders>
              <w:bottom w:val="single" w:sz="8" w:color="auto"/>
            </w:tcBorders>
            <w:shd w:val="clear" w:color="auto" w:fill="D9D9D9"/>
          </w:tcPr>
          <w:p>
            <w:pPr>
              <w:spacing w:after="0"/>
              <w:rPr>
                <w:sz w:val="16"/>
                <w:szCs w:val="16"/>
                <w:color w:val="auto"/>
              </w:rPr>
            </w:pPr>
          </w:p>
        </w:tc>
        <w:tc>
          <w:tcPr>
            <w:tcW w:w="218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6,065</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5,994</w:t>
            </w:r>
          </w:p>
        </w:tc>
      </w:tr>
      <w:tr>
        <w:trPr>
          <w:trHeight w:val="220"/>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SHAREHOLDERS' EQUITY</w:t>
            </w:r>
          </w:p>
        </w:tc>
        <w:tc>
          <w:tcPr>
            <w:tcW w:w="22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Share capital</w:t>
            </w:r>
          </w:p>
        </w:tc>
        <w:tc>
          <w:tcPr>
            <w:tcW w:w="22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7</w:t>
            </w: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139,518</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100,676</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Contributed surplus</w:t>
            </w:r>
          </w:p>
        </w:tc>
        <w:tc>
          <w:tcPr>
            <w:tcW w:w="2280" w:type="dxa"/>
            <w:vAlign w:val="bottom"/>
          </w:tcPr>
          <w:p>
            <w:pPr>
              <w:spacing w:after="0"/>
              <w:rPr>
                <w:sz w:val="19"/>
                <w:szCs w:val="19"/>
                <w:color w:val="auto"/>
              </w:rPr>
            </w:pP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124</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124</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Options reserve</w:t>
            </w:r>
          </w:p>
        </w:tc>
        <w:tc>
          <w:tcPr>
            <w:tcW w:w="22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7</w:t>
            </w: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20,689</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7,158</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Warrants reserve</w:t>
            </w:r>
          </w:p>
        </w:tc>
        <w:tc>
          <w:tcPr>
            <w:tcW w:w="2280" w:type="dxa"/>
            <w:vAlign w:val="bottom"/>
          </w:tcPr>
          <w:p>
            <w:pPr>
              <w:jc w:val="center"/>
              <w:ind w:left="927"/>
              <w:spacing w:after="0"/>
              <w:rPr>
                <w:sz w:val="20"/>
                <w:szCs w:val="20"/>
                <w:color w:val="auto"/>
              </w:rPr>
            </w:pPr>
            <w:r>
              <w:rPr>
                <w:rFonts w:ascii="Arial" w:cs="Arial" w:eastAsia="Arial" w:hAnsi="Arial"/>
                <w:sz w:val="15"/>
                <w:szCs w:val="15"/>
                <w:i w:val="1"/>
                <w:iCs w:val="1"/>
                <w:color w:val="auto"/>
                <w:w w:val="95"/>
              </w:rPr>
              <w:t>7</w:t>
            </w:r>
          </w:p>
        </w:tc>
        <w:tc>
          <w:tcPr>
            <w:tcW w:w="2180" w:type="dxa"/>
            <w:vAlign w:val="bottom"/>
          </w:tcPr>
          <w:p>
            <w:pPr>
              <w:jc w:val="right"/>
              <w:ind w:right="387"/>
              <w:spacing w:after="0"/>
              <w:rPr>
                <w:sz w:val="20"/>
                <w:szCs w:val="20"/>
                <w:color w:val="auto"/>
              </w:rPr>
            </w:pPr>
            <w:r>
              <w:rPr>
                <w:rFonts w:ascii="Arial" w:cs="Arial" w:eastAsia="Arial" w:hAnsi="Arial"/>
                <w:sz w:val="15"/>
                <w:szCs w:val="15"/>
                <w:b w:val="1"/>
                <w:bCs w:val="1"/>
                <w:color w:val="auto"/>
              </w:rPr>
              <w:t>11,605</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11,166</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Accumulated other comprehensive (loss) income</w:t>
            </w:r>
          </w:p>
        </w:tc>
        <w:tc>
          <w:tcPr>
            <w:tcW w:w="2280" w:type="dxa"/>
            <w:vAlign w:val="bottom"/>
          </w:tcPr>
          <w:p>
            <w:pPr>
              <w:spacing w:after="0"/>
              <w:rPr>
                <w:sz w:val="19"/>
                <w:szCs w:val="19"/>
                <w:color w:val="auto"/>
              </w:rPr>
            </w:pPr>
          </w:p>
        </w:tc>
        <w:tc>
          <w:tcPr>
            <w:tcW w:w="2180" w:type="dxa"/>
            <w:vAlign w:val="bottom"/>
          </w:tcPr>
          <w:p>
            <w:pPr>
              <w:jc w:val="right"/>
              <w:ind w:right="347"/>
              <w:spacing w:after="0"/>
              <w:rPr>
                <w:sz w:val="20"/>
                <w:szCs w:val="20"/>
                <w:color w:val="auto"/>
              </w:rPr>
            </w:pPr>
            <w:r>
              <w:rPr>
                <w:rFonts w:ascii="Arial" w:cs="Arial" w:eastAsia="Arial" w:hAnsi="Arial"/>
                <w:sz w:val="15"/>
                <w:szCs w:val="15"/>
                <w:b w:val="1"/>
                <w:bCs w:val="1"/>
                <w:color w:val="auto"/>
              </w:rPr>
              <w:t>(276)</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24</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Deficit</w:t>
            </w:r>
          </w:p>
        </w:tc>
        <w:tc>
          <w:tcPr>
            <w:tcW w:w="2280" w:type="dxa"/>
            <w:vAlign w:val="bottom"/>
          </w:tcPr>
          <w:p>
            <w:pPr>
              <w:spacing w:after="0"/>
              <w:rPr>
                <w:sz w:val="19"/>
                <w:szCs w:val="19"/>
                <w:color w:val="auto"/>
              </w:rPr>
            </w:pPr>
          </w:p>
        </w:tc>
        <w:tc>
          <w:tcPr>
            <w:tcW w:w="2180" w:type="dxa"/>
            <w:vAlign w:val="bottom"/>
          </w:tcPr>
          <w:p>
            <w:pPr>
              <w:jc w:val="right"/>
              <w:ind w:right="347"/>
              <w:spacing w:after="0"/>
              <w:rPr>
                <w:sz w:val="20"/>
                <w:szCs w:val="20"/>
                <w:color w:val="auto"/>
              </w:rPr>
            </w:pPr>
            <w:r>
              <w:rPr>
                <w:rFonts w:ascii="Arial" w:cs="Arial" w:eastAsia="Arial" w:hAnsi="Arial"/>
                <w:sz w:val="15"/>
                <w:szCs w:val="15"/>
                <w:b w:val="1"/>
                <w:bCs w:val="1"/>
                <w:color w:val="auto"/>
              </w:rPr>
              <w:t>(82,564)</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(33,030)</w:t>
            </w:r>
          </w:p>
        </w:tc>
      </w:tr>
      <w:tr>
        <w:trPr>
          <w:trHeight w:val="103"/>
        </w:trPr>
        <w:tc>
          <w:tcPr>
            <w:tcW w:w="52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87"/>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SHAREHOLDERS' EQUITY</w:t>
            </w:r>
          </w:p>
        </w:tc>
        <w:tc>
          <w:tcPr>
            <w:tcW w:w="2280" w:type="dxa"/>
            <w:vAlign w:val="bottom"/>
            <w:tcBorders>
              <w:bottom w:val="single" w:sz="8" w:color="auto"/>
            </w:tcBorders>
            <w:shd w:val="clear" w:color="auto" w:fill="D9D9D9"/>
          </w:tcPr>
          <w:p>
            <w:pPr>
              <w:spacing w:after="0"/>
              <w:rPr>
                <w:sz w:val="16"/>
                <w:szCs w:val="16"/>
                <w:color w:val="auto"/>
              </w:rPr>
            </w:pPr>
          </w:p>
        </w:tc>
        <w:tc>
          <w:tcPr>
            <w:tcW w:w="218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89,096</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86,118</w:t>
            </w:r>
          </w:p>
        </w:tc>
      </w:tr>
      <w:tr>
        <w:trPr>
          <w:trHeight w:val="29"/>
        </w:trPr>
        <w:tc>
          <w:tcPr>
            <w:tcW w:w="5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5"/>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LIABILITIES AND SHAREHOLDERS' EQUITY</w:t>
            </w:r>
          </w:p>
        </w:tc>
        <w:tc>
          <w:tcPr>
            <w:tcW w:w="2280" w:type="dxa"/>
            <w:vAlign w:val="bottom"/>
            <w:tcBorders>
              <w:bottom w:val="single" w:sz="8" w:color="auto"/>
            </w:tcBorders>
            <w:shd w:val="clear" w:color="auto" w:fill="D9D9D9"/>
          </w:tcPr>
          <w:p>
            <w:pPr>
              <w:spacing w:after="0"/>
              <w:rPr>
                <w:sz w:val="16"/>
                <w:szCs w:val="16"/>
                <w:color w:val="auto"/>
              </w:rPr>
            </w:pPr>
          </w:p>
        </w:tc>
        <w:tc>
          <w:tcPr>
            <w:tcW w:w="218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95,161</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92,112</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Corporate information and continuance of operations (note 1)</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Contracts and commitments (note 10)</w:t>
      </w:r>
    </w:p>
    <w:p>
      <w:pPr>
        <w:spacing w:after="0"/>
        <w:rPr>
          <w:sz w:val="20"/>
          <w:szCs w:val="20"/>
          <w:color w:val="auto"/>
        </w:rPr>
      </w:pPr>
      <w:r>
        <w:rPr>
          <w:rFonts w:ascii="Arial" w:cs="Arial" w:eastAsia="Arial" w:hAnsi="Arial"/>
          <w:sz w:val="15"/>
          <w:szCs w:val="15"/>
          <w:i w:val="1"/>
          <w:iCs w:val="1"/>
          <w:color w:val="auto"/>
        </w:rPr>
        <w:t>Subsequent events (note 14)</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accompanying notes are an integral part of these condensed interim consolidated financial statements</w:t>
      </w:r>
    </w:p>
    <w:p>
      <w:pPr>
        <w:spacing w:after="0" w:line="12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These condensed interim consolidation financial statements were approved for issue on February 9, 2022 by the board of directors and signed on its behalf by:</w:t>
      </w:r>
    </w:p>
    <w:p>
      <w:pPr>
        <w:spacing w:after="0" w:line="302"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i w:val="1"/>
          <w:iCs w:val="1"/>
          <w:color w:val="auto"/>
        </w:rPr>
        <w:t xml:space="preserve">/s/ Paul Glavine </w:t>
      </w:r>
      <w:r>
        <w:rPr>
          <w:rFonts w:ascii="Arial" w:cs="Arial" w:eastAsia="Arial" w:hAnsi="Arial"/>
          <w:sz w:val="16"/>
          <w:szCs w:val="16"/>
          <w:color w:val="auto"/>
        </w:rPr>
        <w:t>Director</w:t>
      </w:r>
      <w:r>
        <w:rPr>
          <w:sz w:val="20"/>
          <w:szCs w:val="20"/>
          <w:color w:val="auto"/>
        </w:rPr>
        <w:tab/>
      </w:r>
      <w:r>
        <w:rPr>
          <w:rFonts w:ascii="Arial" w:cs="Arial" w:eastAsia="Arial" w:hAnsi="Arial"/>
          <w:sz w:val="16"/>
          <w:szCs w:val="16"/>
          <w:i w:val="1"/>
          <w:iCs w:val="1"/>
          <w:color w:val="auto"/>
        </w:rPr>
        <w:t xml:space="preserve">/s/ Eric So </w:t>
      </w:r>
      <w:r>
        <w:rPr>
          <w:rFonts w:ascii="Arial" w:cs="Arial" w:eastAsia="Arial" w:hAnsi="Arial"/>
          <w:sz w:val="16"/>
          <w:szCs w:val="16"/>
          <w:color w:val="auto"/>
        </w:rPr>
        <w:t>Director</w:t>
      </w:r>
    </w:p>
    <w:p>
      <w:pPr>
        <w:sectPr>
          <w:pgSz w:w="11900" w:h="16838" w:orient="portrait"/>
          <w:cols w:equalWidth="0" w:num="1">
            <w:col w:w="11260"/>
          </w:cols>
          <w:pgMar w:left="320" w:top="171" w:right="319" w:bottom="1440" w:gutter="0" w:footer="0" w:header="0"/>
        </w:sectPr>
      </w:pPr>
    </w:p>
    <w:bookmarkStart w:id="6" w:name="page7"/>
    <w:bookmarkEnd w:id="6"/>
    <w:p>
      <w:pPr>
        <w:ind w:left="60"/>
        <w:spacing w:after="0"/>
        <w:rPr>
          <w:sz w:val="20"/>
          <w:szCs w:val="20"/>
          <w:color w:val="auto"/>
        </w:rPr>
      </w:pPr>
      <w:r>
        <w:rPr>
          <w:rFonts w:ascii="Arial" w:cs="Arial" w:eastAsia="Arial" w:hAnsi="Arial"/>
          <w:sz w:val="16"/>
          <w:szCs w:val="16"/>
          <w:b w:val="1"/>
          <w:bCs w:val="1"/>
          <w:color w:val="auto"/>
        </w:rPr>
        <w:t>CYBIN INC.</w:t>
      </w:r>
    </w:p>
    <w:p>
      <w:pPr>
        <w:spacing w:after="0" w:line="32" w:lineRule="exact"/>
        <w:rPr>
          <w:sz w:val="20"/>
          <w:szCs w:val="20"/>
          <w:color w:val="auto"/>
        </w:rPr>
      </w:pPr>
    </w:p>
    <w:p>
      <w:pPr>
        <w:jc w:val="both"/>
        <w:ind w:left="60" w:right="3760"/>
        <w:spacing w:after="0" w:line="262" w:lineRule="auto"/>
        <w:rPr>
          <w:sz w:val="20"/>
          <w:szCs w:val="20"/>
          <w:color w:val="auto"/>
        </w:rPr>
      </w:pPr>
      <w:r>
        <w:rPr>
          <w:rFonts w:ascii="Arial" w:cs="Arial" w:eastAsia="Arial" w:hAnsi="Arial"/>
          <w:sz w:val="16"/>
          <w:szCs w:val="16"/>
          <w:b w:val="1"/>
          <w:bCs w:val="1"/>
          <w:color w:val="auto"/>
        </w:rPr>
        <w:t>CONDENSED INTERIM CONSOLIDATED STATEMENTS OF LOSS AND COMPREHENSIVE LOSS (All amounts expressed in thousands of Canadian dollars, except share and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450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00" w:type="dxa"/>
            <w:vAlign w:val="bottom"/>
            <w:gridSpan w:val="2"/>
            <w:vMerge w:val="restart"/>
          </w:tcPr>
          <w:p>
            <w:pPr>
              <w:jc w:val="right"/>
              <w:ind w:right="547"/>
              <w:spacing w:after="0"/>
              <w:rPr>
                <w:sz w:val="20"/>
                <w:szCs w:val="20"/>
                <w:color w:val="auto"/>
              </w:rPr>
            </w:pPr>
            <w:r>
              <w:rPr>
                <w:rFonts w:ascii="Arial" w:cs="Arial" w:eastAsia="Arial" w:hAnsi="Arial"/>
                <w:sz w:val="16"/>
                <w:szCs w:val="16"/>
                <w:b w:val="1"/>
                <w:bCs w:val="1"/>
                <w:color w:val="auto"/>
              </w:rPr>
              <w:t>Three months ended December 31,</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2060" w:type="dxa"/>
            <w:vAlign w:val="bottom"/>
            <w:vMerge w:val="restart"/>
          </w:tcPr>
          <w:p>
            <w:pPr>
              <w:jc w:val="right"/>
              <w:ind w:right="166"/>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8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5"/>
                <w:szCs w:val="15"/>
                <w:i w:val="1"/>
                <w:iCs w:val="1"/>
                <w:color w:val="auto"/>
              </w:rPr>
              <w:t>Notes</w:t>
            </w:r>
          </w:p>
        </w:tc>
        <w:tc>
          <w:tcPr>
            <w:tcW w:w="186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2021</w:t>
            </w:r>
          </w:p>
        </w:tc>
        <w:tc>
          <w:tcPr>
            <w:tcW w:w="164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2020</w:t>
            </w:r>
          </w:p>
        </w:tc>
        <w:tc>
          <w:tcPr>
            <w:tcW w:w="206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b w:val="1"/>
                <w:bCs w:val="1"/>
                <w:color w:val="auto"/>
              </w:rPr>
              <w:t>2021</w:t>
            </w: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636"/>
        </w:trPr>
        <w:tc>
          <w:tcPr>
            <w:tcW w:w="3860" w:type="dxa"/>
            <w:vAlign w:val="bottom"/>
          </w:tcPr>
          <w:p>
            <w:pPr>
              <w:ind w:left="60"/>
              <w:spacing w:after="0"/>
              <w:rPr>
                <w:sz w:val="20"/>
                <w:szCs w:val="20"/>
                <w:color w:val="auto"/>
              </w:rPr>
            </w:pPr>
            <w:r>
              <w:rPr>
                <w:rFonts w:ascii="Arial" w:cs="Arial" w:eastAsia="Arial" w:hAnsi="Arial"/>
                <w:sz w:val="15"/>
                <w:szCs w:val="15"/>
                <w:b w:val="1"/>
                <w:bCs w:val="1"/>
                <w:color w:val="auto"/>
              </w:rPr>
              <w:t>REVENUE</w:t>
            </w:r>
          </w:p>
        </w:tc>
        <w:tc>
          <w:tcPr>
            <w:tcW w:w="980" w:type="dxa"/>
            <w:vAlign w:val="bottom"/>
          </w:tcPr>
          <w:p>
            <w:pPr>
              <w:spacing w:after="0"/>
              <w:rPr>
                <w:sz w:val="24"/>
                <w:szCs w:val="24"/>
                <w:color w:val="auto"/>
              </w:rPr>
            </w:pPr>
          </w:p>
        </w:tc>
        <w:tc>
          <w:tcPr>
            <w:tcW w:w="186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2060" w:type="dxa"/>
            <w:vAlign w:val="bottom"/>
          </w:tcPr>
          <w:p>
            <w:pPr>
              <w:jc w:val="right"/>
              <w:ind w:right="766"/>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864</w:t>
            </w:r>
          </w:p>
        </w:tc>
        <w:tc>
          <w:tcPr>
            <w:tcW w:w="0" w:type="dxa"/>
            <w:vAlign w:val="bottom"/>
          </w:tcPr>
          <w:p>
            <w:pPr>
              <w:spacing w:after="0"/>
              <w:rPr>
                <w:sz w:val="1"/>
                <w:szCs w:val="1"/>
                <w:color w:val="auto"/>
              </w:rPr>
            </w:pPr>
          </w:p>
        </w:tc>
      </w:tr>
      <w:tr>
        <w:trPr>
          <w:trHeight w:val="198"/>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COST OF GOODS SOLD</w:t>
            </w:r>
          </w:p>
        </w:tc>
        <w:tc>
          <w:tcPr>
            <w:tcW w:w="9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206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664</w:t>
            </w:r>
          </w:p>
        </w:tc>
        <w:tc>
          <w:tcPr>
            <w:tcW w:w="0" w:type="dxa"/>
            <w:vAlign w:val="bottom"/>
          </w:tcPr>
          <w:p>
            <w:pPr>
              <w:spacing w:after="0"/>
              <w:rPr>
                <w:sz w:val="1"/>
                <w:szCs w:val="1"/>
                <w:color w:val="auto"/>
              </w:rPr>
            </w:pPr>
          </w:p>
        </w:tc>
      </w:tr>
      <w:tr>
        <w:trPr>
          <w:trHeight w:val="190"/>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GROSS PROFIT</w:t>
            </w:r>
          </w:p>
        </w:tc>
        <w:tc>
          <w:tcPr>
            <w:tcW w:w="9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206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404"/>
        </w:trPr>
        <w:tc>
          <w:tcPr>
            <w:tcW w:w="3860" w:type="dxa"/>
            <w:vAlign w:val="bottom"/>
          </w:tcPr>
          <w:p>
            <w:pPr>
              <w:ind w:left="60"/>
              <w:spacing w:after="0"/>
              <w:rPr>
                <w:sz w:val="20"/>
                <w:szCs w:val="20"/>
                <w:color w:val="auto"/>
              </w:rPr>
            </w:pPr>
            <w:r>
              <w:rPr>
                <w:rFonts w:ascii="Arial" w:cs="Arial" w:eastAsia="Arial" w:hAnsi="Arial"/>
                <w:sz w:val="15"/>
                <w:szCs w:val="15"/>
                <w:b w:val="1"/>
                <w:bCs w:val="1"/>
                <w:color w:val="auto"/>
              </w:rPr>
              <w:t>EXPENSES</w:t>
            </w: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980" w:type="dxa"/>
            <w:vAlign w:val="bottom"/>
          </w:tcPr>
          <w:p>
            <w:pPr>
              <w:jc w:val="center"/>
              <w:spacing w:after="0"/>
              <w:rPr>
                <w:sz w:val="20"/>
                <w:szCs w:val="20"/>
                <w:color w:val="auto"/>
              </w:rPr>
            </w:pPr>
            <w:r>
              <w:rPr>
                <w:rFonts w:ascii="Arial" w:cs="Arial" w:eastAsia="Arial" w:hAnsi="Arial"/>
                <w:sz w:val="15"/>
                <w:szCs w:val="15"/>
                <w:i w:val="1"/>
                <w:iCs w:val="1"/>
                <w:color w:val="auto"/>
                <w:w w:val="95"/>
              </w:rPr>
              <w:t>7,8</w:t>
            </w:r>
          </w:p>
        </w:tc>
        <w:tc>
          <w:tcPr>
            <w:tcW w:w="1860" w:type="dxa"/>
            <w:vAlign w:val="bottom"/>
          </w:tcPr>
          <w:p>
            <w:pPr>
              <w:jc w:val="right"/>
              <w:ind w:right="346"/>
              <w:spacing w:after="0"/>
              <w:rPr>
                <w:sz w:val="20"/>
                <w:szCs w:val="20"/>
                <w:color w:val="auto"/>
              </w:rPr>
            </w:pPr>
            <w:r>
              <w:rPr>
                <w:rFonts w:ascii="Arial" w:cs="Arial" w:eastAsia="Arial" w:hAnsi="Arial"/>
                <w:sz w:val="15"/>
                <w:szCs w:val="15"/>
                <w:b w:val="1"/>
                <w:bCs w:val="1"/>
                <w:color w:val="auto"/>
              </w:rPr>
              <w:t>4,457</w:t>
            </w:r>
          </w:p>
        </w:tc>
        <w:tc>
          <w:tcPr>
            <w:tcW w:w="1640" w:type="dxa"/>
            <w:vAlign w:val="bottom"/>
          </w:tcPr>
          <w:p>
            <w:pPr>
              <w:jc w:val="right"/>
              <w:ind w:right="327"/>
              <w:spacing w:after="0"/>
              <w:rPr>
                <w:sz w:val="20"/>
                <w:szCs w:val="20"/>
                <w:color w:val="auto"/>
              </w:rPr>
            </w:pPr>
            <w:r>
              <w:rPr>
                <w:rFonts w:ascii="Arial" w:cs="Arial" w:eastAsia="Arial" w:hAnsi="Arial"/>
                <w:sz w:val="15"/>
                <w:szCs w:val="15"/>
                <w:color w:val="auto"/>
              </w:rPr>
              <w:t>4,213</w:t>
            </w:r>
          </w:p>
        </w:tc>
        <w:tc>
          <w:tcPr>
            <w:tcW w:w="2060" w:type="dxa"/>
            <w:vAlign w:val="bottom"/>
          </w:tcPr>
          <w:p>
            <w:pPr>
              <w:jc w:val="right"/>
              <w:ind w:right="766"/>
              <w:spacing w:after="0"/>
              <w:rPr>
                <w:sz w:val="20"/>
                <w:szCs w:val="20"/>
                <w:color w:val="auto"/>
              </w:rPr>
            </w:pPr>
            <w:r>
              <w:rPr>
                <w:rFonts w:ascii="Arial" w:cs="Arial" w:eastAsia="Arial" w:hAnsi="Arial"/>
                <w:sz w:val="15"/>
                <w:szCs w:val="15"/>
                <w:b w:val="1"/>
                <w:bCs w:val="1"/>
                <w:color w:val="auto"/>
              </w:rPr>
              <w:t>14,687</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7,486</w:t>
            </w:r>
          </w:p>
        </w:tc>
        <w:tc>
          <w:tcPr>
            <w:tcW w:w="0" w:type="dxa"/>
            <w:vAlign w:val="bottom"/>
          </w:tcPr>
          <w:p>
            <w:pPr>
              <w:spacing w:after="0"/>
              <w:rPr>
                <w:sz w:val="1"/>
                <w:szCs w:val="1"/>
                <w:color w:val="auto"/>
              </w:rPr>
            </w:pPr>
          </w:p>
        </w:tc>
      </w:tr>
      <w:tr>
        <w:trPr>
          <w:trHeight w:val="220"/>
        </w:trPr>
        <w:tc>
          <w:tcPr>
            <w:tcW w:w="3860" w:type="dxa"/>
            <w:vAlign w:val="bottom"/>
          </w:tcPr>
          <w:p>
            <w:pPr>
              <w:ind w:left="200"/>
              <w:spacing w:after="0"/>
              <w:rPr>
                <w:sz w:val="20"/>
                <w:szCs w:val="20"/>
                <w:color w:val="auto"/>
              </w:rPr>
            </w:pPr>
            <w:r>
              <w:rPr>
                <w:rFonts w:ascii="Arial" w:cs="Arial" w:eastAsia="Arial" w:hAnsi="Arial"/>
                <w:sz w:val="15"/>
                <w:szCs w:val="15"/>
                <w:color w:val="auto"/>
              </w:rPr>
              <w:t>General and administrative costs</w:t>
            </w:r>
          </w:p>
        </w:tc>
        <w:tc>
          <w:tcPr>
            <w:tcW w:w="980" w:type="dxa"/>
            <w:vAlign w:val="bottom"/>
          </w:tcPr>
          <w:p>
            <w:pPr>
              <w:jc w:val="center"/>
              <w:spacing w:after="0"/>
              <w:rPr>
                <w:sz w:val="20"/>
                <w:szCs w:val="20"/>
                <w:color w:val="auto"/>
              </w:rPr>
            </w:pPr>
            <w:r>
              <w:rPr>
                <w:rFonts w:ascii="Arial" w:cs="Arial" w:eastAsia="Arial" w:hAnsi="Arial"/>
                <w:sz w:val="15"/>
                <w:szCs w:val="15"/>
                <w:i w:val="1"/>
                <w:iCs w:val="1"/>
                <w:color w:val="auto"/>
                <w:w w:val="95"/>
              </w:rPr>
              <w:t>9</w:t>
            </w:r>
          </w:p>
        </w:tc>
        <w:tc>
          <w:tcPr>
            <w:tcW w:w="1860" w:type="dxa"/>
            <w:vAlign w:val="bottom"/>
          </w:tcPr>
          <w:p>
            <w:pPr>
              <w:jc w:val="right"/>
              <w:ind w:right="346"/>
              <w:spacing w:after="0"/>
              <w:rPr>
                <w:sz w:val="20"/>
                <w:szCs w:val="20"/>
                <w:color w:val="auto"/>
              </w:rPr>
            </w:pPr>
            <w:r>
              <w:rPr>
                <w:rFonts w:ascii="Arial" w:cs="Arial" w:eastAsia="Arial" w:hAnsi="Arial"/>
                <w:sz w:val="15"/>
                <w:szCs w:val="15"/>
                <w:b w:val="1"/>
                <w:bCs w:val="1"/>
                <w:color w:val="auto"/>
              </w:rPr>
              <w:t>7,035</w:t>
            </w:r>
          </w:p>
        </w:tc>
        <w:tc>
          <w:tcPr>
            <w:tcW w:w="1640" w:type="dxa"/>
            <w:vAlign w:val="bottom"/>
          </w:tcPr>
          <w:p>
            <w:pPr>
              <w:jc w:val="right"/>
              <w:ind w:right="327"/>
              <w:spacing w:after="0"/>
              <w:rPr>
                <w:sz w:val="20"/>
                <w:szCs w:val="20"/>
                <w:color w:val="auto"/>
              </w:rPr>
            </w:pPr>
            <w:r>
              <w:rPr>
                <w:rFonts w:ascii="Arial" w:cs="Arial" w:eastAsia="Arial" w:hAnsi="Arial"/>
                <w:sz w:val="15"/>
                <w:szCs w:val="15"/>
                <w:color w:val="auto"/>
              </w:rPr>
              <w:t>6,419</w:t>
            </w:r>
          </w:p>
        </w:tc>
        <w:tc>
          <w:tcPr>
            <w:tcW w:w="2060" w:type="dxa"/>
            <w:vAlign w:val="bottom"/>
          </w:tcPr>
          <w:p>
            <w:pPr>
              <w:jc w:val="right"/>
              <w:ind w:right="766"/>
              <w:spacing w:after="0"/>
              <w:rPr>
                <w:sz w:val="20"/>
                <w:szCs w:val="20"/>
                <w:color w:val="auto"/>
              </w:rPr>
            </w:pPr>
            <w:r>
              <w:rPr>
                <w:rFonts w:ascii="Arial" w:cs="Arial" w:eastAsia="Arial" w:hAnsi="Arial"/>
                <w:sz w:val="15"/>
                <w:szCs w:val="15"/>
                <w:b w:val="1"/>
                <w:bCs w:val="1"/>
                <w:color w:val="auto"/>
              </w:rPr>
              <w:t>21,056</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8,986</w:t>
            </w:r>
          </w:p>
        </w:tc>
        <w:tc>
          <w:tcPr>
            <w:tcW w:w="0" w:type="dxa"/>
            <w:vAlign w:val="bottom"/>
          </w:tcPr>
          <w:p>
            <w:pPr>
              <w:spacing w:after="0"/>
              <w:rPr>
                <w:sz w:val="1"/>
                <w:szCs w:val="1"/>
                <w:color w:val="auto"/>
              </w:rPr>
            </w:pPr>
          </w:p>
        </w:tc>
      </w:tr>
      <w:tr>
        <w:trPr>
          <w:trHeight w:val="220"/>
        </w:trPr>
        <w:tc>
          <w:tcPr>
            <w:tcW w:w="3860" w:type="dxa"/>
            <w:vAlign w:val="bottom"/>
          </w:tcPr>
          <w:p>
            <w:pPr>
              <w:ind w:left="200"/>
              <w:spacing w:after="0"/>
              <w:rPr>
                <w:sz w:val="20"/>
                <w:szCs w:val="20"/>
                <w:color w:val="auto"/>
              </w:rPr>
            </w:pPr>
            <w:r>
              <w:rPr>
                <w:rFonts w:ascii="Arial" w:cs="Arial" w:eastAsia="Arial" w:hAnsi="Arial"/>
                <w:sz w:val="15"/>
                <w:szCs w:val="15"/>
                <w:color w:val="auto"/>
              </w:rPr>
              <w:t>Research</w:t>
            </w:r>
          </w:p>
        </w:tc>
        <w:tc>
          <w:tcPr>
            <w:tcW w:w="980" w:type="dxa"/>
            <w:vAlign w:val="bottom"/>
          </w:tcPr>
          <w:p>
            <w:pPr>
              <w:spacing w:after="0"/>
              <w:rPr>
                <w:sz w:val="19"/>
                <w:szCs w:val="19"/>
                <w:color w:val="auto"/>
              </w:rPr>
            </w:pPr>
          </w:p>
        </w:tc>
        <w:tc>
          <w:tcPr>
            <w:tcW w:w="1860" w:type="dxa"/>
            <w:vAlign w:val="bottom"/>
          </w:tcPr>
          <w:p>
            <w:pPr>
              <w:jc w:val="right"/>
              <w:ind w:right="346"/>
              <w:spacing w:after="0"/>
              <w:rPr>
                <w:sz w:val="20"/>
                <w:szCs w:val="20"/>
                <w:color w:val="auto"/>
              </w:rPr>
            </w:pPr>
            <w:r>
              <w:rPr>
                <w:rFonts w:ascii="Arial" w:cs="Arial" w:eastAsia="Arial" w:hAnsi="Arial"/>
                <w:sz w:val="15"/>
                <w:szCs w:val="15"/>
                <w:b w:val="1"/>
                <w:bCs w:val="1"/>
                <w:color w:val="auto"/>
              </w:rPr>
              <w:t>4,963</w:t>
            </w:r>
          </w:p>
        </w:tc>
        <w:tc>
          <w:tcPr>
            <w:tcW w:w="1640" w:type="dxa"/>
            <w:vAlign w:val="bottom"/>
          </w:tcPr>
          <w:p>
            <w:pPr>
              <w:jc w:val="right"/>
              <w:ind w:right="327"/>
              <w:spacing w:after="0"/>
              <w:rPr>
                <w:sz w:val="20"/>
                <w:szCs w:val="20"/>
                <w:color w:val="auto"/>
              </w:rPr>
            </w:pPr>
            <w:r>
              <w:rPr>
                <w:rFonts w:ascii="Arial" w:cs="Arial" w:eastAsia="Arial" w:hAnsi="Arial"/>
                <w:sz w:val="15"/>
                <w:szCs w:val="15"/>
                <w:color w:val="auto"/>
              </w:rPr>
              <w:t>747</w:t>
            </w:r>
          </w:p>
        </w:tc>
        <w:tc>
          <w:tcPr>
            <w:tcW w:w="2060" w:type="dxa"/>
            <w:vAlign w:val="bottom"/>
          </w:tcPr>
          <w:p>
            <w:pPr>
              <w:jc w:val="right"/>
              <w:ind w:right="766"/>
              <w:spacing w:after="0"/>
              <w:rPr>
                <w:sz w:val="20"/>
                <w:szCs w:val="20"/>
                <w:color w:val="auto"/>
              </w:rPr>
            </w:pPr>
            <w:r>
              <w:rPr>
                <w:rFonts w:ascii="Arial" w:cs="Arial" w:eastAsia="Arial" w:hAnsi="Arial"/>
                <w:sz w:val="15"/>
                <w:szCs w:val="15"/>
                <w:b w:val="1"/>
                <w:bCs w:val="1"/>
                <w:color w:val="auto"/>
              </w:rPr>
              <w:t>11,757</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1,888</w:t>
            </w:r>
          </w:p>
        </w:tc>
        <w:tc>
          <w:tcPr>
            <w:tcW w:w="0" w:type="dxa"/>
            <w:vAlign w:val="bottom"/>
          </w:tcPr>
          <w:p>
            <w:pPr>
              <w:spacing w:after="0"/>
              <w:rPr>
                <w:sz w:val="1"/>
                <w:szCs w:val="1"/>
                <w:color w:val="auto"/>
              </w:rPr>
            </w:pPr>
          </w:p>
        </w:tc>
      </w:tr>
      <w:tr>
        <w:trPr>
          <w:trHeight w:val="237"/>
        </w:trPr>
        <w:tc>
          <w:tcPr>
            <w:tcW w:w="38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EXPENSES</w:t>
            </w:r>
          </w:p>
        </w:tc>
        <w:tc>
          <w:tcPr>
            <w:tcW w:w="9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16,455</w:t>
            </w:r>
          </w:p>
        </w:tc>
        <w:tc>
          <w:tcPr>
            <w:tcW w:w="164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11,379</w:t>
            </w:r>
          </w:p>
        </w:tc>
        <w:tc>
          <w:tcPr>
            <w:tcW w:w="206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b w:val="1"/>
                <w:bCs w:val="1"/>
                <w:color w:val="auto"/>
              </w:rPr>
              <w:t>47,500</w:t>
            </w: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18,360</w:t>
            </w:r>
          </w:p>
        </w:tc>
        <w:tc>
          <w:tcPr>
            <w:tcW w:w="0" w:type="dxa"/>
            <w:vAlign w:val="bottom"/>
          </w:tcPr>
          <w:p>
            <w:pPr>
              <w:spacing w:after="0"/>
              <w:rPr>
                <w:sz w:val="1"/>
                <w:szCs w:val="1"/>
                <w:color w:val="auto"/>
              </w:rPr>
            </w:pPr>
          </w:p>
        </w:tc>
      </w:tr>
      <w:tr>
        <w:trPr>
          <w:trHeight w:val="404"/>
        </w:trPr>
        <w:tc>
          <w:tcPr>
            <w:tcW w:w="3860" w:type="dxa"/>
            <w:vAlign w:val="bottom"/>
          </w:tcPr>
          <w:p>
            <w:pPr>
              <w:ind w:left="60"/>
              <w:spacing w:after="0"/>
              <w:rPr>
                <w:sz w:val="20"/>
                <w:szCs w:val="20"/>
                <w:color w:val="auto"/>
              </w:rPr>
            </w:pPr>
            <w:r>
              <w:rPr>
                <w:rFonts w:ascii="Arial" w:cs="Arial" w:eastAsia="Arial" w:hAnsi="Arial"/>
                <w:sz w:val="15"/>
                <w:szCs w:val="15"/>
                <w:b w:val="1"/>
                <w:bCs w:val="1"/>
                <w:color w:val="auto"/>
              </w:rPr>
              <w:t>OTHER INCOME (EXPENSES)</w:t>
            </w: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980" w:type="dxa"/>
            <w:vAlign w:val="bottom"/>
          </w:tcPr>
          <w:p>
            <w:pPr>
              <w:spacing w:after="0"/>
              <w:rPr>
                <w:sz w:val="19"/>
                <w:szCs w:val="19"/>
                <w:color w:val="auto"/>
              </w:rPr>
            </w:pPr>
          </w:p>
        </w:tc>
        <w:tc>
          <w:tcPr>
            <w:tcW w:w="1860" w:type="dxa"/>
            <w:vAlign w:val="bottom"/>
          </w:tcPr>
          <w:p>
            <w:pPr>
              <w:jc w:val="right"/>
              <w:ind w:right="346"/>
              <w:spacing w:after="0"/>
              <w:rPr>
                <w:sz w:val="20"/>
                <w:szCs w:val="20"/>
                <w:color w:val="auto"/>
              </w:rPr>
            </w:pPr>
            <w:r>
              <w:rPr>
                <w:rFonts w:ascii="Arial" w:cs="Arial" w:eastAsia="Arial" w:hAnsi="Arial"/>
                <w:sz w:val="15"/>
                <w:szCs w:val="15"/>
                <w:b w:val="1"/>
                <w:bCs w:val="1"/>
                <w:color w:val="auto"/>
              </w:rPr>
              <w:t>63</w:t>
            </w:r>
          </w:p>
        </w:tc>
        <w:tc>
          <w:tcPr>
            <w:tcW w:w="1640" w:type="dxa"/>
            <w:vAlign w:val="bottom"/>
          </w:tcPr>
          <w:p>
            <w:pPr>
              <w:jc w:val="right"/>
              <w:ind w:right="327"/>
              <w:spacing w:after="0"/>
              <w:rPr>
                <w:sz w:val="20"/>
                <w:szCs w:val="20"/>
                <w:color w:val="auto"/>
              </w:rPr>
            </w:pPr>
            <w:r>
              <w:rPr>
                <w:rFonts w:ascii="Arial" w:cs="Arial" w:eastAsia="Arial" w:hAnsi="Arial"/>
                <w:sz w:val="15"/>
                <w:szCs w:val="15"/>
                <w:color w:val="auto"/>
              </w:rPr>
              <w:t>14</w:t>
            </w:r>
          </w:p>
        </w:tc>
        <w:tc>
          <w:tcPr>
            <w:tcW w:w="2060" w:type="dxa"/>
            <w:vAlign w:val="bottom"/>
          </w:tcPr>
          <w:p>
            <w:pPr>
              <w:jc w:val="right"/>
              <w:ind w:right="766"/>
              <w:spacing w:after="0"/>
              <w:rPr>
                <w:sz w:val="20"/>
                <w:szCs w:val="20"/>
                <w:color w:val="auto"/>
              </w:rPr>
            </w:pPr>
            <w:r>
              <w:rPr>
                <w:rFonts w:ascii="Arial" w:cs="Arial" w:eastAsia="Arial" w:hAnsi="Arial"/>
                <w:sz w:val="15"/>
                <w:szCs w:val="15"/>
                <w:b w:val="1"/>
                <w:bCs w:val="1"/>
                <w:color w:val="auto"/>
              </w:rPr>
              <w:t>158</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20"/>
        </w:trPr>
        <w:tc>
          <w:tcPr>
            <w:tcW w:w="3860" w:type="dxa"/>
            <w:vAlign w:val="bottom"/>
          </w:tcPr>
          <w:p>
            <w:pPr>
              <w:ind w:left="200"/>
              <w:spacing w:after="0"/>
              <w:rPr>
                <w:sz w:val="20"/>
                <w:szCs w:val="20"/>
                <w:color w:val="auto"/>
              </w:rPr>
            </w:pPr>
            <w:r>
              <w:rPr>
                <w:rFonts w:ascii="Arial" w:cs="Arial" w:eastAsia="Arial" w:hAnsi="Arial"/>
                <w:sz w:val="15"/>
                <w:szCs w:val="15"/>
                <w:color w:val="auto"/>
              </w:rPr>
              <w:t>Accretion on convertible debt</w:t>
            </w:r>
          </w:p>
        </w:tc>
        <w:tc>
          <w:tcPr>
            <w:tcW w:w="980" w:type="dxa"/>
            <w:vAlign w:val="bottom"/>
          </w:tcPr>
          <w:p>
            <w:pPr>
              <w:spacing w:after="0"/>
              <w:rPr>
                <w:sz w:val="19"/>
                <w:szCs w:val="19"/>
                <w:color w:val="auto"/>
              </w:rPr>
            </w:pPr>
          </w:p>
        </w:tc>
        <w:tc>
          <w:tcPr>
            <w:tcW w:w="186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2060" w:type="dxa"/>
            <w:vAlign w:val="bottom"/>
          </w:tcPr>
          <w:p>
            <w:pPr>
              <w:jc w:val="right"/>
              <w:ind w:right="766"/>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0"/>
        </w:trPr>
        <w:tc>
          <w:tcPr>
            <w:tcW w:w="3860" w:type="dxa"/>
            <w:vAlign w:val="bottom"/>
          </w:tcPr>
          <w:p>
            <w:pPr>
              <w:ind w:left="260"/>
              <w:spacing w:after="0"/>
              <w:rPr>
                <w:sz w:val="20"/>
                <w:szCs w:val="20"/>
                <w:color w:val="auto"/>
              </w:rPr>
            </w:pPr>
            <w:r>
              <w:rPr>
                <w:rFonts w:ascii="Arial" w:cs="Arial" w:eastAsia="Arial" w:hAnsi="Arial"/>
                <w:sz w:val="15"/>
                <w:szCs w:val="15"/>
                <w:color w:val="auto"/>
              </w:rPr>
              <w:t>Foreign currency translation gain (loss)</w:t>
            </w:r>
          </w:p>
        </w:tc>
        <w:tc>
          <w:tcPr>
            <w:tcW w:w="980" w:type="dxa"/>
            <w:vAlign w:val="bottom"/>
          </w:tcPr>
          <w:p>
            <w:pPr>
              <w:spacing w:after="0"/>
              <w:rPr>
                <w:sz w:val="19"/>
                <w:szCs w:val="19"/>
                <w:color w:val="auto"/>
              </w:rPr>
            </w:pPr>
          </w:p>
        </w:tc>
        <w:tc>
          <w:tcPr>
            <w:tcW w:w="1860" w:type="dxa"/>
            <w:vAlign w:val="bottom"/>
          </w:tcPr>
          <w:p>
            <w:pPr>
              <w:jc w:val="right"/>
              <w:ind w:right="346"/>
              <w:spacing w:after="0"/>
              <w:rPr>
                <w:sz w:val="20"/>
                <w:szCs w:val="20"/>
                <w:color w:val="auto"/>
              </w:rPr>
            </w:pPr>
            <w:r>
              <w:rPr>
                <w:rFonts w:ascii="Arial" w:cs="Arial" w:eastAsia="Arial" w:hAnsi="Arial"/>
                <w:sz w:val="15"/>
                <w:szCs w:val="15"/>
                <w:b w:val="1"/>
                <w:bCs w:val="1"/>
                <w:color w:val="auto"/>
              </w:rPr>
              <w:t>(64)</w:t>
            </w:r>
          </w:p>
        </w:tc>
        <w:tc>
          <w:tcPr>
            <w:tcW w:w="1640" w:type="dxa"/>
            <w:vAlign w:val="bottom"/>
          </w:tcPr>
          <w:p>
            <w:pPr>
              <w:jc w:val="right"/>
              <w:ind w:right="327"/>
              <w:spacing w:after="0"/>
              <w:rPr>
                <w:sz w:val="20"/>
                <w:szCs w:val="20"/>
                <w:color w:val="auto"/>
              </w:rPr>
            </w:pPr>
            <w:r>
              <w:rPr>
                <w:rFonts w:ascii="Arial" w:cs="Arial" w:eastAsia="Arial" w:hAnsi="Arial"/>
                <w:sz w:val="15"/>
                <w:szCs w:val="15"/>
                <w:color w:val="auto"/>
              </w:rPr>
              <w:t>(54)</w:t>
            </w:r>
          </w:p>
        </w:tc>
        <w:tc>
          <w:tcPr>
            <w:tcW w:w="2060" w:type="dxa"/>
            <w:vAlign w:val="bottom"/>
          </w:tcPr>
          <w:p>
            <w:pPr>
              <w:jc w:val="right"/>
              <w:ind w:right="766"/>
              <w:spacing w:after="0"/>
              <w:rPr>
                <w:sz w:val="20"/>
                <w:szCs w:val="20"/>
                <w:color w:val="auto"/>
              </w:rPr>
            </w:pPr>
            <w:r>
              <w:rPr>
                <w:rFonts w:ascii="Arial" w:cs="Arial" w:eastAsia="Arial" w:hAnsi="Arial"/>
                <w:sz w:val="15"/>
                <w:szCs w:val="15"/>
                <w:b w:val="1"/>
                <w:bCs w:val="1"/>
                <w:color w:val="auto"/>
              </w:rPr>
              <w:t>42</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220"/>
        </w:trPr>
        <w:tc>
          <w:tcPr>
            <w:tcW w:w="3860" w:type="dxa"/>
            <w:vAlign w:val="bottom"/>
          </w:tcPr>
          <w:p>
            <w:pPr>
              <w:ind w:left="260"/>
              <w:spacing w:after="0"/>
              <w:rPr>
                <w:sz w:val="20"/>
                <w:szCs w:val="20"/>
                <w:color w:val="auto"/>
              </w:rPr>
            </w:pPr>
            <w:r>
              <w:rPr>
                <w:rFonts w:ascii="Arial" w:cs="Arial" w:eastAsia="Arial" w:hAnsi="Arial"/>
                <w:sz w:val="15"/>
                <w:szCs w:val="15"/>
                <w:color w:val="auto"/>
              </w:rPr>
              <w:t>Contingent consideration accretion</w:t>
            </w:r>
          </w:p>
        </w:tc>
        <w:tc>
          <w:tcPr>
            <w:tcW w:w="980" w:type="dxa"/>
            <w:vAlign w:val="bottom"/>
          </w:tcPr>
          <w:p>
            <w:pPr>
              <w:jc w:val="center"/>
              <w:spacing w:after="0"/>
              <w:rPr>
                <w:sz w:val="20"/>
                <w:szCs w:val="20"/>
                <w:color w:val="auto"/>
              </w:rPr>
            </w:pPr>
            <w:r>
              <w:rPr>
                <w:rFonts w:ascii="Arial" w:cs="Arial" w:eastAsia="Arial" w:hAnsi="Arial"/>
                <w:sz w:val="15"/>
                <w:szCs w:val="15"/>
                <w:i w:val="1"/>
                <w:iCs w:val="1"/>
                <w:color w:val="auto"/>
                <w:w w:val="95"/>
              </w:rPr>
              <w:t>6</w:t>
            </w:r>
          </w:p>
        </w:tc>
        <w:tc>
          <w:tcPr>
            <w:tcW w:w="1860" w:type="dxa"/>
            <w:vAlign w:val="bottom"/>
          </w:tcPr>
          <w:p>
            <w:pPr>
              <w:jc w:val="right"/>
              <w:ind w:right="346"/>
              <w:spacing w:after="0"/>
              <w:rPr>
                <w:sz w:val="20"/>
                <w:szCs w:val="20"/>
                <w:color w:val="auto"/>
              </w:rPr>
            </w:pPr>
            <w:r>
              <w:rPr>
                <w:rFonts w:ascii="Arial" w:cs="Arial" w:eastAsia="Arial" w:hAnsi="Arial"/>
                <w:sz w:val="15"/>
                <w:szCs w:val="15"/>
                <w:b w:val="1"/>
                <w:bCs w:val="1"/>
                <w:color w:val="auto"/>
              </w:rPr>
              <w:t>(59)</w:t>
            </w:r>
          </w:p>
        </w:tc>
        <w:tc>
          <w:tcPr>
            <w:tcW w:w="164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2060" w:type="dxa"/>
            <w:vAlign w:val="bottom"/>
          </w:tcPr>
          <w:p>
            <w:pPr>
              <w:jc w:val="right"/>
              <w:ind w:right="766"/>
              <w:spacing w:after="0"/>
              <w:rPr>
                <w:sz w:val="20"/>
                <w:szCs w:val="20"/>
                <w:color w:val="auto"/>
              </w:rPr>
            </w:pPr>
            <w:r>
              <w:rPr>
                <w:rFonts w:ascii="Arial" w:cs="Arial" w:eastAsia="Arial" w:hAnsi="Arial"/>
                <w:sz w:val="15"/>
                <w:szCs w:val="15"/>
                <w:b w:val="1"/>
                <w:bCs w:val="1"/>
                <w:color w:val="auto"/>
              </w:rPr>
              <w:t>(290)</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3860" w:type="dxa"/>
            <w:vAlign w:val="bottom"/>
          </w:tcPr>
          <w:p>
            <w:pPr>
              <w:ind w:left="240"/>
              <w:spacing w:after="0"/>
              <w:rPr>
                <w:sz w:val="20"/>
                <w:szCs w:val="20"/>
                <w:color w:val="auto"/>
              </w:rPr>
            </w:pPr>
            <w:r>
              <w:rPr>
                <w:rFonts w:ascii="Arial" w:cs="Arial" w:eastAsia="Arial" w:hAnsi="Arial"/>
                <w:sz w:val="15"/>
                <w:szCs w:val="15"/>
                <w:color w:val="auto"/>
              </w:rPr>
              <w:t>Change in fair value of contingent consideration</w:t>
            </w:r>
          </w:p>
        </w:tc>
        <w:tc>
          <w:tcPr>
            <w:tcW w:w="980" w:type="dxa"/>
            <w:vAlign w:val="bottom"/>
          </w:tcPr>
          <w:p>
            <w:pPr>
              <w:jc w:val="center"/>
              <w:spacing w:after="0"/>
              <w:rPr>
                <w:sz w:val="20"/>
                <w:szCs w:val="20"/>
                <w:color w:val="auto"/>
              </w:rPr>
            </w:pPr>
            <w:r>
              <w:rPr>
                <w:rFonts w:ascii="Arial" w:cs="Arial" w:eastAsia="Arial" w:hAnsi="Arial"/>
                <w:sz w:val="15"/>
                <w:szCs w:val="15"/>
                <w:i w:val="1"/>
                <w:iCs w:val="1"/>
                <w:color w:val="auto"/>
                <w:w w:val="95"/>
              </w:rPr>
              <w:t>6</w:t>
            </w:r>
          </w:p>
        </w:tc>
        <w:tc>
          <w:tcPr>
            <w:tcW w:w="1860" w:type="dxa"/>
            <w:vAlign w:val="bottom"/>
          </w:tcPr>
          <w:p>
            <w:pPr>
              <w:jc w:val="right"/>
              <w:ind w:right="346"/>
              <w:spacing w:after="0"/>
              <w:rPr>
                <w:sz w:val="20"/>
                <w:szCs w:val="20"/>
                <w:color w:val="auto"/>
              </w:rPr>
            </w:pPr>
            <w:r>
              <w:rPr>
                <w:rFonts w:ascii="Arial" w:cs="Arial" w:eastAsia="Arial" w:hAnsi="Arial"/>
                <w:sz w:val="15"/>
                <w:szCs w:val="15"/>
                <w:b w:val="1"/>
                <w:bCs w:val="1"/>
                <w:color w:val="auto"/>
              </w:rPr>
              <w:t>(695)</w:t>
            </w:r>
          </w:p>
        </w:tc>
        <w:tc>
          <w:tcPr>
            <w:tcW w:w="164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2060" w:type="dxa"/>
            <w:vAlign w:val="bottom"/>
          </w:tcPr>
          <w:p>
            <w:pPr>
              <w:jc w:val="right"/>
              <w:ind w:right="766"/>
              <w:spacing w:after="0"/>
              <w:rPr>
                <w:sz w:val="20"/>
                <w:szCs w:val="20"/>
                <w:color w:val="auto"/>
              </w:rPr>
            </w:pPr>
            <w:r>
              <w:rPr>
                <w:rFonts w:ascii="Arial" w:cs="Arial" w:eastAsia="Arial" w:hAnsi="Arial"/>
                <w:sz w:val="15"/>
                <w:szCs w:val="15"/>
                <w:b w:val="1"/>
                <w:bCs w:val="1"/>
                <w:color w:val="auto"/>
              </w:rPr>
              <w:t>(1,944)</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OTHER EXPENSES</w:t>
            </w:r>
          </w:p>
        </w:tc>
        <w:tc>
          <w:tcPr>
            <w:tcW w:w="9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(755)</w:t>
            </w:r>
          </w:p>
        </w:tc>
        <w:tc>
          <w:tcPr>
            <w:tcW w:w="164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(40)</w:t>
            </w:r>
          </w:p>
        </w:tc>
        <w:tc>
          <w:tcPr>
            <w:tcW w:w="206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b w:val="1"/>
                <w:bCs w:val="1"/>
                <w:color w:val="auto"/>
              </w:rPr>
              <w:t>(2,034)</w:t>
            </w: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980" w:type="dxa"/>
            <w:vAlign w:val="bottom"/>
            <w:tcBorders>
              <w:bottom w:val="single" w:sz="8" w:color="auto"/>
            </w:tcBorders>
            <w:shd w:val="clear" w:color="auto" w:fill="D9D9D9"/>
          </w:tcPr>
          <w:p>
            <w:pPr>
              <w:spacing w:after="0"/>
              <w:rPr>
                <w:sz w:val="16"/>
                <w:szCs w:val="16"/>
                <w:color w:val="auto"/>
              </w:rPr>
            </w:pPr>
          </w:p>
        </w:tc>
        <w:tc>
          <w:tcPr>
            <w:tcW w:w="1860" w:type="dxa"/>
            <w:vAlign w:val="bottom"/>
            <w:tcBorders>
              <w:bottom w:val="single" w:sz="8" w:color="auto"/>
            </w:tcBorders>
            <w:shd w:val="clear" w:color="auto" w:fill="D9D9D9"/>
          </w:tcPr>
          <w:p>
            <w:pPr>
              <w:jc w:val="right"/>
              <w:ind w:right="346"/>
              <w:spacing w:after="0"/>
              <w:rPr>
                <w:sz w:val="20"/>
                <w:szCs w:val="20"/>
                <w:color w:val="auto"/>
              </w:rPr>
            </w:pPr>
            <w:r>
              <w:rPr>
                <w:rFonts w:ascii="Arial" w:cs="Arial" w:eastAsia="Arial" w:hAnsi="Arial"/>
                <w:sz w:val="15"/>
                <w:szCs w:val="15"/>
                <w:b w:val="1"/>
                <w:bCs w:val="1"/>
                <w:color w:val="auto"/>
              </w:rPr>
              <w:t>(17,210)</w:t>
            </w:r>
          </w:p>
        </w:tc>
        <w:tc>
          <w:tcPr>
            <w:tcW w:w="1640" w:type="dxa"/>
            <w:vAlign w:val="bottom"/>
            <w:tcBorders>
              <w:bottom w:val="single" w:sz="8" w:color="auto"/>
            </w:tcBorders>
            <w:shd w:val="clear" w:color="auto" w:fill="D9D9D9"/>
          </w:tcPr>
          <w:p>
            <w:pPr>
              <w:jc w:val="right"/>
              <w:ind w:right="327"/>
              <w:spacing w:after="0"/>
              <w:rPr>
                <w:sz w:val="20"/>
                <w:szCs w:val="20"/>
                <w:color w:val="auto"/>
              </w:rPr>
            </w:pPr>
            <w:r>
              <w:rPr>
                <w:rFonts w:ascii="Arial" w:cs="Arial" w:eastAsia="Arial" w:hAnsi="Arial"/>
                <w:sz w:val="15"/>
                <w:szCs w:val="15"/>
                <w:color w:val="auto"/>
              </w:rPr>
              <w:t>(11,419)</w:t>
            </w:r>
          </w:p>
        </w:tc>
        <w:tc>
          <w:tcPr>
            <w:tcW w:w="2060" w:type="dxa"/>
            <w:vAlign w:val="bottom"/>
            <w:tcBorders>
              <w:bottom w:val="single" w:sz="8" w:color="auto"/>
            </w:tcBorders>
            <w:shd w:val="clear" w:color="auto" w:fill="D9D9D9"/>
          </w:tcPr>
          <w:p>
            <w:pPr>
              <w:jc w:val="right"/>
              <w:ind w:right="766"/>
              <w:spacing w:after="0"/>
              <w:rPr>
                <w:sz w:val="20"/>
                <w:szCs w:val="20"/>
                <w:color w:val="auto"/>
              </w:rPr>
            </w:pPr>
            <w:r>
              <w:rPr>
                <w:rFonts w:ascii="Arial" w:cs="Arial" w:eastAsia="Arial" w:hAnsi="Arial"/>
                <w:sz w:val="15"/>
                <w:szCs w:val="15"/>
                <w:b w:val="1"/>
                <w:bCs w:val="1"/>
                <w:color w:val="auto"/>
              </w:rPr>
              <w:t>(49,534)</w:t>
            </w:r>
          </w:p>
        </w:tc>
        <w:tc>
          <w:tcPr>
            <w:tcW w:w="86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(18,442)</w:t>
            </w:r>
          </w:p>
        </w:tc>
        <w:tc>
          <w:tcPr>
            <w:tcW w:w="0" w:type="dxa"/>
            <w:vAlign w:val="bottom"/>
          </w:tcPr>
          <w:p>
            <w:pPr>
              <w:spacing w:after="0"/>
              <w:rPr>
                <w:sz w:val="1"/>
                <w:szCs w:val="1"/>
                <w:color w:val="auto"/>
              </w:rPr>
            </w:pPr>
          </w:p>
        </w:tc>
      </w:tr>
      <w:tr>
        <w:trPr>
          <w:trHeight w:val="404"/>
        </w:trPr>
        <w:tc>
          <w:tcPr>
            <w:tcW w:w="3860" w:type="dxa"/>
            <w:vAlign w:val="bottom"/>
          </w:tcPr>
          <w:p>
            <w:pPr>
              <w:ind w:left="60"/>
              <w:spacing w:after="0"/>
              <w:rPr>
                <w:sz w:val="20"/>
                <w:szCs w:val="20"/>
                <w:color w:val="auto"/>
              </w:rPr>
            </w:pPr>
            <w:r>
              <w:rPr>
                <w:rFonts w:ascii="Arial" w:cs="Arial" w:eastAsia="Arial" w:hAnsi="Arial"/>
                <w:sz w:val="15"/>
                <w:szCs w:val="15"/>
                <w:b w:val="1"/>
                <w:bCs w:val="1"/>
                <w:color w:val="auto"/>
              </w:rPr>
              <w:t>OTHER COMPREHENSIVE LOSS</w:t>
            </w: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60"/>
              <w:spacing w:after="0"/>
              <w:rPr>
                <w:sz w:val="20"/>
                <w:szCs w:val="20"/>
                <w:color w:val="auto"/>
              </w:rPr>
            </w:pPr>
            <w:r>
              <w:rPr>
                <w:rFonts w:ascii="Arial" w:cs="Arial" w:eastAsia="Arial" w:hAnsi="Arial"/>
                <w:sz w:val="15"/>
                <w:szCs w:val="15"/>
                <w:color w:val="auto"/>
              </w:rPr>
              <w:t>Foreign currency translation differences for foreign</w:t>
            </w:r>
          </w:p>
        </w:tc>
        <w:tc>
          <w:tcPr>
            <w:tcW w:w="980" w:type="dxa"/>
            <w:vAlign w:val="bottom"/>
          </w:tcPr>
          <w:p>
            <w:pPr>
              <w:spacing w:after="0"/>
              <w:rPr>
                <w:sz w:val="17"/>
                <w:szCs w:val="17"/>
                <w:color w:val="auto"/>
              </w:rPr>
            </w:pPr>
          </w:p>
        </w:tc>
        <w:tc>
          <w:tcPr>
            <w:tcW w:w="1860" w:type="dxa"/>
            <w:vAlign w:val="bottom"/>
            <w:vMerge w:val="restart"/>
          </w:tcPr>
          <w:p>
            <w:pPr>
              <w:jc w:val="right"/>
              <w:ind w:right="346"/>
              <w:spacing w:after="0"/>
              <w:rPr>
                <w:sz w:val="20"/>
                <w:szCs w:val="20"/>
                <w:color w:val="auto"/>
              </w:rPr>
            </w:pPr>
            <w:r>
              <w:rPr>
                <w:rFonts w:ascii="Arial" w:cs="Arial" w:eastAsia="Arial" w:hAnsi="Arial"/>
                <w:sz w:val="15"/>
                <w:szCs w:val="15"/>
                <w:b w:val="1"/>
                <w:bCs w:val="1"/>
                <w:color w:val="auto"/>
              </w:rPr>
              <w:t>(123)</w:t>
            </w:r>
          </w:p>
        </w:tc>
        <w:tc>
          <w:tcPr>
            <w:tcW w:w="1640" w:type="dxa"/>
            <w:vAlign w:val="bottom"/>
          </w:tcPr>
          <w:p>
            <w:pPr>
              <w:spacing w:after="0"/>
              <w:rPr>
                <w:sz w:val="17"/>
                <w:szCs w:val="17"/>
                <w:color w:val="auto"/>
              </w:rPr>
            </w:pPr>
          </w:p>
        </w:tc>
        <w:tc>
          <w:tcPr>
            <w:tcW w:w="2060" w:type="dxa"/>
            <w:vAlign w:val="bottom"/>
            <w:vMerge w:val="restart"/>
          </w:tcPr>
          <w:p>
            <w:pPr>
              <w:jc w:val="right"/>
              <w:ind w:right="766"/>
              <w:spacing w:after="0"/>
              <w:rPr>
                <w:sz w:val="20"/>
                <w:szCs w:val="20"/>
                <w:color w:val="auto"/>
              </w:rPr>
            </w:pPr>
            <w:r>
              <w:rPr>
                <w:rFonts w:ascii="Arial" w:cs="Arial" w:eastAsia="Arial" w:hAnsi="Arial"/>
                <w:sz w:val="15"/>
                <w:szCs w:val="15"/>
                <w:b w:val="1"/>
                <w:bCs w:val="1"/>
                <w:color w:val="auto"/>
              </w:rPr>
              <w:t>(300)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operations</w:t>
            </w:r>
          </w:p>
        </w:tc>
        <w:tc>
          <w:tcPr>
            <w:tcW w:w="9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20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38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COMPREHENSIVE LOSS FOR THE PERIOD</w:t>
            </w:r>
          </w:p>
        </w:tc>
        <w:tc>
          <w:tcPr>
            <w:tcW w:w="980" w:type="dxa"/>
            <w:vAlign w:val="bottom"/>
            <w:tcBorders>
              <w:bottom w:val="single" w:sz="8" w:color="auto"/>
            </w:tcBorders>
            <w:shd w:val="clear" w:color="auto" w:fill="D9D9D9"/>
          </w:tcPr>
          <w:p>
            <w:pPr>
              <w:spacing w:after="0"/>
              <w:rPr>
                <w:sz w:val="16"/>
                <w:szCs w:val="16"/>
                <w:color w:val="auto"/>
              </w:rPr>
            </w:pPr>
          </w:p>
        </w:tc>
        <w:tc>
          <w:tcPr>
            <w:tcW w:w="1860" w:type="dxa"/>
            <w:vAlign w:val="bottom"/>
            <w:tcBorders>
              <w:bottom w:val="single" w:sz="8" w:color="auto"/>
            </w:tcBorders>
            <w:shd w:val="clear" w:color="auto" w:fill="D9D9D9"/>
          </w:tcPr>
          <w:p>
            <w:pPr>
              <w:jc w:val="right"/>
              <w:ind w:right="346"/>
              <w:spacing w:after="0"/>
              <w:rPr>
                <w:sz w:val="20"/>
                <w:szCs w:val="20"/>
                <w:color w:val="auto"/>
              </w:rPr>
            </w:pPr>
            <w:r>
              <w:rPr>
                <w:rFonts w:ascii="Arial" w:cs="Arial" w:eastAsia="Arial" w:hAnsi="Arial"/>
                <w:sz w:val="15"/>
                <w:szCs w:val="15"/>
                <w:b w:val="1"/>
                <w:bCs w:val="1"/>
                <w:color w:val="auto"/>
              </w:rPr>
              <w:t>(17,333)</w:t>
            </w:r>
          </w:p>
        </w:tc>
        <w:tc>
          <w:tcPr>
            <w:tcW w:w="1640" w:type="dxa"/>
            <w:vAlign w:val="bottom"/>
            <w:tcBorders>
              <w:bottom w:val="single" w:sz="8" w:color="auto"/>
            </w:tcBorders>
            <w:shd w:val="clear" w:color="auto" w:fill="D9D9D9"/>
          </w:tcPr>
          <w:p>
            <w:pPr>
              <w:jc w:val="right"/>
              <w:ind w:right="327"/>
              <w:spacing w:after="0"/>
              <w:rPr>
                <w:sz w:val="20"/>
                <w:szCs w:val="20"/>
                <w:color w:val="auto"/>
              </w:rPr>
            </w:pPr>
            <w:r>
              <w:rPr>
                <w:rFonts w:ascii="Arial" w:cs="Arial" w:eastAsia="Arial" w:hAnsi="Arial"/>
                <w:sz w:val="15"/>
                <w:szCs w:val="15"/>
                <w:color w:val="auto"/>
              </w:rPr>
              <w:t>(11,419)</w:t>
            </w:r>
          </w:p>
        </w:tc>
        <w:tc>
          <w:tcPr>
            <w:tcW w:w="2060" w:type="dxa"/>
            <w:vAlign w:val="bottom"/>
            <w:tcBorders>
              <w:bottom w:val="single" w:sz="8" w:color="auto"/>
            </w:tcBorders>
            <w:shd w:val="clear" w:color="auto" w:fill="D9D9D9"/>
          </w:tcPr>
          <w:p>
            <w:pPr>
              <w:jc w:val="right"/>
              <w:ind w:right="766"/>
              <w:spacing w:after="0"/>
              <w:rPr>
                <w:sz w:val="20"/>
                <w:szCs w:val="20"/>
                <w:color w:val="auto"/>
              </w:rPr>
            </w:pPr>
            <w:r>
              <w:rPr>
                <w:rFonts w:ascii="Arial" w:cs="Arial" w:eastAsia="Arial" w:hAnsi="Arial"/>
                <w:sz w:val="15"/>
                <w:szCs w:val="15"/>
                <w:b w:val="1"/>
                <w:bCs w:val="1"/>
                <w:color w:val="auto"/>
              </w:rPr>
              <w:t>(49,834)</w:t>
            </w:r>
          </w:p>
        </w:tc>
        <w:tc>
          <w:tcPr>
            <w:tcW w:w="86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(18,442)</w:t>
            </w:r>
          </w:p>
        </w:tc>
        <w:tc>
          <w:tcPr>
            <w:tcW w:w="0" w:type="dxa"/>
            <w:vAlign w:val="bottom"/>
          </w:tcPr>
          <w:p>
            <w:pPr>
              <w:spacing w:after="0"/>
              <w:rPr>
                <w:sz w:val="1"/>
                <w:szCs w:val="1"/>
                <w:color w:val="auto"/>
              </w:rPr>
            </w:pPr>
          </w:p>
        </w:tc>
      </w:tr>
      <w:tr>
        <w:trPr>
          <w:trHeight w:val="360"/>
        </w:trPr>
        <w:tc>
          <w:tcPr>
            <w:tcW w:w="3860" w:type="dxa"/>
            <w:vAlign w:val="bottom"/>
          </w:tcPr>
          <w:p>
            <w:pPr>
              <w:ind w:left="60"/>
              <w:spacing w:after="0"/>
              <w:rPr>
                <w:sz w:val="20"/>
                <w:szCs w:val="20"/>
                <w:color w:val="auto"/>
              </w:rPr>
            </w:pPr>
            <w:r>
              <w:rPr>
                <w:rFonts w:ascii="Arial" w:cs="Arial" w:eastAsia="Arial" w:hAnsi="Arial"/>
                <w:sz w:val="15"/>
                <w:szCs w:val="15"/>
                <w:b w:val="1"/>
                <w:bCs w:val="1"/>
                <w:color w:val="auto"/>
              </w:rPr>
              <w:t>Basic loss per share for the period attributable to</w:t>
            </w:r>
          </w:p>
        </w:tc>
        <w:tc>
          <w:tcPr>
            <w:tcW w:w="980" w:type="dxa"/>
            <w:vAlign w:val="bottom"/>
          </w:tcPr>
          <w:p>
            <w:pPr>
              <w:spacing w:after="0"/>
              <w:rPr>
                <w:sz w:val="24"/>
                <w:szCs w:val="24"/>
                <w:color w:val="auto"/>
              </w:rPr>
            </w:pPr>
          </w:p>
        </w:tc>
        <w:tc>
          <w:tcPr>
            <w:tcW w:w="1860" w:type="dxa"/>
            <w:vAlign w:val="bottom"/>
            <w:vMerge w:val="restart"/>
          </w:tcPr>
          <w:p>
            <w:pPr>
              <w:jc w:val="right"/>
              <w:ind w:right="346"/>
              <w:spacing w:after="0"/>
              <w:rPr>
                <w:sz w:val="20"/>
                <w:szCs w:val="20"/>
                <w:color w:val="auto"/>
              </w:rPr>
            </w:pPr>
            <w:r>
              <w:rPr>
                <w:rFonts w:ascii="Arial" w:cs="Arial" w:eastAsia="Arial" w:hAnsi="Arial"/>
                <w:sz w:val="15"/>
                <w:szCs w:val="15"/>
                <w:b w:val="1"/>
                <w:bCs w:val="1"/>
                <w:color w:val="auto"/>
              </w:rPr>
              <w:t>(0.10)</w:t>
            </w:r>
          </w:p>
        </w:tc>
        <w:tc>
          <w:tcPr>
            <w:tcW w:w="1640" w:type="dxa"/>
            <w:vAlign w:val="bottom"/>
          </w:tcPr>
          <w:p>
            <w:pPr>
              <w:spacing w:after="0"/>
              <w:rPr>
                <w:sz w:val="24"/>
                <w:szCs w:val="24"/>
                <w:color w:val="auto"/>
              </w:rPr>
            </w:pPr>
          </w:p>
        </w:tc>
        <w:tc>
          <w:tcPr>
            <w:tcW w:w="2060" w:type="dxa"/>
            <w:vAlign w:val="bottom"/>
            <w:vMerge w:val="restart"/>
          </w:tcPr>
          <w:p>
            <w:pPr>
              <w:jc w:val="right"/>
              <w:ind w:right="766"/>
              <w:spacing w:after="0"/>
              <w:rPr>
                <w:sz w:val="20"/>
                <w:szCs w:val="20"/>
                <w:color w:val="auto"/>
              </w:rPr>
            </w:pPr>
            <w:r>
              <w:rPr>
                <w:rFonts w:ascii="Arial" w:cs="Arial" w:eastAsia="Arial" w:hAnsi="Arial"/>
                <w:sz w:val="15"/>
                <w:szCs w:val="15"/>
                <w:b w:val="1"/>
                <w:bCs w:val="1"/>
                <w:color w:val="auto"/>
              </w:rPr>
              <w:t>(0.30)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common shareholders</w:t>
            </w:r>
          </w:p>
        </w:tc>
        <w:tc>
          <w:tcPr>
            <w:tcW w:w="9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(0.10)</w:t>
            </w:r>
          </w:p>
        </w:tc>
        <w:tc>
          <w:tcPr>
            <w:tcW w:w="20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(0.24)</w:t>
            </w:r>
          </w:p>
        </w:tc>
        <w:tc>
          <w:tcPr>
            <w:tcW w:w="0" w:type="dxa"/>
            <w:vAlign w:val="bottom"/>
          </w:tcPr>
          <w:p>
            <w:pPr>
              <w:spacing w:after="0"/>
              <w:rPr>
                <w:sz w:val="1"/>
                <w:szCs w:val="1"/>
                <w:color w:val="auto"/>
              </w:rPr>
            </w:pPr>
          </w:p>
        </w:tc>
      </w:tr>
      <w:tr>
        <w:trPr>
          <w:trHeight w:val="139"/>
        </w:trPr>
        <w:tc>
          <w:tcPr>
            <w:tcW w:w="3860" w:type="dxa"/>
            <w:vAlign w:val="bottom"/>
          </w:tcPr>
          <w:p>
            <w:pPr>
              <w:ind w:left="60"/>
              <w:spacing w:after="0" w:line="140" w:lineRule="exact"/>
              <w:rPr>
                <w:sz w:val="20"/>
                <w:szCs w:val="20"/>
                <w:color w:val="auto"/>
              </w:rPr>
            </w:pPr>
            <w:r>
              <w:rPr>
                <w:rFonts w:ascii="Arial" w:cs="Arial" w:eastAsia="Arial" w:hAnsi="Arial"/>
                <w:sz w:val="15"/>
                <w:szCs w:val="15"/>
                <w:b w:val="1"/>
                <w:bCs w:val="1"/>
                <w:color w:val="auto"/>
              </w:rPr>
              <w:t>Weighted average number of common shares</w:t>
            </w:r>
          </w:p>
        </w:tc>
        <w:tc>
          <w:tcPr>
            <w:tcW w:w="980" w:type="dxa"/>
            <w:vAlign w:val="bottom"/>
          </w:tcPr>
          <w:p>
            <w:pPr>
              <w:spacing w:after="0"/>
              <w:rPr>
                <w:sz w:val="12"/>
                <w:szCs w:val="12"/>
                <w:color w:val="auto"/>
              </w:rPr>
            </w:pPr>
          </w:p>
        </w:tc>
        <w:tc>
          <w:tcPr>
            <w:tcW w:w="1860" w:type="dxa"/>
            <w:vAlign w:val="bottom"/>
            <w:vMerge w:val="restart"/>
          </w:tcPr>
          <w:p>
            <w:pPr>
              <w:jc w:val="right"/>
              <w:ind w:right="346"/>
              <w:spacing w:after="0"/>
              <w:rPr>
                <w:sz w:val="20"/>
                <w:szCs w:val="20"/>
                <w:color w:val="auto"/>
              </w:rPr>
            </w:pPr>
            <w:r>
              <w:rPr>
                <w:rFonts w:ascii="Arial" w:cs="Arial" w:eastAsia="Arial" w:hAnsi="Arial"/>
                <w:sz w:val="15"/>
                <w:szCs w:val="15"/>
                <w:b w:val="1"/>
                <w:bCs w:val="1"/>
                <w:color w:val="auto"/>
              </w:rPr>
              <w:t>171,833,544</w:t>
            </w:r>
          </w:p>
        </w:tc>
        <w:tc>
          <w:tcPr>
            <w:tcW w:w="1640" w:type="dxa"/>
            <w:vAlign w:val="bottom"/>
          </w:tcPr>
          <w:p>
            <w:pPr>
              <w:spacing w:after="0"/>
              <w:rPr>
                <w:sz w:val="12"/>
                <w:szCs w:val="12"/>
                <w:color w:val="auto"/>
              </w:rPr>
            </w:pPr>
          </w:p>
        </w:tc>
        <w:tc>
          <w:tcPr>
            <w:tcW w:w="2060" w:type="dxa"/>
            <w:vAlign w:val="bottom"/>
            <w:vMerge w:val="restart"/>
          </w:tcPr>
          <w:p>
            <w:pPr>
              <w:jc w:val="right"/>
              <w:ind w:right="766"/>
              <w:spacing w:after="0"/>
              <w:rPr>
                <w:sz w:val="20"/>
                <w:szCs w:val="20"/>
                <w:color w:val="auto"/>
              </w:rPr>
            </w:pPr>
            <w:r>
              <w:rPr>
                <w:rFonts w:ascii="Arial" w:cs="Arial" w:eastAsia="Arial" w:hAnsi="Arial"/>
                <w:sz w:val="15"/>
                <w:szCs w:val="15"/>
                <w:b w:val="1"/>
                <w:bCs w:val="1"/>
                <w:color w:val="auto"/>
              </w:rPr>
              <w:t>165,130,598</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outstanding - basic</w:t>
            </w:r>
          </w:p>
        </w:tc>
        <w:tc>
          <w:tcPr>
            <w:tcW w:w="9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110,223,000</w:t>
            </w:r>
          </w:p>
        </w:tc>
        <w:tc>
          <w:tcPr>
            <w:tcW w:w="20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75,838,000</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financial statements</w:t>
      </w:r>
    </w:p>
    <w:p>
      <w:pPr>
        <w:sectPr>
          <w:pgSz w:w="11900" w:h="16838" w:orient="portrait"/>
          <w:cols w:equalWidth="0" w:num="1">
            <w:col w:w="11260"/>
          </w:cols>
          <w:pgMar w:left="320" w:top="168" w:right="319" w:bottom="1440" w:gutter="0" w:footer="0" w:header="0"/>
        </w:sectPr>
      </w:pPr>
    </w:p>
    <w:bookmarkStart w:id="7" w:name="page8"/>
    <w:bookmarkEnd w:id="7"/>
    <w:p>
      <w:pPr>
        <w:ind w:left="20"/>
        <w:spacing w:after="0"/>
        <w:rPr>
          <w:sz w:val="20"/>
          <w:szCs w:val="20"/>
          <w:color w:val="auto"/>
        </w:rPr>
      </w:pPr>
      <w:r>
        <w:rPr>
          <w:rFonts w:ascii="Arial" w:cs="Arial" w:eastAsia="Arial" w:hAnsi="Arial"/>
          <w:sz w:val="20"/>
          <w:szCs w:val="20"/>
          <w:b w:val="1"/>
          <w:bCs w:val="1"/>
          <w:color w:val="auto"/>
        </w:rPr>
        <w:t>CYBIN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CONDENSED INTERIM CONSOLIDATED STATEMENTS OF CHANGES IN SHAREHOLDERS’ EQUITY</w:t>
      </w:r>
    </w:p>
    <w:p>
      <w:pPr>
        <w:ind w:left="20"/>
        <w:spacing w:after="0"/>
        <w:rPr>
          <w:sz w:val="20"/>
          <w:szCs w:val="20"/>
          <w:color w:val="auto"/>
        </w:rPr>
      </w:pPr>
      <w:r>
        <w:rPr>
          <w:rFonts w:ascii="Arial" w:cs="Arial" w:eastAsia="Arial" w:hAnsi="Arial"/>
          <w:sz w:val="18"/>
          <w:szCs w:val="18"/>
          <w:b w:val="1"/>
          <w:bCs w:val="1"/>
          <w:color w:val="auto"/>
        </w:rPr>
        <w:t>FOR THE NINE MONTHS ENDED DECEMBER 31, 2021 AND DECEMBER 31, 2020</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(All amounts expressed in thousands of Canadian dollars, except share amounts)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50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3"/>
                <w:szCs w:val="13"/>
                <w:b w:val="1"/>
                <w:bCs w:val="1"/>
                <w:color w:val="auto"/>
              </w:rPr>
              <w:t>Share capital</w:t>
            </w: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495"/>
              <w:spacing w:after="0"/>
              <w:rPr>
                <w:sz w:val="20"/>
                <w:szCs w:val="20"/>
                <w:color w:val="auto"/>
              </w:rPr>
            </w:pPr>
            <w:r>
              <w:rPr>
                <w:rFonts w:ascii="Arial" w:cs="Arial" w:eastAsia="Arial" w:hAnsi="Arial"/>
                <w:sz w:val="13"/>
                <w:szCs w:val="13"/>
                <w:b w:val="1"/>
                <w:bCs w:val="1"/>
                <w:color w:val="auto"/>
              </w:rPr>
              <w:t>Reserves</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rPr>
              <w:t>Equity</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rPr>
              <w:t>component of</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Contributed</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0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Note</w:t>
            </w:r>
          </w:p>
        </w:tc>
        <w:tc>
          <w:tcPr>
            <w:tcW w:w="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760" w:type="dxa"/>
            <w:vAlign w:val="bottom"/>
            <w:vMerge w:val="restart"/>
          </w:tcPr>
          <w:p>
            <w:pPr>
              <w:jc w:val="right"/>
              <w:ind w:right="95"/>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840" w:type="dxa"/>
            <w:vAlign w:val="bottom"/>
            <w:vMerge w:val="restart"/>
          </w:tcPr>
          <w:p>
            <w:pPr>
              <w:jc w:val="right"/>
              <w:ind w:right="95"/>
              <w:spacing w:after="0"/>
              <w:rPr>
                <w:sz w:val="20"/>
                <w:szCs w:val="20"/>
                <w:color w:val="auto"/>
              </w:rPr>
            </w:pPr>
            <w:r>
              <w:rPr>
                <w:rFonts w:ascii="Arial" w:cs="Arial" w:eastAsia="Arial" w:hAnsi="Arial"/>
                <w:sz w:val="13"/>
                <w:szCs w:val="13"/>
                <w:b w:val="1"/>
                <w:bCs w:val="1"/>
                <w:color w:val="auto"/>
              </w:rPr>
              <w:t>Warrants</w:t>
            </w:r>
          </w:p>
        </w:tc>
        <w:tc>
          <w:tcPr>
            <w:tcW w:w="720" w:type="dxa"/>
            <w:vAlign w:val="bottom"/>
            <w:vMerge w:val="restart"/>
          </w:tcPr>
          <w:p>
            <w:pPr>
              <w:jc w:val="right"/>
              <w:ind w:right="55"/>
              <w:spacing w:after="0"/>
              <w:rPr>
                <w:sz w:val="20"/>
                <w:szCs w:val="20"/>
                <w:color w:val="auto"/>
              </w:rPr>
            </w:pPr>
            <w:r>
              <w:rPr>
                <w:rFonts w:ascii="Arial" w:cs="Arial" w:eastAsia="Arial" w:hAnsi="Arial"/>
                <w:sz w:val="13"/>
                <w:szCs w:val="13"/>
                <w:b w:val="1"/>
                <w:bCs w:val="1"/>
                <w:color w:val="auto"/>
              </w:rPr>
              <w:t>Options</w:t>
            </w:r>
          </w:p>
        </w:tc>
        <w:tc>
          <w:tcPr>
            <w:tcW w:w="94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rPr>
              <w:t>convertible</w:t>
            </w: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0"/>
                <w:szCs w:val="10"/>
                <w:color w:val="auto"/>
              </w:rPr>
            </w:pPr>
          </w:p>
        </w:tc>
        <w:tc>
          <w:tcPr>
            <w:tcW w:w="98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0"/>
                <w:szCs w:val="10"/>
                <w:color w:val="auto"/>
              </w:rPr>
            </w:pPr>
          </w:p>
        </w:tc>
        <w:tc>
          <w:tcPr>
            <w:tcW w:w="700" w:type="dxa"/>
            <w:vAlign w:val="bottom"/>
            <w:vMerge w:val="restart"/>
          </w:tcPr>
          <w:p>
            <w:pPr>
              <w:jc w:val="right"/>
              <w:ind w:right="13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2900" w:type="dxa"/>
            <w:vAlign w:val="bottom"/>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shares</w:t>
            </w:r>
          </w:p>
        </w:tc>
        <w:tc>
          <w:tcPr>
            <w:tcW w:w="7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debt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Surplus</w:t>
            </w:r>
          </w:p>
        </w:tc>
        <w:tc>
          <w:tcPr>
            <w:tcW w:w="80" w:type="dxa"/>
            <w:vAlign w:val="bottom"/>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right"/>
              <w:ind w:right="335"/>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275"/>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820" w:type="dxa"/>
            <w:vAlign w:val="bottom"/>
            <w:gridSpan w:val="2"/>
          </w:tcPr>
          <w:p>
            <w:pPr>
              <w:jc w:val="right"/>
              <w:ind w:right="275"/>
              <w:spacing w:after="0"/>
              <w:rPr>
                <w:sz w:val="20"/>
                <w:szCs w:val="20"/>
                <w:color w:val="auto"/>
              </w:rPr>
            </w:pPr>
            <w:r>
              <w:rPr>
                <w:rFonts w:ascii="Arial" w:cs="Arial" w:eastAsia="Arial" w:hAnsi="Arial"/>
                <w:sz w:val="13"/>
                <w:szCs w:val="13"/>
                <w:b w:val="1"/>
                <w:bCs w:val="1"/>
                <w:color w:val="auto"/>
              </w:rPr>
              <w:t>$</w:t>
            </w:r>
          </w:p>
        </w:tc>
        <w:tc>
          <w:tcPr>
            <w:tcW w:w="1060" w:type="dxa"/>
            <w:vAlign w:val="bottom"/>
            <w:gridSpan w:val="2"/>
          </w:tcPr>
          <w:p>
            <w:pPr>
              <w:jc w:val="right"/>
              <w:ind w:right="335"/>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right"/>
              <w:ind w:right="255"/>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3"/>
        </w:trPr>
        <w:tc>
          <w:tcPr>
            <w:tcW w:w="2900" w:type="dxa"/>
            <w:vAlign w:val="bottom"/>
            <w:tcBorders>
              <w:top w:val="single" w:sz="8" w:color="auto"/>
              <w:bottom w:val="single" w:sz="8" w:color="929292"/>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March 31, 2020</w:t>
            </w:r>
          </w:p>
        </w:tc>
        <w:tc>
          <w:tcPr>
            <w:tcW w:w="600" w:type="dxa"/>
            <w:vAlign w:val="bottom"/>
            <w:tcBorders>
              <w:top w:val="single" w:sz="8" w:color="auto"/>
              <w:bottom w:val="single" w:sz="8" w:color="929292"/>
            </w:tcBorders>
            <w:shd w:val="clear" w:color="auto" w:fill="D9D9D9"/>
          </w:tcPr>
          <w:p>
            <w:pPr>
              <w:spacing w:after="0"/>
              <w:rPr>
                <w:sz w:val="14"/>
                <w:szCs w:val="14"/>
                <w:color w:val="auto"/>
              </w:rPr>
            </w:pPr>
          </w:p>
        </w:tc>
        <w:tc>
          <w:tcPr>
            <w:tcW w:w="60" w:type="dxa"/>
            <w:vAlign w:val="bottom"/>
            <w:tcBorders>
              <w:bottom w:val="single" w:sz="8" w:color="929292"/>
            </w:tcBorders>
          </w:tcPr>
          <w:p>
            <w:pPr>
              <w:spacing w:after="0"/>
              <w:rPr>
                <w:sz w:val="14"/>
                <w:szCs w:val="14"/>
                <w:color w:val="auto"/>
              </w:rPr>
            </w:pPr>
          </w:p>
        </w:tc>
        <w:tc>
          <w:tcPr>
            <w:tcW w:w="880" w:type="dxa"/>
            <w:vAlign w:val="bottom"/>
            <w:tcBorders>
              <w:top w:val="single" w:sz="8" w:color="auto"/>
              <w:bottom w:val="single" w:sz="8" w:color="929292"/>
            </w:tcBorders>
            <w:shd w:val="clear" w:color="auto" w:fill="D9D9D9"/>
          </w:tcPr>
          <w:p>
            <w:pPr>
              <w:jc w:val="right"/>
              <w:ind w:right="55"/>
              <w:spacing w:after="0"/>
              <w:rPr>
                <w:sz w:val="20"/>
                <w:szCs w:val="20"/>
                <w:color w:val="auto"/>
              </w:rPr>
            </w:pPr>
            <w:r>
              <w:rPr>
                <w:rFonts w:ascii="Arial" w:cs="Arial" w:eastAsia="Arial" w:hAnsi="Arial"/>
                <w:sz w:val="13"/>
                <w:szCs w:val="13"/>
                <w:b w:val="1"/>
                <w:bCs w:val="1"/>
                <w:color w:val="auto"/>
              </w:rPr>
              <w:t>56,503,570</w:t>
            </w:r>
          </w:p>
        </w:tc>
        <w:tc>
          <w:tcPr>
            <w:tcW w:w="76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2,187</w:t>
            </w:r>
          </w:p>
        </w:tc>
        <w:tc>
          <w:tcPr>
            <w:tcW w:w="80" w:type="dxa"/>
            <w:vAlign w:val="bottom"/>
            <w:tcBorders>
              <w:top w:val="single" w:sz="8" w:color="auto"/>
              <w:bottom w:val="single" w:sz="8" w:color="929292"/>
            </w:tcBorders>
          </w:tcPr>
          <w:p>
            <w:pPr>
              <w:spacing w:after="0"/>
              <w:rPr>
                <w:sz w:val="14"/>
                <w:szCs w:val="14"/>
                <w:color w:val="auto"/>
              </w:rPr>
            </w:pPr>
          </w:p>
        </w:tc>
        <w:tc>
          <w:tcPr>
            <w:tcW w:w="840" w:type="dxa"/>
            <w:vAlign w:val="bottom"/>
            <w:tcBorders>
              <w:top w:val="single" w:sz="8" w:color="auto"/>
              <w:bottom w:val="single" w:sz="8" w:color="929292"/>
            </w:tcBorders>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7</w:t>
            </w:r>
          </w:p>
        </w:tc>
        <w:tc>
          <w:tcPr>
            <w:tcW w:w="72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64</w:t>
            </w:r>
          </w:p>
        </w:tc>
        <w:tc>
          <w:tcPr>
            <w:tcW w:w="94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929292"/>
            </w:tcBorders>
          </w:tcPr>
          <w:p>
            <w:pPr>
              <w:spacing w:after="0"/>
              <w:rPr>
                <w:sz w:val="14"/>
                <w:szCs w:val="14"/>
                <w:color w:val="auto"/>
              </w:rPr>
            </w:pPr>
          </w:p>
        </w:tc>
        <w:tc>
          <w:tcPr>
            <w:tcW w:w="740" w:type="dxa"/>
            <w:vAlign w:val="bottom"/>
            <w:tcBorders>
              <w:top w:val="single" w:sz="8" w:color="auto"/>
              <w:bottom w:val="single" w:sz="8" w:color="929292"/>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(810)</w:t>
            </w:r>
          </w:p>
        </w:tc>
        <w:tc>
          <w:tcPr>
            <w:tcW w:w="80" w:type="dxa"/>
            <w:vAlign w:val="bottom"/>
            <w:tcBorders>
              <w:top w:val="single" w:sz="8" w:color="auto"/>
              <w:bottom w:val="single" w:sz="8" w:color="929292"/>
            </w:tcBorders>
          </w:tcPr>
          <w:p>
            <w:pPr>
              <w:spacing w:after="0"/>
              <w:rPr>
                <w:sz w:val="14"/>
                <w:szCs w:val="14"/>
                <w:color w:val="auto"/>
              </w:rPr>
            </w:pPr>
          </w:p>
        </w:tc>
        <w:tc>
          <w:tcPr>
            <w:tcW w:w="98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929292"/>
            </w:tcBorders>
          </w:tcPr>
          <w:p>
            <w:pPr>
              <w:spacing w:after="0"/>
              <w:rPr>
                <w:sz w:val="14"/>
                <w:szCs w:val="14"/>
                <w:color w:val="auto"/>
              </w:rPr>
            </w:pPr>
          </w:p>
        </w:tc>
        <w:tc>
          <w:tcPr>
            <w:tcW w:w="700" w:type="dxa"/>
            <w:vAlign w:val="bottom"/>
            <w:tcBorders>
              <w:top w:val="single" w:sz="8" w:color="auto"/>
              <w:bottom w:val="single" w:sz="8" w:color="929292"/>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1,448</w:t>
            </w:r>
          </w:p>
        </w:tc>
        <w:tc>
          <w:tcPr>
            <w:tcW w:w="0" w:type="dxa"/>
            <w:vAlign w:val="bottom"/>
          </w:tcPr>
          <w:p>
            <w:pPr>
              <w:spacing w:after="0"/>
              <w:rPr>
                <w:sz w:val="1"/>
                <w:szCs w:val="1"/>
                <w:color w:val="auto"/>
              </w:rPr>
            </w:pPr>
          </w:p>
        </w:tc>
      </w:tr>
      <w:tr>
        <w:trPr>
          <w:trHeight w:val="131"/>
        </w:trPr>
        <w:tc>
          <w:tcPr>
            <w:tcW w:w="2900" w:type="dxa"/>
            <w:vAlign w:val="bottom"/>
          </w:tcPr>
          <w:p>
            <w:pPr>
              <w:ind w:left="60"/>
              <w:spacing w:after="0" w:line="131" w:lineRule="exact"/>
              <w:rPr>
                <w:sz w:val="20"/>
                <w:szCs w:val="20"/>
                <w:color w:val="auto"/>
              </w:rPr>
            </w:pPr>
            <w:r>
              <w:rPr>
                <w:rFonts w:ascii="Arial" w:cs="Arial" w:eastAsia="Arial" w:hAnsi="Arial"/>
                <w:sz w:val="13"/>
                <w:szCs w:val="13"/>
                <w:color w:val="auto"/>
              </w:rPr>
              <w:t>Shares issued for cash net of share issuance</w:t>
            </w:r>
          </w:p>
        </w:tc>
        <w:tc>
          <w:tcPr>
            <w:tcW w:w="600" w:type="dxa"/>
            <w:vAlign w:val="bottom"/>
          </w:tcPr>
          <w:p>
            <w:pPr>
              <w:spacing w:after="0"/>
              <w:rPr>
                <w:sz w:val="11"/>
                <w:szCs w:val="11"/>
                <w:color w:val="auto"/>
              </w:rPr>
            </w:pPr>
          </w:p>
        </w:tc>
        <w:tc>
          <w:tcPr>
            <w:tcW w:w="940" w:type="dxa"/>
            <w:vAlign w:val="bottom"/>
            <w:gridSpan w:val="2"/>
            <w:vMerge w:val="restart"/>
          </w:tcPr>
          <w:p>
            <w:pPr>
              <w:jc w:val="right"/>
              <w:ind w:right="55"/>
              <w:spacing w:after="0"/>
              <w:rPr>
                <w:sz w:val="20"/>
                <w:szCs w:val="20"/>
                <w:color w:val="auto"/>
              </w:rPr>
            </w:pPr>
            <w:r>
              <w:rPr>
                <w:rFonts w:ascii="Arial" w:cs="Arial" w:eastAsia="Arial" w:hAnsi="Arial"/>
                <w:sz w:val="13"/>
                <w:szCs w:val="13"/>
                <w:color w:val="auto"/>
              </w:rPr>
              <w:t>74,246,669</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50,049</w:t>
            </w:r>
          </w:p>
        </w:tc>
        <w:tc>
          <w:tcPr>
            <w:tcW w:w="80" w:type="dxa"/>
            <w:vAlign w:val="bottom"/>
          </w:tcPr>
          <w:p>
            <w:pPr>
              <w:spacing w:after="0"/>
              <w:rPr>
                <w:sz w:val="11"/>
                <w:szCs w:val="11"/>
                <w:color w:val="auto"/>
              </w:rPr>
            </w:pPr>
          </w:p>
        </w:tc>
        <w:tc>
          <w:tcPr>
            <w:tcW w:w="84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vMerge w:val="restart"/>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5"/>
              <w:spacing w:after="0"/>
              <w:rPr>
                <w:sz w:val="20"/>
                <w:szCs w:val="20"/>
                <w:color w:val="auto"/>
              </w:rPr>
            </w:pPr>
            <w:r>
              <w:rPr>
                <w:rFonts w:ascii="Arial" w:cs="Arial" w:eastAsia="Arial" w:hAnsi="Arial"/>
                <w:sz w:val="13"/>
                <w:szCs w:val="13"/>
                <w:color w:val="auto"/>
              </w:rPr>
              <w:t>50,049</w:t>
            </w:r>
          </w:p>
        </w:tc>
        <w:tc>
          <w:tcPr>
            <w:tcW w:w="0" w:type="dxa"/>
            <w:vAlign w:val="bottom"/>
          </w:tcPr>
          <w:p>
            <w:pPr>
              <w:spacing w:after="0"/>
              <w:rPr>
                <w:sz w:val="1"/>
                <w:szCs w:val="1"/>
                <w:color w:val="auto"/>
              </w:rPr>
            </w:pPr>
          </w:p>
        </w:tc>
      </w:tr>
      <w:tr>
        <w:trPr>
          <w:trHeight w:val="95"/>
        </w:trPr>
        <w:tc>
          <w:tcPr>
            <w:tcW w:w="2900" w:type="dxa"/>
            <w:vAlign w:val="bottom"/>
            <w:vMerge w:val="restart"/>
          </w:tcPr>
          <w:p>
            <w:pPr>
              <w:ind w:left="60"/>
              <w:spacing w:after="0"/>
              <w:rPr>
                <w:sz w:val="20"/>
                <w:szCs w:val="20"/>
                <w:color w:val="auto"/>
              </w:rPr>
            </w:pPr>
            <w:r>
              <w:rPr>
                <w:rFonts w:ascii="Arial" w:cs="Arial" w:eastAsia="Arial" w:hAnsi="Arial"/>
                <w:sz w:val="13"/>
                <w:szCs w:val="13"/>
                <w:color w:val="auto"/>
              </w:rPr>
              <w:t>costs – private placement</w:t>
            </w:r>
          </w:p>
        </w:tc>
        <w:tc>
          <w:tcPr>
            <w:tcW w:w="6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9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Shares issued for amalgamation</w:t>
            </w:r>
          </w:p>
        </w:tc>
        <w:tc>
          <w:tcPr>
            <w:tcW w:w="600" w:type="dxa"/>
            <w:vAlign w:val="bottom"/>
          </w:tcPr>
          <w:p>
            <w:pPr>
              <w:spacing w:after="0"/>
              <w:rPr>
                <w:sz w:val="14"/>
                <w:szCs w:val="14"/>
                <w:color w:val="auto"/>
              </w:rPr>
            </w:pPr>
          </w:p>
        </w:tc>
        <w:tc>
          <w:tcPr>
            <w:tcW w:w="940" w:type="dxa"/>
            <w:vAlign w:val="bottom"/>
            <w:gridSpan w:val="2"/>
          </w:tcPr>
          <w:p>
            <w:pPr>
              <w:jc w:val="right"/>
              <w:ind w:right="55"/>
              <w:spacing w:after="0"/>
              <w:rPr>
                <w:sz w:val="20"/>
                <w:szCs w:val="20"/>
                <w:color w:val="auto"/>
              </w:rPr>
            </w:pPr>
            <w:r>
              <w:rPr>
                <w:rFonts w:ascii="Arial" w:cs="Arial" w:eastAsia="Arial" w:hAnsi="Arial"/>
                <w:sz w:val="13"/>
                <w:szCs w:val="13"/>
                <w:color w:val="auto"/>
              </w:rPr>
              <w:t>2,128,295</w:t>
            </w:r>
          </w:p>
        </w:tc>
        <w:tc>
          <w:tcPr>
            <w:tcW w:w="760" w:type="dxa"/>
            <w:vAlign w:val="bottom"/>
          </w:tcPr>
          <w:p>
            <w:pPr>
              <w:jc w:val="right"/>
              <w:spacing w:after="0"/>
              <w:rPr>
                <w:sz w:val="20"/>
                <w:szCs w:val="20"/>
                <w:color w:val="auto"/>
              </w:rPr>
            </w:pPr>
            <w:r>
              <w:rPr>
                <w:rFonts w:ascii="Arial" w:cs="Arial" w:eastAsia="Arial" w:hAnsi="Arial"/>
                <w:sz w:val="13"/>
                <w:szCs w:val="13"/>
                <w:color w:val="auto"/>
              </w:rPr>
              <w:t>1,596</w:t>
            </w:r>
          </w:p>
        </w:tc>
        <w:tc>
          <w:tcPr>
            <w:tcW w:w="8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77</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1,673</w:t>
            </w: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Shares issued for acquisition</w:t>
            </w:r>
          </w:p>
        </w:tc>
        <w:tc>
          <w:tcPr>
            <w:tcW w:w="600" w:type="dxa"/>
            <w:vAlign w:val="bottom"/>
          </w:tcPr>
          <w:p>
            <w:pPr>
              <w:spacing w:after="0"/>
              <w:rPr>
                <w:sz w:val="14"/>
                <w:szCs w:val="14"/>
                <w:color w:val="auto"/>
              </w:rPr>
            </w:pPr>
          </w:p>
        </w:tc>
        <w:tc>
          <w:tcPr>
            <w:tcW w:w="940" w:type="dxa"/>
            <w:vAlign w:val="bottom"/>
            <w:gridSpan w:val="2"/>
          </w:tcPr>
          <w:p>
            <w:pPr>
              <w:jc w:val="right"/>
              <w:ind w:right="55"/>
              <w:spacing w:after="0"/>
              <w:rPr>
                <w:sz w:val="20"/>
                <w:szCs w:val="20"/>
                <w:color w:val="auto"/>
              </w:rPr>
            </w:pPr>
            <w:r>
              <w:rPr>
                <w:rFonts w:ascii="Arial" w:cs="Arial" w:eastAsia="Arial" w:hAnsi="Arial"/>
                <w:sz w:val="13"/>
                <w:szCs w:val="13"/>
                <w:color w:val="auto"/>
              </w:rPr>
              <w:t>8,688,331</w:t>
            </w:r>
          </w:p>
        </w:tc>
        <w:tc>
          <w:tcPr>
            <w:tcW w:w="760" w:type="dxa"/>
            <w:vAlign w:val="bottom"/>
          </w:tcPr>
          <w:p>
            <w:pPr>
              <w:jc w:val="right"/>
              <w:spacing w:after="0"/>
              <w:rPr>
                <w:sz w:val="20"/>
                <w:szCs w:val="20"/>
                <w:color w:val="auto"/>
              </w:rPr>
            </w:pPr>
            <w:r>
              <w:rPr>
                <w:rFonts w:ascii="Arial" w:cs="Arial" w:eastAsia="Arial" w:hAnsi="Arial"/>
                <w:sz w:val="13"/>
                <w:szCs w:val="13"/>
                <w:color w:val="auto"/>
              </w:rPr>
              <w:t>10,774</w:t>
            </w:r>
          </w:p>
        </w:tc>
        <w:tc>
          <w:tcPr>
            <w:tcW w:w="8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10,774</w:t>
            </w: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Reversal of share subscriptions</w:t>
            </w:r>
          </w:p>
        </w:tc>
        <w:tc>
          <w:tcPr>
            <w:tcW w:w="600" w:type="dxa"/>
            <w:vAlign w:val="bottom"/>
          </w:tcPr>
          <w:p>
            <w:pPr>
              <w:spacing w:after="0"/>
              <w:rPr>
                <w:sz w:val="14"/>
                <w:szCs w:val="14"/>
                <w:color w:val="auto"/>
              </w:rPr>
            </w:pPr>
          </w:p>
        </w:tc>
        <w:tc>
          <w:tcPr>
            <w:tcW w:w="940" w:type="dxa"/>
            <w:vAlign w:val="bottom"/>
            <w:gridSpan w:val="2"/>
          </w:tcPr>
          <w:p>
            <w:pPr>
              <w:jc w:val="right"/>
              <w:ind w:right="55"/>
              <w:spacing w:after="0"/>
              <w:rPr>
                <w:sz w:val="20"/>
                <w:szCs w:val="20"/>
                <w:color w:val="auto"/>
              </w:rPr>
            </w:pPr>
            <w:r>
              <w:rPr>
                <w:rFonts w:ascii="Arial" w:cs="Arial" w:eastAsia="Arial" w:hAnsi="Arial"/>
                <w:sz w:val="13"/>
                <w:szCs w:val="13"/>
                <w:color w:val="auto"/>
              </w:rPr>
              <w:t>(2,799,985)</w:t>
            </w:r>
          </w:p>
        </w:tc>
        <w:tc>
          <w:tcPr>
            <w:tcW w:w="760" w:type="dxa"/>
            <w:vAlign w:val="bottom"/>
          </w:tcPr>
          <w:p>
            <w:pPr>
              <w:jc w:val="right"/>
              <w:spacing w:after="0"/>
              <w:rPr>
                <w:sz w:val="20"/>
                <w:szCs w:val="20"/>
                <w:color w:val="auto"/>
              </w:rPr>
            </w:pPr>
            <w:r>
              <w:rPr>
                <w:rFonts w:ascii="Arial" w:cs="Arial" w:eastAsia="Arial" w:hAnsi="Arial"/>
                <w:sz w:val="13"/>
                <w:szCs w:val="13"/>
                <w:color w:val="auto"/>
              </w:rPr>
              <w:t>(700)</w:t>
            </w:r>
          </w:p>
        </w:tc>
        <w:tc>
          <w:tcPr>
            <w:tcW w:w="8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Issuance of convertible debt</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Shares issued on conversion of debt</w:t>
            </w:r>
          </w:p>
        </w:tc>
        <w:tc>
          <w:tcPr>
            <w:tcW w:w="600" w:type="dxa"/>
            <w:vAlign w:val="bottom"/>
          </w:tcPr>
          <w:p>
            <w:pPr>
              <w:spacing w:after="0"/>
              <w:rPr>
                <w:sz w:val="14"/>
                <w:szCs w:val="14"/>
                <w:color w:val="auto"/>
              </w:rPr>
            </w:pPr>
          </w:p>
        </w:tc>
        <w:tc>
          <w:tcPr>
            <w:tcW w:w="940" w:type="dxa"/>
            <w:vAlign w:val="bottom"/>
            <w:gridSpan w:val="2"/>
          </w:tcPr>
          <w:p>
            <w:pPr>
              <w:jc w:val="right"/>
              <w:ind w:right="55"/>
              <w:spacing w:after="0"/>
              <w:rPr>
                <w:sz w:val="20"/>
                <w:szCs w:val="20"/>
                <w:color w:val="auto"/>
              </w:rPr>
            </w:pPr>
            <w:r>
              <w:rPr>
                <w:rFonts w:ascii="Arial" w:cs="Arial" w:eastAsia="Arial" w:hAnsi="Arial"/>
                <w:sz w:val="13"/>
                <w:szCs w:val="13"/>
                <w:color w:val="auto"/>
              </w:rPr>
              <w:t>1,200,000</w:t>
            </w:r>
          </w:p>
        </w:tc>
        <w:tc>
          <w:tcPr>
            <w:tcW w:w="760" w:type="dxa"/>
            <w:vAlign w:val="bottom"/>
          </w:tcPr>
          <w:p>
            <w:pPr>
              <w:jc w:val="right"/>
              <w:spacing w:after="0"/>
              <w:rPr>
                <w:sz w:val="20"/>
                <w:szCs w:val="20"/>
                <w:color w:val="auto"/>
              </w:rPr>
            </w:pPr>
            <w:r>
              <w:rPr>
                <w:rFonts w:ascii="Arial" w:cs="Arial" w:eastAsia="Arial" w:hAnsi="Arial"/>
                <w:sz w:val="13"/>
                <w:szCs w:val="13"/>
                <w:color w:val="auto"/>
              </w:rPr>
              <w:t>310</w:t>
            </w:r>
          </w:p>
        </w:tc>
        <w:tc>
          <w:tcPr>
            <w:tcW w:w="8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Founders' round additional capital</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164</w:t>
            </w:r>
          </w:p>
        </w:tc>
        <w:tc>
          <w:tcPr>
            <w:tcW w:w="8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Options exercised</w:t>
            </w:r>
          </w:p>
        </w:tc>
        <w:tc>
          <w:tcPr>
            <w:tcW w:w="600" w:type="dxa"/>
            <w:vAlign w:val="bottom"/>
          </w:tcPr>
          <w:p>
            <w:pPr>
              <w:spacing w:after="0"/>
              <w:rPr>
                <w:sz w:val="14"/>
                <w:szCs w:val="14"/>
                <w:color w:val="auto"/>
              </w:rPr>
            </w:pPr>
          </w:p>
        </w:tc>
        <w:tc>
          <w:tcPr>
            <w:tcW w:w="940" w:type="dxa"/>
            <w:vAlign w:val="bottom"/>
            <w:gridSpan w:val="2"/>
          </w:tcPr>
          <w:p>
            <w:pPr>
              <w:jc w:val="right"/>
              <w:ind w:right="55"/>
              <w:spacing w:after="0"/>
              <w:rPr>
                <w:sz w:val="20"/>
                <w:szCs w:val="20"/>
                <w:color w:val="auto"/>
              </w:rPr>
            </w:pPr>
            <w:r>
              <w:rPr>
                <w:rFonts w:ascii="Arial" w:cs="Arial" w:eastAsia="Arial" w:hAnsi="Arial"/>
                <w:sz w:val="13"/>
                <w:szCs w:val="13"/>
                <w:color w:val="auto"/>
              </w:rPr>
              <w:t>142,386</w:t>
            </w:r>
          </w:p>
        </w:tc>
        <w:tc>
          <w:tcPr>
            <w:tcW w:w="760" w:type="dxa"/>
            <w:vAlign w:val="bottom"/>
          </w:tcPr>
          <w:p>
            <w:pPr>
              <w:jc w:val="right"/>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Warrants exercised</w:t>
            </w:r>
          </w:p>
        </w:tc>
        <w:tc>
          <w:tcPr>
            <w:tcW w:w="600" w:type="dxa"/>
            <w:vAlign w:val="bottom"/>
          </w:tcPr>
          <w:p>
            <w:pPr>
              <w:spacing w:after="0"/>
              <w:rPr>
                <w:sz w:val="14"/>
                <w:szCs w:val="14"/>
                <w:color w:val="auto"/>
              </w:rPr>
            </w:pPr>
          </w:p>
        </w:tc>
        <w:tc>
          <w:tcPr>
            <w:tcW w:w="940" w:type="dxa"/>
            <w:vAlign w:val="bottom"/>
            <w:gridSpan w:val="2"/>
          </w:tcPr>
          <w:p>
            <w:pPr>
              <w:jc w:val="right"/>
              <w:ind w:right="55"/>
              <w:spacing w:after="0"/>
              <w:rPr>
                <w:sz w:val="20"/>
                <w:szCs w:val="20"/>
                <w:color w:val="auto"/>
              </w:rPr>
            </w:pPr>
            <w:r>
              <w:rPr>
                <w:rFonts w:ascii="Arial" w:cs="Arial" w:eastAsia="Arial" w:hAnsi="Arial"/>
                <w:sz w:val="13"/>
                <w:szCs w:val="13"/>
                <w:color w:val="auto"/>
              </w:rPr>
              <w:t>35,200</w:t>
            </w:r>
          </w:p>
        </w:tc>
        <w:tc>
          <w:tcPr>
            <w:tcW w:w="760" w:type="dxa"/>
            <w:vAlign w:val="bottom"/>
          </w:tcPr>
          <w:p>
            <w:pPr>
              <w:jc w:val="right"/>
              <w:spacing w:after="0"/>
              <w:rPr>
                <w:sz w:val="20"/>
                <w:szCs w:val="20"/>
                <w:color w:val="auto"/>
              </w:rPr>
            </w:pPr>
            <w:r>
              <w:rPr>
                <w:rFonts w:ascii="Arial" w:cs="Arial" w:eastAsia="Arial" w:hAnsi="Arial"/>
                <w:sz w:val="13"/>
                <w:szCs w:val="13"/>
                <w:color w:val="auto"/>
              </w:rPr>
              <w:t>26</w:t>
            </w:r>
          </w:p>
        </w:tc>
        <w:tc>
          <w:tcPr>
            <w:tcW w:w="920" w:type="dxa"/>
            <w:vAlign w:val="bottom"/>
            <w:gridSpan w:val="2"/>
          </w:tcPr>
          <w:p>
            <w:pPr>
              <w:jc w:val="right"/>
              <w:ind w:right="35"/>
              <w:spacing w:after="0"/>
              <w:rPr>
                <w:sz w:val="20"/>
                <w:szCs w:val="20"/>
                <w:color w:val="auto"/>
              </w:rPr>
            </w:pPr>
            <w:r>
              <w:rPr>
                <w:rFonts w:ascii="Arial" w:cs="Arial" w:eastAsia="Arial" w:hAnsi="Arial"/>
                <w:sz w:val="13"/>
                <w:szCs w:val="13"/>
                <w:color w:val="auto"/>
              </w:rPr>
              <w:t>(8)</w:t>
            </w:r>
          </w:p>
        </w:tc>
        <w:tc>
          <w:tcPr>
            <w:tcW w:w="7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Finders' warrants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(194)</w:t>
            </w:r>
          </w:p>
        </w:tc>
        <w:tc>
          <w:tcPr>
            <w:tcW w:w="920" w:type="dxa"/>
            <w:vAlign w:val="bottom"/>
            <w:gridSpan w:val="2"/>
          </w:tcPr>
          <w:p>
            <w:pPr>
              <w:jc w:val="right"/>
              <w:ind w:right="35"/>
              <w:spacing w:after="0"/>
              <w:rPr>
                <w:sz w:val="20"/>
                <w:szCs w:val="20"/>
                <w:color w:val="auto"/>
              </w:rPr>
            </w:pPr>
            <w:r>
              <w:rPr>
                <w:rFonts w:ascii="Arial" w:cs="Arial" w:eastAsia="Arial" w:hAnsi="Arial"/>
                <w:sz w:val="13"/>
                <w:szCs w:val="13"/>
                <w:color w:val="auto"/>
              </w:rPr>
              <w:t>194</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Share-based compensation</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5"/>
              <w:spacing w:after="0"/>
              <w:rPr>
                <w:sz w:val="20"/>
                <w:szCs w:val="20"/>
                <w:color w:val="auto"/>
              </w:rPr>
            </w:pPr>
            <w:r>
              <w:rPr>
                <w:rFonts w:ascii="Arial" w:cs="Arial" w:eastAsia="Arial" w:hAnsi="Arial"/>
                <w:sz w:val="13"/>
                <w:szCs w:val="13"/>
                <w:color w:val="auto"/>
              </w:rPr>
              <w:t>4,087</w:t>
            </w:r>
          </w:p>
        </w:tc>
        <w:tc>
          <w:tcPr>
            <w:tcW w:w="720" w:type="dxa"/>
            <w:vAlign w:val="bottom"/>
          </w:tcPr>
          <w:p>
            <w:pPr>
              <w:jc w:val="right"/>
              <w:spacing w:after="0"/>
              <w:rPr>
                <w:sz w:val="20"/>
                <w:szCs w:val="20"/>
                <w:color w:val="auto"/>
              </w:rPr>
            </w:pPr>
            <w:r>
              <w:rPr>
                <w:rFonts w:ascii="Arial" w:cs="Arial" w:eastAsia="Arial" w:hAnsi="Arial"/>
                <w:sz w:val="13"/>
                <w:szCs w:val="13"/>
                <w:color w:val="auto"/>
              </w:rPr>
              <w:t>3,399</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7,486</w:t>
            </w:r>
          </w:p>
        </w:tc>
        <w:tc>
          <w:tcPr>
            <w:tcW w:w="0" w:type="dxa"/>
            <w:vAlign w:val="bottom"/>
          </w:tcPr>
          <w:p>
            <w:pPr>
              <w:spacing w:after="0"/>
              <w:rPr>
                <w:sz w:val="1"/>
                <w:szCs w:val="1"/>
                <w:color w:val="auto"/>
              </w:rPr>
            </w:pPr>
          </w:p>
        </w:tc>
      </w:tr>
      <w:tr>
        <w:trPr>
          <w:trHeight w:val="170"/>
        </w:trPr>
        <w:tc>
          <w:tcPr>
            <w:tcW w:w="29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Net loss and comprehensive loss for the period</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color w:val="auto"/>
              </w:rPr>
              <w:t>(18,442)</w:t>
            </w: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color w:val="auto"/>
              </w:rPr>
              <w:t>(18,442)</w:t>
            </w:r>
          </w:p>
        </w:tc>
        <w:tc>
          <w:tcPr>
            <w:tcW w:w="0" w:type="dxa"/>
            <w:vAlign w:val="bottom"/>
          </w:tcPr>
          <w:p>
            <w:pPr>
              <w:spacing w:after="0"/>
              <w:rPr>
                <w:sz w:val="1"/>
                <w:szCs w:val="1"/>
                <w:color w:val="auto"/>
              </w:rPr>
            </w:pPr>
          </w:p>
        </w:tc>
      </w:tr>
      <w:tr>
        <w:trPr>
          <w:trHeight w:val="163"/>
        </w:trPr>
        <w:tc>
          <w:tcPr>
            <w:tcW w:w="290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December 31, 2020</w:t>
            </w:r>
          </w:p>
        </w:tc>
        <w:tc>
          <w:tcPr>
            <w:tcW w:w="600" w:type="dxa"/>
            <w:vAlign w:val="bottom"/>
            <w:tcBorders>
              <w:bottom w:val="single" w:sz="8" w:color="auto"/>
            </w:tcBorders>
            <w:shd w:val="clear" w:color="auto" w:fill="D9D9D9"/>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shd w:val="clear" w:color="auto" w:fill="D9D9D9"/>
          </w:tcPr>
          <w:p>
            <w:pPr>
              <w:jc w:val="right"/>
              <w:ind w:right="55"/>
              <w:spacing w:after="0"/>
              <w:rPr>
                <w:sz w:val="20"/>
                <w:szCs w:val="20"/>
                <w:color w:val="auto"/>
              </w:rPr>
            </w:pPr>
            <w:r>
              <w:rPr>
                <w:rFonts w:ascii="Arial" w:cs="Arial" w:eastAsia="Arial" w:hAnsi="Arial"/>
                <w:sz w:val="13"/>
                <w:szCs w:val="13"/>
                <w:b w:val="1"/>
                <w:bCs w:val="1"/>
                <w:color w:val="auto"/>
              </w:rPr>
              <w:t>140,144,466</w:t>
            </w: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64,361</w:t>
            </w:r>
          </w:p>
        </w:tc>
        <w:tc>
          <w:tcPr>
            <w:tcW w:w="80" w:type="dxa"/>
            <w:vAlign w:val="bottom"/>
          </w:tcPr>
          <w:p>
            <w:pPr>
              <w:spacing w:after="0"/>
              <w:rPr>
                <w:sz w:val="14"/>
                <w:szCs w:val="14"/>
                <w:color w:val="auto"/>
              </w:rPr>
            </w:pPr>
          </w:p>
        </w:tc>
        <w:tc>
          <w:tcPr>
            <w:tcW w:w="840" w:type="dxa"/>
            <w:vAlign w:val="bottom"/>
            <w:tcBorders>
              <w:bottom w:val="single" w:sz="8" w:color="auto"/>
            </w:tcBorders>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4,280</w:t>
            </w:r>
          </w:p>
        </w:tc>
        <w:tc>
          <w:tcPr>
            <w:tcW w:w="7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3,486</w:t>
            </w:r>
          </w:p>
        </w:tc>
        <w:tc>
          <w:tcPr>
            <w:tcW w:w="9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(19,252)</w:t>
            </w: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52,875</w:t>
            </w: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90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March 31, 2021</w:t>
            </w:r>
          </w:p>
        </w:tc>
        <w:tc>
          <w:tcPr>
            <w:tcW w:w="600" w:type="dxa"/>
            <w:vAlign w:val="bottom"/>
            <w:tcBorders>
              <w:bottom w:val="single" w:sz="8" w:color="auto"/>
            </w:tcBorders>
            <w:shd w:val="clear" w:color="auto" w:fill="D9D9D9"/>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shd w:val="clear" w:color="auto" w:fill="D9D9D9"/>
          </w:tcPr>
          <w:p>
            <w:pPr>
              <w:jc w:val="right"/>
              <w:ind w:right="55"/>
              <w:spacing w:after="0"/>
              <w:rPr>
                <w:sz w:val="20"/>
                <w:szCs w:val="20"/>
                <w:color w:val="auto"/>
              </w:rPr>
            </w:pPr>
            <w:r>
              <w:rPr>
                <w:rFonts w:ascii="Arial" w:cs="Arial" w:eastAsia="Arial" w:hAnsi="Arial"/>
                <w:sz w:val="13"/>
                <w:szCs w:val="13"/>
                <w:b w:val="1"/>
                <w:bCs w:val="1"/>
                <w:color w:val="auto"/>
              </w:rPr>
              <w:t>157,454,415</w:t>
            </w: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100,676</w:t>
            </w:r>
          </w:p>
        </w:tc>
        <w:tc>
          <w:tcPr>
            <w:tcW w:w="80" w:type="dxa"/>
            <w:vAlign w:val="bottom"/>
          </w:tcPr>
          <w:p>
            <w:pPr>
              <w:spacing w:after="0"/>
              <w:rPr>
                <w:sz w:val="14"/>
                <w:szCs w:val="14"/>
                <w:color w:val="auto"/>
              </w:rPr>
            </w:pPr>
          </w:p>
        </w:tc>
        <w:tc>
          <w:tcPr>
            <w:tcW w:w="840" w:type="dxa"/>
            <w:vAlign w:val="bottom"/>
            <w:tcBorders>
              <w:bottom w:val="single" w:sz="8" w:color="auto"/>
            </w:tcBorders>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11,166</w:t>
            </w:r>
          </w:p>
        </w:tc>
        <w:tc>
          <w:tcPr>
            <w:tcW w:w="7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7,158</w:t>
            </w:r>
          </w:p>
        </w:tc>
        <w:tc>
          <w:tcPr>
            <w:tcW w:w="9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124</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(33,030)</w:t>
            </w: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24</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86,118</w:t>
            </w:r>
          </w:p>
        </w:tc>
        <w:tc>
          <w:tcPr>
            <w:tcW w:w="0" w:type="dxa"/>
            <w:vAlign w:val="bottom"/>
          </w:tcPr>
          <w:p>
            <w:pPr>
              <w:spacing w:after="0"/>
              <w:rPr>
                <w:sz w:val="1"/>
                <w:szCs w:val="1"/>
                <w:color w:val="auto"/>
              </w:rPr>
            </w:pPr>
          </w:p>
        </w:tc>
      </w:tr>
      <w:tr>
        <w:trPr>
          <w:trHeight w:val="131"/>
        </w:trPr>
        <w:tc>
          <w:tcPr>
            <w:tcW w:w="2900" w:type="dxa"/>
            <w:vAlign w:val="bottom"/>
          </w:tcPr>
          <w:p>
            <w:pPr>
              <w:ind w:left="60"/>
              <w:spacing w:after="0" w:line="131" w:lineRule="exact"/>
              <w:rPr>
                <w:sz w:val="20"/>
                <w:szCs w:val="20"/>
                <w:color w:val="auto"/>
              </w:rPr>
            </w:pPr>
            <w:r>
              <w:rPr>
                <w:rFonts w:ascii="Arial" w:cs="Arial" w:eastAsia="Arial" w:hAnsi="Arial"/>
                <w:sz w:val="13"/>
                <w:szCs w:val="13"/>
                <w:color w:val="auto"/>
              </w:rPr>
              <w:t>Bought deal share offering - net of share</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7</w:t>
            </w:r>
          </w:p>
        </w:tc>
        <w:tc>
          <w:tcPr>
            <w:tcW w:w="940" w:type="dxa"/>
            <w:vAlign w:val="bottom"/>
            <w:gridSpan w:val="2"/>
            <w:vMerge w:val="restart"/>
          </w:tcPr>
          <w:p>
            <w:pPr>
              <w:jc w:val="right"/>
              <w:ind w:right="55"/>
              <w:spacing w:after="0"/>
              <w:rPr>
                <w:sz w:val="20"/>
                <w:szCs w:val="20"/>
                <w:color w:val="auto"/>
              </w:rPr>
            </w:pPr>
            <w:r>
              <w:rPr>
                <w:rFonts w:ascii="Arial" w:cs="Arial" w:eastAsia="Arial" w:hAnsi="Arial"/>
                <w:sz w:val="13"/>
                <w:szCs w:val="13"/>
                <w:color w:val="auto"/>
              </w:rPr>
              <w:t>10,147,600</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31,508</w:t>
            </w:r>
          </w:p>
        </w:tc>
        <w:tc>
          <w:tcPr>
            <w:tcW w:w="80" w:type="dxa"/>
            <w:vAlign w:val="bottom"/>
          </w:tcPr>
          <w:p>
            <w:pPr>
              <w:spacing w:after="0"/>
              <w:rPr>
                <w:sz w:val="11"/>
                <w:szCs w:val="11"/>
                <w:color w:val="auto"/>
              </w:rPr>
            </w:pPr>
          </w:p>
        </w:tc>
        <w:tc>
          <w:tcPr>
            <w:tcW w:w="84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vMerge w:val="restart"/>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5"/>
              <w:spacing w:after="0"/>
              <w:rPr>
                <w:sz w:val="20"/>
                <w:szCs w:val="20"/>
                <w:color w:val="auto"/>
              </w:rPr>
            </w:pPr>
            <w:r>
              <w:rPr>
                <w:rFonts w:ascii="Arial" w:cs="Arial" w:eastAsia="Arial" w:hAnsi="Arial"/>
                <w:sz w:val="13"/>
                <w:szCs w:val="13"/>
                <w:color w:val="auto"/>
              </w:rPr>
              <w:t>31,508</w:t>
            </w:r>
          </w:p>
        </w:tc>
        <w:tc>
          <w:tcPr>
            <w:tcW w:w="0" w:type="dxa"/>
            <w:vAlign w:val="bottom"/>
          </w:tcPr>
          <w:p>
            <w:pPr>
              <w:spacing w:after="0"/>
              <w:rPr>
                <w:sz w:val="1"/>
                <w:szCs w:val="1"/>
                <w:color w:val="auto"/>
              </w:rPr>
            </w:pPr>
          </w:p>
        </w:tc>
      </w:tr>
      <w:tr>
        <w:trPr>
          <w:trHeight w:val="95"/>
        </w:trPr>
        <w:tc>
          <w:tcPr>
            <w:tcW w:w="2900" w:type="dxa"/>
            <w:vAlign w:val="bottom"/>
            <w:vMerge w:val="restart"/>
          </w:tcPr>
          <w:p>
            <w:pPr>
              <w:ind w:left="60"/>
              <w:spacing w:after="0"/>
              <w:rPr>
                <w:sz w:val="20"/>
                <w:szCs w:val="20"/>
                <w:color w:val="auto"/>
              </w:rPr>
            </w:pPr>
            <w:r>
              <w:rPr>
                <w:rFonts w:ascii="Arial" w:cs="Arial" w:eastAsia="Arial" w:hAnsi="Arial"/>
                <w:sz w:val="13"/>
                <w:szCs w:val="13"/>
                <w:color w:val="auto"/>
              </w:rPr>
              <w:t>issuance costs</w:t>
            </w:r>
          </w:p>
        </w:tc>
        <w:tc>
          <w:tcPr>
            <w:tcW w:w="60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9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Shares issued on Adelia milestones</w:t>
            </w:r>
          </w:p>
        </w:tc>
        <w:tc>
          <w:tcPr>
            <w:tcW w:w="600" w:type="dxa"/>
            <w:vAlign w:val="bottom"/>
          </w:tcPr>
          <w:p>
            <w:pPr>
              <w:jc w:val="center"/>
              <w:spacing w:after="0"/>
              <w:rPr>
                <w:sz w:val="20"/>
                <w:szCs w:val="20"/>
                <w:color w:val="auto"/>
              </w:rPr>
            </w:pPr>
            <w:r>
              <w:rPr>
                <w:rFonts w:ascii="Arial" w:cs="Arial" w:eastAsia="Arial" w:hAnsi="Arial"/>
                <w:sz w:val="13"/>
                <w:szCs w:val="13"/>
                <w:color w:val="auto"/>
              </w:rPr>
              <w:t>6, 7</w:t>
            </w:r>
          </w:p>
        </w:tc>
        <w:tc>
          <w:tcPr>
            <w:tcW w:w="940" w:type="dxa"/>
            <w:vAlign w:val="bottom"/>
            <w:gridSpan w:val="2"/>
          </w:tcPr>
          <w:p>
            <w:pPr>
              <w:jc w:val="right"/>
              <w:ind w:right="55"/>
              <w:spacing w:after="0"/>
              <w:rPr>
                <w:sz w:val="20"/>
                <w:szCs w:val="20"/>
                <w:color w:val="auto"/>
              </w:rPr>
            </w:pPr>
            <w:r>
              <w:rPr>
                <w:rFonts w:ascii="Arial" w:cs="Arial" w:eastAsia="Arial" w:hAnsi="Arial"/>
                <w:sz w:val="13"/>
                <w:szCs w:val="13"/>
                <w:color w:val="auto"/>
              </w:rPr>
              <w:t>1,045,827</w:t>
            </w:r>
          </w:p>
        </w:tc>
        <w:tc>
          <w:tcPr>
            <w:tcW w:w="760" w:type="dxa"/>
            <w:vAlign w:val="bottom"/>
          </w:tcPr>
          <w:p>
            <w:pPr>
              <w:jc w:val="right"/>
              <w:spacing w:after="0"/>
              <w:rPr>
                <w:sz w:val="20"/>
                <w:szCs w:val="20"/>
                <w:color w:val="auto"/>
              </w:rPr>
            </w:pPr>
            <w:r>
              <w:rPr>
                <w:rFonts w:ascii="Arial" w:cs="Arial" w:eastAsia="Arial" w:hAnsi="Arial"/>
                <w:sz w:val="13"/>
                <w:szCs w:val="13"/>
                <w:color w:val="auto"/>
              </w:rPr>
              <w:t>2,415</w:t>
            </w:r>
          </w:p>
        </w:tc>
        <w:tc>
          <w:tcPr>
            <w:tcW w:w="8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2,415</w:t>
            </w: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Warrants exercised</w:t>
            </w:r>
          </w:p>
        </w:tc>
        <w:tc>
          <w:tcPr>
            <w:tcW w:w="600" w:type="dxa"/>
            <w:vAlign w:val="bottom"/>
          </w:tcPr>
          <w:p>
            <w:pPr>
              <w:jc w:val="center"/>
              <w:spacing w:after="0"/>
              <w:rPr>
                <w:sz w:val="20"/>
                <w:szCs w:val="20"/>
                <w:color w:val="auto"/>
              </w:rPr>
            </w:pPr>
            <w:r>
              <w:rPr>
                <w:rFonts w:ascii="Arial" w:cs="Arial" w:eastAsia="Arial" w:hAnsi="Arial"/>
                <w:sz w:val="13"/>
                <w:szCs w:val="13"/>
                <w:color w:val="auto"/>
              </w:rPr>
              <w:t>7</w:t>
            </w:r>
          </w:p>
        </w:tc>
        <w:tc>
          <w:tcPr>
            <w:tcW w:w="940" w:type="dxa"/>
            <w:vAlign w:val="bottom"/>
            <w:gridSpan w:val="2"/>
          </w:tcPr>
          <w:p>
            <w:pPr>
              <w:jc w:val="right"/>
              <w:ind w:right="55"/>
              <w:spacing w:after="0"/>
              <w:rPr>
                <w:sz w:val="20"/>
                <w:szCs w:val="20"/>
                <w:color w:val="auto"/>
              </w:rPr>
            </w:pPr>
            <w:r>
              <w:rPr>
                <w:rFonts w:ascii="Arial" w:cs="Arial" w:eastAsia="Arial" w:hAnsi="Arial"/>
                <w:sz w:val="13"/>
                <w:szCs w:val="13"/>
                <w:color w:val="auto"/>
              </w:rPr>
              <w:t>3,103,676</w:t>
            </w:r>
          </w:p>
        </w:tc>
        <w:tc>
          <w:tcPr>
            <w:tcW w:w="760" w:type="dxa"/>
            <w:vAlign w:val="bottom"/>
          </w:tcPr>
          <w:p>
            <w:pPr>
              <w:jc w:val="right"/>
              <w:spacing w:after="0"/>
              <w:rPr>
                <w:sz w:val="20"/>
                <w:szCs w:val="20"/>
                <w:color w:val="auto"/>
              </w:rPr>
            </w:pPr>
            <w:r>
              <w:rPr>
                <w:rFonts w:ascii="Arial" w:cs="Arial" w:eastAsia="Arial" w:hAnsi="Arial"/>
                <w:sz w:val="13"/>
                <w:szCs w:val="13"/>
                <w:color w:val="auto"/>
              </w:rPr>
              <w:t>3,973</w:t>
            </w:r>
          </w:p>
        </w:tc>
        <w:tc>
          <w:tcPr>
            <w:tcW w:w="920" w:type="dxa"/>
            <w:vAlign w:val="bottom"/>
            <w:gridSpan w:val="2"/>
          </w:tcPr>
          <w:p>
            <w:pPr>
              <w:jc w:val="right"/>
              <w:ind w:right="35"/>
              <w:spacing w:after="0"/>
              <w:rPr>
                <w:sz w:val="20"/>
                <w:szCs w:val="20"/>
                <w:color w:val="auto"/>
              </w:rPr>
            </w:pPr>
            <w:r>
              <w:rPr>
                <w:rFonts w:ascii="Arial" w:cs="Arial" w:eastAsia="Arial" w:hAnsi="Arial"/>
                <w:sz w:val="13"/>
                <w:szCs w:val="13"/>
                <w:color w:val="auto"/>
              </w:rPr>
              <w:t>(1,089)</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2,884</w:t>
            </w: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Options exercised</w:t>
            </w:r>
          </w:p>
        </w:tc>
        <w:tc>
          <w:tcPr>
            <w:tcW w:w="600" w:type="dxa"/>
            <w:vAlign w:val="bottom"/>
          </w:tcPr>
          <w:p>
            <w:pPr>
              <w:jc w:val="center"/>
              <w:spacing w:after="0"/>
              <w:rPr>
                <w:sz w:val="20"/>
                <w:szCs w:val="20"/>
                <w:color w:val="auto"/>
              </w:rPr>
            </w:pPr>
            <w:r>
              <w:rPr>
                <w:rFonts w:ascii="Arial" w:cs="Arial" w:eastAsia="Arial" w:hAnsi="Arial"/>
                <w:sz w:val="13"/>
                <w:szCs w:val="13"/>
                <w:color w:val="auto"/>
              </w:rPr>
              <w:t>7</w:t>
            </w:r>
          </w:p>
        </w:tc>
        <w:tc>
          <w:tcPr>
            <w:tcW w:w="940" w:type="dxa"/>
            <w:vAlign w:val="bottom"/>
            <w:gridSpan w:val="2"/>
          </w:tcPr>
          <w:p>
            <w:pPr>
              <w:jc w:val="right"/>
              <w:ind w:right="55"/>
              <w:spacing w:after="0"/>
              <w:rPr>
                <w:sz w:val="20"/>
                <w:szCs w:val="20"/>
                <w:color w:val="auto"/>
              </w:rPr>
            </w:pPr>
            <w:r>
              <w:rPr>
                <w:rFonts w:ascii="Arial" w:cs="Arial" w:eastAsia="Arial" w:hAnsi="Arial"/>
                <w:sz w:val="13"/>
                <w:szCs w:val="13"/>
                <w:color w:val="auto"/>
              </w:rPr>
              <w:t>1,550,800</w:t>
            </w:r>
          </w:p>
        </w:tc>
        <w:tc>
          <w:tcPr>
            <w:tcW w:w="760" w:type="dxa"/>
            <w:vAlign w:val="bottom"/>
          </w:tcPr>
          <w:p>
            <w:pPr>
              <w:jc w:val="right"/>
              <w:spacing w:after="0"/>
              <w:rPr>
                <w:sz w:val="20"/>
                <w:szCs w:val="20"/>
                <w:color w:val="auto"/>
              </w:rPr>
            </w:pPr>
            <w:r>
              <w:rPr>
                <w:rFonts w:ascii="Arial" w:cs="Arial" w:eastAsia="Arial" w:hAnsi="Arial"/>
                <w:sz w:val="13"/>
                <w:szCs w:val="13"/>
                <w:color w:val="auto"/>
              </w:rPr>
              <w:t>2,265</w:t>
            </w:r>
          </w:p>
        </w:tc>
        <w:tc>
          <w:tcPr>
            <w:tcW w:w="8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(947)</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1,318</w:t>
            </w: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Finders' warrants</w:t>
            </w:r>
          </w:p>
        </w:tc>
        <w:tc>
          <w:tcPr>
            <w:tcW w:w="600" w:type="dxa"/>
            <w:vAlign w:val="bottom"/>
          </w:tcPr>
          <w:p>
            <w:pPr>
              <w:jc w:val="center"/>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4"/>
                <w:szCs w:val="14"/>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(1,319)</w:t>
            </w:r>
          </w:p>
        </w:tc>
        <w:tc>
          <w:tcPr>
            <w:tcW w:w="920" w:type="dxa"/>
            <w:vAlign w:val="bottom"/>
            <w:gridSpan w:val="2"/>
          </w:tcPr>
          <w:p>
            <w:pPr>
              <w:jc w:val="right"/>
              <w:ind w:right="35"/>
              <w:spacing w:after="0"/>
              <w:rPr>
                <w:sz w:val="20"/>
                <w:szCs w:val="20"/>
                <w:color w:val="auto"/>
              </w:rPr>
            </w:pPr>
            <w:r>
              <w:rPr>
                <w:rFonts w:ascii="Arial" w:cs="Arial" w:eastAsia="Arial" w:hAnsi="Arial"/>
                <w:sz w:val="13"/>
                <w:szCs w:val="13"/>
                <w:color w:val="auto"/>
              </w:rPr>
              <w:t>1,319</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Share-based compensation</w:t>
            </w:r>
          </w:p>
        </w:tc>
        <w:tc>
          <w:tcPr>
            <w:tcW w:w="600" w:type="dxa"/>
            <w:vAlign w:val="bottom"/>
          </w:tcPr>
          <w:p>
            <w:pPr>
              <w:jc w:val="center"/>
              <w:spacing w:after="0"/>
              <w:rPr>
                <w:sz w:val="20"/>
                <w:szCs w:val="20"/>
                <w:color w:val="auto"/>
              </w:rPr>
            </w:pPr>
            <w:r>
              <w:rPr>
                <w:rFonts w:ascii="Arial" w:cs="Arial" w:eastAsia="Arial" w:hAnsi="Arial"/>
                <w:sz w:val="13"/>
                <w:szCs w:val="13"/>
                <w:color w:val="auto"/>
              </w:rPr>
              <w:t>7, 8</w:t>
            </w:r>
          </w:p>
        </w:tc>
        <w:tc>
          <w:tcPr>
            <w:tcW w:w="60" w:type="dxa"/>
            <w:vAlign w:val="bottom"/>
          </w:tcPr>
          <w:p>
            <w:pPr>
              <w:spacing w:after="0"/>
              <w:rPr>
                <w:sz w:val="14"/>
                <w:szCs w:val="14"/>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5"/>
              <w:spacing w:after="0"/>
              <w:rPr>
                <w:sz w:val="20"/>
                <w:szCs w:val="20"/>
                <w:color w:val="auto"/>
              </w:rPr>
            </w:pPr>
            <w:r>
              <w:rPr>
                <w:rFonts w:ascii="Arial" w:cs="Arial" w:eastAsia="Arial" w:hAnsi="Arial"/>
                <w:sz w:val="13"/>
                <w:szCs w:val="13"/>
                <w:color w:val="auto"/>
              </w:rPr>
              <w:t>209</w:t>
            </w:r>
          </w:p>
        </w:tc>
        <w:tc>
          <w:tcPr>
            <w:tcW w:w="720" w:type="dxa"/>
            <w:vAlign w:val="bottom"/>
          </w:tcPr>
          <w:p>
            <w:pPr>
              <w:jc w:val="right"/>
              <w:spacing w:after="0"/>
              <w:rPr>
                <w:sz w:val="20"/>
                <w:szCs w:val="20"/>
                <w:color w:val="auto"/>
              </w:rPr>
            </w:pPr>
            <w:r>
              <w:rPr>
                <w:rFonts w:ascii="Arial" w:cs="Arial" w:eastAsia="Arial" w:hAnsi="Arial"/>
                <w:sz w:val="13"/>
                <w:szCs w:val="13"/>
                <w:color w:val="auto"/>
              </w:rPr>
              <w:t>14,478</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14,687</w:t>
            </w:r>
          </w:p>
        </w:tc>
        <w:tc>
          <w:tcPr>
            <w:tcW w:w="0" w:type="dxa"/>
            <w:vAlign w:val="bottom"/>
          </w:tcPr>
          <w:p>
            <w:pPr>
              <w:spacing w:after="0"/>
              <w:rPr>
                <w:sz w:val="1"/>
                <w:szCs w:val="1"/>
                <w:color w:val="auto"/>
              </w:rPr>
            </w:pPr>
          </w:p>
        </w:tc>
      </w:tr>
      <w:tr>
        <w:trPr>
          <w:trHeight w:val="171"/>
        </w:trPr>
        <w:tc>
          <w:tcPr>
            <w:tcW w:w="2900" w:type="dxa"/>
            <w:vAlign w:val="bottom"/>
          </w:tcPr>
          <w:p>
            <w:pPr>
              <w:ind w:left="60"/>
              <w:spacing w:after="0"/>
              <w:rPr>
                <w:sz w:val="20"/>
                <w:szCs w:val="20"/>
                <w:color w:val="auto"/>
              </w:rPr>
            </w:pPr>
            <w:r>
              <w:rPr>
                <w:rFonts w:ascii="Arial" w:cs="Arial" w:eastAsia="Arial" w:hAnsi="Arial"/>
                <w:sz w:val="13"/>
                <w:szCs w:val="13"/>
                <w:color w:val="auto"/>
              </w:rPr>
              <w:t>Net loss for the period</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5"/>
              <w:spacing w:after="0"/>
              <w:rPr>
                <w:sz w:val="20"/>
                <w:szCs w:val="20"/>
                <w:color w:val="auto"/>
              </w:rPr>
            </w:pPr>
            <w:r>
              <w:rPr>
                <w:rFonts w:ascii="Arial" w:cs="Arial" w:eastAsia="Arial" w:hAnsi="Arial"/>
                <w:sz w:val="13"/>
                <w:szCs w:val="13"/>
                <w:color w:val="auto"/>
              </w:rPr>
              <w:t>(49,534)</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(49,534)</w:t>
            </w:r>
          </w:p>
        </w:tc>
        <w:tc>
          <w:tcPr>
            <w:tcW w:w="0" w:type="dxa"/>
            <w:vAlign w:val="bottom"/>
          </w:tcPr>
          <w:p>
            <w:pPr>
              <w:spacing w:after="0"/>
              <w:rPr>
                <w:sz w:val="1"/>
                <w:szCs w:val="1"/>
                <w:color w:val="auto"/>
              </w:rPr>
            </w:pPr>
          </w:p>
        </w:tc>
      </w:tr>
      <w:tr>
        <w:trPr>
          <w:trHeight w:val="138"/>
        </w:trPr>
        <w:tc>
          <w:tcPr>
            <w:tcW w:w="2900" w:type="dxa"/>
            <w:vAlign w:val="bottom"/>
          </w:tcPr>
          <w:p>
            <w:pPr>
              <w:ind w:left="60"/>
              <w:spacing w:after="0" w:line="138" w:lineRule="exact"/>
              <w:rPr>
                <w:sz w:val="20"/>
                <w:szCs w:val="20"/>
                <w:color w:val="auto"/>
              </w:rPr>
            </w:pPr>
            <w:r>
              <w:rPr>
                <w:rFonts w:ascii="Arial" w:cs="Arial" w:eastAsia="Arial" w:hAnsi="Arial"/>
                <w:sz w:val="13"/>
                <w:szCs w:val="13"/>
                <w:color w:val="auto"/>
              </w:rPr>
              <w:t>Unrealized loss on translation of foreign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vMerge w:val="restart"/>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4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vMerge w:val="restart"/>
          </w:tcPr>
          <w:p>
            <w:pPr>
              <w:jc w:val="right"/>
              <w:ind w:right="15"/>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(300)</w:t>
            </w:r>
          </w:p>
        </w:tc>
        <w:tc>
          <w:tcPr>
            <w:tcW w:w="800" w:type="dxa"/>
            <w:vAlign w:val="bottom"/>
            <w:gridSpan w:val="2"/>
            <w:vMerge w:val="restart"/>
          </w:tcPr>
          <w:p>
            <w:pPr>
              <w:jc w:val="right"/>
              <w:ind w:right="15"/>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95"/>
        </w:trPr>
        <w:tc>
          <w:tcPr>
            <w:tcW w:w="2900" w:type="dxa"/>
            <w:vAlign w:val="bottom"/>
            <w:vMerge w:val="restart"/>
          </w:tcPr>
          <w:p>
            <w:pPr>
              <w:ind w:left="60"/>
              <w:spacing w:after="0"/>
              <w:rPr>
                <w:sz w:val="20"/>
                <w:szCs w:val="20"/>
                <w:color w:val="auto"/>
              </w:rPr>
            </w:pPr>
            <w:r>
              <w:rPr>
                <w:rFonts w:ascii="Arial" w:cs="Arial" w:eastAsia="Arial" w:hAnsi="Arial"/>
                <w:sz w:val="13"/>
                <w:szCs w:val="13"/>
                <w:color w:val="auto"/>
              </w:rPr>
              <w:t>operations</w:t>
            </w: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90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90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December 31, 2021</w:t>
            </w:r>
          </w:p>
        </w:tc>
        <w:tc>
          <w:tcPr>
            <w:tcW w:w="600" w:type="dxa"/>
            <w:vAlign w:val="bottom"/>
            <w:tcBorders>
              <w:bottom w:val="single" w:sz="8" w:color="auto"/>
            </w:tcBorders>
            <w:shd w:val="clear" w:color="auto" w:fill="D9D9D9"/>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shd w:val="clear" w:color="auto" w:fill="D9D9D9"/>
          </w:tcPr>
          <w:p>
            <w:pPr>
              <w:jc w:val="right"/>
              <w:ind w:right="55"/>
              <w:spacing w:after="0"/>
              <w:rPr>
                <w:sz w:val="20"/>
                <w:szCs w:val="20"/>
                <w:color w:val="auto"/>
              </w:rPr>
            </w:pPr>
            <w:r>
              <w:rPr>
                <w:rFonts w:ascii="Arial" w:cs="Arial" w:eastAsia="Arial" w:hAnsi="Arial"/>
                <w:sz w:val="13"/>
                <w:szCs w:val="13"/>
                <w:b w:val="1"/>
                <w:bCs w:val="1"/>
                <w:color w:val="auto"/>
              </w:rPr>
              <w:t>173,302,318</w:t>
            </w: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139,518</w:t>
            </w:r>
          </w:p>
        </w:tc>
        <w:tc>
          <w:tcPr>
            <w:tcW w:w="80" w:type="dxa"/>
            <w:vAlign w:val="bottom"/>
          </w:tcPr>
          <w:p>
            <w:pPr>
              <w:spacing w:after="0"/>
              <w:rPr>
                <w:sz w:val="14"/>
                <w:szCs w:val="14"/>
                <w:color w:val="auto"/>
              </w:rPr>
            </w:pPr>
          </w:p>
        </w:tc>
        <w:tc>
          <w:tcPr>
            <w:tcW w:w="840" w:type="dxa"/>
            <w:vAlign w:val="bottom"/>
            <w:tcBorders>
              <w:bottom w:val="single" w:sz="8" w:color="auto"/>
            </w:tcBorders>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11,605</w:t>
            </w:r>
          </w:p>
        </w:tc>
        <w:tc>
          <w:tcPr>
            <w:tcW w:w="7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20,689</w:t>
            </w:r>
          </w:p>
        </w:tc>
        <w:tc>
          <w:tcPr>
            <w:tcW w:w="9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124</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(82,564)</w:t>
            </w: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(276)</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89,096</w:t>
            </w: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sectPr>
      </w:pPr>
    </w:p>
    <w:bookmarkStart w:id="8" w:name="page9"/>
    <w:bookmarkEnd w:id="8"/>
    <w:p>
      <w:pPr>
        <w:ind w:left="60"/>
        <w:spacing w:after="0"/>
        <w:rPr>
          <w:sz w:val="20"/>
          <w:szCs w:val="20"/>
          <w:color w:val="auto"/>
        </w:rPr>
      </w:pPr>
      <w:r>
        <w:rPr>
          <w:rFonts w:ascii="Arial" w:cs="Arial" w:eastAsia="Arial" w:hAnsi="Arial"/>
          <w:sz w:val="20"/>
          <w:szCs w:val="20"/>
          <w:b w:val="1"/>
          <w:bCs w:val="1"/>
          <w:color w:val="auto"/>
        </w:rPr>
        <w:t>CYBIN INC.</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CONDENSED INTERIM CONSOLIDATED STATEMENT OF CASH FLOWS</w:t>
      </w:r>
    </w:p>
    <w:p>
      <w:pPr>
        <w:ind w:left="60"/>
        <w:spacing w:after="0"/>
        <w:rPr>
          <w:sz w:val="20"/>
          <w:szCs w:val="20"/>
          <w:color w:val="auto"/>
        </w:rPr>
      </w:pPr>
      <w:r>
        <w:rPr>
          <w:rFonts w:ascii="Arial" w:cs="Arial" w:eastAsia="Arial" w:hAnsi="Arial"/>
          <w:sz w:val="16"/>
          <w:szCs w:val="16"/>
          <w:b w:val="1"/>
          <w:bCs w:val="1"/>
          <w:color w:val="auto"/>
        </w:rPr>
        <w:t>(All amounts expressed in thousands of Canadian dollars)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50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80" w:type="dxa"/>
            <w:vAlign w:val="bottom"/>
            <w:gridSpan w:val="2"/>
          </w:tcPr>
          <w:p>
            <w:pPr>
              <w:jc w:val="right"/>
              <w:ind w:right="67"/>
              <w:spacing w:after="0"/>
              <w:rPr>
                <w:sz w:val="20"/>
                <w:szCs w:val="20"/>
                <w:color w:val="auto"/>
              </w:rPr>
            </w:pPr>
            <w:r>
              <w:rPr>
                <w:rFonts w:ascii="Arial" w:cs="Arial" w:eastAsia="Arial" w:hAnsi="Arial"/>
                <w:sz w:val="15"/>
                <w:szCs w:val="15"/>
                <w:b w:val="1"/>
                <w:bCs w:val="1"/>
                <w:color w:val="auto"/>
              </w:rPr>
              <w:t>Three months ended December</w:t>
            </w:r>
          </w:p>
        </w:tc>
        <w:tc>
          <w:tcPr>
            <w:tcW w:w="24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9"/>
              </w:rPr>
              <w:t>Nine months ended December 31,</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0" w:type="dxa"/>
            <w:vAlign w:val="bottom"/>
          </w:tcPr>
          <w:p>
            <w:pPr>
              <w:jc w:val="right"/>
              <w:ind w:right="187"/>
              <w:spacing w:after="0"/>
              <w:rPr>
                <w:sz w:val="20"/>
                <w:szCs w:val="20"/>
                <w:color w:val="auto"/>
              </w:rPr>
            </w:pPr>
            <w:r>
              <w:rPr>
                <w:rFonts w:ascii="Arial" w:cs="Arial" w:eastAsia="Arial" w:hAnsi="Arial"/>
                <w:sz w:val="15"/>
                <w:szCs w:val="15"/>
                <w:b w:val="1"/>
                <w:bCs w:val="1"/>
                <w:color w:val="auto"/>
              </w:rPr>
              <w:t>31,</w:t>
            </w:r>
          </w:p>
        </w:tc>
        <w:tc>
          <w:tcPr>
            <w:tcW w:w="880" w:type="dxa"/>
            <w:vAlign w:val="bottom"/>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left="807"/>
              <w:spacing w:after="0"/>
              <w:rPr>
                <w:sz w:val="20"/>
                <w:szCs w:val="20"/>
                <w:color w:val="auto"/>
              </w:rPr>
            </w:pPr>
            <w:r>
              <w:rPr>
                <w:rFonts w:ascii="Arial" w:cs="Arial" w:eastAsia="Arial" w:hAnsi="Arial"/>
                <w:sz w:val="15"/>
                <w:szCs w:val="15"/>
                <w:b w:val="1"/>
                <w:bCs w:val="1"/>
                <w:color w:val="auto"/>
                <w:w w:val="95"/>
              </w:rPr>
              <w:t>Notes</w:t>
            </w: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5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2021</w:t>
            </w: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406"/>
        </w:trPr>
        <w:tc>
          <w:tcPr>
            <w:tcW w:w="4740" w:type="dxa"/>
            <w:vAlign w:val="bottom"/>
          </w:tcPr>
          <w:p>
            <w:pPr>
              <w:ind w:left="60"/>
              <w:spacing w:after="0"/>
              <w:rPr>
                <w:sz w:val="20"/>
                <w:szCs w:val="20"/>
                <w:color w:val="auto"/>
              </w:rPr>
            </w:pPr>
            <w:r>
              <w:rPr>
                <w:rFonts w:ascii="Arial" w:cs="Arial" w:eastAsia="Arial" w:hAnsi="Arial"/>
                <w:sz w:val="15"/>
                <w:szCs w:val="15"/>
                <w:b w:val="1"/>
                <w:bCs w:val="1"/>
                <w:color w:val="auto"/>
              </w:rPr>
              <w:t>OPERATING ACTIVITIES</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40" w:type="dxa"/>
            <w:vAlign w:val="bottom"/>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1560" w:type="dxa"/>
            <w:vAlign w:val="bottom"/>
          </w:tcPr>
          <w:p>
            <w:pPr>
              <w:spacing w:after="0"/>
              <w:rPr>
                <w:sz w:val="17"/>
                <w:szCs w:val="17"/>
                <w:color w:val="auto"/>
              </w:rPr>
            </w:pP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(17,210)</w:t>
            </w:r>
          </w:p>
        </w:tc>
        <w:tc>
          <w:tcPr>
            <w:tcW w:w="880" w:type="dxa"/>
            <w:vAlign w:val="bottom"/>
          </w:tcPr>
          <w:p>
            <w:pPr>
              <w:jc w:val="right"/>
              <w:spacing w:after="0"/>
              <w:rPr>
                <w:sz w:val="20"/>
                <w:szCs w:val="20"/>
                <w:color w:val="auto"/>
              </w:rPr>
            </w:pPr>
            <w:r>
              <w:rPr>
                <w:rFonts w:ascii="Arial" w:cs="Arial" w:eastAsia="Arial" w:hAnsi="Arial"/>
                <w:sz w:val="15"/>
                <w:szCs w:val="15"/>
                <w:color w:val="auto"/>
              </w:rPr>
              <w:t>(11,419)</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(49,534)</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(18,442)</w:t>
            </w:r>
          </w:p>
        </w:tc>
        <w:tc>
          <w:tcPr>
            <w:tcW w:w="0" w:type="dxa"/>
            <w:vAlign w:val="bottom"/>
          </w:tcPr>
          <w:p>
            <w:pPr>
              <w:spacing w:after="0"/>
              <w:rPr>
                <w:sz w:val="1"/>
                <w:szCs w:val="1"/>
                <w:color w:val="auto"/>
              </w:rPr>
            </w:pPr>
          </w:p>
        </w:tc>
      </w:tr>
      <w:tr>
        <w:trPr>
          <w:trHeight w:val="196"/>
        </w:trPr>
        <w:tc>
          <w:tcPr>
            <w:tcW w:w="4740" w:type="dxa"/>
            <w:vAlign w:val="bottom"/>
          </w:tcPr>
          <w:p>
            <w:pPr>
              <w:ind w:left="160"/>
              <w:spacing w:after="0"/>
              <w:rPr>
                <w:sz w:val="20"/>
                <w:szCs w:val="20"/>
                <w:color w:val="auto"/>
              </w:rPr>
            </w:pPr>
            <w:r>
              <w:rPr>
                <w:rFonts w:ascii="Arial" w:cs="Arial" w:eastAsia="Arial" w:hAnsi="Arial"/>
                <w:sz w:val="15"/>
                <w:szCs w:val="15"/>
                <w:b w:val="1"/>
                <w:bCs w:val="1"/>
                <w:color w:val="auto"/>
              </w:rPr>
              <w:t>Adjustments for items not affecting cash:</w:t>
            </w:r>
          </w:p>
        </w:tc>
        <w:tc>
          <w:tcPr>
            <w:tcW w:w="1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40" w:type="dxa"/>
            <w:vAlign w:val="bottom"/>
          </w:tcPr>
          <w:p>
            <w:pPr>
              <w:ind w:left="60"/>
              <w:spacing w:after="0"/>
              <w:rPr>
                <w:sz w:val="20"/>
                <w:szCs w:val="20"/>
                <w:color w:val="auto"/>
              </w:rPr>
            </w:pPr>
            <w:r>
              <w:rPr>
                <w:rFonts w:ascii="Arial" w:cs="Arial" w:eastAsia="Arial" w:hAnsi="Arial"/>
                <w:sz w:val="15"/>
                <w:szCs w:val="15"/>
                <w:color w:val="auto"/>
              </w:rPr>
              <w:t>Depreciation</w:t>
            </w:r>
          </w:p>
        </w:tc>
        <w:tc>
          <w:tcPr>
            <w:tcW w:w="1560" w:type="dxa"/>
            <w:vAlign w:val="bottom"/>
          </w:tcPr>
          <w:p>
            <w:pPr>
              <w:jc w:val="center"/>
              <w:ind w:left="807"/>
              <w:spacing w:after="0"/>
              <w:rPr>
                <w:sz w:val="20"/>
                <w:szCs w:val="20"/>
                <w:color w:val="auto"/>
              </w:rPr>
            </w:pPr>
            <w:r>
              <w:rPr>
                <w:rFonts w:ascii="Arial" w:cs="Arial" w:eastAsia="Arial" w:hAnsi="Arial"/>
                <w:sz w:val="15"/>
                <w:szCs w:val="15"/>
                <w:i w:val="1"/>
                <w:iCs w:val="1"/>
                <w:color w:val="auto"/>
                <w:w w:val="95"/>
              </w:rPr>
              <w:t>4</w:t>
            </w: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44</w:t>
            </w:r>
          </w:p>
        </w:tc>
        <w:tc>
          <w:tcPr>
            <w:tcW w:w="880" w:type="dxa"/>
            <w:vAlign w:val="bottom"/>
          </w:tcPr>
          <w:p>
            <w:pPr>
              <w:jc w:val="right"/>
              <w:spacing w:after="0"/>
              <w:rPr>
                <w:sz w:val="20"/>
                <w:szCs w:val="20"/>
                <w:color w:val="auto"/>
              </w:rPr>
            </w:pPr>
            <w:r>
              <w:rPr>
                <w:rFonts w:ascii="Arial" w:cs="Arial" w:eastAsia="Arial" w:hAnsi="Arial"/>
                <w:sz w:val="15"/>
                <w:szCs w:val="15"/>
                <w:color w:val="auto"/>
              </w:rPr>
              <w:t>13</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124</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20"/>
        </w:trPr>
        <w:tc>
          <w:tcPr>
            <w:tcW w:w="4740" w:type="dxa"/>
            <w:vAlign w:val="bottom"/>
          </w:tcPr>
          <w:p>
            <w:pPr>
              <w:ind w:left="60"/>
              <w:spacing w:after="0"/>
              <w:rPr>
                <w:sz w:val="20"/>
                <w:szCs w:val="20"/>
                <w:color w:val="auto"/>
              </w:rPr>
            </w:pPr>
            <w:r>
              <w:rPr>
                <w:rFonts w:ascii="Arial" w:cs="Arial" w:eastAsia="Arial" w:hAnsi="Arial"/>
                <w:sz w:val="15"/>
                <w:szCs w:val="15"/>
                <w:color w:val="auto"/>
              </w:rPr>
              <w:t>Share-based compensation</w:t>
            </w:r>
          </w:p>
        </w:tc>
        <w:tc>
          <w:tcPr>
            <w:tcW w:w="1560" w:type="dxa"/>
            <w:vAlign w:val="bottom"/>
          </w:tcPr>
          <w:p>
            <w:pPr>
              <w:spacing w:after="0"/>
              <w:rPr>
                <w:sz w:val="19"/>
                <w:szCs w:val="19"/>
                <w:color w:val="auto"/>
              </w:rPr>
            </w:pP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4,457</w:t>
            </w:r>
          </w:p>
        </w:tc>
        <w:tc>
          <w:tcPr>
            <w:tcW w:w="880" w:type="dxa"/>
            <w:vAlign w:val="bottom"/>
          </w:tcPr>
          <w:p>
            <w:pPr>
              <w:jc w:val="right"/>
              <w:spacing w:after="0"/>
              <w:rPr>
                <w:sz w:val="20"/>
                <w:szCs w:val="20"/>
                <w:color w:val="auto"/>
              </w:rPr>
            </w:pPr>
            <w:r>
              <w:rPr>
                <w:rFonts w:ascii="Arial" w:cs="Arial" w:eastAsia="Arial" w:hAnsi="Arial"/>
                <w:sz w:val="15"/>
                <w:szCs w:val="15"/>
                <w:color w:val="auto"/>
              </w:rPr>
              <w:t>4,213</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14,687</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7,486</w:t>
            </w:r>
          </w:p>
        </w:tc>
        <w:tc>
          <w:tcPr>
            <w:tcW w:w="0" w:type="dxa"/>
            <w:vAlign w:val="bottom"/>
          </w:tcPr>
          <w:p>
            <w:pPr>
              <w:spacing w:after="0"/>
              <w:rPr>
                <w:sz w:val="1"/>
                <w:szCs w:val="1"/>
                <w:color w:val="auto"/>
              </w:rPr>
            </w:pPr>
          </w:p>
        </w:tc>
      </w:tr>
      <w:tr>
        <w:trPr>
          <w:trHeight w:val="220"/>
        </w:trPr>
        <w:tc>
          <w:tcPr>
            <w:tcW w:w="4740" w:type="dxa"/>
            <w:vAlign w:val="bottom"/>
          </w:tcPr>
          <w:p>
            <w:pPr>
              <w:ind w:left="60"/>
              <w:spacing w:after="0"/>
              <w:rPr>
                <w:sz w:val="20"/>
                <w:szCs w:val="20"/>
                <w:color w:val="auto"/>
              </w:rPr>
            </w:pPr>
            <w:r>
              <w:rPr>
                <w:rFonts w:ascii="Arial" w:cs="Arial" w:eastAsia="Arial" w:hAnsi="Arial"/>
                <w:sz w:val="15"/>
                <w:szCs w:val="15"/>
                <w:color w:val="auto"/>
              </w:rPr>
              <w:t>Accretion of convertible debt</w:t>
            </w:r>
          </w:p>
        </w:tc>
        <w:tc>
          <w:tcPr>
            <w:tcW w:w="1560" w:type="dxa"/>
            <w:vAlign w:val="bottom"/>
          </w:tcPr>
          <w:p>
            <w:pPr>
              <w:spacing w:after="0"/>
              <w:rPr>
                <w:sz w:val="19"/>
                <w:szCs w:val="19"/>
                <w:color w:val="auto"/>
              </w:rPr>
            </w:pPr>
          </w:p>
        </w:tc>
        <w:tc>
          <w:tcPr>
            <w:tcW w:w="160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67"/>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0"/>
        </w:trPr>
        <w:tc>
          <w:tcPr>
            <w:tcW w:w="4740" w:type="dxa"/>
            <w:vAlign w:val="bottom"/>
          </w:tcPr>
          <w:p>
            <w:pPr>
              <w:ind w:left="60"/>
              <w:spacing w:after="0"/>
              <w:rPr>
                <w:sz w:val="20"/>
                <w:szCs w:val="20"/>
                <w:color w:val="auto"/>
              </w:rPr>
            </w:pPr>
            <w:r>
              <w:rPr>
                <w:rFonts w:ascii="Arial" w:cs="Arial" w:eastAsia="Arial" w:hAnsi="Arial"/>
                <w:sz w:val="15"/>
                <w:szCs w:val="15"/>
                <w:color w:val="auto"/>
              </w:rPr>
              <w:t>Contingent consideration accretion</w:t>
            </w:r>
          </w:p>
        </w:tc>
        <w:tc>
          <w:tcPr>
            <w:tcW w:w="1560" w:type="dxa"/>
            <w:vAlign w:val="bottom"/>
          </w:tcPr>
          <w:p>
            <w:pPr>
              <w:jc w:val="center"/>
              <w:ind w:left="807"/>
              <w:spacing w:after="0"/>
              <w:rPr>
                <w:sz w:val="20"/>
                <w:szCs w:val="20"/>
                <w:color w:val="auto"/>
              </w:rPr>
            </w:pPr>
            <w:r>
              <w:rPr>
                <w:rFonts w:ascii="Arial" w:cs="Arial" w:eastAsia="Arial" w:hAnsi="Arial"/>
                <w:sz w:val="15"/>
                <w:szCs w:val="15"/>
                <w:i w:val="1"/>
                <w:iCs w:val="1"/>
                <w:color w:val="auto"/>
                <w:w w:val="95"/>
              </w:rPr>
              <w:t>6</w:t>
            </w: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59</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290</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740" w:type="dxa"/>
            <w:vAlign w:val="bottom"/>
          </w:tcPr>
          <w:p>
            <w:pPr>
              <w:ind w:left="60"/>
              <w:spacing w:after="0"/>
              <w:rPr>
                <w:sz w:val="20"/>
                <w:szCs w:val="20"/>
                <w:color w:val="auto"/>
              </w:rPr>
            </w:pPr>
            <w:r>
              <w:rPr>
                <w:rFonts w:ascii="Arial" w:cs="Arial" w:eastAsia="Arial" w:hAnsi="Arial"/>
                <w:sz w:val="15"/>
                <w:szCs w:val="15"/>
                <w:color w:val="auto"/>
              </w:rPr>
              <w:t>Change in fair value of contingent consideration</w:t>
            </w:r>
          </w:p>
        </w:tc>
        <w:tc>
          <w:tcPr>
            <w:tcW w:w="1560" w:type="dxa"/>
            <w:vAlign w:val="bottom"/>
          </w:tcPr>
          <w:p>
            <w:pPr>
              <w:jc w:val="center"/>
              <w:ind w:left="807"/>
              <w:spacing w:after="0"/>
              <w:rPr>
                <w:sz w:val="20"/>
                <w:szCs w:val="20"/>
                <w:color w:val="auto"/>
              </w:rPr>
            </w:pPr>
            <w:r>
              <w:rPr>
                <w:rFonts w:ascii="Arial" w:cs="Arial" w:eastAsia="Arial" w:hAnsi="Arial"/>
                <w:sz w:val="15"/>
                <w:szCs w:val="15"/>
                <w:i w:val="1"/>
                <w:iCs w:val="1"/>
                <w:color w:val="auto"/>
                <w:w w:val="95"/>
              </w:rPr>
              <w:t>6</w:t>
            </w: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695</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1,944</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Unrealized foreign currency translation loss (gain)</w:t>
            </w:r>
          </w:p>
        </w:tc>
        <w:tc>
          <w:tcPr>
            <w:tcW w:w="1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16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5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(143)</w:t>
            </w: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(11,939)</w:t>
            </w:r>
          </w:p>
        </w:tc>
        <w:tc>
          <w:tcPr>
            <w:tcW w:w="880" w:type="dxa"/>
            <w:vAlign w:val="bottom"/>
          </w:tcPr>
          <w:p>
            <w:pPr>
              <w:jc w:val="right"/>
              <w:spacing w:after="0"/>
              <w:rPr>
                <w:sz w:val="20"/>
                <w:szCs w:val="20"/>
                <w:color w:val="auto"/>
              </w:rPr>
            </w:pPr>
            <w:r>
              <w:rPr>
                <w:rFonts w:ascii="Arial" w:cs="Arial" w:eastAsia="Arial" w:hAnsi="Arial"/>
                <w:sz w:val="15"/>
                <w:szCs w:val="15"/>
                <w:color w:val="auto"/>
              </w:rPr>
              <w:t>(7,191)</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(32,632)</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(10,926)</w:t>
            </w:r>
          </w:p>
        </w:tc>
        <w:tc>
          <w:tcPr>
            <w:tcW w:w="0" w:type="dxa"/>
            <w:vAlign w:val="bottom"/>
          </w:tcPr>
          <w:p>
            <w:pPr>
              <w:spacing w:after="0"/>
              <w:rPr>
                <w:sz w:val="1"/>
                <w:szCs w:val="1"/>
                <w:color w:val="auto"/>
              </w:rPr>
            </w:pPr>
          </w:p>
        </w:tc>
      </w:tr>
      <w:tr>
        <w:trPr>
          <w:trHeight w:val="195"/>
        </w:trPr>
        <w:tc>
          <w:tcPr>
            <w:tcW w:w="4740" w:type="dxa"/>
            <w:vAlign w:val="bottom"/>
          </w:tcPr>
          <w:p>
            <w:pPr>
              <w:ind w:left="160"/>
              <w:spacing w:after="0"/>
              <w:rPr>
                <w:sz w:val="20"/>
                <w:szCs w:val="20"/>
                <w:color w:val="auto"/>
              </w:rPr>
            </w:pPr>
            <w:r>
              <w:rPr>
                <w:rFonts w:ascii="Arial" w:cs="Arial" w:eastAsia="Arial" w:hAnsi="Arial"/>
                <w:sz w:val="15"/>
                <w:szCs w:val="15"/>
                <w:b w:val="1"/>
                <w:bCs w:val="1"/>
                <w:color w:val="auto"/>
              </w:rPr>
              <w:t>Net changes in non-cash working capital items:</w:t>
            </w:r>
          </w:p>
        </w:tc>
        <w:tc>
          <w:tcPr>
            <w:tcW w:w="15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40" w:type="dxa"/>
            <w:vAlign w:val="bottom"/>
          </w:tcPr>
          <w:p>
            <w:pPr>
              <w:ind w:left="60"/>
              <w:spacing w:after="0"/>
              <w:rPr>
                <w:sz w:val="20"/>
                <w:szCs w:val="20"/>
                <w:color w:val="auto"/>
              </w:rPr>
            </w:pPr>
            <w:r>
              <w:rPr>
                <w:rFonts w:ascii="Arial" w:cs="Arial" w:eastAsia="Arial" w:hAnsi="Arial"/>
                <w:sz w:val="15"/>
                <w:szCs w:val="15"/>
                <w:color w:val="auto"/>
              </w:rPr>
              <w:t>Accounts receivable</w:t>
            </w:r>
          </w:p>
        </w:tc>
        <w:tc>
          <w:tcPr>
            <w:tcW w:w="1560" w:type="dxa"/>
            <w:vAlign w:val="bottom"/>
          </w:tcPr>
          <w:p>
            <w:pPr>
              <w:spacing w:after="0"/>
              <w:rPr>
                <w:sz w:val="19"/>
                <w:szCs w:val="19"/>
                <w:color w:val="auto"/>
              </w:rPr>
            </w:pP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114</w:t>
            </w:r>
          </w:p>
        </w:tc>
        <w:tc>
          <w:tcPr>
            <w:tcW w:w="880" w:type="dxa"/>
            <w:vAlign w:val="bottom"/>
          </w:tcPr>
          <w:p>
            <w:pPr>
              <w:jc w:val="right"/>
              <w:spacing w:after="0"/>
              <w:rPr>
                <w:sz w:val="20"/>
                <w:szCs w:val="20"/>
                <w:color w:val="auto"/>
              </w:rPr>
            </w:pPr>
            <w:r>
              <w:rPr>
                <w:rFonts w:ascii="Arial" w:cs="Arial" w:eastAsia="Arial" w:hAnsi="Arial"/>
                <w:sz w:val="15"/>
                <w:szCs w:val="15"/>
                <w:color w:val="auto"/>
              </w:rPr>
              <w:t>(592)</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(838)</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(1,119)</w:t>
            </w:r>
          </w:p>
        </w:tc>
        <w:tc>
          <w:tcPr>
            <w:tcW w:w="0" w:type="dxa"/>
            <w:vAlign w:val="bottom"/>
          </w:tcPr>
          <w:p>
            <w:pPr>
              <w:spacing w:after="0"/>
              <w:rPr>
                <w:sz w:val="1"/>
                <w:szCs w:val="1"/>
                <w:color w:val="auto"/>
              </w:rPr>
            </w:pPr>
          </w:p>
        </w:tc>
      </w:tr>
      <w:tr>
        <w:trPr>
          <w:trHeight w:val="220"/>
        </w:trPr>
        <w:tc>
          <w:tcPr>
            <w:tcW w:w="4740" w:type="dxa"/>
            <w:vAlign w:val="bottom"/>
          </w:tcPr>
          <w:p>
            <w:pPr>
              <w:ind w:left="60"/>
              <w:spacing w:after="0"/>
              <w:rPr>
                <w:sz w:val="20"/>
                <w:szCs w:val="20"/>
                <w:color w:val="auto"/>
              </w:rPr>
            </w:pPr>
            <w:r>
              <w:rPr>
                <w:rFonts w:ascii="Arial" w:cs="Arial" w:eastAsia="Arial" w:hAnsi="Arial"/>
                <w:sz w:val="15"/>
                <w:szCs w:val="15"/>
                <w:color w:val="auto"/>
              </w:rPr>
              <w:t>Prepaid expenses</w:t>
            </w:r>
          </w:p>
        </w:tc>
        <w:tc>
          <w:tcPr>
            <w:tcW w:w="1560" w:type="dxa"/>
            <w:vAlign w:val="bottom"/>
          </w:tcPr>
          <w:p>
            <w:pPr>
              <w:spacing w:after="0"/>
              <w:rPr>
                <w:sz w:val="19"/>
                <w:szCs w:val="19"/>
                <w:color w:val="auto"/>
              </w:rPr>
            </w:pP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(672)</w:t>
            </w:r>
          </w:p>
        </w:tc>
        <w:tc>
          <w:tcPr>
            <w:tcW w:w="880" w:type="dxa"/>
            <w:vAlign w:val="bottom"/>
          </w:tcPr>
          <w:p>
            <w:pPr>
              <w:jc w:val="right"/>
              <w:spacing w:after="0"/>
              <w:rPr>
                <w:sz w:val="20"/>
                <w:szCs w:val="20"/>
                <w:color w:val="auto"/>
              </w:rPr>
            </w:pPr>
            <w:r>
              <w:rPr>
                <w:rFonts w:ascii="Arial" w:cs="Arial" w:eastAsia="Arial" w:hAnsi="Arial"/>
                <w:sz w:val="15"/>
                <w:szCs w:val="15"/>
                <w:color w:val="auto"/>
              </w:rPr>
              <w:t>(858)</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(1,535)</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(961)</w:t>
            </w:r>
          </w:p>
        </w:tc>
        <w:tc>
          <w:tcPr>
            <w:tcW w:w="0" w:type="dxa"/>
            <w:vAlign w:val="bottom"/>
          </w:tcPr>
          <w:p>
            <w:pPr>
              <w:spacing w:after="0"/>
              <w:rPr>
                <w:sz w:val="1"/>
                <w:szCs w:val="1"/>
                <w:color w:val="auto"/>
              </w:rPr>
            </w:pPr>
          </w:p>
        </w:tc>
      </w:tr>
      <w:tr>
        <w:trPr>
          <w:trHeight w:val="220"/>
        </w:trPr>
        <w:tc>
          <w:tcPr>
            <w:tcW w:w="4740" w:type="dxa"/>
            <w:vAlign w:val="bottom"/>
          </w:tcPr>
          <w:p>
            <w:pPr>
              <w:ind w:left="60"/>
              <w:spacing w:after="0"/>
              <w:rPr>
                <w:sz w:val="20"/>
                <w:szCs w:val="20"/>
                <w:color w:val="auto"/>
              </w:rPr>
            </w:pPr>
            <w:r>
              <w:rPr>
                <w:rFonts w:ascii="Arial" w:cs="Arial" w:eastAsia="Arial" w:hAnsi="Arial"/>
                <w:sz w:val="15"/>
                <w:szCs w:val="15"/>
                <w:color w:val="auto"/>
              </w:rPr>
              <w:t>Inventory</w:t>
            </w:r>
          </w:p>
        </w:tc>
        <w:tc>
          <w:tcPr>
            <w:tcW w:w="1560" w:type="dxa"/>
            <w:vAlign w:val="bottom"/>
          </w:tcPr>
          <w:p>
            <w:pPr>
              <w:spacing w:after="0"/>
              <w:rPr>
                <w:sz w:val="19"/>
                <w:szCs w:val="19"/>
                <w:color w:val="auto"/>
              </w:rPr>
            </w:pPr>
          </w:p>
        </w:tc>
        <w:tc>
          <w:tcPr>
            <w:tcW w:w="160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186</w:t>
            </w:r>
          </w:p>
        </w:tc>
        <w:tc>
          <w:tcPr>
            <w:tcW w:w="1520" w:type="dxa"/>
            <w:vAlign w:val="bottom"/>
          </w:tcPr>
          <w:p>
            <w:pPr>
              <w:jc w:val="right"/>
              <w:ind w:right="267"/>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(274)</w:t>
            </w:r>
          </w:p>
        </w:tc>
        <w:tc>
          <w:tcPr>
            <w:tcW w:w="0" w:type="dxa"/>
            <w:vAlign w:val="bottom"/>
          </w:tcPr>
          <w:p>
            <w:pPr>
              <w:spacing w:after="0"/>
              <w:rPr>
                <w:sz w:val="1"/>
                <w:szCs w:val="1"/>
                <w:color w:val="auto"/>
              </w:rPr>
            </w:pPr>
          </w:p>
        </w:tc>
      </w:tr>
      <w:tr>
        <w:trPr>
          <w:trHeight w:val="196"/>
        </w:trPr>
        <w:tc>
          <w:tcPr>
            <w:tcW w:w="4740" w:type="dxa"/>
            <w:vAlign w:val="bottom"/>
          </w:tcPr>
          <w:p>
            <w:pPr>
              <w:ind w:left="60"/>
              <w:spacing w:after="0"/>
              <w:rPr>
                <w:sz w:val="20"/>
                <w:szCs w:val="20"/>
                <w:color w:val="auto"/>
              </w:rPr>
            </w:pPr>
            <w:r>
              <w:rPr>
                <w:rFonts w:ascii="Arial" w:cs="Arial" w:eastAsia="Arial" w:hAnsi="Arial"/>
                <w:sz w:val="15"/>
                <w:szCs w:val="15"/>
                <w:color w:val="auto"/>
              </w:rPr>
              <w:t>Other current assets</w:t>
            </w:r>
          </w:p>
        </w:tc>
        <w:tc>
          <w:tcPr>
            <w:tcW w:w="1560" w:type="dxa"/>
            <w:vAlign w:val="bottom"/>
          </w:tcPr>
          <w:p>
            <w:pPr>
              <w:spacing w:after="0"/>
              <w:rPr>
                <w:sz w:val="17"/>
                <w:szCs w:val="17"/>
                <w:color w:val="auto"/>
              </w:rPr>
            </w:pP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(733)</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(733)</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Accounts payable and accrued liabilities</w:t>
            </w:r>
          </w:p>
        </w:tc>
        <w:tc>
          <w:tcPr>
            <w:tcW w:w="1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416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15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252</w:t>
            </w: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822</w:t>
            </w:r>
          </w:p>
        </w:tc>
        <w:tc>
          <w:tcPr>
            <w:tcW w:w="0" w:type="dxa"/>
            <w:vAlign w:val="bottom"/>
          </w:tcPr>
          <w:p>
            <w:pPr>
              <w:spacing w:after="0"/>
              <w:rPr>
                <w:sz w:val="1"/>
                <w:szCs w:val="1"/>
                <w:color w:val="auto"/>
              </w:rPr>
            </w:pPr>
          </w:p>
        </w:tc>
      </w:tr>
      <w:tr>
        <w:trPr>
          <w:trHeight w:val="190"/>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Net cash flows used in operating activities</w:t>
            </w:r>
          </w:p>
        </w:tc>
        <w:tc>
          <w:tcPr>
            <w:tcW w:w="15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(12,814)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(8,490)</w:t>
            </w:r>
          </w:p>
        </w:tc>
        <w:tc>
          <w:tcPr>
            <w:tcW w:w="15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(35,486)</w:t>
            </w: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(12,458)</w:t>
            </w:r>
          </w:p>
        </w:tc>
        <w:tc>
          <w:tcPr>
            <w:tcW w:w="0" w:type="dxa"/>
            <w:vAlign w:val="bottom"/>
          </w:tcPr>
          <w:p>
            <w:pPr>
              <w:spacing w:after="0"/>
              <w:rPr>
                <w:sz w:val="1"/>
                <w:szCs w:val="1"/>
                <w:color w:val="auto"/>
              </w:rPr>
            </w:pPr>
          </w:p>
        </w:tc>
      </w:tr>
      <w:tr>
        <w:trPr>
          <w:trHeight w:val="404"/>
        </w:trPr>
        <w:tc>
          <w:tcPr>
            <w:tcW w:w="4740" w:type="dxa"/>
            <w:vAlign w:val="bottom"/>
          </w:tcPr>
          <w:p>
            <w:pPr>
              <w:ind w:left="60"/>
              <w:spacing w:after="0"/>
              <w:rPr>
                <w:sz w:val="20"/>
                <w:szCs w:val="20"/>
                <w:color w:val="auto"/>
              </w:rPr>
            </w:pPr>
            <w:r>
              <w:rPr>
                <w:rFonts w:ascii="Arial" w:cs="Arial" w:eastAsia="Arial" w:hAnsi="Arial"/>
                <w:sz w:val="15"/>
                <w:szCs w:val="15"/>
                <w:b w:val="1"/>
                <w:bCs w:val="1"/>
                <w:color w:val="auto"/>
              </w:rPr>
              <w:t>INVESTING ACTIVITIES</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40" w:type="dxa"/>
            <w:vAlign w:val="bottom"/>
          </w:tcPr>
          <w:p>
            <w:pPr>
              <w:ind w:left="340"/>
              <w:spacing w:after="0"/>
              <w:rPr>
                <w:sz w:val="20"/>
                <w:szCs w:val="20"/>
                <w:color w:val="auto"/>
              </w:rPr>
            </w:pPr>
            <w:r>
              <w:rPr>
                <w:rFonts w:ascii="Arial" w:cs="Arial" w:eastAsia="Arial" w:hAnsi="Arial"/>
                <w:sz w:val="15"/>
                <w:szCs w:val="15"/>
                <w:color w:val="auto"/>
              </w:rPr>
              <w:t>Purchase of investment</w:t>
            </w:r>
          </w:p>
        </w:tc>
        <w:tc>
          <w:tcPr>
            <w:tcW w:w="1560" w:type="dxa"/>
            <w:vAlign w:val="bottom"/>
          </w:tcPr>
          <w:p>
            <w:pPr>
              <w:spacing w:after="0"/>
              <w:rPr>
                <w:sz w:val="17"/>
                <w:szCs w:val="17"/>
                <w:color w:val="auto"/>
              </w:rPr>
            </w:pP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(250)</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740" w:type="dxa"/>
            <w:vAlign w:val="bottom"/>
          </w:tcPr>
          <w:p>
            <w:pPr>
              <w:ind w:left="340"/>
              <w:spacing w:after="0"/>
              <w:rPr>
                <w:sz w:val="20"/>
                <w:szCs w:val="20"/>
                <w:color w:val="auto"/>
              </w:rPr>
            </w:pPr>
            <w:r>
              <w:rPr>
                <w:rFonts w:ascii="Arial" w:cs="Arial" w:eastAsia="Arial" w:hAnsi="Arial"/>
                <w:sz w:val="15"/>
                <w:szCs w:val="15"/>
                <w:color w:val="auto"/>
              </w:rPr>
              <w:t>Cash assumed on acquisition, less transaction costs</w:t>
            </w:r>
          </w:p>
        </w:tc>
        <w:tc>
          <w:tcPr>
            <w:tcW w:w="1560" w:type="dxa"/>
            <w:vAlign w:val="bottom"/>
          </w:tcPr>
          <w:p>
            <w:pPr>
              <w:spacing w:after="0"/>
              <w:rPr>
                <w:sz w:val="17"/>
                <w:szCs w:val="17"/>
                <w:color w:val="auto"/>
              </w:rPr>
            </w:pP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348</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348</w:t>
            </w:r>
          </w:p>
        </w:tc>
        <w:tc>
          <w:tcPr>
            <w:tcW w:w="0" w:type="dxa"/>
            <w:vAlign w:val="bottom"/>
          </w:tcPr>
          <w:p>
            <w:pPr>
              <w:spacing w:after="0"/>
              <w:rPr>
                <w:sz w:val="1"/>
                <w:szCs w:val="1"/>
                <w:color w:val="auto"/>
              </w:rPr>
            </w:pPr>
          </w:p>
        </w:tc>
      </w:tr>
      <w:tr>
        <w:trPr>
          <w:trHeight w:val="196"/>
        </w:trPr>
        <w:tc>
          <w:tcPr>
            <w:tcW w:w="4740" w:type="dxa"/>
            <w:vAlign w:val="bottom"/>
          </w:tcPr>
          <w:p>
            <w:pPr>
              <w:ind w:left="340"/>
              <w:spacing w:after="0"/>
              <w:rPr>
                <w:sz w:val="20"/>
                <w:szCs w:val="20"/>
                <w:color w:val="auto"/>
              </w:rPr>
            </w:pPr>
            <w:r>
              <w:rPr>
                <w:rFonts w:ascii="Arial" w:cs="Arial" w:eastAsia="Arial" w:hAnsi="Arial"/>
                <w:sz w:val="15"/>
                <w:szCs w:val="15"/>
                <w:color w:val="auto"/>
              </w:rPr>
              <w:t>Purchase of intangible assets</w:t>
            </w:r>
          </w:p>
        </w:tc>
        <w:tc>
          <w:tcPr>
            <w:tcW w:w="1560" w:type="dxa"/>
            <w:vAlign w:val="bottom"/>
          </w:tcPr>
          <w:p>
            <w:pPr>
              <w:spacing w:after="0"/>
              <w:rPr>
                <w:sz w:val="17"/>
                <w:szCs w:val="17"/>
                <w:color w:val="auto"/>
              </w:rPr>
            </w:pP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(144)</w:t>
            </w:r>
          </w:p>
        </w:tc>
        <w:tc>
          <w:tcPr>
            <w:tcW w:w="880" w:type="dxa"/>
            <w:vAlign w:val="bottom"/>
          </w:tcPr>
          <w:p>
            <w:pPr>
              <w:jc w:val="right"/>
              <w:spacing w:after="0"/>
              <w:rPr>
                <w:sz w:val="20"/>
                <w:szCs w:val="20"/>
                <w:color w:val="auto"/>
              </w:rPr>
            </w:pPr>
            <w:r>
              <w:rPr>
                <w:rFonts w:ascii="Arial" w:cs="Arial" w:eastAsia="Arial" w:hAnsi="Arial"/>
                <w:sz w:val="15"/>
                <w:szCs w:val="15"/>
                <w:color w:val="auto"/>
              </w:rPr>
              <w:t>(7)</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(307)</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Purchase of equipment</w:t>
            </w:r>
          </w:p>
        </w:tc>
        <w:tc>
          <w:tcPr>
            <w:tcW w:w="1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c>
          <w:tcPr>
            <w:tcW w:w="15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(92)</w:t>
            </w: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90"/>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Net cash flows used in investing activities</w:t>
            </w:r>
          </w:p>
        </w:tc>
        <w:tc>
          <w:tcPr>
            <w:tcW w:w="15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(166)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w:t>
            </w:r>
          </w:p>
        </w:tc>
        <w:tc>
          <w:tcPr>
            <w:tcW w:w="15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(649)</w:t>
            </w: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404"/>
        </w:trPr>
        <w:tc>
          <w:tcPr>
            <w:tcW w:w="4740" w:type="dxa"/>
            <w:vAlign w:val="bottom"/>
          </w:tcPr>
          <w:p>
            <w:pPr>
              <w:ind w:left="60"/>
              <w:spacing w:after="0"/>
              <w:rPr>
                <w:sz w:val="20"/>
                <w:szCs w:val="20"/>
                <w:color w:val="auto"/>
              </w:rPr>
            </w:pPr>
            <w:r>
              <w:rPr>
                <w:rFonts w:ascii="Arial" w:cs="Arial" w:eastAsia="Arial" w:hAnsi="Arial"/>
                <w:sz w:val="15"/>
                <w:szCs w:val="15"/>
                <w:b w:val="1"/>
                <w:bCs w:val="1"/>
                <w:color w:val="auto"/>
              </w:rPr>
              <w:t>FINANCING ACTIVITIES</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740" w:type="dxa"/>
            <w:vAlign w:val="bottom"/>
          </w:tcPr>
          <w:p>
            <w:pPr>
              <w:ind w:left="60"/>
              <w:spacing w:after="0"/>
              <w:rPr>
                <w:sz w:val="20"/>
                <w:szCs w:val="20"/>
                <w:color w:val="auto"/>
              </w:rPr>
            </w:pPr>
            <w:r>
              <w:rPr>
                <w:rFonts w:ascii="Arial" w:cs="Arial" w:eastAsia="Arial" w:hAnsi="Arial"/>
                <w:sz w:val="15"/>
                <w:szCs w:val="15"/>
                <w:color w:val="auto"/>
              </w:rPr>
              <w:t>Proceeds from issuance of common shares, net</w:t>
            </w:r>
          </w:p>
        </w:tc>
        <w:tc>
          <w:tcPr>
            <w:tcW w:w="1560" w:type="dxa"/>
            <w:vAlign w:val="bottom"/>
          </w:tcPr>
          <w:p>
            <w:pPr>
              <w:spacing w:after="0"/>
              <w:rPr>
                <w:sz w:val="19"/>
                <w:szCs w:val="19"/>
                <w:color w:val="auto"/>
              </w:rPr>
            </w:pP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44,279</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31,508</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50,406</w:t>
            </w:r>
          </w:p>
        </w:tc>
        <w:tc>
          <w:tcPr>
            <w:tcW w:w="0" w:type="dxa"/>
            <w:vAlign w:val="bottom"/>
          </w:tcPr>
          <w:p>
            <w:pPr>
              <w:spacing w:after="0"/>
              <w:rPr>
                <w:sz w:val="1"/>
                <w:szCs w:val="1"/>
                <w:color w:val="auto"/>
              </w:rPr>
            </w:pPr>
          </w:p>
        </w:tc>
      </w:tr>
      <w:tr>
        <w:trPr>
          <w:trHeight w:val="220"/>
        </w:trPr>
        <w:tc>
          <w:tcPr>
            <w:tcW w:w="4740" w:type="dxa"/>
            <w:vAlign w:val="bottom"/>
          </w:tcPr>
          <w:p>
            <w:pPr>
              <w:ind w:left="60"/>
              <w:spacing w:after="0"/>
              <w:rPr>
                <w:sz w:val="20"/>
                <w:szCs w:val="20"/>
                <w:color w:val="auto"/>
              </w:rPr>
            </w:pPr>
            <w:r>
              <w:rPr>
                <w:rFonts w:ascii="Arial" w:cs="Arial" w:eastAsia="Arial" w:hAnsi="Arial"/>
                <w:sz w:val="15"/>
                <w:szCs w:val="15"/>
                <w:color w:val="auto"/>
              </w:rPr>
              <w:t>Additional capital on founders’ round</w:t>
            </w:r>
          </w:p>
        </w:tc>
        <w:tc>
          <w:tcPr>
            <w:tcW w:w="1560" w:type="dxa"/>
            <w:vAlign w:val="bottom"/>
          </w:tcPr>
          <w:p>
            <w:pPr>
              <w:spacing w:after="0"/>
              <w:rPr>
                <w:sz w:val="19"/>
                <w:szCs w:val="19"/>
                <w:color w:val="auto"/>
              </w:rPr>
            </w:pP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220"/>
        </w:trPr>
        <w:tc>
          <w:tcPr>
            <w:tcW w:w="4740" w:type="dxa"/>
            <w:vAlign w:val="bottom"/>
          </w:tcPr>
          <w:p>
            <w:pPr>
              <w:ind w:left="60"/>
              <w:spacing w:after="0"/>
              <w:rPr>
                <w:sz w:val="20"/>
                <w:szCs w:val="20"/>
                <w:color w:val="auto"/>
              </w:rPr>
            </w:pPr>
            <w:r>
              <w:rPr>
                <w:rFonts w:ascii="Arial" w:cs="Arial" w:eastAsia="Arial" w:hAnsi="Arial"/>
                <w:sz w:val="15"/>
                <w:szCs w:val="15"/>
                <w:color w:val="auto"/>
              </w:rPr>
              <w:t>Shares issued for cash - warrant exercise</w:t>
            </w:r>
          </w:p>
        </w:tc>
        <w:tc>
          <w:tcPr>
            <w:tcW w:w="1560" w:type="dxa"/>
            <w:vAlign w:val="bottom"/>
          </w:tcPr>
          <w:p>
            <w:pPr>
              <w:jc w:val="center"/>
              <w:ind w:left="807"/>
              <w:spacing w:after="0"/>
              <w:rPr>
                <w:sz w:val="20"/>
                <w:szCs w:val="20"/>
                <w:color w:val="auto"/>
              </w:rPr>
            </w:pPr>
            <w:r>
              <w:rPr>
                <w:rFonts w:ascii="Arial" w:cs="Arial" w:eastAsia="Arial" w:hAnsi="Arial"/>
                <w:sz w:val="15"/>
                <w:szCs w:val="15"/>
                <w:i w:val="1"/>
                <w:iCs w:val="1"/>
                <w:color w:val="auto"/>
                <w:w w:val="95"/>
              </w:rPr>
              <w:t>7</w:t>
            </w: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292</w:t>
            </w:r>
          </w:p>
        </w:tc>
        <w:tc>
          <w:tcPr>
            <w:tcW w:w="880" w:type="dxa"/>
            <w:vAlign w:val="bottom"/>
          </w:tcPr>
          <w:p>
            <w:pPr>
              <w:jc w:val="right"/>
              <w:spacing w:after="0"/>
              <w:rPr>
                <w:sz w:val="20"/>
                <w:szCs w:val="20"/>
                <w:color w:val="auto"/>
              </w:rPr>
            </w:pPr>
            <w:r>
              <w:rPr>
                <w:rFonts w:ascii="Arial" w:cs="Arial" w:eastAsia="Arial" w:hAnsi="Arial"/>
                <w:sz w:val="15"/>
                <w:szCs w:val="15"/>
                <w:color w:val="auto"/>
              </w:rPr>
              <w:t>18</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2,884</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Shares issued for cash - options exercise</w:t>
            </w:r>
          </w:p>
        </w:tc>
        <w:tc>
          <w:tcPr>
            <w:tcW w:w="1560" w:type="dxa"/>
            <w:vAlign w:val="bottom"/>
            <w:tcBorders>
              <w:bottom w:val="single" w:sz="8" w:color="auto"/>
            </w:tcBorders>
          </w:tcPr>
          <w:p>
            <w:pPr>
              <w:jc w:val="center"/>
              <w:ind w:left="807"/>
              <w:spacing w:after="0"/>
              <w:rPr>
                <w:sz w:val="20"/>
                <w:szCs w:val="20"/>
                <w:color w:val="auto"/>
              </w:rPr>
            </w:pPr>
            <w:r>
              <w:rPr>
                <w:rFonts w:ascii="Arial" w:cs="Arial" w:eastAsia="Arial" w:hAnsi="Arial"/>
                <w:sz w:val="15"/>
                <w:szCs w:val="15"/>
                <w:i w:val="1"/>
                <w:iCs w:val="1"/>
                <w:color w:val="auto"/>
                <w:w w:val="95"/>
              </w:rPr>
              <w:t>7</w:t>
            </w: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1,108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w:t>
            </w:r>
          </w:p>
        </w:tc>
        <w:tc>
          <w:tcPr>
            <w:tcW w:w="15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1,318</w:t>
            </w: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90"/>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Net cash flows from financing activities</w:t>
            </w:r>
          </w:p>
        </w:tc>
        <w:tc>
          <w:tcPr>
            <w:tcW w:w="15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1,400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44,392</w:t>
            </w:r>
          </w:p>
        </w:tc>
        <w:tc>
          <w:tcPr>
            <w:tcW w:w="15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35,710</w:t>
            </w: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50,683</w:t>
            </w:r>
          </w:p>
        </w:tc>
        <w:tc>
          <w:tcPr>
            <w:tcW w:w="0" w:type="dxa"/>
            <w:vAlign w:val="bottom"/>
          </w:tcPr>
          <w:p>
            <w:pPr>
              <w:spacing w:after="0"/>
              <w:rPr>
                <w:sz w:val="1"/>
                <w:szCs w:val="1"/>
                <w:color w:val="auto"/>
              </w:rPr>
            </w:pPr>
          </w:p>
        </w:tc>
      </w:tr>
      <w:tr>
        <w:trPr>
          <w:trHeight w:val="406"/>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Effects of exchange rate changes on cash</w:t>
            </w:r>
          </w:p>
        </w:tc>
        <w:tc>
          <w:tcPr>
            <w:tcW w:w="1560" w:type="dxa"/>
            <w:vAlign w:val="bottom"/>
            <w:tcBorders>
              <w:bottom w:val="single" w:sz="8" w:color="auto"/>
            </w:tcBorders>
          </w:tcPr>
          <w:p>
            <w:pPr>
              <w:spacing w:after="0"/>
              <w:rPr>
                <w:sz w:val="24"/>
                <w:szCs w:val="24"/>
                <w:color w:val="auto"/>
              </w:rPr>
            </w:pPr>
          </w:p>
        </w:tc>
        <w:tc>
          <w:tcPr>
            <w:tcW w:w="1600" w:type="dxa"/>
            <w:vAlign w:val="bottom"/>
            <w:tcBorders>
              <w:bottom w:val="single" w:sz="8" w:color="6D6D6D"/>
            </w:tcBorders>
          </w:tcPr>
          <w:p>
            <w:pPr>
              <w:jc w:val="right"/>
              <w:ind w:right="347"/>
              <w:spacing w:after="0"/>
              <w:rPr>
                <w:sz w:val="20"/>
                <w:szCs w:val="20"/>
                <w:color w:val="auto"/>
              </w:rPr>
            </w:pPr>
            <w:r>
              <w:rPr>
                <w:rFonts w:ascii="Arial" w:cs="Arial" w:eastAsia="Arial" w:hAnsi="Arial"/>
                <w:sz w:val="15"/>
                <w:szCs w:val="15"/>
                <w:b w:val="1"/>
                <w:bCs w:val="1"/>
                <w:color w:val="auto"/>
              </w:rPr>
              <w:t>(19)</w:t>
            </w:r>
          </w:p>
        </w:tc>
        <w:tc>
          <w:tcPr>
            <w:tcW w:w="880" w:type="dxa"/>
            <w:vAlign w:val="bottom"/>
            <w:tcBorders>
              <w:bottom w:val="single" w:sz="8" w:color="6D6D6D"/>
            </w:tcBorders>
          </w:tcPr>
          <w:p>
            <w:pPr>
              <w:jc w:val="right"/>
              <w:spacing w:after="0"/>
              <w:rPr>
                <w:sz w:val="20"/>
                <w:szCs w:val="20"/>
                <w:color w:val="auto"/>
              </w:rPr>
            </w:pPr>
            <w:r>
              <w:rPr>
                <w:rFonts w:ascii="Arial" w:cs="Arial" w:eastAsia="Arial" w:hAnsi="Arial"/>
                <w:sz w:val="15"/>
                <w:szCs w:val="15"/>
                <w:color w:val="auto"/>
              </w:rPr>
              <w:t>7</w:t>
            </w:r>
          </w:p>
        </w:tc>
        <w:tc>
          <w:tcPr>
            <w:tcW w:w="1520" w:type="dxa"/>
            <w:vAlign w:val="bottom"/>
            <w:tcBorders>
              <w:bottom w:val="single" w:sz="8" w:color="6D6D6D"/>
            </w:tcBorders>
          </w:tcPr>
          <w:p>
            <w:pPr>
              <w:jc w:val="right"/>
              <w:ind w:right="267"/>
              <w:spacing w:after="0"/>
              <w:rPr>
                <w:sz w:val="20"/>
                <w:szCs w:val="20"/>
                <w:color w:val="auto"/>
              </w:rPr>
            </w:pPr>
            <w:r>
              <w:rPr>
                <w:rFonts w:ascii="Arial" w:cs="Arial" w:eastAsia="Arial" w:hAnsi="Arial"/>
                <w:sz w:val="15"/>
                <w:szCs w:val="15"/>
                <w:b w:val="1"/>
                <w:bCs w:val="1"/>
                <w:color w:val="auto"/>
              </w:rPr>
              <w:t>(21)</w:t>
            </w:r>
          </w:p>
        </w:tc>
        <w:tc>
          <w:tcPr>
            <w:tcW w:w="960" w:type="dxa"/>
            <w:vAlign w:val="bottom"/>
            <w:tcBorders>
              <w:bottom w:val="single" w:sz="8" w:color="6D6D6D"/>
            </w:tcBorders>
          </w:tcPr>
          <w:p>
            <w:pPr>
              <w:jc w:val="right"/>
              <w:ind w:right="7"/>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406"/>
        </w:trPr>
        <w:tc>
          <w:tcPr>
            <w:tcW w:w="4740" w:type="dxa"/>
            <w:vAlign w:val="bottom"/>
          </w:tcPr>
          <w:p>
            <w:pPr>
              <w:ind w:left="60"/>
              <w:spacing w:after="0"/>
              <w:rPr>
                <w:sz w:val="20"/>
                <w:szCs w:val="20"/>
                <w:color w:val="auto"/>
              </w:rPr>
            </w:pPr>
            <w:r>
              <w:rPr>
                <w:rFonts w:ascii="Arial" w:cs="Arial" w:eastAsia="Arial" w:hAnsi="Arial"/>
                <w:sz w:val="15"/>
                <w:szCs w:val="15"/>
                <w:b w:val="1"/>
                <w:bCs w:val="1"/>
                <w:color w:val="auto"/>
              </w:rPr>
              <w:t>Change in cash</w:t>
            </w:r>
          </w:p>
        </w:tc>
        <w:tc>
          <w:tcPr>
            <w:tcW w:w="1560" w:type="dxa"/>
            <w:vAlign w:val="bottom"/>
          </w:tcPr>
          <w:p>
            <w:pPr>
              <w:spacing w:after="0"/>
              <w:rPr>
                <w:sz w:val="24"/>
                <w:szCs w:val="24"/>
                <w:color w:val="auto"/>
              </w:rPr>
            </w:pPr>
          </w:p>
        </w:tc>
        <w:tc>
          <w:tcPr>
            <w:tcW w:w="1600" w:type="dxa"/>
            <w:vAlign w:val="bottom"/>
          </w:tcPr>
          <w:p>
            <w:pPr>
              <w:jc w:val="right"/>
              <w:ind w:right="347"/>
              <w:spacing w:after="0"/>
              <w:rPr>
                <w:sz w:val="20"/>
                <w:szCs w:val="20"/>
                <w:color w:val="auto"/>
              </w:rPr>
            </w:pPr>
            <w:r>
              <w:rPr>
                <w:rFonts w:ascii="Arial" w:cs="Arial" w:eastAsia="Arial" w:hAnsi="Arial"/>
                <w:sz w:val="15"/>
                <w:szCs w:val="15"/>
                <w:b w:val="1"/>
                <w:bCs w:val="1"/>
                <w:color w:val="auto"/>
              </w:rPr>
              <w:t>(11,599)</w:t>
            </w:r>
          </w:p>
        </w:tc>
        <w:tc>
          <w:tcPr>
            <w:tcW w:w="880" w:type="dxa"/>
            <w:vAlign w:val="bottom"/>
          </w:tcPr>
          <w:p>
            <w:pPr>
              <w:jc w:val="right"/>
              <w:spacing w:after="0"/>
              <w:rPr>
                <w:sz w:val="20"/>
                <w:szCs w:val="20"/>
                <w:color w:val="auto"/>
              </w:rPr>
            </w:pPr>
            <w:r>
              <w:rPr>
                <w:rFonts w:ascii="Arial" w:cs="Arial" w:eastAsia="Arial" w:hAnsi="Arial"/>
                <w:sz w:val="15"/>
                <w:szCs w:val="15"/>
                <w:color w:val="auto"/>
              </w:rPr>
              <w:t>36,160</w:t>
            </w:r>
          </w:p>
        </w:tc>
        <w:tc>
          <w:tcPr>
            <w:tcW w:w="1520" w:type="dxa"/>
            <w:vAlign w:val="bottom"/>
          </w:tcPr>
          <w:p>
            <w:pPr>
              <w:jc w:val="right"/>
              <w:ind w:right="267"/>
              <w:spacing w:after="0"/>
              <w:rPr>
                <w:sz w:val="20"/>
                <w:szCs w:val="20"/>
                <w:color w:val="auto"/>
              </w:rPr>
            </w:pPr>
            <w:r>
              <w:rPr>
                <w:rFonts w:ascii="Arial" w:cs="Arial" w:eastAsia="Arial" w:hAnsi="Arial"/>
                <w:sz w:val="15"/>
                <w:szCs w:val="15"/>
                <w:b w:val="1"/>
                <w:bCs w:val="1"/>
                <w:color w:val="auto"/>
              </w:rPr>
              <w:t>(446)</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38,483</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Cash and cash equivalents, beginning of period</w:t>
            </w:r>
          </w:p>
        </w:tc>
        <w:tc>
          <w:tcPr>
            <w:tcW w:w="1560" w:type="dxa"/>
            <w:vAlign w:val="bottom"/>
            <w:tcBorders>
              <w:bottom w:val="single" w:sz="8" w:color="auto"/>
            </w:tcBorders>
          </w:tcPr>
          <w:p>
            <w:pPr>
              <w:spacing w:after="0"/>
              <w:rPr>
                <w:sz w:val="17"/>
                <w:szCs w:val="17"/>
                <w:color w:val="auto"/>
              </w:rPr>
            </w:pPr>
          </w:p>
        </w:tc>
        <w:tc>
          <w:tcPr>
            <w:tcW w:w="1600" w:type="dxa"/>
            <w:vAlign w:val="bottom"/>
            <w:tcBorders>
              <w:bottom w:val="single" w:sz="8" w:color="6D6D6D"/>
            </w:tcBorders>
          </w:tcPr>
          <w:p>
            <w:pPr>
              <w:jc w:val="right"/>
              <w:ind w:right="347"/>
              <w:spacing w:after="0"/>
              <w:rPr>
                <w:sz w:val="20"/>
                <w:szCs w:val="20"/>
                <w:color w:val="auto"/>
              </w:rPr>
            </w:pPr>
            <w:r>
              <w:rPr>
                <w:rFonts w:ascii="Arial" w:cs="Arial" w:eastAsia="Arial" w:hAnsi="Arial"/>
                <w:sz w:val="15"/>
                <w:szCs w:val="15"/>
                <w:b w:val="1"/>
                <w:bCs w:val="1"/>
                <w:color w:val="auto"/>
              </w:rPr>
              <w:t>75,179</w:t>
            </w:r>
          </w:p>
        </w:tc>
        <w:tc>
          <w:tcPr>
            <w:tcW w:w="880" w:type="dxa"/>
            <w:vAlign w:val="bottom"/>
            <w:tcBorders>
              <w:bottom w:val="single" w:sz="8" w:color="6D6D6D"/>
            </w:tcBorders>
          </w:tcPr>
          <w:p>
            <w:pPr>
              <w:jc w:val="right"/>
              <w:spacing w:after="0"/>
              <w:rPr>
                <w:sz w:val="20"/>
                <w:szCs w:val="20"/>
                <w:color w:val="auto"/>
              </w:rPr>
            </w:pPr>
            <w:r>
              <w:rPr>
                <w:rFonts w:ascii="Arial" w:cs="Arial" w:eastAsia="Arial" w:hAnsi="Arial"/>
                <w:sz w:val="15"/>
                <w:szCs w:val="15"/>
                <w:color w:val="auto"/>
              </w:rPr>
              <w:t>3,868</w:t>
            </w:r>
          </w:p>
        </w:tc>
        <w:tc>
          <w:tcPr>
            <w:tcW w:w="1520" w:type="dxa"/>
            <w:vAlign w:val="bottom"/>
            <w:tcBorders>
              <w:bottom w:val="single" w:sz="8" w:color="6D6D6D"/>
            </w:tcBorders>
          </w:tcPr>
          <w:p>
            <w:pPr>
              <w:jc w:val="right"/>
              <w:ind w:right="267"/>
              <w:spacing w:after="0"/>
              <w:rPr>
                <w:sz w:val="20"/>
                <w:szCs w:val="20"/>
                <w:color w:val="auto"/>
              </w:rPr>
            </w:pPr>
            <w:r>
              <w:rPr>
                <w:rFonts w:ascii="Arial" w:cs="Arial" w:eastAsia="Arial" w:hAnsi="Arial"/>
                <w:sz w:val="15"/>
                <w:szCs w:val="15"/>
                <w:b w:val="1"/>
                <w:bCs w:val="1"/>
                <w:color w:val="auto"/>
              </w:rPr>
              <w:t>64,026</w:t>
            </w:r>
          </w:p>
        </w:tc>
        <w:tc>
          <w:tcPr>
            <w:tcW w:w="960" w:type="dxa"/>
            <w:vAlign w:val="bottom"/>
            <w:tcBorders>
              <w:bottom w:val="single" w:sz="8" w:color="6D6D6D"/>
            </w:tcBorders>
          </w:tcPr>
          <w:p>
            <w:pPr>
              <w:jc w:val="right"/>
              <w:ind w:right="7"/>
              <w:spacing w:after="0"/>
              <w:rPr>
                <w:sz w:val="20"/>
                <w:szCs w:val="20"/>
                <w:color w:val="auto"/>
              </w:rPr>
            </w:pPr>
            <w:r>
              <w:rPr>
                <w:rFonts w:ascii="Arial" w:cs="Arial" w:eastAsia="Arial" w:hAnsi="Arial"/>
                <w:sz w:val="15"/>
                <w:szCs w:val="15"/>
                <w:color w:val="auto"/>
              </w:rPr>
              <w:t>1,545</w:t>
            </w:r>
          </w:p>
        </w:tc>
        <w:tc>
          <w:tcPr>
            <w:tcW w:w="0" w:type="dxa"/>
            <w:vAlign w:val="bottom"/>
          </w:tcPr>
          <w:p>
            <w:pPr>
              <w:spacing w:after="0"/>
              <w:rPr>
                <w:sz w:val="1"/>
                <w:szCs w:val="1"/>
                <w:color w:val="auto"/>
              </w:rPr>
            </w:pPr>
          </w:p>
        </w:tc>
      </w:tr>
      <w:tr>
        <w:trPr>
          <w:trHeight w:val="190"/>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Cash and cash equivalents, end of period</w:t>
            </w:r>
          </w:p>
        </w:tc>
        <w:tc>
          <w:tcPr>
            <w:tcW w:w="15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63,580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40,028</w:t>
            </w:r>
          </w:p>
        </w:tc>
        <w:tc>
          <w:tcPr>
            <w:tcW w:w="15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63,580</w:t>
            </w: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40,028</w:t>
            </w: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sectPr>
      </w:pPr>
    </w:p>
    <w:bookmarkStart w:id="9" w:name="page10"/>
    <w:bookmarkEnd w:id="9"/>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2" w:hanging="322"/>
        <w:spacing w:after="0"/>
        <w:tabs>
          <w:tab w:leader="none" w:pos="322" w:val="left"/>
        </w:tabs>
        <w:numPr>
          <w:ilvl w:val="0"/>
          <w:numId w:val="1"/>
        </w:numPr>
        <w:rPr>
          <w:rFonts w:ascii="Arial" w:cs="Arial" w:eastAsia="Arial" w:hAnsi="Arial"/>
          <w:sz w:val="16"/>
          <w:szCs w:val="16"/>
          <w:b w:val="1"/>
          <w:bCs w:val="1"/>
          <w:color w:val="2D5F91"/>
        </w:rPr>
      </w:pPr>
      <w:r>
        <w:rPr>
          <w:rFonts w:ascii="Arial" w:cs="Arial" w:eastAsia="Arial" w:hAnsi="Arial"/>
          <w:sz w:val="16"/>
          <w:szCs w:val="16"/>
          <w:b w:val="1"/>
          <w:bCs w:val="1"/>
          <w:color w:val="2D5F91"/>
        </w:rPr>
        <w:t>CORPORATE INFORMATION AND CONTINUANCE OF OPERATIONS</w:t>
      </w:r>
    </w:p>
    <w:p>
      <w:pPr>
        <w:spacing w:after="0" w:line="203"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Cybin Inc. (“Cybin”), was incorporated under the Business Corporations Act (British Columbia) on October 13, 2016. These condensed interim consolidated financial statements include the accounts of Cybin’s six subsidiaries (together, with Cybin, the “Company”): Cybin Corp., Natures Journey Inc. (“Journey”), Serenity Life Sciences Inc. (“Serenity”), Cybin US Holdings Inc. (“Cybin US”), Adelia Therapeutics Inc. (“Adelia”) and Cybin IRL Limited. Cybin’s head office, principal address and registered address and records office is 100 King Street West, Suite 5600, Toronto, Ontario M5X 1C9.</w:t>
      </w:r>
    </w:p>
    <w:p>
      <w:pPr>
        <w:spacing w:after="0" w:line="144"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Cybin carries on business through its wholly owned subsidiary Cybin Corp., which was incorporated under the Business Corporations Act (Ontario) on October 22, 2019. The Company is a biotechnology company focused on progressing psychedelic therapeutics. The Company is structuring and supporting clinical studies in North America and other regions, through strategic academic and institutional partnerships and plans to launch psilocybin-based products in jurisdictions where the substance is not banned.</w:t>
      </w:r>
    </w:p>
    <w:p>
      <w:pPr>
        <w:spacing w:after="0" w:line="144"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These condensed interim consolidated financial statements as at, and for the three and nine months ended December 31, 2021 were approved and authorized for issue by the board of directors on February 9, 2022.</w:t>
      </w:r>
    </w:p>
    <w:p>
      <w:pPr>
        <w:spacing w:after="0" w:line="129"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COVID 19</w:t>
      </w:r>
    </w:p>
    <w:p>
      <w:pPr>
        <w:spacing w:after="0" w:line="191" w:lineRule="exact"/>
        <w:rPr>
          <w:sz w:val="20"/>
          <w:szCs w:val="20"/>
          <w:color w:val="auto"/>
        </w:rPr>
      </w:pPr>
    </w:p>
    <w:p>
      <w:pPr>
        <w:jc w:val="both"/>
        <w:ind w:left="302"/>
        <w:spacing w:after="0" w:line="257" w:lineRule="auto"/>
        <w:rPr>
          <w:sz w:val="20"/>
          <w:szCs w:val="20"/>
          <w:color w:val="auto"/>
        </w:rPr>
      </w:pPr>
      <w:r>
        <w:rPr>
          <w:rFonts w:ascii="Arial" w:cs="Arial" w:eastAsia="Arial" w:hAnsi="Arial"/>
          <w:sz w:val="16"/>
          <w:szCs w:val="16"/>
          <w:color w:val="auto"/>
        </w:rPr>
        <w:t>In March 2020, the outbreak of the novel strain of coronavirus, specifically identified as “COVID-19”,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in future periods.</w:t>
      </w:r>
    </w:p>
    <w:p>
      <w:pPr>
        <w:spacing w:after="0" w:line="130"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Stock exchange listing</w:t>
      </w:r>
    </w:p>
    <w:p>
      <w:pPr>
        <w:spacing w:after="0" w:line="203" w:lineRule="exact"/>
        <w:rPr>
          <w:sz w:val="20"/>
          <w:szCs w:val="20"/>
          <w:color w:val="auto"/>
        </w:rPr>
      </w:pPr>
    </w:p>
    <w:p>
      <w:pPr>
        <w:ind w:left="302"/>
        <w:spacing w:after="0"/>
        <w:rPr>
          <w:sz w:val="20"/>
          <w:szCs w:val="20"/>
          <w:color w:val="auto"/>
        </w:rPr>
      </w:pPr>
      <w:r>
        <w:rPr>
          <w:rFonts w:ascii="Arial" w:cs="Arial" w:eastAsia="Arial" w:hAnsi="Arial"/>
          <w:sz w:val="16"/>
          <w:szCs w:val="16"/>
          <w:color w:val="auto"/>
        </w:rPr>
        <w:t>Cybin’s common shares (“Common Shares”) are listed for trading on the Neo Exchange Inc. and NYSE American LLC under the symbol “CYBN”.</w:t>
      </w:r>
    </w:p>
    <w:p>
      <w:pPr>
        <w:spacing w:after="0" w:line="151"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Acquisition</w:t>
      </w:r>
    </w:p>
    <w:p>
      <w:pPr>
        <w:spacing w:after="0" w:line="191"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On December 14, 2020, the Company completed its acquisition of Adelia by issuing class B common shares of Cybin US (“Class B Shares”) that are exchangeable into Common Shares (the “Adelia Transaction”) (see note 7(b)). The Class B Shares were issued in place of Common Shares to permit the deferral of US tax by the former shareholders of Adelia (the “Former Adelia Shareholders”). These condensed interim consolidated financial statements reflect the Class B Shares as if they have already been exchanged for Common Shares.</w:t>
      </w:r>
    </w:p>
    <w:p>
      <w:pPr>
        <w:spacing w:after="0" w:line="137" w:lineRule="exact"/>
        <w:rPr>
          <w:sz w:val="20"/>
          <w:szCs w:val="20"/>
          <w:color w:val="auto"/>
        </w:rPr>
      </w:pPr>
    </w:p>
    <w:p>
      <w:pPr>
        <w:ind w:left="322" w:hanging="322"/>
        <w:spacing w:after="0"/>
        <w:tabs>
          <w:tab w:leader="none" w:pos="322" w:val="left"/>
        </w:tabs>
        <w:numPr>
          <w:ilvl w:val="0"/>
          <w:numId w:val="2"/>
        </w:numPr>
        <w:rPr>
          <w:rFonts w:ascii="Arial" w:cs="Arial" w:eastAsia="Arial" w:hAnsi="Arial"/>
          <w:sz w:val="16"/>
          <w:szCs w:val="16"/>
          <w:b w:val="1"/>
          <w:bCs w:val="1"/>
          <w:color w:val="2D5F91"/>
        </w:rPr>
      </w:pPr>
      <w:r>
        <w:rPr>
          <w:rFonts w:ascii="Arial" w:cs="Arial" w:eastAsia="Arial" w:hAnsi="Arial"/>
          <w:sz w:val="16"/>
          <w:szCs w:val="16"/>
          <w:b w:val="1"/>
          <w:bCs w:val="1"/>
          <w:color w:val="2D5F91"/>
        </w:rPr>
        <w:t>SIGNIFICANT ACCOUNTING POLICIES AND BASIS OF PREPARATION</w:t>
      </w:r>
    </w:p>
    <w:p>
      <w:pPr>
        <w:spacing w:after="0" w:line="171"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Statement of compliance</w:t>
      </w:r>
    </w:p>
    <w:p>
      <w:pPr>
        <w:spacing w:after="0" w:line="191"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These condensed interim consolidated financial statements for the three and nine months ended December 31, 2021 have been prepared in accordance with International Accounting Standard 34 “Interim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7 of 25</w:t>
      </w:r>
    </w:p>
    <w:p>
      <w:pPr>
        <w:sectPr>
          <w:pgSz w:w="11900" w:h="16838" w:orient="portrait"/>
          <w:cols w:equalWidth="0" w:num="1">
            <w:col w:w="11242"/>
          </w:cols>
          <w:pgMar w:left="318" w:top="171"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Financial Reporting”. Accordingly, certain information and footnote disclosure normally included in annual financial statements prepared in accordance with International Financial Reporting Standards (“IFRS”) have been omitted or condensed.</w:t>
      </w:r>
    </w:p>
    <w:p>
      <w:pPr>
        <w:spacing w:after="0" w:line="149"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The accounting policies adopted in the preparation of the condensed interim consolidated financial statements are consistent with those set out in note 2 “Significant accounting policies and basis of preparation” of the Company’s annual consolidated financial statements for the year ended March 31, 2021.</w:t>
      </w:r>
    </w:p>
    <w:p>
      <w:pPr>
        <w:spacing w:after="0" w:line="332"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These condensed interim consolidated financial statements should be read in conjunction with the consolidated financial statements for the year ended March 31, 2021.</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u w:val="single" w:color="auto"/>
          <w:color w:val="auto"/>
        </w:rPr>
        <w:t>Basis of measurement</w:t>
      </w:r>
    </w:p>
    <w:p>
      <w:pPr>
        <w:spacing w:after="0" w:line="203"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These condensed interim consolidated financial statements have been prepared on a going concern basis, under the historical cost convention, except for certain financial instruments classified at fair value upon initial recognition.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u w:val="single" w:color="auto"/>
          <w:color w:val="auto"/>
        </w:rPr>
        <w:t>Functional and presentation currency</w:t>
      </w:r>
    </w:p>
    <w:p>
      <w:pPr>
        <w:spacing w:after="0" w:line="191"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The functional currency of a company is the currency of the primary economic environment in which the company operates. The presentation currency for a company is the currency in which the company chooses to present its financial statements.</w:t>
      </w:r>
    </w:p>
    <w:p>
      <w:pPr>
        <w:spacing w:after="0" w:line="149"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These condensed interim consolidated financial statements are presented in Canadian dollars, the Company’s presentation currency. The Company’s and its subsidiaries functional currencies are as follows:</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Entity</w:t>
            </w:r>
          </w:p>
        </w:tc>
        <w:tc>
          <w:tcPr>
            <w:tcW w:w="348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Currency</w:t>
            </w:r>
          </w:p>
        </w:tc>
        <w:tc>
          <w:tcPr>
            <w:tcW w:w="4640" w:type="dxa"/>
            <w:vAlign w:val="bottom"/>
            <w:tcBorders>
              <w:bottom w:val="single" w:sz="8" w:color="auto"/>
            </w:tcBorders>
          </w:tcPr>
          <w:p>
            <w:pPr>
              <w:ind w:left="1140"/>
              <w:spacing w:after="0"/>
              <w:rPr>
                <w:sz w:val="20"/>
                <w:szCs w:val="20"/>
                <w:color w:val="auto"/>
              </w:rPr>
            </w:pPr>
            <w:r>
              <w:rPr>
                <w:rFonts w:ascii="Arial" w:cs="Arial" w:eastAsia="Arial" w:hAnsi="Arial"/>
                <w:sz w:val="16"/>
                <w:szCs w:val="16"/>
                <w:b w:val="1"/>
                <w:bCs w:val="1"/>
                <w:color w:val="auto"/>
              </w:rPr>
              <w:t>Ownership</w:t>
            </w:r>
          </w:p>
        </w:tc>
      </w:tr>
      <w:tr>
        <w:trPr>
          <w:trHeight w:val="200"/>
        </w:trPr>
        <w:tc>
          <w:tcPr>
            <w:tcW w:w="2400" w:type="dxa"/>
            <w:vAlign w:val="bottom"/>
          </w:tcPr>
          <w:p>
            <w:pPr>
              <w:spacing w:after="0"/>
              <w:rPr>
                <w:sz w:val="20"/>
                <w:szCs w:val="20"/>
                <w:color w:val="auto"/>
              </w:rPr>
            </w:pPr>
            <w:r>
              <w:rPr>
                <w:rFonts w:ascii="Arial" w:cs="Arial" w:eastAsia="Arial" w:hAnsi="Arial"/>
                <w:sz w:val="16"/>
                <w:szCs w:val="16"/>
                <w:color w:val="auto"/>
              </w:rPr>
              <w:t>Cybin Corp.</w:t>
            </w:r>
          </w:p>
        </w:tc>
        <w:tc>
          <w:tcPr>
            <w:tcW w:w="3480" w:type="dxa"/>
            <w:vAlign w:val="bottom"/>
          </w:tcPr>
          <w:p>
            <w:pPr>
              <w:ind w:left="1120"/>
              <w:spacing w:after="0"/>
              <w:rPr>
                <w:sz w:val="20"/>
                <w:szCs w:val="20"/>
                <w:color w:val="auto"/>
              </w:rPr>
            </w:pPr>
            <w:r>
              <w:rPr>
                <w:rFonts w:ascii="Arial" w:cs="Arial" w:eastAsia="Arial" w:hAnsi="Arial"/>
                <w:sz w:val="16"/>
                <w:szCs w:val="16"/>
                <w:color w:val="auto"/>
              </w:rPr>
              <w:t>Canadian dollars</w:t>
            </w:r>
          </w:p>
        </w:tc>
        <w:tc>
          <w:tcPr>
            <w:tcW w:w="4640" w:type="dxa"/>
            <w:vAlign w:val="bottom"/>
          </w:tcPr>
          <w:p>
            <w:pPr>
              <w:ind w:left="1140"/>
              <w:spacing w:after="0"/>
              <w:rPr>
                <w:sz w:val="20"/>
                <w:szCs w:val="20"/>
                <w:color w:val="auto"/>
              </w:rPr>
            </w:pPr>
            <w:r>
              <w:rPr>
                <w:rFonts w:ascii="Arial" w:cs="Arial" w:eastAsia="Arial" w:hAnsi="Arial"/>
                <w:sz w:val="16"/>
                <w:szCs w:val="16"/>
                <w:color w:val="auto"/>
              </w:rPr>
              <w:t>100%</w:t>
            </w:r>
          </w:p>
        </w:tc>
      </w:tr>
      <w:tr>
        <w:trPr>
          <w:trHeight w:val="208"/>
        </w:trPr>
        <w:tc>
          <w:tcPr>
            <w:tcW w:w="2400" w:type="dxa"/>
            <w:vAlign w:val="bottom"/>
          </w:tcPr>
          <w:p>
            <w:pPr>
              <w:spacing w:after="0"/>
              <w:rPr>
                <w:sz w:val="20"/>
                <w:szCs w:val="20"/>
                <w:color w:val="auto"/>
              </w:rPr>
            </w:pPr>
            <w:r>
              <w:rPr>
                <w:rFonts w:ascii="Arial" w:cs="Arial" w:eastAsia="Arial" w:hAnsi="Arial"/>
                <w:sz w:val="16"/>
                <w:szCs w:val="16"/>
                <w:color w:val="auto"/>
              </w:rPr>
              <w:t>Journey</w:t>
            </w:r>
          </w:p>
        </w:tc>
        <w:tc>
          <w:tcPr>
            <w:tcW w:w="3480" w:type="dxa"/>
            <w:vAlign w:val="bottom"/>
          </w:tcPr>
          <w:p>
            <w:pPr>
              <w:ind w:left="1120"/>
              <w:spacing w:after="0"/>
              <w:rPr>
                <w:sz w:val="20"/>
                <w:szCs w:val="20"/>
                <w:color w:val="auto"/>
              </w:rPr>
            </w:pPr>
            <w:r>
              <w:rPr>
                <w:rFonts w:ascii="Arial" w:cs="Arial" w:eastAsia="Arial" w:hAnsi="Arial"/>
                <w:sz w:val="16"/>
                <w:szCs w:val="16"/>
                <w:color w:val="auto"/>
              </w:rPr>
              <w:t>Canadian dollars</w:t>
            </w:r>
          </w:p>
        </w:tc>
        <w:tc>
          <w:tcPr>
            <w:tcW w:w="4640" w:type="dxa"/>
            <w:vAlign w:val="bottom"/>
          </w:tcPr>
          <w:p>
            <w:pPr>
              <w:ind w:left="1140"/>
              <w:spacing w:after="0"/>
              <w:rPr>
                <w:sz w:val="20"/>
                <w:szCs w:val="20"/>
                <w:color w:val="auto"/>
              </w:rPr>
            </w:pPr>
            <w:r>
              <w:rPr>
                <w:rFonts w:ascii="Arial" w:cs="Arial" w:eastAsia="Arial" w:hAnsi="Arial"/>
                <w:sz w:val="16"/>
                <w:szCs w:val="16"/>
                <w:color w:val="auto"/>
              </w:rPr>
              <w:t>100%</w:t>
            </w:r>
          </w:p>
        </w:tc>
      </w:tr>
      <w:tr>
        <w:trPr>
          <w:trHeight w:val="208"/>
        </w:trPr>
        <w:tc>
          <w:tcPr>
            <w:tcW w:w="2400" w:type="dxa"/>
            <w:vAlign w:val="bottom"/>
          </w:tcPr>
          <w:p>
            <w:pPr>
              <w:spacing w:after="0"/>
              <w:rPr>
                <w:sz w:val="20"/>
                <w:szCs w:val="20"/>
                <w:color w:val="auto"/>
              </w:rPr>
            </w:pPr>
            <w:r>
              <w:rPr>
                <w:rFonts w:ascii="Arial" w:cs="Arial" w:eastAsia="Arial" w:hAnsi="Arial"/>
                <w:sz w:val="16"/>
                <w:szCs w:val="16"/>
                <w:color w:val="auto"/>
              </w:rPr>
              <w:t>Serenity</w:t>
            </w:r>
          </w:p>
        </w:tc>
        <w:tc>
          <w:tcPr>
            <w:tcW w:w="3480" w:type="dxa"/>
            <w:vAlign w:val="bottom"/>
          </w:tcPr>
          <w:p>
            <w:pPr>
              <w:ind w:left="1120"/>
              <w:spacing w:after="0"/>
              <w:rPr>
                <w:sz w:val="20"/>
                <w:szCs w:val="20"/>
                <w:color w:val="auto"/>
              </w:rPr>
            </w:pPr>
            <w:r>
              <w:rPr>
                <w:rFonts w:ascii="Arial" w:cs="Arial" w:eastAsia="Arial" w:hAnsi="Arial"/>
                <w:sz w:val="16"/>
                <w:szCs w:val="16"/>
                <w:color w:val="auto"/>
              </w:rPr>
              <w:t>Canadian dollars</w:t>
            </w:r>
          </w:p>
        </w:tc>
        <w:tc>
          <w:tcPr>
            <w:tcW w:w="4640" w:type="dxa"/>
            <w:vAlign w:val="bottom"/>
          </w:tcPr>
          <w:p>
            <w:pPr>
              <w:ind w:left="1140"/>
              <w:spacing w:after="0"/>
              <w:rPr>
                <w:sz w:val="20"/>
                <w:szCs w:val="20"/>
                <w:color w:val="auto"/>
              </w:rPr>
            </w:pPr>
            <w:r>
              <w:rPr>
                <w:rFonts w:ascii="Arial" w:cs="Arial" w:eastAsia="Arial" w:hAnsi="Arial"/>
                <w:sz w:val="16"/>
                <w:szCs w:val="16"/>
                <w:color w:val="auto"/>
              </w:rPr>
              <w:t>100%</w:t>
            </w:r>
          </w:p>
        </w:tc>
      </w:tr>
      <w:tr>
        <w:trPr>
          <w:trHeight w:val="257"/>
        </w:trPr>
        <w:tc>
          <w:tcPr>
            <w:tcW w:w="2400" w:type="dxa"/>
            <w:vAlign w:val="bottom"/>
          </w:tcPr>
          <w:p>
            <w:pPr>
              <w:spacing w:after="0"/>
              <w:rPr>
                <w:sz w:val="20"/>
                <w:szCs w:val="20"/>
                <w:color w:val="auto"/>
              </w:rPr>
            </w:pPr>
            <w:r>
              <w:rPr>
                <w:rFonts w:ascii="Arial" w:cs="Arial" w:eastAsia="Arial" w:hAnsi="Arial"/>
                <w:sz w:val="16"/>
                <w:szCs w:val="16"/>
                <w:color w:val="auto"/>
              </w:rPr>
              <w:t>Cybin US</w:t>
            </w:r>
          </w:p>
        </w:tc>
        <w:tc>
          <w:tcPr>
            <w:tcW w:w="3480" w:type="dxa"/>
            <w:vAlign w:val="bottom"/>
          </w:tcPr>
          <w:p>
            <w:pPr>
              <w:ind w:left="1120"/>
              <w:spacing w:after="0"/>
              <w:rPr>
                <w:sz w:val="20"/>
                <w:szCs w:val="20"/>
                <w:color w:val="auto"/>
              </w:rPr>
            </w:pPr>
            <w:r>
              <w:rPr>
                <w:rFonts w:ascii="Arial" w:cs="Arial" w:eastAsia="Arial" w:hAnsi="Arial"/>
                <w:sz w:val="16"/>
                <w:szCs w:val="16"/>
                <w:color w:val="auto"/>
              </w:rPr>
              <w:t>Canadian dollars</w:t>
            </w:r>
          </w:p>
        </w:tc>
        <w:tc>
          <w:tcPr>
            <w:tcW w:w="4640" w:type="dxa"/>
            <w:vAlign w:val="bottom"/>
          </w:tcPr>
          <w:p>
            <w:pPr>
              <w:ind w:left="1200"/>
              <w:spacing w:after="0"/>
              <w:rPr>
                <w:sz w:val="20"/>
                <w:szCs w:val="20"/>
                <w:color w:val="auto"/>
              </w:rPr>
            </w:pPr>
            <w:r>
              <w:rPr>
                <w:rFonts w:ascii="Arial" w:cs="Arial" w:eastAsia="Arial" w:hAnsi="Arial"/>
                <w:sz w:val="16"/>
                <w:szCs w:val="16"/>
                <w:color w:val="auto"/>
              </w:rPr>
              <w:t>100%</w:t>
            </w:r>
            <w:r>
              <w:rPr>
                <w:rFonts w:ascii="Arial" w:cs="Arial" w:eastAsia="Arial" w:hAnsi="Arial"/>
                <w:sz w:val="21"/>
                <w:szCs w:val="21"/>
                <w:color w:val="auto"/>
                <w:vertAlign w:val="superscript"/>
              </w:rPr>
              <w:t>1</w:t>
            </w:r>
          </w:p>
        </w:tc>
      </w:tr>
      <w:tr>
        <w:trPr>
          <w:trHeight w:val="196"/>
        </w:trPr>
        <w:tc>
          <w:tcPr>
            <w:tcW w:w="2400" w:type="dxa"/>
            <w:vAlign w:val="bottom"/>
          </w:tcPr>
          <w:p>
            <w:pPr>
              <w:spacing w:after="0"/>
              <w:rPr>
                <w:sz w:val="20"/>
                <w:szCs w:val="20"/>
                <w:color w:val="auto"/>
              </w:rPr>
            </w:pPr>
            <w:r>
              <w:rPr>
                <w:rFonts w:ascii="Arial" w:cs="Arial" w:eastAsia="Arial" w:hAnsi="Arial"/>
                <w:sz w:val="16"/>
                <w:szCs w:val="16"/>
                <w:color w:val="auto"/>
              </w:rPr>
              <w:t>Adelia</w:t>
            </w:r>
          </w:p>
        </w:tc>
        <w:tc>
          <w:tcPr>
            <w:tcW w:w="3480" w:type="dxa"/>
            <w:vAlign w:val="bottom"/>
          </w:tcPr>
          <w:p>
            <w:pPr>
              <w:ind w:left="1120"/>
              <w:spacing w:after="0"/>
              <w:rPr>
                <w:sz w:val="20"/>
                <w:szCs w:val="20"/>
                <w:color w:val="auto"/>
              </w:rPr>
            </w:pPr>
            <w:r>
              <w:rPr>
                <w:rFonts w:ascii="Arial" w:cs="Arial" w:eastAsia="Arial" w:hAnsi="Arial"/>
                <w:sz w:val="16"/>
                <w:szCs w:val="16"/>
                <w:color w:val="auto"/>
              </w:rPr>
              <w:t>U.S. dollars</w:t>
            </w:r>
          </w:p>
        </w:tc>
        <w:tc>
          <w:tcPr>
            <w:tcW w:w="4640" w:type="dxa"/>
            <w:vAlign w:val="bottom"/>
          </w:tcPr>
          <w:p>
            <w:pPr>
              <w:ind w:left="1140"/>
              <w:spacing w:after="0"/>
              <w:rPr>
                <w:sz w:val="20"/>
                <w:szCs w:val="20"/>
                <w:color w:val="auto"/>
              </w:rPr>
            </w:pPr>
            <w:r>
              <w:rPr>
                <w:rFonts w:ascii="Arial" w:cs="Arial" w:eastAsia="Arial" w:hAnsi="Arial"/>
                <w:sz w:val="16"/>
                <w:szCs w:val="16"/>
                <w:color w:val="auto"/>
              </w:rPr>
              <w:t>100%</w:t>
            </w:r>
          </w:p>
        </w:tc>
      </w:tr>
      <w:tr>
        <w:trPr>
          <w:trHeight w:val="220"/>
        </w:trPr>
        <w:tc>
          <w:tcPr>
            <w:tcW w:w="2400" w:type="dxa"/>
            <w:vAlign w:val="bottom"/>
          </w:tcPr>
          <w:p>
            <w:pPr>
              <w:spacing w:after="0"/>
              <w:rPr>
                <w:sz w:val="20"/>
                <w:szCs w:val="20"/>
                <w:color w:val="auto"/>
              </w:rPr>
            </w:pPr>
            <w:r>
              <w:rPr>
                <w:rFonts w:ascii="Arial" w:cs="Arial" w:eastAsia="Arial" w:hAnsi="Arial"/>
                <w:sz w:val="16"/>
                <w:szCs w:val="16"/>
                <w:color w:val="auto"/>
              </w:rPr>
              <w:t>Cybin IRL Limited</w:t>
            </w:r>
          </w:p>
        </w:tc>
        <w:tc>
          <w:tcPr>
            <w:tcW w:w="3480" w:type="dxa"/>
            <w:vAlign w:val="bottom"/>
          </w:tcPr>
          <w:p>
            <w:pPr>
              <w:ind w:left="1120"/>
              <w:spacing w:after="0"/>
              <w:rPr>
                <w:sz w:val="20"/>
                <w:szCs w:val="20"/>
                <w:color w:val="auto"/>
              </w:rPr>
            </w:pPr>
            <w:r>
              <w:rPr>
                <w:rFonts w:ascii="Arial" w:cs="Arial" w:eastAsia="Arial" w:hAnsi="Arial"/>
                <w:sz w:val="16"/>
                <w:szCs w:val="16"/>
                <w:color w:val="auto"/>
              </w:rPr>
              <w:t>U.S. dollars</w:t>
            </w:r>
          </w:p>
        </w:tc>
        <w:tc>
          <w:tcPr>
            <w:tcW w:w="4640" w:type="dxa"/>
            <w:vAlign w:val="bottom"/>
          </w:tcPr>
          <w:p>
            <w:pPr>
              <w:ind w:left="1200"/>
              <w:spacing w:after="0"/>
              <w:rPr>
                <w:sz w:val="20"/>
                <w:szCs w:val="20"/>
                <w:color w:val="auto"/>
              </w:rPr>
            </w:pPr>
            <w:r>
              <w:rPr>
                <w:rFonts w:ascii="Arial" w:cs="Arial" w:eastAsia="Arial" w:hAnsi="Arial"/>
                <w:sz w:val="16"/>
                <w:szCs w:val="16"/>
                <w:color w:val="auto"/>
              </w:rPr>
              <w:t>100%</w:t>
            </w:r>
          </w:p>
        </w:tc>
      </w:tr>
    </w:tbl>
    <w:p>
      <w:pPr>
        <w:spacing w:after="0" w:line="200" w:lineRule="exact"/>
        <w:rPr>
          <w:sz w:val="20"/>
          <w:szCs w:val="20"/>
          <w:color w:val="auto"/>
        </w:rPr>
      </w:pPr>
    </w:p>
    <w:p>
      <w:pPr>
        <w:spacing w:after="0" w:line="255" w:lineRule="exact"/>
        <w:rPr>
          <w:sz w:val="20"/>
          <w:szCs w:val="20"/>
          <w:color w:val="auto"/>
        </w:rPr>
      </w:pPr>
    </w:p>
    <w:p>
      <w:pPr>
        <w:ind w:left="320" w:hanging="89"/>
        <w:spacing w:after="0"/>
        <w:tabs>
          <w:tab w:leader="none" w:pos="32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For accounting purposes, Cybin US is a wholly-owned subsidiary of Cybin. Certain former shareholders of Adelia hold Class B Shares in Cybin US (see note 7(b)).</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u w:val="single" w:color="auto"/>
          <w:color w:val="auto"/>
        </w:rPr>
        <w:t>Significant accounting policies</w:t>
      </w:r>
    </w:p>
    <w:p>
      <w:pPr>
        <w:spacing w:after="0" w:line="203"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These condensed interim consolidated financial statements have been prepared using the same accounting policies and methods as those used in the Company’s annual consolidated financial statements for the year ended March 31, 2021.</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u w:val="single" w:color="auto"/>
          <w:color w:val="auto"/>
        </w:rPr>
        <w:t>Use of significant estimates and assumptions</w:t>
      </w:r>
    </w:p>
    <w:p>
      <w:pPr>
        <w:spacing w:after="0" w:line="191"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The preparation of financial statements in accordance with IAS 34 requires the use of certain significant estimates and assumptions. It also requires management to exercise judgment when applying the Company’s accounting policies. The critical accounting estimates and judgments have been set out in note 3 of the Company’s annual consolidated financial statements for the year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8 of 25</w:t>
      </w:r>
    </w:p>
    <w:p>
      <w:pPr>
        <w:sectPr>
          <w:pgSz w:w="11900" w:h="16838" w:orient="portrait"/>
          <w:cols w:equalWidth="0" w:num="1">
            <w:col w:w="11200"/>
          </w:cols>
          <w:pgMar w:left="380" w:top="171" w:right="319" w:bottom="1440" w:gutter="0" w:footer="0" w:header="0"/>
        </w:sectPr>
      </w:pPr>
    </w:p>
    <w:bookmarkStart w:id="11" w:name="page12"/>
    <w:bookmarkEnd w:id="11"/>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New standards and interpretations not yet adopted</w:t>
      </w:r>
    </w:p>
    <w:p>
      <w:pPr>
        <w:spacing w:after="0" w:line="203" w:lineRule="exact"/>
        <w:rPr>
          <w:sz w:val="20"/>
          <w:szCs w:val="20"/>
          <w:color w:val="auto"/>
        </w:rPr>
      </w:pPr>
    </w:p>
    <w:p>
      <w:pPr>
        <w:jc w:val="both"/>
        <w:ind w:left="302" w:right="20"/>
        <w:spacing w:after="0" w:line="262" w:lineRule="auto"/>
        <w:rPr>
          <w:sz w:val="20"/>
          <w:szCs w:val="20"/>
          <w:color w:val="auto"/>
        </w:rPr>
      </w:pPr>
      <w:r>
        <w:rPr>
          <w:rFonts w:ascii="Arial" w:cs="Arial" w:eastAsia="Arial" w:hAnsi="Arial"/>
          <w:sz w:val="16"/>
          <w:szCs w:val="16"/>
          <w:color w:val="auto"/>
        </w:rPr>
        <w:t>A number of new standards, amendments to standards and interpretations are not yet effective at December 31, 2021, and have not been applied in preparing these condensed interim consolidated financial statements. Management has determined that none of these will have a significant effect on these condensed interim consolidated financial statements of the Company.</w:t>
      </w:r>
    </w:p>
    <w:p>
      <w:pPr>
        <w:spacing w:after="0" w:line="124" w:lineRule="exact"/>
        <w:rPr>
          <w:sz w:val="20"/>
          <w:szCs w:val="20"/>
          <w:color w:val="auto"/>
        </w:rPr>
      </w:pPr>
    </w:p>
    <w:p>
      <w:pPr>
        <w:ind w:left="322" w:hanging="322"/>
        <w:spacing w:after="0"/>
        <w:tabs>
          <w:tab w:leader="none" w:pos="322" w:val="left"/>
        </w:tabs>
        <w:numPr>
          <w:ilvl w:val="0"/>
          <w:numId w:val="4"/>
        </w:numPr>
        <w:rPr>
          <w:rFonts w:ascii="Arial" w:cs="Arial" w:eastAsia="Arial" w:hAnsi="Arial"/>
          <w:sz w:val="16"/>
          <w:szCs w:val="16"/>
          <w:b w:val="1"/>
          <w:bCs w:val="1"/>
          <w:color w:val="2D5F91"/>
        </w:rPr>
      </w:pPr>
      <w:r>
        <w:rPr>
          <w:rFonts w:ascii="Arial" w:cs="Arial" w:eastAsia="Arial" w:hAnsi="Arial"/>
          <w:sz w:val="16"/>
          <w:szCs w:val="16"/>
          <w:b w:val="1"/>
          <w:bCs w:val="1"/>
          <w:color w:val="2D5F91"/>
        </w:rPr>
        <w:t>INVESTMENTS</w:t>
      </w:r>
    </w:p>
    <w:p>
      <w:pPr>
        <w:spacing w:after="0" w:line="191" w:lineRule="exact"/>
        <w:rPr>
          <w:sz w:val="20"/>
          <w:szCs w:val="20"/>
          <w:color w:val="auto"/>
        </w:rPr>
      </w:pPr>
    </w:p>
    <w:p>
      <w:pPr>
        <w:jc w:val="both"/>
        <w:ind w:left="302"/>
        <w:spacing w:after="0" w:line="256" w:lineRule="auto"/>
        <w:rPr>
          <w:sz w:val="20"/>
          <w:szCs w:val="20"/>
          <w:color w:val="auto"/>
        </w:rPr>
      </w:pPr>
      <w:r>
        <w:rPr>
          <w:rFonts w:ascii="Arial" w:cs="Arial" w:eastAsia="Arial" w:hAnsi="Arial"/>
          <w:sz w:val="16"/>
          <w:szCs w:val="16"/>
          <w:color w:val="auto"/>
        </w:rPr>
        <w:t>On June 8, 2021, the Company entered into a subscription agreement with RxLive Limited (“RxLive”) whereby the Company purchased $250 of 10.0% unsecured convertible redeemable debentures (the “Rx Debentures”). RxLive is a UK-based online platform that connects pharmacists and patients through a secure app that allows for pharmacist consultations, initial or renewal prescription fulfilment and delivery of prescription medication. The Rx Debentures mature and become due on June 8, 2022. The Rx Debentures are exchangeable or convertible into units at a price of equal to 80% of the offering price of any equity financing completed by 1301376 B.C. Ltd. (“Finco”) concurrent with a go public transaction. Each unit is to consist of one common share of Finco (a “Finco Share”) and one Finco Share purchase warrant, with each warrant being exercisable to acquire one Finco Share at a price equal to 125% of the conversion price (the “Rx Conversion Feature”). As a result of the transaction, the Company recorded a hybrid financial instrument representing the Rx Debentures and the Rx Conversion Feature (the “Rx Hybrid Instrument”). The fair value of the Rx Hybrid Instrument was $250 determined by the sum of the fair values of the Rx Debenture and Rx Conversion Feature derived respectively using the discounted cash flow approach and the Black-Scholes model.</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4440" w:type="dxa"/>
            <w:vAlign w:val="bottom"/>
            <w:gridSpan w:val="2"/>
          </w:tcPr>
          <w:p>
            <w:pPr>
              <w:spacing w:after="0"/>
              <w:rPr>
                <w:sz w:val="20"/>
                <w:szCs w:val="20"/>
                <w:color w:val="auto"/>
              </w:rPr>
            </w:pPr>
            <w:r>
              <w:rPr>
                <w:rFonts w:ascii="Arial" w:cs="Arial" w:eastAsia="Arial" w:hAnsi="Arial"/>
                <w:sz w:val="16"/>
                <w:szCs w:val="16"/>
                <w:b w:val="1"/>
                <w:bCs w:val="1"/>
                <w:color w:val="2D5F91"/>
              </w:rPr>
              <w:t>4.  EQUIPMENT</w:t>
            </w:r>
          </w:p>
        </w:tc>
        <w:tc>
          <w:tcPr>
            <w:tcW w:w="25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55"/>
        </w:trPr>
        <w:tc>
          <w:tcPr>
            <w:tcW w:w="3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Equipment consists as follows:</w:t>
            </w:r>
          </w:p>
        </w:tc>
        <w:tc>
          <w:tcPr>
            <w:tcW w:w="2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84"/>
        </w:trPr>
        <w:tc>
          <w:tcPr>
            <w:tcW w:w="3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6"/>
                <w:szCs w:val="16"/>
                <w:b w:val="1"/>
                <w:bCs w:val="1"/>
                <w:color w:val="auto"/>
              </w:rPr>
              <w:t>Cost</w:t>
            </w:r>
          </w:p>
        </w:tc>
        <w:tc>
          <w:tcPr>
            <w:tcW w:w="2580" w:type="dxa"/>
            <w:vAlign w:val="bottom"/>
          </w:tcPr>
          <w:p>
            <w:pPr>
              <w:jc w:val="right"/>
              <w:ind w:right="258"/>
              <w:spacing w:after="0"/>
              <w:rPr>
                <w:sz w:val="20"/>
                <w:szCs w:val="20"/>
                <w:color w:val="auto"/>
              </w:rPr>
            </w:pPr>
            <w:r>
              <w:rPr>
                <w:rFonts w:ascii="Arial" w:cs="Arial" w:eastAsia="Arial" w:hAnsi="Arial"/>
                <w:sz w:val="16"/>
                <w:szCs w:val="16"/>
                <w:b w:val="1"/>
                <w:bCs w:val="1"/>
                <w:color w:val="auto"/>
              </w:rPr>
              <w:t>Lab Equipment</w:t>
            </w:r>
          </w:p>
        </w:tc>
        <w:tc>
          <w:tcPr>
            <w:tcW w:w="2660" w:type="dxa"/>
            <w:vAlign w:val="bottom"/>
          </w:tcPr>
          <w:p>
            <w:pPr>
              <w:jc w:val="right"/>
              <w:ind w:right="578"/>
              <w:spacing w:after="0"/>
              <w:rPr>
                <w:sz w:val="20"/>
                <w:szCs w:val="20"/>
                <w:color w:val="auto"/>
              </w:rPr>
            </w:pPr>
            <w:r>
              <w:rPr>
                <w:rFonts w:ascii="Arial" w:cs="Arial" w:eastAsia="Arial" w:hAnsi="Arial"/>
                <w:sz w:val="16"/>
                <w:szCs w:val="16"/>
                <w:b w:val="1"/>
                <w:bCs w:val="1"/>
                <w:color w:val="auto"/>
              </w:rPr>
              <w:t>Computer Equipment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16"/>
        </w:trPr>
        <w:tc>
          <w:tcPr>
            <w:tcW w:w="300" w:type="dxa"/>
            <w:vAlign w:val="bottom"/>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$000’s</w:t>
            </w:r>
          </w:p>
        </w:tc>
        <w:tc>
          <w:tcPr>
            <w:tcW w:w="26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$000’s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208"/>
        </w:trPr>
        <w:tc>
          <w:tcPr>
            <w:tcW w:w="3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6"/>
                <w:szCs w:val="16"/>
                <w:b w:val="1"/>
                <w:bCs w:val="1"/>
                <w:color w:val="auto"/>
              </w:rPr>
              <w:t>Balance as at March 31, 2021</w:t>
            </w:r>
          </w:p>
        </w:tc>
        <w:tc>
          <w:tcPr>
            <w:tcW w:w="2580" w:type="dxa"/>
            <w:vAlign w:val="bottom"/>
          </w:tcPr>
          <w:p>
            <w:pPr>
              <w:jc w:val="right"/>
              <w:ind w:right="258"/>
              <w:spacing w:after="0"/>
              <w:rPr>
                <w:sz w:val="20"/>
                <w:szCs w:val="20"/>
                <w:color w:val="auto"/>
              </w:rPr>
            </w:pPr>
            <w:r>
              <w:rPr>
                <w:rFonts w:ascii="Arial" w:cs="Arial" w:eastAsia="Arial" w:hAnsi="Arial"/>
                <w:sz w:val="16"/>
                <w:szCs w:val="16"/>
                <w:b w:val="1"/>
                <w:bCs w:val="1"/>
                <w:color w:val="auto"/>
              </w:rPr>
              <w:t>470</w:t>
            </w:r>
          </w:p>
        </w:tc>
        <w:tc>
          <w:tcPr>
            <w:tcW w:w="2660" w:type="dxa"/>
            <w:vAlign w:val="bottom"/>
          </w:tcPr>
          <w:p>
            <w:pPr>
              <w:jc w:val="right"/>
              <w:ind w:right="578"/>
              <w:spacing w:after="0"/>
              <w:rPr>
                <w:sz w:val="20"/>
                <w:szCs w:val="20"/>
                <w:color w:val="auto"/>
              </w:rPr>
            </w:pPr>
            <w:r>
              <w:rPr>
                <w:rFonts w:ascii="Arial" w:cs="Arial" w:eastAsia="Arial" w:hAnsi="Arial"/>
                <w:sz w:val="16"/>
                <w:szCs w:val="16"/>
                <w:b w:val="1"/>
                <w:bCs w:val="1"/>
                <w:color w:val="auto"/>
              </w:rPr>
              <w:t>141</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611</w:t>
            </w:r>
          </w:p>
        </w:tc>
      </w:tr>
      <w:tr>
        <w:trPr>
          <w:trHeight w:val="199"/>
        </w:trPr>
        <w:tc>
          <w:tcPr>
            <w:tcW w:w="30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Additions</w:t>
            </w:r>
          </w:p>
        </w:tc>
        <w:tc>
          <w:tcPr>
            <w:tcW w:w="2580" w:type="dxa"/>
            <w:vAlign w:val="bottom"/>
          </w:tcPr>
          <w:p>
            <w:pPr>
              <w:jc w:val="right"/>
              <w:ind w:right="258"/>
              <w:spacing w:after="0"/>
              <w:rPr>
                <w:sz w:val="20"/>
                <w:szCs w:val="20"/>
                <w:color w:val="auto"/>
              </w:rPr>
            </w:pPr>
            <w:r>
              <w:rPr>
                <w:rFonts w:ascii="Arial" w:cs="Arial" w:eastAsia="Arial" w:hAnsi="Arial"/>
                <w:sz w:val="16"/>
                <w:szCs w:val="16"/>
                <w:color w:val="auto"/>
              </w:rPr>
              <w:t>8</w:t>
            </w:r>
          </w:p>
        </w:tc>
        <w:tc>
          <w:tcPr>
            <w:tcW w:w="2660" w:type="dxa"/>
            <w:vAlign w:val="bottom"/>
          </w:tcPr>
          <w:p>
            <w:pPr>
              <w:jc w:val="right"/>
              <w:ind w:right="578"/>
              <w:spacing w:after="0"/>
              <w:rPr>
                <w:sz w:val="20"/>
                <w:szCs w:val="20"/>
                <w:color w:val="auto"/>
              </w:rPr>
            </w:pPr>
            <w:r>
              <w:rPr>
                <w:rFonts w:ascii="Arial" w:cs="Arial" w:eastAsia="Arial" w:hAnsi="Arial"/>
                <w:sz w:val="16"/>
                <w:szCs w:val="16"/>
                <w:color w:val="auto"/>
              </w:rPr>
              <w:t>84</w:t>
            </w:r>
          </w:p>
        </w:tc>
        <w:tc>
          <w:tcPr>
            <w:tcW w:w="12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08"/>
        </w:trPr>
        <w:tc>
          <w:tcPr>
            <w:tcW w:w="300" w:type="dxa"/>
            <w:vAlign w:val="bottom"/>
          </w:tcPr>
          <w:p>
            <w:pPr>
              <w:spacing w:after="0"/>
              <w:rPr>
                <w:sz w:val="18"/>
                <w:szCs w:val="18"/>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foreign exchange</w:t>
            </w:r>
          </w:p>
        </w:tc>
        <w:tc>
          <w:tcPr>
            <w:tcW w:w="25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4</w:t>
            </w:r>
          </w:p>
        </w:tc>
        <w:tc>
          <w:tcPr>
            <w:tcW w:w="26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1"/>
        </w:trPr>
        <w:tc>
          <w:tcPr>
            <w:tcW w:w="300" w:type="dxa"/>
            <w:vAlign w:val="bottom"/>
          </w:tcPr>
          <w:p>
            <w:pPr>
              <w:spacing w:after="0"/>
              <w:rPr>
                <w:sz w:val="17"/>
                <w:szCs w:val="17"/>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at December 31, 2021</w:t>
            </w:r>
          </w:p>
        </w:tc>
        <w:tc>
          <w:tcPr>
            <w:tcW w:w="25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482</w:t>
            </w:r>
          </w:p>
        </w:tc>
        <w:tc>
          <w:tcPr>
            <w:tcW w:w="26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225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707</w:t>
            </w:r>
          </w:p>
        </w:tc>
      </w:tr>
      <w:tr>
        <w:trPr>
          <w:trHeight w:val="420"/>
        </w:trPr>
        <w:tc>
          <w:tcPr>
            <w:tcW w:w="300" w:type="dxa"/>
            <w:vAlign w:val="bottom"/>
          </w:tcPr>
          <w:p>
            <w:pPr>
              <w:spacing w:after="0"/>
              <w:rPr>
                <w:sz w:val="24"/>
                <w:szCs w:val="24"/>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Accumulated Depreciation</w:t>
            </w:r>
          </w:p>
        </w:tc>
        <w:tc>
          <w:tcPr>
            <w:tcW w:w="25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08"/>
        </w:trPr>
        <w:tc>
          <w:tcPr>
            <w:tcW w:w="3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6"/>
                <w:szCs w:val="16"/>
                <w:b w:val="1"/>
                <w:bCs w:val="1"/>
                <w:color w:val="auto"/>
              </w:rPr>
              <w:t>Balance as at March 31, 2021</w:t>
            </w:r>
          </w:p>
        </w:tc>
        <w:tc>
          <w:tcPr>
            <w:tcW w:w="2580" w:type="dxa"/>
            <w:vAlign w:val="bottom"/>
          </w:tcPr>
          <w:p>
            <w:pPr>
              <w:jc w:val="right"/>
              <w:ind w:right="258"/>
              <w:spacing w:after="0"/>
              <w:rPr>
                <w:sz w:val="20"/>
                <w:szCs w:val="20"/>
                <w:color w:val="auto"/>
              </w:rPr>
            </w:pPr>
            <w:r>
              <w:rPr>
                <w:rFonts w:ascii="Arial" w:cs="Arial" w:eastAsia="Arial" w:hAnsi="Arial"/>
                <w:sz w:val="16"/>
                <w:szCs w:val="16"/>
                <w:b w:val="1"/>
                <w:bCs w:val="1"/>
                <w:color w:val="auto"/>
              </w:rPr>
              <w:t>39</w:t>
            </w:r>
          </w:p>
        </w:tc>
        <w:tc>
          <w:tcPr>
            <w:tcW w:w="2660" w:type="dxa"/>
            <w:vAlign w:val="bottom"/>
          </w:tcPr>
          <w:p>
            <w:pPr>
              <w:jc w:val="right"/>
              <w:ind w:right="578"/>
              <w:spacing w:after="0"/>
              <w:rPr>
                <w:sz w:val="20"/>
                <w:szCs w:val="20"/>
                <w:color w:val="auto"/>
              </w:rPr>
            </w:pPr>
            <w:r>
              <w:rPr>
                <w:rFonts w:ascii="Arial" w:cs="Arial" w:eastAsia="Arial" w:hAnsi="Arial"/>
                <w:sz w:val="16"/>
                <w:szCs w:val="16"/>
                <w:b w:val="1"/>
                <w:bCs w:val="1"/>
                <w:color w:val="auto"/>
              </w:rPr>
              <w:t>15</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54</w:t>
            </w:r>
          </w:p>
        </w:tc>
      </w:tr>
      <w:tr>
        <w:trPr>
          <w:trHeight w:val="199"/>
        </w:trPr>
        <w:tc>
          <w:tcPr>
            <w:tcW w:w="30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Depreciation charge</w:t>
            </w:r>
          </w:p>
        </w:tc>
        <w:tc>
          <w:tcPr>
            <w:tcW w:w="2580" w:type="dxa"/>
            <w:vAlign w:val="bottom"/>
          </w:tcPr>
          <w:p>
            <w:pPr>
              <w:jc w:val="right"/>
              <w:ind w:right="258"/>
              <w:spacing w:after="0"/>
              <w:rPr>
                <w:sz w:val="20"/>
                <w:szCs w:val="20"/>
                <w:color w:val="auto"/>
              </w:rPr>
            </w:pPr>
            <w:r>
              <w:rPr>
                <w:rFonts w:ascii="Arial" w:cs="Arial" w:eastAsia="Arial" w:hAnsi="Arial"/>
                <w:sz w:val="16"/>
                <w:szCs w:val="16"/>
                <w:color w:val="auto"/>
              </w:rPr>
              <w:t>75</w:t>
            </w:r>
          </w:p>
        </w:tc>
        <w:tc>
          <w:tcPr>
            <w:tcW w:w="2660" w:type="dxa"/>
            <w:vAlign w:val="bottom"/>
          </w:tcPr>
          <w:p>
            <w:pPr>
              <w:jc w:val="right"/>
              <w:ind w:right="578"/>
              <w:spacing w:after="0"/>
              <w:rPr>
                <w:sz w:val="20"/>
                <w:szCs w:val="20"/>
                <w:color w:val="auto"/>
              </w:rPr>
            </w:pPr>
            <w:r>
              <w:rPr>
                <w:rFonts w:ascii="Arial" w:cs="Arial" w:eastAsia="Arial" w:hAnsi="Arial"/>
                <w:sz w:val="16"/>
                <w:szCs w:val="16"/>
                <w:color w:val="auto"/>
              </w:rPr>
              <w:t>49</w:t>
            </w:r>
          </w:p>
        </w:tc>
        <w:tc>
          <w:tcPr>
            <w:tcW w:w="12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08"/>
        </w:trPr>
        <w:tc>
          <w:tcPr>
            <w:tcW w:w="300" w:type="dxa"/>
            <w:vAlign w:val="bottom"/>
          </w:tcPr>
          <w:p>
            <w:pPr>
              <w:spacing w:after="0"/>
              <w:rPr>
                <w:sz w:val="18"/>
                <w:szCs w:val="18"/>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foreign exchange</w:t>
            </w:r>
          </w:p>
        </w:tc>
        <w:tc>
          <w:tcPr>
            <w:tcW w:w="25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1</w:t>
            </w:r>
          </w:p>
        </w:tc>
        <w:tc>
          <w:tcPr>
            <w:tcW w:w="26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1"/>
        </w:trPr>
        <w:tc>
          <w:tcPr>
            <w:tcW w:w="300" w:type="dxa"/>
            <w:vAlign w:val="bottom"/>
          </w:tcPr>
          <w:p>
            <w:pPr>
              <w:spacing w:after="0"/>
              <w:rPr>
                <w:sz w:val="17"/>
                <w:szCs w:val="17"/>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at December 31, 2021</w:t>
            </w:r>
          </w:p>
        </w:tc>
        <w:tc>
          <w:tcPr>
            <w:tcW w:w="25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115</w:t>
            </w:r>
          </w:p>
        </w:tc>
        <w:tc>
          <w:tcPr>
            <w:tcW w:w="26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64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w:t>
            </w:r>
          </w:p>
        </w:tc>
      </w:tr>
      <w:tr>
        <w:trPr>
          <w:trHeight w:val="212"/>
        </w:trPr>
        <w:tc>
          <w:tcPr>
            <w:tcW w:w="300" w:type="dxa"/>
            <w:vAlign w:val="bottom"/>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0"/>
        </w:trPr>
        <w:tc>
          <w:tcPr>
            <w:tcW w:w="300" w:type="dxa"/>
            <w:vAlign w:val="bottom"/>
          </w:tcPr>
          <w:p>
            <w:pPr>
              <w:spacing w:after="0"/>
              <w:rPr>
                <w:sz w:val="17"/>
                <w:szCs w:val="17"/>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book value as at March 31, 2021</w:t>
            </w:r>
          </w:p>
        </w:tc>
        <w:tc>
          <w:tcPr>
            <w:tcW w:w="25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431</w:t>
            </w:r>
          </w:p>
        </w:tc>
        <w:tc>
          <w:tcPr>
            <w:tcW w:w="26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126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557</w:t>
            </w:r>
          </w:p>
        </w:tc>
      </w:tr>
      <w:tr>
        <w:trPr>
          <w:trHeight w:val="200"/>
        </w:trPr>
        <w:tc>
          <w:tcPr>
            <w:tcW w:w="300" w:type="dxa"/>
            <w:vAlign w:val="bottom"/>
          </w:tcPr>
          <w:p>
            <w:pPr>
              <w:spacing w:after="0"/>
              <w:rPr>
                <w:sz w:val="17"/>
                <w:szCs w:val="17"/>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book value as at December 31, 2021</w:t>
            </w:r>
          </w:p>
        </w:tc>
        <w:tc>
          <w:tcPr>
            <w:tcW w:w="25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367</w:t>
            </w:r>
          </w:p>
        </w:tc>
        <w:tc>
          <w:tcPr>
            <w:tcW w:w="26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161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9 of 25</w:t>
      </w:r>
    </w:p>
    <w:p>
      <w:pPr>
        <w:sectPr>
          <w:pgSz w:w="11900" w:h="16838" w:orient="portrait"/>
          <w:cols w:equalWidth="0" w:num="1">
            <w:col w:w="11262"/>
          </w:cols>
          <w:pgMar w:left="318" w:top="171" w:right="319" w:bottom="1440" w:gutter="0" w:footer="0" w:header="0"/>
        </w:sectPr>
      </w:pPr>
    </w:p>
    <w:bookmarkStart w:id="12" w:name="page13"/>
    <w:bookmarkEnd w:id="12"/>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4660" w:type="dxa"/>
            <w:vAlign w:val="bottom"/>
            <w:gridSpan w:val="2"/>
          </w:tcPr>
          <w:p>
            <w:pPr>
              <w:spacing w:after="0"/>
              <w:rPr>
                <w:sz w:val="20"/>
                <w:szCs w:val="20"/>
                <w:color w:val="auto"/>
              </w:rPr>
            </w:pPr>
            <w:r>
              <w:rPr>
                <w:rFonts w:ascii="Arial" w:cs="Arial" w:eastAsia="Arial" w:hAnsi="Arial"/>
                <w:sz w:val="16"/>
                <w:szCs w:val="16"/>
                <w:b w:val="1"/>
                <w:bCs w:val="1"/>
                <w:color w:val="2D5F91"/>
              </w:rPr>
              <w:t>5.  INTANGIBLE ASSETS</w:t>
            </w:r>
          </w:p>
        </w:tc>
        <w:tc>
          <w:tcPr>
            <w:tcW w:w="29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6"/>
        </w:trPr>
        <w:tc>
          <w:tcPr>
            <w:tcW w:w="300" w:type="dxa"/>
            <w:vAlign w:val="bottom"/>
          </w:tcPr>
          <w:p>
            <w:pPr>
              <w:spacing w:after="0"/>
              <w:rPr>
                <w:sz w:val="24"/>
                <w:szCs w:val="24"/>
                <w:color w:val="auto"/>
              </w:rPr>
            </w:pPr>
          </w:p>
        </w:tc>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Cost</w:t>
            </w:r>
          </w:p>
        </w:tc>
        <w:tc>
          <w:tcPr>
            <w:tcW w:w="2940" w:type="dxa"/>
            <w:vAlign w:val="bottom"/>
          </w:tcPr>
          <w:p>
            <w:pPr>
              <w:jc w:val="right"/>
              <w:ind w:right="518"/>
              <w:spacing w:after="0"/>
              <w:rPr>
                <w:sz w:val="20"/>
                <w:szCs w:val="20"/>
                <w:color w:val="auto"/>
              </w:rPr>
            </w:pPr>
            <w:r>
              <w:rPr>
                <w:rFonts w:ascii="Arial" w:cs="Arial" w:eastAsia="Arial" w:hAnsi="Arial"/>
                <w:sz w:val="16"/>
                <w:szCs w:val="16"/>
                <w:b w:val="1"/>
                <w:bCs w:val="1"/>
                <w:color w:val="auto"/>
              </w:rPr>
              <w:t>Patents</w:t>
            </w:r>
          </w:p>
        </w:tc>
        <w:tc>
          <w:tcPr>
            <w:tcW w:w="1980" w:type="dxa"/>
            <w:vAlign w:val="bottom"/>
          </w:tcPr>
          <w:p>
            <w:pPr>
              <w:jc w:val="right"/>
              <w:ind w:right="618"/>
              <w:spacing w:after="0"/>
              <w:rPr>
                <w:sz w:val="20"/>
                <w:szCs w:val="20"/>
                <w:color w:val="auto"/>
              </w:rPr>
            </w:pPr>
            <w:r>
              <w:rPr>
                <w:rFonts w:ascii="Arial" w:cs="Arial" w:eastAsia="Arial" w:hAnsi="Arial"/>
                <w:sz w:val="16"/>
                <w:szCs w:val="16"/>
                <w:b w:val="1"/>
                <w:bCs w:val="1"/>
                <w:color w:val="auto"/>
              </w:rPr>
              <w:t>Software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16"/>
        </w:trPr>
        <w:tc>
          <w:tcPr>
            <w:tcW w:w="300" w:type="dxa"/>
            <w:vAlign w:val="bottom"/>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b w:val="1"/>
                <w:bCs w:val="1"/>
                <w:color w:val="auto"/>
              </w:rPr>
              <w:t>$000’s</w:t>
            </w:r>
          </w:p>
        </w:tc>
        <w:tc>
          <w:tcPr>
            <w:tcW w:w="198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b w:val="1"/>
                <w:bCs w:val="1"/>
                <w:color w:val="auto"/>
              </w:rPr>
              <w:t>$000’s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200"/>
        </w:trPr>
        <w:tc>
          <w:tcPr>
            <w:tcW w:w="30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Balance as at March 31, 2021</w:t>
            </w:r>
          </w:p>
        </w:tc>
        <w:tc>
          <w:tcPr>
            <w:tcW w:w="2940" w:type="dxa"/>
            <w:vAlign w:val="bottom"/>
          </w:tcPr>
          <w:p>
            <w:pPr>
              <w:jc w:val="right"/>
              <w:ind w:right="518"/>
              <w:spacing w:after="0"/>
              <w:rPr>
                <w:sz w:val="20"/>
                <w:szCs w:val="20"/>
                <w:color w:val="auto"/>
              </w:rPr>
            </w:pPr>
            <w:r>
              <w:rPr>
                <w:rFonts w:ascii="Arial" w:cs="Arial" w:eastAsia="Arial" w:hAnsi="Arial"/>
                <w:sz w:val="16"/>
                <w:szCs w:val="16"/>
                <w:color w:val="auto"/>
              </w:rPr>
              <w:t>1,701</w:t>
            </w:r>
          </w:p>
        </w:tc>
        <w:tc>
          <w:tcPr>
            <w:tcW w:w="1980" w:type="dxa"/>
            <w:vAlign w:val="bottom"/>
          </w:tcPr>
          <w:p>
            <w:pPr>
              <w:jc w:val="right"/>
              <w:ind w:right="618"/>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1,701</w:t>
            </w:r>
          </w:p>
        </w:tc>
      </w:tr>
      <w:tr>
        <w:trPr>
          <w:trHeight w:val="208"/>
        </w:trPr>
        <w:tc>
          <w:tcPr>
            <w:tcW w:w="300" w:type="dxa"/>
            <w:vAlign w:val="bottom"/>
          </w:tcPr>
          <w:p>
            <w:pPr>
              <w:spacing w:after="0"/>
              <w:rPr>
                <w:sz w:val="18"/>
                <w:szCs w:val="18"/>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Additions</w:t>
            </w:r>
          </w:p>
        </w:tc>
        <w:tc>
          <w:tcPr>
            <w:tcW w:w="2940" w:type="dxa"/>
            <w:vAlign w:val="bottom"/>
          </w:tcPr>
          <w:p>
            <w:pPr>
              <w:jc w:val="right"/>
              <w:ind w:right="518"/>
              <w:spacing w:after="0"/>
              <w:rPr>
                <w:sz w:val="20"/>
                <w:szCs w:val="20"/>
                <w:color w:val="auto"/>
              </w:rPr>
            </w:pPr>
            <w:r>
              <w:rPr>
                <w:rFonts w:ascii="Arial" w:cs="Arial" w:eastAsia="Arial" w:hAnsi="Arial"/>
                <w:sz w:val="16"/>
                <w:szCs w:val="16"/>
                <w:color w:val="auto"/>
              </w:rPr>
              <w:t>254</w:t>
            </w:r>
          </w:p>
        </w:tc>
        <w:tc>
          <w:tcPr>
            <w:tcW w:w="1980" w:type="dxa"/>
            <w:vAlign w:val="bottom"/>
          </w:tcPr>
          <w:p>
            <w:pPr>
              <w:jc w:val="right"/>
              <w:ind w:right="618"/>
              <w:spacing w:after="0"/>
              <w:rPr>
                <w:sz w:val="20"/>
                <w:szCs w:val="20"/>
                <w:color w:val="auto"/>
              </w:rPr>
            </w:pPr>
            <w:r>
              <w:rPr>
                <w:rFonts w:ascii="Arial" w:cs="Arial" w:eastAsia="Arial" w:hAnsi="Arial"/>
                <w:sz w:val="16"/>
                <w:szCs w:val="16"/>
                <w:color w:val="auto"/>
              </w:rPr>
              <w:t>53</w:t>
            </w:r>
          </w:p>
        </w:tc>
        <w:tc>
          <w:tcPr>
            <w:tcW w:w="124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208"/>
        </w:trPr>
        <w:tc>
          <w:tcPr>
            <w:tcW w:w="300" w:type="dxa"/>
            <w:vAlign w:val="bottom"/>
          </w:tcPr>
          <w:p>
            <w:pPr>
              <w:spacing w:after="0"/>
              <w:rPr>
                <w:sz w:val="18"/>
                <w:szCs w:val="18"/>
                <w:color w:val="auto"/>
              </w:rPr>
            </w:pPr>
          </w:p>
        </w:tc>
        <w:tc>
          <w:tcPr>
            <w:tcW w:w="4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Effect of foreign exchange</w:t>
            </w:r>
          </w:p>
        </w:tc>
        <w:tc>
          <w:tcPr>
            <w:tcW w:w="294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color w:val="auto"/>
              </w:rPr>
              <w:t>5</w:t>
            </w:r>
          </w:p>
        </w:tc>
        <w:tc>
          <w:tcPr>
            <w:tcW w:w="198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1"/>
        </w:trPr>
        <w:tc>
          <w:tcPr>
            <w:tcW w:w="300" w:type="dxa"/>
            <w:vAlign w:val="bottom"/>
          </w:tcPr>
          <w:p>
            <w:pPr>
              <w:spacing w:after="0"/>
              <w:rPr>
                <w:sz w:val="17"/>
                <w:szCs w:val="17"/>
                <w:color w:val="auto"/>
              </w:rPr>
            </w:pPr>
          </w:p>
        </w:tc>
        <w:tc>
          <w:tcPr>
            <w:tcW w:w="43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Balance as at December 31, 2021</w:t>
            </w:r>
          </w:p>
        </w:tc>
        <w:tc>
          <w:tcPr>
            <w:tcW w:w="294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b w:val="1"/>
                <w:bCs w:val="1"/>
                <w:color w:val="auto"/>
              </w:rPr>
              <w:t>1,960</w:t>
            </w:r>
          </w:p>
        </w:tc>
        <w:tc>
          <w:tcPr>
            <w:tcW w:w="198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b w:val="1"/>
                <w:bCs w:val="1"/>
                <w:color w:val="auto"/>
              </w:rPr>
              <w:t>53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r>
    </w:tbl>
    <w:p>
      <w:pPr>
        <w:spacing w:after="0" w:line="224" w:lineRule="exact"/>
        <w:rPr>
          <w:sz w:val="20"/>
          <w:szCs w:val="20"/>
          <w:color w:val="auto"/>
        </w:rPr>
      </w:pPr>
    </w:p>
    <w:p>
      <w:pPr>
        <w:ind w:left="302" w:right="8780" w:hanging="302"/>
        <w:spacing w:after="0" w:line="475" w:lineRule="auto"/>
        <w:tabs>
          <w:tab w:leader="none" w:pos="326" w:val="left"/>
        </w:tabs>
        <w:numPr>
          <w:ilvl w:val="0"/>
          <w:numId w:val="5"/>
        </w:numPr>
        <w:rPr>
          <w:rFonts w:ascii="Arial" w:cs="Arial" w:eastAsia="Arial" w:hAnsi="Arial"/>
          <w:sz w:val="16"/>
          <w:szCs w:val="16"/>
          <w:b w:val="1"/>
          <w:bCs w:val="1"/>
          <w:color w:val="2D5F91"/>
        </w:rPr>
      </w:pPr>
      <w:r>
        <w:rPr>
          <w:rFonts w:ascii="Arial" w:cs="Arial" w:eastAsia="Arial" w:hAnsi="Arial"/>
          <w:sz w:val="16"/>
          <w:szCs w:val="16"/>
          <w:b w:val="1"/>
          <w:bCs w:val="1"/>
          <w:color w:val="2D5F91"/>
        </w:rPr>
        <w:t xml:space="preserve">CONTINGENT LIABILITIES </w:t>
      </w:r>
      <w:r>
        <w:rPr>
          <w:rFonts w:ascii="Arial" w:cs="Arial" w:eastAsia="Arial" w:hAnsi="Arial"/>
          <w:sz w:val="16"/>
          <w:szCs w:val="16"/>
          <w:b w:val="1"/>
          <w:bCs w:val="1"/>
          <w:color w:val="000000"/>
        </w:rPr>
        <w:t>Former Adelia shareholders</w:t>
      </w:r>
    </w:p>
    <w:p>
      <w:pPr>
        <w:spacing w:after="0" w:line="1"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 Company has commitments to the Former Adelia Shareholders based on milestone achievements. Milestone payments are assessed as due and expected to be paid in the year ending December 31, 2022.</w:t>
      </w:r>
    </w:p>
    <w:p>
      <w:pPr>
        <w:spacing w:after="0" w:line="149" w:lineRule="exact"/>
        <w:rPr>
          <w:sz w:val="20"/>
          <w:szCs w:val="20"/>
          <w:color w:val="auto"/>
        </w:rPr>
      </w:pPr>
    </w:p>
    <w:tbl>
      <w:tblPr>
        <w:tblLayout w:type="fixed"/>
        <w:tblInd w:w="302" w:type="dxa"/>
        <w:tblCellMar>
          <w:top w:w="0" w:type="dxa"/>
          <w:left w:w="0" w:type="dxa"/>
          <w:bottom w:w="0" w:type="dxa"/>
          <w:right w:w="0" w:type="dxa"/>
        </w:tblCellMar>
      </w:tblPr>
      <w:tr>
        <w:trPr>
          <w:trHeight w:val="196"/>
        </w:trPr>
        <w:tc>
          <w:tcPr>
            <w:tcW w:w="3280" w:type="dxa"/>
            <w:vAlign w:val="bottom"/>
          </w:tcPr>
          <w:p>
            <w:pPr>
              <w:spacing w:after="0"/>
              <w:rPr>
                <w:sz w:val="20"/>
                <w:szCs w:val="20"/>
                <w:color w:val="auto"/>
              </w:rPr>
            </w:pPr>
            <w:r>
              <w:rPr>
                <w:rFonts w:ascii="Arial" w:cs="Arial" w:eastAsia="Arial" w:hAnsi="Arial"/>
                <w:sz w:val="16"/>
                <w:szCs w:val="16"/>
                <w:color w:val="auto"/>
              </w:rPr>
              <w:t>The   following   table   presents   the</w:t>
            </w:r>
          </w:p>
        </w:tc>
        <w:tc>
          <w:tcPr>
            <w:tcW w:w="7660" w:type="dxa"/>
            <w:vAlign w:val="bottom"/>
            <w:gridSpan w:val="2"/>
          </w:tcPr>
          <w:p>
            <w:pPr>
              <w:ind w:left="120"/>
              <w:spacing w:after="0"/>
              <w:rPr>
                <w:sz w:val="20"/>
                <w:szCs w:val="20"/>
                <w:color w:val="auto"/>
              </w:rPr>
            </w:pPr>
            <w:r>
              <w:rPr>
                <w:rFonts w:ascii="Arial" w:cs="Arial" w:eastAsia="Arial" w:hAnsi="Arial"/>
                <w:sz w:val="16"/>
                <w:szCs w:val="16"/>
                <w:color w:val="auto"/>
              </w:rPr>
              <w:t>change   in   the   carrying   value   of   the   contingent   consideration   for   the   year.</w:t>
            </w:r>
          </w:p>
        </w:tc>
      </w:tr>
      <w:tr>
        <w:trPr>
          <w:trHeight w:val="484"/>
        </w:trPr>
        <w:tc>
          <w:tcPr>
            <w:tcW w:w="3280" w:type="dxa"/>
            <w:vAlign w:val="bottom"/>
          </w:tcPr>
          <w:p>
            <w:pPr>
              <w:spacing w:after="0"/>
              <w:rPr>
                <w:sz w:val="24"/>
                <w:szCs w:val="24"/>
                <w:color w:val="auto"/>
              </w:rPr>
            </w:pPr>
          </w:p>
        </w:tc>
        <w:tc>
          <w:tcPr>
            <w:tcW w:w="76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$000’s</w:t>
            </w:r>
          </w:p>
        </w:tc>
      </w:tr>
      <w:tr>
        <w:trPr>
          <w:trHeight w:val="206"/>
        </w:trPr>
        <w:tc>
          <w:tcPr>
            <w:tcW w:w="3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as at March 31, 2021</w:t>
            </w:r>
          </w:p>
        </w:tc>
        <w:tc>
          <w:tcPr>
            <w:tcW w:w="7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3,201</w:t>
            </w:r>
          </w:p>
        </w:tc>
        <w:tc>
          <w:tcPr>
            <w:tcW w:w="440" w:type="dxa"/>
            <w:vAlign w:val="bottom"/>
          </w:tcPr>
          <w:p>
            <w:pPr>
              <w:spacing w:after="0"/>
              <w:rPr>
                <w:sz w:val="17"/>
                <w:szCs w:val="17"/>
                <w:color w:val="auto"/>
              </w:rPr>
            </w:pPr>
          </w:p>
        </w:tc>
      </w:tr>
      <w:tr>
        <w:trPr>
          <w:trHeight w:val="220"/>
        </w:trPr>
        <w:tc>
          <w:tcPr>
            <w:tcW w:w="3280" w:type="dxa"/>
            <w:vAlign w:val="bottom"/>
          </w:tcPr>
          <w:p>
            <w:pPr>
              <w:spacing w:after="0"/>
              <w:rPr>
                <w:sz w:val="20"/>
                <w:szCs w:val="20"/>
                <w:color w:val="auto"/>
              </w:rPr>
            </w:pPr>
            <w:r>
              <w:rPr>
                <w:rFonts w:ascii="Arial" w:cs="Arial" w:eastAsia="Arial" w:hAnsi="Arial"/>
                <w:sz w:val="16"/>
                <w:szCs w:val="16"/>
                <w:color w:val="auto"/>
              </w:rPr>
              <w:t>Milestone achieved</w:t>
            </w:r>
          </w:p>
        </w:tc>
        <w:tc>
          <w:tcPr>
            <w:tcW w:w="7220" w:type="dxa"/>
            <w:vAlign w:val="bottom"/>
          </w:tcPr>
          <w:p>
            <w:pPr>
              <w:jc w:val="right"/>
              <w:spacing w:after="0"/>
              <w:rPr>
                <w:sz w:val="20"/>
                <w:szCs w:val="20"/>
                <w:color w:val="auto"/>
              </w:rPr>
            </w:pPr>
            <w:r>
              <w:rPr>
                <w:rFonts w:ascii="Arial" w:cs="Arial" w:eastAsia="Arial" w:hAnsi="Arial"/>
                <w:sz w:val="16"/>
                <w:szCs w:val="16"/>
                <w:color w:val="auto"/>
              </w:rPr>
              <w:t>(2,415)</w:t>
            </w:r>
          </w:p>
        </w:tc>
        <w:tc>
          <w:tcPr>
            <w:tcW w:w="440" w:type="dxa"/>
            <w:vAlign w:val="bottom"/>
          </w:tcPr>
          <w:p>
            <w:pPr>
              <w:spacing w:after="0"/>
              <w:rPr>
                <w:sz w:val="19"/>
                <w:szCs w:val="19"/>
                <w:color w:val="auto"/>
              </w:rPr>
            </w:pPr>
          </w:p>
        </w:tc>
      </w:tr>
      <w:tr>
        <w:trPr>
          <w:trHeight w:val="220"/>
        </w:trPr>
        <w:tc>
          <w:tcPr>
            <w:tcW w:w="3280" w:type="dxa"/>
            <w:vAlign w:val="bottom"/>
          </w:tcPr>
          <w:p>
            <w:pPr>
              <w:spacing w:after="0"/>
              <w:rPr>
                <w:sz w:val="20"/>
                <w:szCs w:val="20"/>
                <w:color w:val="auto"/>
              </w:rPr>
            </w:pPr>
            <w:r>
              <w:rPr>
                <w:rFonts w:ascii="Arial" w:cs="Arial" w:eastAsia="Arial" w:hAnsi="Arial"/>
                <w:sz w:val="16"/>
                <w:szCs w:val="16"/>
                <w:color w:val="auto"/>
              </w:rPr>
              <w:t>Change in fair value</w:t>
            </w:r>
          </w:p>
        </w:tc>
        <w:tc>
          <w:tcPr>
            <w:tcW w:w="7220" w:type="dxa"/>
            <w:vAlign w:val="bottom"/>
          </w:tcPr>
          <w:p>
            <w:pPr>
              <w:jc w:val="right"/>
              <w:spacing w:after="0"/>
              <w:rPr>
                <w:sz w:val="20"/>
                <w:szCs w:val="20"/>
                <w:color w:val="auto"/>
              </w:rPr>
            </w:pPr>
            <w:r>
              <w:rPr>
                <w:rFonts w:ascii="Arial" w:cs="Arial" w:eastAsia="Arial" w:hAnsi="Arial"/>
                <w:sz w:val="16"/>
                <w:szCs w:val="16"/>
                <w:color w:val="auto"/>
              </w:rPr>
              <w:t>1,944</w:t>
            </w:r>
          </w:p>
        </w:tc>
        <w:tc>
          <w:tcPr>
            <w:tcW w:w="440" w:type="dxa"/>
            <w:vAlign w:val="bottom"/>
          </w:tcPr>
          <w:p>
            <w:pPr>
              <w:spacing w:after="0"/>
              <w:rPr>
                <w:sz w:val="19"/>
                <w:szCs w:val="19"/>
                <w:color w:val="auto"/>
              </w:rPr>
            </w:pPr>
          </w:p>
        </w:tc>
      </w:tr>
      <w:tr>
        <w:trPr>
          <w:trHeight w:val="227"/>
        </w:trPr>
        <w:tc>
          <w:tcPr>
            <w:tcW w:w="3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Accretion expense</w:t>
            </w:r>
          </w:p>
        </w:tc>
        <w:tc>
          <w:tcPr>
            <w:tcW w:w="7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440" w:type="dxa"/>
            <w:vAlign w:val="bottom"/>
          </w:tcPr>
          <w:p>
            <w:pPr>
              <w:spacing w:after="0"/>
              <w:rPr>
                <w:sz w:val="19"/>
                <w:szCs w:val="19"/>
                <w:color w:val="auto"/>
              </w:rPr>
            </w:pPr>
          </w:p>
        </w:tc>
      </w:tr>
      <w:tr>
        <w:trPr>
          <w:trHeight w:val="217"/>
        </w:trPr>
        <w:tc>
          <w:tcPr>
            <w:tcW w:w="3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at December 31, 2021</w:t>
            </w:r>
          </w:p>
        </w:tc>
        <w:tc>
          <w:tcPr>
            <w:tcW w:w="7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3,020</w:t>
            </w:r>
          </w:p>
        </w:tc>
        <w:tc>
          <w:tcPr>
            <w:tcW w:w="440" w:type="dxa"/>
            <w:vAlign w:val="bottom"/>
          </w:tcPr>
          <w:p>
            <w:pPr>
              <w:spacing w:after="0"/>
              <w:rPr>
                <w:sz w:val="18"/>
                <w:szCs w:val="18"/>
                <w:color w:val="auto"/>
              </w:rPr>
            </w:pPr>
          </w:p>
        </w:tc>
      </w:tr>
    </w:tbl>
    <w:p>
      <w:pPr>
        <w:spacing w:after="0" w:line="244"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As a result of changes in fair value of the contingent consideration, during the three and nine months ended December 31, 2021, the Company recorded an expense of $695 and $1,944, respectively, in the statement of loss as “Change in fair value of contingent consideration”. In addition, during the three and nine months ended December 31, 2021, the Company recorded an accretion expense of $59 and $290, respectively, in the statement of loss as “Contingent consideration accretion”.</w:t>
      </w:r>
    </w:p>
    <w:p>
      <w:pPr>
        <w:spacing w:after="0" w:line="124" w:lineRule="exact"/>
        <w:rPr>
          <w:sz w:val="20"/>
          <w:szCs w:val="20"/>
          <w:color w:val="auto"/>
        </w:rPr>
      </w:pPr>
    </w:p>
    <w:p>
      <w:pPr>
        <w:ind w:left="322" w:hanging="322"/>
        <w:spacing w:after="0"/>
        <w:tabs>
          <w:tab w:leader="none" w:pos="322" w:val="left"/>
        </w:tabs>
        <w:numPr>
          <w:ilvl w:val="0"/>
          <w:numId w:val="6"/>
        </w:numPr>
        <w:rPr>
          <w:rFonts w:ascii="Arial" w:cs="Arial" w:eastAsia="Arial" w:hAnsi="Arial"/>
          <w:sz w:val="16"/>
          <w:szCs w:val="16"/>
          <w:b w:val="1"/>
          <w:bCs w:val="1"/>
          <w:color w:val="2D5F91"/>
        </w:rPr>
      </w:pPr>
      <w:r>
        <w:rPr>
          <w:rFonts w:ascii="Arial" w:cs="Arial" w:eastAsia="Arial" w:hAnsi="Arial"/>
          <w:sz w:val="16"/>
          <w:szCs w:val="16"/>
          <w:b w:val="1"/>
          <w:bCs w:val="1"/>
          <w:color w:val="2D5F91"/>
        </w:rPr>
        <w:t>SHARE CAPITAL</w:t>
      </w:r>
    </w:p>
    <w:p>
      <w:pPr>
        <w:spacing w:after="0" w:line="170" w:lineRule="exact"/>
        <w:rPr>
          <w:rFonts w:ascii="Arial" w:cs="Arial" w:eastAsia="Arial" w:hAnsi="Arial"/>
          <w:sz w:val="16"/>
          <w:szCs w:val="16"/>
          <w:b w:val="1"/>
          <w:bCs w:val="1"/>
          <w:color w:val="2D5F91"/>
        </w:rPr>
      </w:pPr>
    </w:p>
    <w:p>
      <w:pPr>
        <w:ind w:left="602" w:hanging="309"/>
        <w:spacing w:after="0"/>
        <w:tabs>
          <w:tab w:leader="none" w:pos="602" w:val="left"/>
        </w:tabs>
        <w:numPr>
          <w:ilvl w:val="1"/>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Authorized share capital</w:t>
      </w:r>
    </w:p>
    <w:p>
      <w:pPr>
        <w:spacing w:after="0" w:line="203"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Unlimited number of Common Shares and an unlimited number of preferred shares without par value. The board of directors of Cybin would determine the designation, rights, privileges, and conditions attached to any preferred shares prior to issuance.</w:t>
      </w:r>
    </w:p>
    <w:p>
      <w:pPr>
        <w:spacing w:after="0" w:line="116" w:lineRule="exact"/>
        <w:rPr>
          <w:sz w:val="20"/>
          <w:szCs w:val="20"/>
          <w:color w:val="auto"/>
        </w:rPr>
      </w:pPr>
    </w:p>
    <w:p>
      <w:pPr>
        <w:ind w:left="602" w:hanging="309"/>
        <w:spacing w:after="0"/>
        <w:tabs>
          <w:tab w:leader="none" w:pos="60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Issued share capital</w:t>
      </w:r>
    </w:p>
    <w:p>
      <w:pPr>
        <w:spacing w:after="0" w:line="175" w:lineRule="exact"/>
        <w:rPr>
          <w:sz w:val="20"/>
          <w:szCs w:val="20"/>
          <w:color w:val="auto"/>
        </w:rPr>
      </w:pPr>
    </w:p>
    <w:p>
      <w:pPr>
        <w:ind w:left="302"/>
        <w:spacing w:after="0"/>
        <w:rPr>
          <w:sz w:val="20"/>
          <w:szCs w:val="20"/>
          <w:color w:val="auto"/>
        </w:rPr>
      </w:pPr>
      <w:r>
        <w:rPr>
          <w:rFonts w:ascii="Arial" w:cs="Arial" w:eastAsia="Arial" w:hAnsi="Arial"/>
          <w:sz w:val="16"/>
          <w:szCs w:val="16"/>
          <w:i w:val="1"/>
          <w:iCs w:val="1"/>
          <w:color w:val="auto"/>
        </w:rPr>
        <w:t>Common Shares</w:t>
      </w:r>
    </w:p>
    <w:p>
      <w:pPr>
        <w:spacing w:after="0" w:line="199"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On August 3, 2021, Cybin completed a public offering of 10,147,600 Common Shares at a price of $3.40 per Common Share for gross proceeds of $34,502.</w:t>
      </w:r>
    </w:p>
    <w:p>
      <w:pPr>
        <w:spacing w:after="0" w:line="136"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In connection with the public offering, Cybin paid the underwriters a cash commission of $2,240 and issued 658,860 compensation Common Share purchase warrants of Cybin, with each compensation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10 of 25</w:t>
      </w:r>
    </w:p>
    <w:p>
      <w:pPr>
        <w:sectPr>
          <w:pgSz w:w="11900" w:h="16838" w:orient="portrait"/>
          <w:cols w:equalWidth="0" w:num="1">
            <w:col w:w="11242"/>
          </w:cols>
          <w:pgMar w:left="318" w:top="171"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40"/>
        <w:spacing w:after="0" w:line="270" w:lineRule="auto"/>
        <w:rPr>
          <w:sz w:val="20"/>
          <w:szCs w:val="20"/>
          <w:color w:val="auto"/>
        </w:rPr>
      </w:pPr>
      <w:r>
        <w:rPr>
          <w:rFonts w:ascii="Arial" w:cs="Arial" w:eastAsia="Arial" w:hAnsi="Arial"/>
          <w:sz w:val="16"/>
          <w:szCs w:val="16"/>
          <w:color w:val="auto"/>
        </w:rPr>
        <w:t>purchase warrant being exercisable to acquire one Common Share at a price of $3.40 for a period of 24 months. In addition, the Company incurred additional share issuance costs related to professional fees of $754.</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at December 31, 2021, the Company has 12,545,767 Common Shares held in escrow (March 31, 2021 - 37,637,300).</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Cybin US Class B Shares</w:t>
      </w:r>
    </w:p>
    <w:p>
      <w:pPr>
        <w:spacing w:after="0" w:line="265"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560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 of Class B Shares</w:t>
            </w:r>
          </w:p>
        </w:tc>
      </w:tr>
      <w:tr>
        <w:trPr>
          <w:trHeight w:val="200"/>
        </w:trPr>
        <w:tc>
          <w:tcPr>
            <w:tcW w:w="5600" w:type="dxa"/>
            <w:vAlign w:val="bottom"/>
          </w:tcPr>
          <w:p>
            <w:pPr>
              <w:ind w:left="40"/>
              <w:spacing w:after="0"/>
              <w:rPr>
                <w:sz w:val="20"/>
                <w:szCs w:val="20"/>
                <w:color w:val="auto"/>
              </w:rPr>
            </w:pPr>
            <w:r>
              <w:rPr>
                <w:rFonts w:ascii="Arial" w:cs="Arial" w:eastAsia="Arial" w:hAnsi="Arial"/>
                <w:sz w:val="16"/>
                <w:szCs w:val="16"/>
                <w:color w:val="auto"/>
              </w:rPr>
              <w:t>As at March 31, 2020</w:t>
            </w:r>
          </w:p>
        </w:tc>
        <w:tc>
          <w:tcPr>
            <w:tcW w:w="4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600" w:type="dxa"/>
            <w:vAlign w:val="bottom"/>
            <w:tcBorders>
              <w:bottom w:val="single" w:sz="8" w:color="929292"/>
            </w:tcBorders>
          </w:tcPr>
          <w:p>
            <w:pPr>
              <w:ind w:left="40"/>
              <w:spacing w:after="0"/>
              <w:rPr>
                <w:sz w:val="20"/>
                <w:szCs w:val="20"/>
                <w:color w:val="auto"/>
              </w:rPr>
            </w:pPr>
            <w:r>
              <w:rPr>
                <w:rFonts w:ascii="Arial" w:cs="Arial" w:eastAsia="Arial" w:hAnsi="Arial"/>
                <w:sz w:val="16"/>
                <w:szCs w:val="16"/>
                <w:color w:val="auto"/>
              </w:rPr>
              <w:t>Issued for acquisition</w:t>
            </w:r>
          </w:p>
        </w:tc>
        <w:tc>
          <w:tcPr>
            <w:tcW w:w="496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868,833.1</w:t>
            </w:r>
          </w:p>
        </w:tc>
      </w:tr>
      <w:tr>
        <w:trPr>
          <w:trHeight w:val="201"/>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at December 31, 2020</w:t>
            </w:r>
          </w:p>
        </w:tc>
        <w:tc>
          <w:tcPr>
            <w:tcW w:w="4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868,833.1</w:t>
            </w:r>
          </w:p>
        </w:tc>
      </w:tr>
      <w:tr>
        <w:trPr>
          <w:trHeight w:val="432"/>
        </w:trPr>
        <w:tc>
          <w:tcPr>
            <w:tcW w:w="56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 of Class B Shares</w:t>
            </w:r>
          </w:p>
        </w:tc>
      </w:tr>
      <w:tr>
        <w:trPr>
          <w:trHeight w:val="200"/>
        </w:trPr>
        <w:tc>
          <w:tcPr>
            <w:tcW w:w="5600" w:type="dxa"/>
            <w:vAlign w:val="bottom"/>
          </w:tcPr>
          <w:p>
            <w:pPr>
              <w:ind w:left="40"/>
              <w:spacing w:after="0"/>
              <w:rPr>
                <w:sz w:val="20"/>
                <w:szCs w:val="20"/>
                <w:color w:val="auto"/>
              </w:rPr>
            </w:pPr>
            <w:r>
              <w:rPr>
                <w:rFonts w:ascii="Arial" w:cs="Arial" w:eastAsia="Arial" w:hAnsi="Arial"/>
                <w:sz w:val="16"/>
                <w:szCs w:val="16"/>
                <w:color w:val="auto"/>
              </w:rPr>
              <w:t>As at March 31, 2021</w:t>
            </w:r>
          </w:p>
        </w:tc>
        <w:tc>
          <w:tcPr>
            <w:tcW w:w="4960" w:type="dxa"/>
            <w:vAlign w:val="bottom"/>
          </w:tcPr>
          <w:p>
            <w:pPr>
              <w:jc w:val="right"/>
              <w:spacing w:after="0"/>
              <w:rPr>
                <w:sz w:val="20"/>
                <w:szCs w:val="20"/>
                <w:color w:val="auto"/>
              </w:rPr>
            </w:pPr>
            <w:r>
              <w:rPr>
                <w:rFonts w:ascii="Arial" w:cs="Arial" w:eastAsia="Arial" w:hAnsi="Arial"/>
                <w:sz w:val="16"/>
                <w:szCs w:val="16"/>
                <w:color w:val="auto"/>
              </w:rPr>
              <w:t>962,243.3</w:t>
            </w:r>
          </w:p>
        </w:tc>
      </w:tr>
      <w:tr>
        <w:trPr>
          <w:trHeight w:val="208"/>
        </w:trPr>
        <w:tc>
          <w:tcPr>
            <w:tcW w:w="5600" w:type="dxa"/>
            <w:vAlign w:val="bottom"/>
            <w:tcBorders>
              <w:bottom w:val="single" w:sz="8" w:color="929292"/>
            </w:tcBorders>
          </w:tcPr>
          <w:p>
            <w:pPr>
              <w:ind w:left="40"/>
              <w:spacing w:after="0"/>
              <w:rPr>
                <w:sz w:val="20"/>
                <w:szCs w:val="20"/>
                <w:color w:val="auto"/>
              </w:rPr>
            </w:pPr>
            <w:r>
              <w:rPr>
                <w:rFonts w:ascii="Arial" w:cs="Arial" w:eastAsia="Arial" w:hAnsi="Arial"/>
                <w:sz w:val="16"/>
                <w:szCs w:val="16"/>
                <w:color w:val="auto"/>
              </w:rPr>
              <w:t>Issued on achievement of milestones</w:t>
            </w:r>
          </w:p>
        </w:tc>
        <w:tc>
          <w:tcPr>
            <w:tcW w:w="496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104,582.7</w:t>
            </w:r>
          </w:p>
        </w:tc>
      </w:tr>
      <w:tr>
        <w:trPr>
          <w:trHeight w:val="201"/>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at December 31, 2021</w:t>
            </w:r>
          </w:p>
        </w:tc>
        <w:tc>
          <w:tcPr>
            <w:tcW w:w="4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1,066,826.0</w:t>
            </w:r>
          </w:p>
        </w:tc>
      </w:tr>
    </w:tbl>
    <w:p>
      <w:pPr>
        <w:spacing w:after="0" w:line="2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June 28, 2021 Adelia completed the remaining requirements of the second milestone. Accordingly, 15,777.1 Class B Shares were issued to the Former Adelia Shareholders, amounting to $458. These Class B Shares are exchangeable for a total of 157,771 Common Shares, representing an effective issue price of $2.90 per Common Share.</w:t>
      </w:r>
    </w:p>
    <w:p>
      <w:pPr>
        <w:spacing w:after="0" w:line="1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August 17, 2021, an additional 18,788.5 Class B Shares were issued to the Former Adelia Shareholders upon the achievement of certain requirements of the third and fourth milestones, amounting to $633. These Class B Shares are exchangeable for a total of 187,885 Common Shares, representing an effective issue price of $3.37 per Common Share.</w:t>
      </w:r>
    </w:p>
    <w:p>
      <w:pPr>
        <w:spacing w:after="0" w:line="156"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August 31, 2021, the remaining requirements of the third milestone were achieved. Accordingly, 9,392.6 Class B Shares were issued to the Former Adelia Shareholders, amounting to $317. These Class B Shares are exchangeable for a total of 93,926 Common Shares, representing an effective issue price of $3.38 per Common Share.</w:t>
      </w:r>
    </w:p>
    <w:p>
      <w:pPr>
        <w:spacing w:after="0" w:line="1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During the three months ended December 31, 2021, an additional 28,903 Class B Shares were issued to the Former Adelia Shareholders on November 18, 2021 upon the achievement of certain requirements of the fourth and fifth milestones, amounting to $706. These Class B Shares are exchangeable for a total of 289,030 Common Shares, representing an effective issue price of $2.44 per Common Share.</w:t>
      </w:r>
    </w:p>
    <w:p>
      <w:pPr>
        <w:spacing w:after="0" w:line="1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During the three months ended December 31, 2021, an additional 31,721.5 Class B Shares were issued to the Former Adelia Shareholders on November 29, 2021 upon the achievement of certain requirements of the fourth and fifth milestones, amounting to $629. These Class B Shares are exchangeable for a total of 317,215 Common Shares, representing an effective issue price of $1.98 per Common Share.</w:t>
      </w:r>
    </w:p>
    <w:p>
      <w:pPr>
        <w:spacing w:after="0" w:line="156"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As at December 31, 2021, 1,066,826 Class B Shares were outstanding, which are exchangeable for a total of 10,668,260 Common Shares. No Class B Shares were exchangeable prior to December 14, 2021, and not more than: (i) 33 1/3% of the Class B Shares are to be exchangeable prior to December 14, 2022; (ii) 66 2/3%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11 of 25</w:t>
      </w:r>
    </w:p>
    <w:p>
      <w:pPr>
        <w:sectPr>
          <w:pgSz w:w="11900" w:h="16838" w:orient="portrait"/>
          <w:cols w:equalWidth="0" w:num="1">
            <w:col w:w="11180"/>
          </w:cols>
          <w:pgMar w:left="380" w:top="171"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Class B Shares are to be exchangeable prior to December 14, 2023; and (iii) thereafter, 100% of the Class B Shares are to be exchangeable.</w:t>
      </w:r>
    </w:p>
    <w:p>
      <w:pPr>
        <w:spacing w:after="0" w:line="159"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68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 xml:space="preserve">c)  </w:t>
            </w:r>
            <w:r>
              <w:rPr>
                <w:rFonts w:ascii="Arial" w:cs="Arial" w:eastAsia="Arial" w:hAnsi="Arial"/>
                <w:sz w:val="16"/>
                <w:szCs w:val="16"/>
                <w:b w:val="1"/>
                <w:bCs w:val="1"/>
                <w:color w:val="auto"/>
              </w:rPr>
              <w:t>Warrants</w:t>
            </w:r>
          </w:p>
        </w:tc>
        <w:tc>
          <w:tcPr>
            <w:tcW w:w="2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800" w:type="dxa"/>
            <w:vAlign w:val="bottom"/>
            <w:gridSpan w:val="3"/>
          </w:tcPr>
          <w:p>
            <w:pPr>
              <w:spacing w:after="0"/>
              <w:rPr>
                <w:sz w:val="20"/>
                <w:szCs w:val="20"/>
                <w:color w:val="auto"/>
              </w:rPr>
            </w:pPr>
            <w:r>
              <w:rPr>
                <w:rFonts w:ascii="Arial" w:cs="Arial" w:eastAsia="Arial" w:hAnsi="Arial"/>
                <w:sz w:val="16"/>
                <w:szCs w:val="16"/>
                <w:color w:val="auto"/>
              </w:rPr>
              <w:t>The continuity of the outstanding warrants is as follows:</w:t>
            </w:r>
          </w:p>
        </w:tc>
        <w:tc>
          <w:tcPr>
            <w:tcW w:w="2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08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rPr>
              <w:t>Number of Warrants</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080" w:type="dxa"/>
            <w:vAlign w:val="bottom"/>
            <w:vMerge w:val="continue"/>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16"/>
        </w:trPr>
        <w:tc>
          <w:tcPr>
            <w:tcW w:w="6800" w:type="dxa"/>
            <w:vAlign w:val="bottom"/>
            <w:gridSpan w:val="3"/>
            <w:vMerge w:val="restart"/>
          </w:tcPr>
          <w:p>
            <w:pPr>
              <w:ind w:left="60"/>
              <w:spacing w:after="0"/>
              <w:rPr>
                <w:sz w:val="20"/>
                <w:szCs w:val="20"/>
                <w:color w:val="auto"/>
              </w:rPr>
            </w:pPr>
            <w:r>
              <w:rPr>
                <w:rFonts w:ascii="Arial" w:cs="Arial" w:eastAsia="Arial" w:hAnsi="Arial"/>
                <w:sz w:val="16"/>
                <w:szCs w:val="16"/>
                <w:b w:val="1"/>
                <w:bCs w:val="1"/>
                <w:i w:val="1"/>
                <w:iCs w:val="1"/>
                <w:color w:val="auto"/>
              </w:rPr>
              <w:t>Common Share Purchase Warrants</w:t>
            </w:r>
          </w:p>
        </w:tc>
        <w:tc>
          <w:tcPr>
            <w:tcW w:w="20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7"/>
        </w:trPr>
        <w:tc>
          <w:tcPr>
            <w:tcW w:w="6800" w:type="dxa"/>
            <w:vAlign w:val="bottom"/>
            <w:gridSpan w:val="3"/>
            <w:vMerge w:val="continue"/>
          </w:tcPr>
          <w:p>
            <w:pPr>
              <w:spacing w:after="0"/>
              <w:rPr>
                <w:sz w:val="16"/>
                <w:szCs w:val="16"/>
                <w:color w:val="auto"/>
              </w:rPr>
            </w:pPr>
          </w:p>
        </w:tc>
        <w:tc>
          <w:tcPr>
            <w:tcW w:w="2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800" w:type="dxa"/>
            <w:vAlign w:val="bottom"/>
            <w:gridSpan w:val="3"/>
          </w:tcPr>
          <w:p>
            <w:pPr>
              <w:ind w:left="60"/>
              <w:spacing w:after="0"/>
              <w:rPr>
                <w:sz w:val="20"/>
                <w:szCs w:val="20"/>
                <w:color w:val="auto"/>
              </w:rPr>
            </w:pPr>
            <w:r>
              <w:rPr>
                <w:rFonts w:ascii="Arial" w:cs="Arial" w:eastAsia="Arial" w:hAnsi="Arial"/>
                <w:sz w:val="16"/>
                <w:szCs w:val="16"/>
                <w:color w:val="auto"/>
              </w:rPr>
              <w:t>As at March 31, 2021</w:t>
            </w:r>
          </w:p>
        </w:tc>
        <w:tc>
          <w:tcPr>
            <w:tcW w:w="2080" w:type="dxa"/>
            <w:vAlign w:val="bottom"/>
          </w:tcPr>
          <w:p>
            <w:pPr>
              <w:jc w:val="right"/>
              <w:ind w:right="178"/>
              <w:spacing w:after="0"/>
              <w:rPr>
                <w:sz w:val="20"/>
                <w:szCs w:val="20"/>
                <w:color w:val="auto"/>
              </w:rPr>
            </w:pPr>
            <w:r>
              <w:rPr>
                <w:rFonts w:ascii="Arial" w:cs="Arial" w:eastAsia="Arial" w:hAnsi="Arial"/>
                <w:sz w:val="16"/>
                <w:szCs w:val="16"/>
                <w:color w:val="auto"/>
              </w:rPr>
              <w:t>28,696,237</w:t>
            </w:r>
          </w:p>
        </w:tc>
        <w:tc>
          <w:tcPr>
            <w:tcW w:w="168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8"/>
        </w:trPr>
        <w:tc>
          <w:tcPr>
            <w:tcW w:w="6800" w:type="dxa"/>
            <w:vAlign w:val="bottom"/>
            <w:gridSpan w:val="3"/>
          </w:tcPr>
          <w:p>
            <w:pPr>
              <w:ind w:left="60"/>
              <w:spacing w:after="0"/>
              <w:rPr>
                <w:sz w:val="20"/>
                <w:szCs w:val="20"/>
                <w:color w:val="auto"/>
              </w:rPr>
            </w:pPr>
            <w:r>
              <w:rPr>
                <w:rFonts w:ascii="Arial" w:cs="Arial" w:eastAsia="Arial" w:hAnsi="Arial"/>
                <w:sz w:val="16"/>
                <w:szCs w:val="16"/>
                <w:color w:val="auto"/>
              </w:rPr>
              <w:t>Issued</w:t>
            </w:r>
          </w:p>
        </w:tc>
        <w:tc>
          <w:tcPr>
            <w:tcW w:w="2080" w:type="dxa"/>
            <w:vAlign w:val="bottom"/>
          </w:tcPr>
          <w:p>
            <w:pPr>
              <w:jc w:val="right"/>
              <w:ind w:right="198"/>
              <w:spacing w:after="0"/>
              <w:rPr>
                <w:sz w:val="20"/>
                <w:szCs w:val="20"/>
                <w:color w:val="auto"/>
              </w:rPr>
            </w:pPr>
            <w:r>
              <w:rPr>
                <w:rFonts w:ascii="Arial" w:cs="Arial" w:eastAsia="Arial" w:hAnsi="Arial"/>
                <w:sz w:val="16"/>
                <w:szCs w:val="16"/>
                <w:color w:val="auto"/>
              </w:rPr>
              <w:t>658,860</w:t>
            </w:r>
          </w:p>
        </w:tc>
        <w:tc>
          <w:tcPr>
            <w:tcW w:w="168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8"/>
        </w:trPr>
        <w:tc>
          <w:tcPr>
            <w:tcW w:w="6800" w:type="dxa"/>
            <w:vAlign w:val="bottom"/>
            <w:gridSpan w:val="3"/>
          </w:tcPr>
          <w:p>
            <w:pPr>
              <w:ind w:left="60"/>
              <w:spacing w:after="0"/>
              <w:rPr>
                <w:sz w:val="20"/>
                <w:szCs w:val="20"/>
                <w:color w:val="auto"/>
              </w:rPr>
            </w:pPr>
            <w:r>
              <w:rPr>
                <w:rFonts w:ascii="Arial" w:cs="Arial" w:eastAsia="Arial" w:hAnsi="Arial"/>
                <w:sz w:val="16"/>
                <w:szCs w:val="16"/>
                <w:color w:val="auto"/>
              </w:rPr>
              <w:t>Exercised</w:t>
            </w:r>
          </w:p>
        </w:tc>
        <w:tc>
          <w:tcPr>
            <w:tcW w:w="2080" w:type="dxa"/>
            <w:vAlign w:val="bottom"/>
          </w:tcPr>
          <w:p>
            <w:pPr>
              <w:jc w:val="right"/>
              <w:ind w:right="178"/>
              <w:spacing w:after="0"/>
              <w:rPr>
                <w:sz w:val="20"/>
                <w:szCs w:val="20"/>
                <w:color w:val="auto"/>
              </w:rPr>
            </w:pPr>
            <w:r>
              <w:rPr>
                <w:rFonts w:ascii="Arial" w:cs="Arial" w:eastAsia="Arial" w:hAnsi="Arial"/>
                <w:sz w:val="16"/>
                <w:szCs w:val="16"/>
                <w:color w:val="auto"/>
              </w:rPr>
              <w:t>(3,103,676)</w:t>
            </w:r>
          </w:p>
        </w:tc>
        <w:tc>
          <w:tcPr>
            <w:tcW w:w="1680" w:type="dxa"/>
            <w:vAlign w:val="bottom"/>
          </w:tcPr>
          <w:p>
            <w:pPr>
              <w:jc w:val="right"/>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08"/>
        </w:trPr>
        <w:tc>
          <w:tcPr>
            <w:tcW w:w="6800" w:type="dxa"/>
            <w:vAlign w:val="bottom"/>
            <w:tcBorders>
              <w:bottom w:val="single" w:sz="8" w:color="929292"/>
            </w:tcBorders>
            <w:gridSpan w:val="3"/>
          </w:tcPr>
          <w:p>
            <w:pPr>
              <w:ind w:left="60"/>
              <w:spacing w:after="0"/>
              <w:rPr>
                <w:sz w:val="20"/>
                <w:szCs w:val="20"/>
                <w:color w:val="auto"/>
              </w:rPr>
            </w:pPr>
            <w:r>
              <w:rPr>
                <w:rFonts w:ascii="Arial" w:cs="Arial" w:eastAsia="Arial" w:hAnsi="Arial"/>
                <w:sz w:val="16"/>
                <w:szCs w:val="16"/>
                <w:color w:val="auto"/>
              </w:rPr>
              <w:t>Forfeited</w:t>
            </w:r>
          </w:p>
        </w:tc>
        <w:tc>
          <w:tcPr>
            <w:tcW w:w="2080" w:type="dxa"/>
            <w:vAlign w:val="bottom"/>
            <w:tcBorders>
              <w:bottom w:val="single" w:sz="8" w:color="929292"/>
            </w:tcBorders>
          </w:tcPr>
          <w:p>
            <w:pPr>
              <w:jc w:val="right"/>
              <w:ind w:right="138"/>
              <w:spacing w:after="0"/>
              <w:rPr>
                <w:sz w:val="20"/>
                <w:szCs w:val="20"/>
                <w:color w:val="auto"/>
              </w:rPr>
            </w:pPr>
            <w:r>
              <w:rPr>
                <w:rFonts w:ascii="Arial" w:cs="Arial" w:eastAsia="Arial" w:hAnsi="Arial"/>
                <w:sz w:val="16"/>
                <w:szCs w:val="16"/>
                <w:color w:val="auto"/>
              </w:rPr>
              <w:t>(150,000)</w:t>
            </w:r>
          </w:p>
        </w:tc>
        <w:tc>
          <w:tcPr>
            <w:tcW w:w="168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1"/>
        </w:trPr>
        <w:tc>
          <w:tcPr>
            <w:tcW w:w="68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Outstanding as at December 31, 2021</w:t>
            </w:r>
          </w:p>
        </w:tc>
        <w:tc>
          <w:tcPr>
            <w:tcW w:w="20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26,101,421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0" w:type="dxa"/>
            <w:vAlign w:val="bottom"/>
          </w:tcPr>
          <w:p>
            <w:pPr>
              <w:spacing w:after="0"/>
              <w:rPr>
                <w:sz w:val="1"/>
                <w:szCs w:val="1"/>
                <w:color w:val="auto"/>
              </w:rPr>
            </w:pPr>
          </w:p>
        </w:tc>
      </w:tr>
      <w:tr>
        <w:trPr>
          <w:trHeight w:val="200"/>
        </w:trPr>
        <w:tc>
          <w:tcPr>
            <w:tcW w:w="68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Exercisable as at December 31, 2021</w:t>
            </w:r>
          </w:p>
        </w:tc>
        <w:tc>
          <w:tcPr>
            <w:tcW w:w="20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24,688,921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r>
        <w:trPr>
          <w:trHeight w:val="432"/>
        </w:trPr>
        <w:tc>
          <w:tcPr>
            <w:tcW w:w="6800" w:type="dxa"/>
            <w:vAlign w:val="bottom"/>
            <w:gridSpan w:val="3"/>
          </w:tcPr>
          <w:p>
            <w:pPr>
              <w:ind w:left="60"/>
              <w:spacing w:after="0"/>
              <w:rPr>
                <w:sz w:val="20"/>
                <w:szCs w:val="20"/>
                <w:color w:val="auto"/>
              </w:rPr>
            </w:pPr>
            <w:r>
              <w:rPr>
                <w:rFonts w:ascii="Arial" w:cs="Arial" w:eastAsia="Arial" w:hAnsi="Arial"/>
                <w:sz w:val="16"/>
                <w:szCs w:val="16"/>
                <w:b w:val="1"/>
                <w:bCs w:val="1"/>
                <w:i w:val="1"/>
                <w:iCs w:val="1"/>
                <w:color w:val="auto"/>
              </w:rPr>
              <w:t>Unit Purchase Warrants</w:t>
            </w:r>
            <w:r>
              <w:rPr>
                <w:rFonts w:ascii="Arial" w:cs="Arial" w:eastAsia="Arial" w:hAnsi="Arial"/>
                <w:sz w:val="21"/>
                <w:szCs w:val="21"/>
                <w:b w:val="1"/>
                <w:bCs w:val="1"/>
                <w:i w:val="1"/>
                <w:iCs w:val="1"/>
                <w:color w:val="auto"/>
                <w:vertAlign w:val="superscript"/>
              </w:rPr>
              <w:t>(1)</w:t>
            </w:r>
          </w:p>
        </w:tc>
        <w:tc>
          <w:tcPr>
            <w:tcW w:w="2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0" w:type="dxa"/>
            <w:vAlign w:val="bottom"/>
            <w:gridSpan w:val="3"/>
          </w:tcPr>
          <w:p>
            <w:pPr>
              <w:ind w:left="60"/>
              <w:spacing w:after="0"/>
              <w:rPr>
                <w:sz w:val="20"/>
                <w:szCs w:val="20"/>
                <w:color w:val="auto"/>
              </w:rPr>
            </w:pPr>
            <w:r>
              <w:rPr>
                <w:rFonts w:ascii="Arial" w:cs="Arial" w:eastAsia="Arial" w:hAnsi="Arial"/>
                <w:sz w:val="16"/>
                <w:szCs w:val="16"/>
                <w:color w:val="auto"/>
              </w:rPr>
              <w:t>As at March 31, 2021</w:t>
            </w:r>
          </w:p>
        </w:tc>
        <w:tc>
          <w:tcPr>
            <w:tcW w:w="2080" w:type="dxa"/>
            <w:vAlign w:val="bottom"/>
          </w:tcPr>
          <w:p>
            <w:pPr>
              <w:jc w:val="right"/>
              <w:ind w:right="178"/>
              <w:spacing w:after="0"/>
              <w:rPr>
                <w:sz w:val="20"/>
                <w:szCs w:val="20"/>
                <w:color w:val="auto"/>
              </w:rPr>
            </w:pPr>
            <w:r>
              <w:rPr>
                <w:rFonts w:ascii="Arial" w:cs="Arial" w:eastAsia="Arial" w:hAnsi="Arial"/>
                <w:sz w:val="16"/>
                <w:szCs w:val="16"/>
                <w:color w:val="auto"/>
              </w:rPr>
              <w:t>868,740</w:t>
            </w:r>
          </w:p>
        </w:tc>
        <w:tc>
          <w:tcPr>
            <w:tcW w:w="168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8"/>
        </w:trPr>
        <w:tc>
          <w:tcPr>
            <w:tcW w:w="6800" w:type="dxa"/>
            <w:vAlign w:val="bottom"/>
            <w:gridSpan w:val="3"/>
          </w:tcPr>
          <w:p>
            <w:pPr>
              <w:ind w:left="60"/>
              <w:spacing w:after="0"/>
              <w:rPr>
                <w:sz w:val="20"/>
                <w:szCs w:val="20"/>
                <w:color w:val="auto"/>
              </w:rPr>
            </w:pPr>
            <w:r>
              <w:rPr>
                <w:rFonts w:ascii="Arial" w:cs="Arial" w:eastAsia="Arial" w:hAnsi="Arial"/>
                <w:sz w:val="16"/>
                <w:szCs w:val="16"/>
                <w:color w:val="auto"/>
              </w:rPr>
              <w:t>Issued</w:t>
            </w:r>
          </w:p>
        </w:tc>
        <w:tc>
          <w:tcPr>
            <w:tcW w:w="20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800" w:type="dxa"/>
            <w:vAlign w:val="bottom"/>
            <w:gridSpan w:val="3"/>
          </w:tcPr>
          <w:p>
            <w:pPr>
              <w:ind w:left="60"/>
              <w:spacing w:after="0"/>
              <w:rPr>
                <w:sz w:val="20"/>
                <w:szCs w:val="20"/>
                <w:color w:val="auto"/>
              </w:rPr>
            </w:pPr>
            <w:r>
              <w:rPr>
                <w:rFonts w:ascii="Arial" w:cs="Arial" w:eastAsia="Arial" w:hAnsi="Arial"/>
                <w:sz w:val="16"/>
                <w:szCs w:val="16"/>
                <w:color w:val="auto"/>
              </w:rPr>
              <w:t>Exercised</w:t>
            </w:r>
          </w:p>
        </w:tc>
        <w:tc>
          <w:tcPr>
            <w:tcW w:w="20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800" w:type="dxa"/>
            <w:vAlign w:val="bottom"/>
            <w:tcBorders>
              <w:bottom w:val="single" w:sz="8" w:color="929292"/>
            </w:tcBorders>
            <w:gridSpan w:val="3"/>
          </w:tcPr>
          <w:p>
            <w:pPr>
              <w:ind w:left="60"/>
              <w:spacing w:after="0"/>
              <w:rPr>
                <w:sz w:val="20"/>
                <w:szCs w:val="20"/>
                <w:color w:val="auto"/>
              </w:rPr>
            </w:pPr>
            <w:r>
              <w:rPr>
                <w:rFonts w:ascii="Arial" w:cs="Arial" w:eastAsia="Arial" w:hAnsi="Arial"/>
                <w:sz w:val="16"/>
                <w:szCs w:val="16"/>
                <w:color w:val="auto"/>
              </w:rPr>
              <w:t>Forfeited</w:t>
            </w:r>
          </w:p>
        </w:tc>
        <w:tc>
          <w:tcPr>
            <w:tcW w:w="2080" w:type="dxa"/>
            <w:vAlign w:val="bottom"/>
            <w:tcBorders>
              <w:bottom w:val="single" w:sz="8" w:color="929292"/>
            </w:tcBorders>
          </w:tcPr>
          <w:p>
            <w:pPr>
              <w:jc w:val="right"/>
              <w:ind w:right="198"/>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8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Outstanding as at December 31, 2021</w:t>
            </w:r>
          </w:p>
        </w:tc>
        <w:tc>
          <w:tcPr>
            <w:tcW w:w="20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868,740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0" w:type="dxa"/>
            <w:vAlign w:val="bottom"/>
          </w:tcPr>
          <w:p>
            <w:pPr>
              <w:spacing w:after="0"/>
              <w:rPr>
                <w:sz w:val="1"/>
                <w:szCs w:val="1"/>
                <w:color w:val="auto"/>
              </w:rPr>
            </w:pPr>
          </w:p>
        </w:tc>
      </w:tr>
      <w:tr>
        <w:trPr>
          <w:trHeight w:val="200"/>
        </w:trPr>
        <w:tc>
          <w:tcPr>
            <w:tcW w:w="68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Exercisable as at December 31, 2021</w:t>
            </w:r>
          </w:p>
        </w:tc>
        <w:tc>
          <w:tcPr>
            <w:tcW w:w="20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868,740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0" w:type="dxa"/>
            <w:vAlign w:val="bottom"/>
          </w:tcPr>
          <w:p>
            <w:pPr>
              <w:spacing w:after="0"/>
              <w:rPr>
                <w:sz w:val="1"/>
                <w:szCs w:val="1"/>
                <w:color w:val="auto"/>
              </w:rPr>
            </w:pPr>
          </w:p>
        </w:tc>
      </w:tr>
      <w:tr>
        <w:trPr>
          <w:trHeight w:val="212"/>
        </w:trPr>
        <w:tc>
          <w:tcPr>
            <w:tcW w:w="300" w:type="dxa"/>
            <w:vAlign w:val="bottom"/>
            <w:tcBorders>
              <w:bottom w:val="single" w:sz="8" w:color="929292"/>
            </w:tcBorders>
          </w:tcPr>
          <w:p>
            <w:pPr>
              <w:spacing w:after="0"/>
              <w:rPr>
                <w:sz w:val="18"/>
                <w:szCs w:val="18"/>
                <w:color w:val="auto"/>
              </w:rPr>
            </w:pPr>
          </w:p>
        </w:tc>
        <w:tc>
          <w:tcPr>
            <w:tcW w:w="700" w:type="dxa"/>
            <w:vAlign w:val="bottom"/>
            <w:tcBorders>
              <w:bottom w:val="single" w:sz="8" w:color="929292"/>
            </w:tcBorders>
          </w:tcPr>
          <w:p>
            <w:pPr>
              <w:spacing w:after="0"/>
              <w:rPr>
                <w:sz w:val="18"/>
                <w:szCs w:val="18"/>
                <w:color w:val="auto"/>
              </w:rPr>
            </w:pPr>
          </w:p>
        </w:tc>
        <w:tc>
          <w:tcPr>
            <w:tcW w:w="5800" w:type="dxa"/>
            <w:vAlign w:val="bottom"/>
            <w:tcBorders>
              <w:bottom w:val="single" w:sz="8" w:color="929292"/>
            </w:tcBorders>
          </w:tcPr>
          <w:p>
            <w:pPr>
              <w:spacing w:after="0"/>
              <w:rPr>
                <w:sz w:val="18"/>
                <w:szCs w:val="18"/>
                <w:color w:val="auto"/>
              </w:rPr>
            </w:pPr>
          </w:p>
        </w:tc>
        <w:tc>
          <w:tcPr>
            <w:tcW w:w="2080" w:type="dxa"/>
            <w:vAlign w:val="bottom"/>
            <w:tcBorders>
              <w:bottom w:val="single" w:sz="8" w:color="929292"/>
            </w:tcBorders>
          </w:tcPr>
          <w:p>
            <w:pPr>
              <w:spacing w:after="0"/>
              <w:rPr>
                <w:sz w:val="18"/>
                <w:szCs w:val="18"/>
                <w:color w:val="auto"/>
              </w:rPr>
            </w:pPr>
          </w:p>
        </w:tc>
        <w:tc>
          <w:tcPr>
            <w:tcW w:w="1680" w:type="dxa"/>
            <w:vAlign w:val="bottom"/>
            <w:tcBorders>
              <w:bottom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8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Total outstanding as at December 31, 2021</w:t>
            </w:r>
          </w:p>
        </w:tc>
        <w:tc>
          <w:tcPr>
            <w:tcW w:w="20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26,970,161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c>
          <w:tcPr>
            <w:tcW w:w="0" w:type="dxa"/>
            <w:vAlign w:val="bottom"/>
          </w:tcPr>
          <w:p>
            <w:pPr>
              <w:spacing w:after="0"/>
              <w:rPr>
                <w:sz w:val="1"/>
                <w:szCs w:val="1"/>
                <w:color w:val="auto"/>
              </w:rPr>
            </w:pPr>
          </w:p>
        </w:tc>
      </w:tr>
      <w:tr>
        <w:trPr>
          <w:trHeight w:val="200"/>
        </w:trPr>
        <w:tc>
          <w:tcPr>
            <w:tcW w:w="68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Total exercisable as at December 31, 2021</w:t>
            </w:r>
          </w:p>
        </w:tc>
        <w:tc>
          <w:tcPr>
            <w:tcW w:w="20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25,557,661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40" w:hanging="9"/>
        <w:spacing w:after="0" w:line="222" w:lineRule="auto"/>
        <w:tabs>
          <w:tab w:leader="none" w:pos="408"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Each unit consists of one Common Share and one half of one Common Share purchase warrant, with each Common Share purchase warrant being exercisable to acquire one Common Share at an exercise price of $3.25 per Common Share.</w:t>
      </w:r>
    </w:p>
    <w:p>
      <w:pPr>
        <w:spacing w:after="0" w:line="151" w:lineRule="exact"/>
        <w:rPr>
          <w:sz w:val="20"/>
          <w:szCs w:val="20"/>
          <w:color w:val="auto"/>
        </w:rPr>
      </w:pPr>
    </w:p>
    <w:p>
      <w:pPr>
        <w:ind w:left="240" w:right="20"/>
        <w:spacing w:after="0" w:line="270" w:lineRule="auto"/>
        <w:rPr>
          <w:sz w:val="20"/>
          <w:szCs w:val="20"/>
          <w:color w:val="auto"/>
        </w:rPr>
      </w:pPr>
      <w:r>
        <w:rPr>
          <w:rFonts w:ascii="Arial" w:cs="Arial" w:eastAsia="Arial" w:hAnsi="Arial"/>
          <w:sz w:val="16"/>
          <w:szCs w:val="16"/>
          <w:color w:val="auto"/>
        </w:rPr>
        <w:t>During the three and nine months ended December 31, 2021, 1,173,500 and 3,103,676 Common Share purchase warrants were exercised by various holders for aggregate proceeds to the Company of $292 and $2,884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12 of 25</w:t>
      </w:r>
    </w:p>
    <w:p>
      <w:pPr>
        <w:sectPr>
          <w:pgSz w:w="11900" w:h="16838" w:orient="portrait"/>
          <w:cols w:equalWidth="0" w:num="1">
            <w:col w:w="11200"/>
          </w:cols>
          <w:pgMar w:left="380" w:top="171" w:right="31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summarizes information about warrants outstanding at December 31, 2021:</w:t>
      </w:r>
    </w:p>
    <w:p>
      <w:pPr>
        <w:spacing w:after="0" w:line="183"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Weighted</w:t>
            </w:r>
          </w:p>
        </w:tc>
        <w:tc>
          <w:tcPr>
            <w:tcW w:w="1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59"/>
        </w:trPr>
        <w:tc>
          <w:tcPr>
            <w:tcW w:w="2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rPr>
              <w:t>Warrants</w:t>
            </w: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Warrants</w:t>
            </w:r>
          </w:p>
        </w:tc>
        <w:tc>
          <w:tcPr>
            <w:tcW w:w="1460" w:type="dxa"/>
            <w:vAlign w:val="bottom"/>
            <w:vMerge w:val="continue"/>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Estimated grant</w:t>
            </w:r>
          </w:p>
        </w:tc>
        <w:tc>
          <w:tcPr>
            <w:tcW w:w="152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remaining of</w:t>
            </w:r>
          </w:p>
        </w:tc>
        <w:tc>
          <w:tcPr>
            <w:tcW w:w="0" w:type="dxa"/>
            <w:vAlign w:val="bottom"/>
          </w:tcPr>
          <w:p>
            <w:pPr>
              <w:spacing w:after="0"/>
              <w:rPr>
                <w:sz w:val="1"/>
                <w:szCs w:val="1"/>
                <w:color w:val="auto"/>
              </w:rPr>
            </w:pPr>
          </w:p>
        </w:tc>
      </w:tr>
      <w:tr>
        <w:trPr>
          <w:trHeight w:val="159"/>
        </w:trPr>
        <w:tc>
          <w:tcPr>
            <w:tcW w:w="21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Date of Expiry</w:t>
            </w:r>
          </w:p>
        </w:tc>
        <w:tc>
          <w:tcPr>
            <w:tcW w:w="1760" w:type="dxa"/>
            <w:vAlign w:val="bottom"/>
            <w:vMerge w:val="restart"/>
          </w:tcPr>
          <w:p>
            <w:pPr>
              <w:jc w:val="right"/>
              <w:ind w:right="158"/>
              <w:spacing w:after="0"/>
              <w:rPr>
                <w:sz w:val="20"/>
                <w:szCs w:val="20"/>
                <w:color w:val="auto"/>
              </w:rPr>
            </w:pPr>
            <w:r>
              <w:rPr>
                <w:rFonts w:ascii="Arial" w:cs="Arial" w:eastAsia="Arial" w:hAnsi="Arial"/>
                <w:sz w:val="16"/>
                <w:szCs w:val="16"/>
                <w:b w:val="1"/>
                <w:bCs w:val="1"/>
                <w:color w:val="auto"/>
              </w:rPr>
              <w:t>Warrants issued</w:t>
            </w:r>
          </w:p>
        </w:tc>
        <w:tc>
          <w:tcPr>
            <w:tcW w:w="14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46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average of</w:t>
            </w:r>
          </w:p>
        </w:tc>
        <w:tc>
          <w:tcPr>
            <w:tcW w:w="1420" w:type="dxa"/>
            <w:vAlign w:val="bottom"/>
            <w:vMerge w:val="continue"/>
          </w:tcPr>
          <w:p>
            <w:pPr>
              <w:spacing w:after="0"/>
              <w:rPr>
                <w:sz w:val="13"/>
                <w:szCs w:val="13"/>
                <w:color w:val="auto"/>
              </w:rPr>
            </w:pPr>
          </w:p>
        </w:tc>
        <w:tc>
          <w:tcPr>
            <w:tcW w:w="152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outstanding</w:t>
            </w:r>
          </w:p>
        </w:tc>
        <w:tc>
          <w:tcPr>
            <w:tcW w:w="0" w:type="dxa"/>
            <w:vAlign w:val="bottom"/>
          </w:tcPr>
          <w:p>
            <w:pPr>
              <w:spacing w:after="0"/>
              <w:rPr>
                <w:sz w:val="1"/>
                <w:szCs w:val="1"/>
                <w:color w:val="auto"/>
              </w:rPr>
            </w:pPr>
          </w:p>
        </w:tc>
      </w:tr>
      <w:tr>
        <w:trPr>
          <w:trHeight w:val="199"/>
        </w:trPr>
        <w:tc>
          <w:tcPr>
            <w:tcW w:w="214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1440" w:type="dxa"/>
            <w:vAlign w:val="bottom"/>
          </w:tcPr>
          <w:p>
            <w:pPr>
              <w:jc w:val="right"/>
              <w:ind w:right="178"/>
              <w:spacing w:after="0"/>
              <w:rPr>
                <w:sz w:val="20"/>
                <w:szCs w:val="20"/>
                <w:color w:val="auto"/>
              </w:rPr>
            </w:pPr>
            <w:r>
              <w:rPr>
                <w:rFonts w:ascii="Arial" w:cs="Arial" w:eastAsia="Arial" w:hAnsi="Arial"/>
                <w:sz w:val="16"/>
                <w:szCs w:val="16"/>
                <w:b w:val="1"/>
                <w:bCs w:val="1"/>
                <w:color w:val="auto"/>
              </w:rPr>
              <w:t>outstanding</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exercisable</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exercisable price</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date fair value</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contractual life</w:t>
            </w:r>
          </w:p>
        </w:tc>
        <w:tc>
          <w:tcPr>
            <w:tcW w:w="0" w:type="dxa"/>
            <w:vAlign w:val="bottom"/>
          </w:tcPr>
          <w:p>
            <w:pPr>
              <w:spacing w:after="0"/>
              <w:rPr>
                <w:sz w:val="1"/>
                <w:szCs w:val="1"/>
                <w:color w:val="auto"/>
              </w:rPr>
            </w:pPr>
          </w:p>
        </w:tc>
      </w:tr>
      <w:tr>
        <w:trPr>
          <w:trHeight w:val="216"/>
        </w:trPr>
        <w:tc>
          <w:tcPr>
            <w:tcW w:w="2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08"/>
        </w:trPr>
        <w:tc>
          <w:tcPr>
            <w:tcW w:w="3900" w:type="dxa"/>
            <w:vAlign w:val="bottom"/>
            <w:gridSpan w:val="2"/>
          </w:tcPr>
          <w:p>
            <w:pPr>
              <w:ind w:left="60"/>
              <w:spacing w:after="0"/>
              <w:rPr>
                <w:sz w:val="20"/>
                <w:szCs w:val="20"/>
                <w:color w:val="auto"/>
              </w:rPr>
            </w:pPr>
            <w:r>
              <w:rPr>
                <w:rFonts w:ascii="Arial" w:cs="Arial" w:eastAsia="Arial" w:hAnsi="Arial"/>
                <w:sz w:val="16"/>
                <w:szCs w:val="16"/>
                <w:b w:val="1"/>
                <w:bCs w:val="1"/>
                <w:i w:val="1"/>
                <w:iCs w:val="1"/>
                <w:color w:val="auto"/>
              </w:rPr>
              <w:t>Common Share Purchase Warrants</w:t>
            </w: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140" w:type="dxa"/>
            <w:vAlign w:val="bottom"/>
          </w:tcPr>
          <w:p>
            <w:pPr>
              <w:spacing w:after="0"/>
              <w:rPr>
                <w:sz w:val="20"/>
                <w:szCs w:val="20"/>
                <w:color w:val="auto"/>
              </w:rPr>
            </w:pPr>
            <w:r>
              <w:rPr>
                <w:rFonts w:ascii="Arial" w:cs="Arial" w:eastAsia="Arial" w:hAnsi="Arial"/>
                <w:sz w:val="16"/>
                <w:szCs w:val="16"/>
                <w:color w:val="auto"/>
              </w:rPr>
              <w:t>June 15, 2022</w:t>
            </w:r>
          </w:p>
        </w:tc>
        <w:tc>
          <w:tcPr>
            <w:tcW w:w="1760" w:type="dxa"/>
            <w:vAlign w:val="bottom"/>
          </w:tcPr>
          <w:p>
            <w:pPr>
              <w:jc w:val="right"/>
              <w:ind w:right="158"/>
              <w:spacing w:after="0"/>
              <w:rPr>
                <w:sz w:val="20"/>
                <w:szCs w:val="20"/>
                <w:color w:val="auto"/>
              </w:rPr>
            </w:pPr>
            <w:r>
              <w:rPr>
                <w:rFonts w:ascii="Arial" w:cs="Arial" w:eastAsia="Arial" w:hAnsi="Arial"/>
                <w:sz w:val="16"/>
                <w:szCs w:val="16"/>
                <w:color w:val="auto"/>
              </w:rPr>
              <w:t>2,018,000</w:t>
            </w:r>
          </w:p>
        </w:tc>
        <w:tc>
          <w:tcPr>
            <w:tcW w:w="1440" w:type="dxa"/>
            <w:vAlign w:val="bottom"/>
          </w:tcPr>
          <w:p>
            <w:pPr>
              <w:jc w:val="right"/>
              <w:ind w:right="178"/>
              <w:spacing w:after="0"/>
              <w:rPr>
                <w:sz w:val="20"/>
                <w:szCs w:val="20"/>
                <w:color w:val="auto"/>
              </w:rPr>
            </w:pPr>
            <w:r>
              <w:rPr>
                <w:rFonts w:ascii="Arial" w:cs="Arial" w:eastAsia="Arial" w:hAnsi="Arial"/>
                <w:sz w:val="16"/>
                <w:szCs w:val="16"/>
                <w:color w:val="auto"/>
              </w:rPr>
              <w:t>1,000,000</w:t>
            </w:r>
          </w:p>
        </w:tc>
        <w:tc>
          <w:tcPr>
            <w:tcW w:w="1220" w:type="dxa"/>
            <w:vAlign w:val="bottom"/>
          </w:tcPr>
          <w:p>
            <w:pPr>
              <w:jc w:val="right"/>
              <w:spacing w:after="0"/>
              <w:rPr>
                <w:sz w:val="20"/>
                <w:szCs w:val="20"/>
                <w:color w:val="auto"/>
              </w:rPr>
            </w:pPr>
            <w:r>
              <w:rPr>
                <w:rFonts w:ascii="Arial" w:cs="Arial" w:eastAsia="Arial" w:hAnsi="Arial"/>
                <w:sz w:val="16"/>
                <w:szCs w:val="16"/>
                <w:color w:val="auto"/>
              </w:rPr>
              <w:t>250,000</w:t>
            </w:r>
          </w:p>
        </w:tc>
        <w:tc>
          <w:tcPr>
            <w:tcW w:w="1460" w:type="dxa"/>
            <w:vAlign w:val="bottom"/>
          </w:tcPr>
          <w:p>
            <w:pPr>
              <w:jc w:val="right"/>
              <w:spacing w:after="0"/>
              <w:rPr>
                <w:sz w:val="20"/>
                <w:szCs w:val="20"/>
                <w:color w:val="auto"/>
              </w:rPr>
            </w:pPr>
            <w:r>
              <w:rPr>
                <w:rFonts w:ascii="Arial" w:cs="Arial" w:eastAsia="Arial" w:hAnsi="Arial"/>
                <w:sz w:val="16"/>
                <w:szCs w:val="16"/>
                <w:color w:val="auto"/>
              </w:rPr>
              <w:t>0.25</w:t>
            </w:r>
          </w:p>
        </w:tc>
        <w:tc>
          <w:tcPr>
            <w:tcW w:w="1420" w:type="dxa"/>
            <w:vAlign w:val="bottom"/>
          </w:tcPr>
          <w:p>
            <w:pPr>
              <w:jc w:val="right"/>
              <w:spacing w:after="0"/>
              <w:rPr>
                <w:sz w:val="20"/>
                <w:szCs w:val="20"/>
                <w:color w:val="auto"/>
              </w:rPr>
            </w:pPr>
            <w:r>
              <w:rPr>
                <w:rFonts w:ascii="Arial" w:cs="Arial" w:eastAsia="Arial" w:hAnsi="Arial"/>
                <w:sz w:val="16"/>
                <w:szCs w:val="16"/>
                <w:color w:val="auto"/>
              </w:rPr>
              <w:t>95</w:t>
            </w:r>
          </w:p>
        </w:tc>
        <w:tc>
          <w:tcPr>
            <w:tcW w:w="1520" w:type="dxa"/>
            <w:vAlign w:val="bottom"/>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June 16, 2022</w:t>
            </w:r>
          </w:p>
        </w:tc>
        <w:tc>
          <w:tcPr>
            <w:tcW w:w="1760" w:type="dxa"/>
            <w:vAlign w:val="bottom"/>
          </w:tcPr>
          <w:p>
            <w:pPr>
              <w:jc w:val="right"/>
              <w:ind w:right="158"/>
              <w:spacing w:after="0"/>
              <w:rPr>
                <w:sz w:val="20"/>
                <w:szCs w:val="20"/>
                <w:color w:val="auto"/>
              </w:rPr>
            </w:pPr>
            <w:r>
              <w:rPr>
                <w:rFonts w:ascii="Arial" w:cs="Arial" w:eastAsia="Arial" w:hAnsi="Arial"/>
                <w:sz w:val="16"/>
                <w:szCs w:val="16"/>
                <w:color w:val="auto"/>
              </w:rPr>
              <w:t>96,034</w:t>
            </w:r>
          </w:p>
        </w:tc>
        <w:tc>
          <w:tcPr>
            <w:tcW w:w="1440" w:type="dxa"/>
            <w:vAlign w:val="bottom"/>
          </w:tcPr>
          <w:p>
            <w:pPr>
              <w:jc w:val="right"/>
              <w:ind w:right="178"/>
              <w:spacing w:after="0"/>
              <w:rPr>
                <w:sz w:val="20"/>
                <w:szCs w:val="20"/>
                <w:color w:val="auto"/>
              </w:rPr>
            </w:pPr>
            <w:r>
              <w:rPr>
                <w:rFonts w:ascii="Arial" w:cs="Arial" w:eastAsia="Arial" w:hAnsi="Arial"/>
                <w:sz w:val="16"/>
                <w:szCs w:val="16"/>
                <w:color w:val="auto"/>
              </w:rPr>
              <w:t>27,585</w:t>
            </w:r>
          </w:p>
        </w:tc>
        <w:tc>
          <w:tcPr>
            <w:tcW w:w="1220" w:type="dxa"/>
            <w:vAlign w:val="bottom"/>
          </w:tcPr>
          <w:p>
            <w:pPr>
              <w:jc w:val="right"/>
              <w:spacing w:after="0"/>
              <w:rPr>
                <w:sz w:val="20"/>
                <w:szCs w:val="20"/>
                <w:color w:val="auto"/>
              </w:rPr>
            </w:pPr>
            <w:r>
              <w:rPr>
                <w:rFonts w:ascii="Arial" w:cs="Arial" w:eastAsia="Arial" w:hAnsi="Arial"/>
                <w:sz w:val="16"/>
                <w:szCs w:val="16"/>
                <w:color w:val="auto"/>
              </w:rPr>
              <w:t>27,585</w:t>
            </w:r>
          </w:p>
        </w:tc>
        <w:tc>
          <w:tcPr>
            <w:tcW w:w="1460" w:type="dxa"/>
            <w:vAlign w:val="bottom"/>
          </w:tcPr>
          <w:p>
            <w:pPr>
              <w:jc w:val="right"/>
              <w:spacing w:after="0"/>
              <w:rPr>
                <w:sz w:val="20"/>
                <w:szCs w:val="20"/>
                <w:color w:val="auto"/>
              </w:rPr>
            </w:pPr>
            <w:r>
              <w:rPr>
                <w:rFonts w:ascii="Arial" w:cs="Arial" w:eastAsia="Arial" w:hAnsi="Arial"/>
                <w:sz w:val="16"/>
                <w:szCs w:val="16"/>
                <w:color w:val="auto"/>
              </w:rPr>
              <w:t>0.64</w:t>
            </w:r>
          </w:p>
        </w:tc>
        <w:tc>
          <w:tcPr>
            <w:tcW w:w="1420" w:type="dxa"/>
            <w:vAlign w:val="bottom"/>
          </w:tcPr>
          <w:p>
            <w:pPr>
              <w:jc w:val="right"/>
              <w:spacing w:after="0"/>
              <w:rPr>
                <w:sz w:val="20"/>
                <w:szCs w:val="20"/>
                <w:color w:val="auto"/>
              </w:rPr>
            </w:pPr>
            <w:r>
              <w:rPr>
                <w:rFonts w:ascii="Arial" w:cs="Arial" w:eastAsia="Arial" w:hAnsi="Arial"/>
                <w:sz w:val="16"/>
                <w:szCs w:val="16"/>
                <w:color w:val="auto"/>
              </w:rPr>
              <w:t>8</w:t>
            </w:r>
          </w:p>
        </w:tc>
        <w:tc>
          <w:tcPr>
            <w:tcW w:w="1520" w:type="dxa"/>
            <w:vAlign w:val="bottom"/>
          </w:tcPr>
          <w:p>
            <w:pPr>
              <w:jc w:val="right"/>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June 26, 2022</w:t>
            </w:r>
          </w:p>
        </w:tc>
        <w:tc>
          <w:tcPr>
            <w:tcW w:w="1760" w:type="dxa"/>
            <w:vAlign w:val="bottom"/>
          </w:tcPr>
          <w:p>
            <w:pPr>
              <w:jc w:val="right"/>
              <w:ind w:right="158"/>
              <w:spacing w:after="0"/>
              <w:rPr>
                <w:sz w:val="20"/>
                <w:szCs w:val="20"/>
                <w:color w:val="auto"/>
              </w:rPr>
            </w:pPr>
            <w:r>
              <w:rPr>
                <w:rFonts w:ascii="Arial" w:cs="Arial" w:eastAsia="Arial" w:hAnsi="Arial"/>
                <w:sz w:val="16"/>
                <w:szCs w:val="16"/>
                <w:color w:val="auto"/>
              </w:rPr>
              <w:t>199,275</w:t>
            </w:r>
          </w:p>
        </w:tc>
        <w:tc>
          <w:tcPr>
            <w:tcW w:w="1440" w:type="dxa"/>
            <w:vAlign w:val="bottom"/>
          </w:tcPr>
          <w:p>
            <w:pPr>
              <w:jc w:val="right"/>
              <w:ind w:right="178"/>
              <w:spacing w:after="0"/>
              <w:rPr>
                <w:sz w:val="20"/>
                <w:szCs w:val="20"/>
                <w:color w:val="auto"/>
              </w:rPr>
            </w:pPr>
            <w:r>
              <w:rPr>
                <w:rFonts w:ascii="Arial" w:cs="Arial" w:eastAsia="Arial" w:hAnsi="Arial"/>
                <w:sz w:val="16"/>
                <w:szCs w:val="16"/>
                <w:color w:val="auto"/>
              </w:rPr>
              <w:t>99,638</w:t>
            </w:r>
          </w:p>
        </w:tc>
        <w:tc>
          <w:tcPr>
            <w:tcW w:w="1220" w:type="dxa"/>
            <w:vAlign w:val="bottom"/>
          </w:tcPr>
          <w:p>
            <w:pPr>
              <w:jc w:val="right"/>
              <w:spacing w:after="0"/>
              <w:rPr>
                <w:sz w:val="20"/>
                <w:szCs w:val="20"/>
                <w:color w:val="auto"/>
              </w:rPr>
            </w:pPr>
            <w:r>
              <w:rPr>
                <w:rFonts w:ascii="Arial" w:cs="Arial" w:eastAsia="Arial" w:hAnsi="Arial"/>
                <w:sz w:val="16"/>
                <w:szCs w:val="16"/>
                <w:color w:val="auto"/>
              </w:rPr>
              <w:t>99,638</w:t>
            </w:r>
          </w:p>
        </w:tc>
        <w:tc>
          <w:tcPr>
            <w:tcW w:w="1460" w:type="dxa"/>
            <w:vAlign w:val="bottom"/>
          </w:tcPr>
          <w:p>
            <w:pPr>
              <w:jc w:val="right"/>
              <w:spacing w:after="0"/>
              <w:rPr>
                <w:sz w:val="20"/>
                <w:szCs w:val="20"/>
                <w:color w:val="auto"/>
              </w:rPr>
            </w:pPr>
            <w:r>
              <w:rPr>
                <w:rFonts w:ascii="Arial" w:cs="Arial" w:eastAsia="Arial" w:hAnsi="Arial"/>
                <w:sz w:val="16"/>
                <w:szCs w:val="16"/>
                <w:color w:val="auto"/>
              </w:rPr>
              <w:t>0.64</w:t>
            </w:r>
          </w:p>
        </w:tc>
        <w:tc>
          <w:tcPr>
            <w:tcW w:w="1420" w:type="dxa"/>
            <w:vAlign w:val="bottom"/>
          </w:tcPr>
          <w:p>
            <w:pPr>
              <w:jc w:val="right"/>
              <w:spacing w:after="0"/>
              <w:rPr>
                <w:sz w:val="20"/>
                <w:szCs w:val="20"/>
                <w:color w:val="auto"/>
              </w:rPr>
            </w:pPr>
            <w:r>
              <w:rPr>
                <w:rFonts w:ascii="Arial" w:cs="Arial" w:eastAsia="Arial" w:hAnsi="Arial"/>
                <w:sz w:val="16"/>
                <w:szCs w:val="16"/>
                <w:color w:val="auto"/>
              </w:rPr>
              <w:t>29</w:t>
            </w:r>
          </w:p>
        </w:tc>
        <w:tc>
          <w:tcPr>
            <w:tcW w:w="1520" w:type="dxa"/>
            <w:vAlign w:val="bottom"/>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October 19, 2022</w:t>
            </w:r>
          </w:p>
        </w:tc>
        <w:tc>
          <w:tcPr>
            <w:tcW w:w="1760" w:type="dxa"/>
            <w:vAlign w:val="bottom"/>
          </w:tcPr>
          <w:p>
            <w:pPr>
              <w:jc w:val="right"/>
              <w:ind w:right="158"/>
              <w:spacing w:after="0"/>
              <w:rPr>
                <w:sz w:val="20"/>
                <w:szCs w:val="20"/>
                <w:color w:val="auto"/>
              </w:rPr>
            </w:pPr>
            <w:r>
              <w:rPr>
                <w:rFonts w:ascii="Arial" w:cs="Arial" w:eastAsia="Arial" w:hAnsi="Arial"/>
                <w:sz w:val="16"/>
                <w:szCs w:val="16"/>
                <w:color w:val="auto"/>
              </w:rPr>
              <w:t>143,600</w:t>
            </w:r>
          </w:p>
        </w:tc>
        <w:tc>
          <w:tcPr>
            <w:tcW w:w="1440" w:type="dxa"/>
            <w:vAlign w:val="bottom"/>
          </w:tcPr>
          <w:p>
            <w:pPr>
              <w:jc w:val="right"/>
              <w:ind w:right="178"/>
              <w:spacing w:after="0"/>
              <w:rPr>
                <w:sz w:val="20"/>
                <w:szCs w:val="20"/>
                <w:color w:val="auto"/>
              </w:rPr>
            </w:pPr>
            <w:r>
              <w:rPr>
                <w:rFonts w:ascii="Arial" w:cs="Arial" w:eastAsia="Arial" w:hAnsi="Arial"/>
                <w:sz w:val="16"/>
                <w:szCs w:val="16"/>
                <w:color w:val="auto"/>
              </w:rPr>
              <w:t>113,713</w:t>
            </w:r>
          </w:p>
        </w:tc>
        <w:tc>
          <w:tcPr>
            <w:tcW w:w="1220" w:type="dxa"/>
            <w:vAlign w:val="bottom"/>
          </w:tcPr>
          <w:p>
            <w:pPr>
              <w:jc w:val="right"/>
              <w:spacing w:after="0"/>
              <w:rPr>
                <w:sz w:val="20"/>
                <w:szCs w:val="20"/>
                <w:color w:val="auto"/>
              </w:rPr>
            </w:pPr>
            <w:r>
              <w:rPr>
                <w:rFonts w:ascii="Arial" w:cs="Arial" w:eastAsia="Arial" w:hAnsi="Arial"/>
                <w:sz w:val="16"/>
                <w:szCs w:val="16"/>
                <w:color w:val="auto"/>
              </w:rPr>
              <w:t>113,713</w:t>
            </w:r>
          </w:p>
        </w:tc>
        <w:tc>
          <w:tcPr>
            <w:tcW w:w="1460" w:type="dxa"/>
            <w:vAlign w:val="bottom"/>
          </w:tcPr>
          <w:p>
            <w:pPr>
              <w:jc w:val="right"/>
              <w:spacing w:after="0"/>
              <w:rPr>
                <w:sz w:val="20"/>
                <w:szCs w:val="20"/>
                <w:color w:val="auto"/>
              </w:rPr>
            </w:pPr>
            <w:r>
              <w:rPr>
                <w:rFonts w:ascii="Arial" w:cs="Arial" w:eastAsia="Arial" w:hAnsi="Arial"/>
                <w:sz w:val="16"/>
                <w:szCs w:val="16"/>
                <w:color w:val="auto"/>
              </w:rPr>
              <w:t>0.75</w:t>
            </w:r>
          </w:p>
        </w:tc>
        <w:tc>
          <w:tcPr>
            <w:tcW w:w="1420" w:type="dxa"/>
            <w:vAlign w:val="bottom"/>
          </w:tcPr>
          <w:p>
            <w:pPr>
              <w:jc w:val="right"/>
              <w:spacing w:after="0"/>
              <w:rPr>
                <w:sz w:val="20"/>
                <w:szCs w:val="20"/>
                <w:color w:val="auto"/>
              </w:rPr>
            </w:pPr>
            <w:r>
              <w:rPr>
                <w:rFonts w:ascii="Arial" w:cs="Arial" w:eastAsia="Arial" w:hAnsi="Arial"/>
                <w:sz w:val="16"/>
                <w:szCs w:val="16"/>
                <w:color w:val="auto"/>
              </w:rPr>
              <w:t>42</w:t>
            </w:r>
          </w:p>
        </w:tc>
        <w:tc>
          <w:tcPr>
            <w:tcW w:w="1520" w:type="dxa"/>
            <w:vAlign w:val="bottom"/>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November 3, 2022</w:t>
            </w:r>
          </w:p>
        </w:tc>
        <w:tc>
          <w:tcPr>
            <w:tcW w:w="1760" w:type="dxa"/>
            <w:vAlign w:val="bottom"/>
          </w:tcPr>
          <w:p>
            <w:pPr>
              <w:jc w:val="right"/>
              <w:ind w:right="158"/>
              <w:spacing w:after="0"/>
              <w:rPr>
                <w:sz w:val="20"/>
                <w:szCs w:val="20"/>
                <w:color w:val="auto"/>
              </w:rPr>
            </w:pPr>
            <w:r>
              <w:rPr>
                <w:rFonts w:ascii="Arial" w:cs="Arial" w:eastAsia="Arial" w:hAnsi="Arial"/>
                <w:sz w:val="16"/>
                <w:szCs w:val="16"/>
                <w:color w:val="auto"/>
              </w:rPr>
              <w:t>2,590,000</w:t>
            </w:r>
          </w:p>
        </w:tc>
        <w:tc>
          <w:tcPr>
            <w:tcW w:w="1440" w:type="dxa"/>
            <w:vAlign w:val="bottom"/>
          </w:tcPr>
          <w:p>
            <w:pPr>
              <w:jc w:val="right"/>
              <w:ind w:right="178"/>
              <w:spacing w:after="0"/>
              <w:rPr>
                <w:sz w:val="20"/>
                <w:szCs w:val="20"/>
                <w:color w:val="auto"/>
              </w:rPr>
            </w:pPr>
            <w:r>
              <w:rPr>
                <w:rFonts w:ascii="Arial" w:cs="Arial" w:eastAsia="Arial" w:hAnsi="Arial"/>
                <w:sz w:val="16"/>
                <w:szCs w:val="16"/>
                <w:color w:val="auto"/>
              </w:rPr>
              <w:t>1,105,000</w:t>
            </w:r>
          </w:p>
        </w:tc>
        <w:tc>
          <w:tcPr>
            <w:tcW w:w="1220" w:type="dxa"/>
            <w:vAlign w:val="bottom"/>
          </w:tcPr>
          <w:p>
            <w:pPr>
              <w:jc w:val="right"/>
              <w:spacing w:after="0"/>
              <w:rPr>
                <w:sz w:val="20"/>
                <w:szCs w:val="20"/>
                <w:color w:val="auto"/>
              </w:rPr>
            </w:pPr>
            <w:r>
              <w:rPr>
                <w:rFonts w:ascii="Arial" w:cs="Arial" w:eastAsia="Arial" w:hAnsi="Arial"/>
                <w:sz w:val="16"/>
                <w:szCs w:val="16"/>
                <w:color w:val="auto"/>
              </w:rPr>
              <w:t>1,105,000</w:t>
            </w:r>
          </w:p>
        </w:tc>
        <w:tc>
          <w:tcPr>
            <w:tcW w:w="1460" w:type="dxa"/>
            <w:vAlign w:val="bottom"/>
          </w:tcPr>
          <w:p>
            <w:pPr>
              <w:jc w:val="right"/>
              <w:spacing w:after="0"/>
              <w:rPr>
                <w:sz w:val="20"/>
                <w:szCs w:val="20"/>
                <w:color w:val="auto"/>
              </w:rPr>
            </w:pPr>
            <w:r>
              <w:rPr>
                <w:rFonts w:ascii="Arial" w:cs="Arial" w:eastAsia="Arial" w:hAnsi="Arial"/>
                <w:sz w:val="16"/>
                <w:szCs w:val="16"/>
                <w:color w:val="auto"/>
              </w:rPr>
              <w:t>0.75</w:t>
            </w:r>
          </w:p>
        </w:tc>
        <w:tc>
          <w:tcPr>
            <w:tcW w:w="1420" w:type="dxa"/>
            <w:vAlign w:val="bottom"/>
          </w:tcPr>
          <w:p>
            <w:pPr>
              <w:jc w:val="right"/>
              <w:spacing w:after="0"/>
              <w:rPr>
                <w:sz w:val="20"/>
                <w:szCs w:val="20"/>
                <w:color w:val="auto"/>
              </w:rPr>
            </w:pPr>
            <w:r>
              <w:rPr>
                <w:rFonts w:ascii="Arial" w:cs="Arial" w:eastAsia="Arial" w:hAnsi="Arial"/>
                <w:sz w:val="16"/>
                <w:szCs w:val="16"/>
                <w:color w:val="auto"/>
              </w:rPr>
              <w:t>376</w:t>
            </w:r>
          </w:p>
        </w:tc>
        <w:tc>
          <w:tcPr>
            <w:tcW w:w="1520" w:type="dxa"/>
            <w:vAlign w:val="bottom"/>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August 3, 2023</w:t>
            </w:r>
          </w:p>
        </w:tc>
        <w:tc>
          <w:tcPr>
            <w:tcW w:w="1760" w:type="dxa"/>
            <w:vAlign w:val="bottom"/>
          </w:tcPr>
          <w:p>
            <w:pPr>
              <w:jc w:val="right"/>
              <w:ind w:right="158"/>
              <w:spacing w:after="0"/>
              <w:rPr>
                <w:sz w:val="20"/>
                <w:szCs w:val="20"/>
                <w:color w:val="auto"/>
              </w:rPr>
            </w:pPr>
            <w:r>
              <w:rPr>
                <w:rFonts w:ascii="Arial" w:cs="Arial" w:eastAsia="Arial" w:hAnsi="Arial"/>
                <w:sz w:val="16"/>
                <w:szCs w:val="16"/>
                <w:color w:val="auto"/>
              </w:rPr>
              <w:t>658,860</w:t>
            </w:r>
          </w:p>
        </w:tc>
        <w:tc>
          <w:tcPr>
            <w:tcW w:w="1440" w:type="dxa"/>
            <w:vAlign w:val="bottom"/>
          </w:tcPr>
          <w:p>
            <w:pPr>
              <w:jc w:val="right"/>
              <w:ind w:right="178"/>
              <w:spacing w:after="0"/>
              <w:rPr>
                <w:sz w:val="20"/>
                <w:szCs w:val="20"/>
                <w:color w:val="auto"/>
              </w:rPr>
            </w:pPr>
            <w:r>
              <w:rPr>
                <w:rFonts w:ascii="Arial" w:cs="Arial" w:eastAsia="Arial" w:hAnsi="Arial"/>
                <w:sz w:val="16"/>
                <w:szCs w:val="16"/>
                <w:color w:val="auto"/>
              </w:rPr>
              <w:t>658,860</w:t>
            </w:r>
          </w:p>
        </w:tc>
        <w:tc>
          <w:tcPr>
            <w:tcW w:w="1220" w:type="dxa"/>
            <w:vAlign w:val="bottom"/>
          </w:tcPr>
          <w:p>
            <w:pPr>
              <w:jc w:val="right"/>
              <w:spacing w:after="0"/>
              <w:rPr>
                <w:sz w:val="20"/>
                <w:szCs w:val="20"/>
                <w:color w:val="auto"/>
              </w:rPr>
            </w:pPr>
            <w:r>
              <w:rPr>
                <w:rFonts w:ascii="Arial" w:cs="Arial" w:eastAsia="Arial" w:hAnsi="Arial"/>
                <w:sz w:val="16"/>
                <w:szCs w:val="16"/>
                <w:color w:val="auto"/>
              </w:rPr>
              <w:t>658,860</w:t>
            </w:r>
          </w:p>
        </w:tc>
        <w:tc>
          <w:tcPr>
            <w:tcW w:w="1460" w:type="dxa"/>
            <w:vAlign w:val="bottom"/>
          </w:tcPr>
          <w:p>
            <w:pPr>
              <w:jc w:val="right"/>
              <w:spacing w:after="0"/>
              <w:rPr>
                <w:sz w:val="20"/>
                <w:szCs w:val="20"/>
                <w:color w:val="auto"/>
              </w:rPr>
            </w:pPr>
            <w:r>
              <w:rPr>
                <w:rFonts w:ascii="Arial" w:cs="Arial" w:eastAsia="Arial" w:hAnsi="Arial"/>
                <w:sz w:val="16"/>
                <w:szCs w:val="16"/>
                <w:color w:val="auto"/>
              </w:rPr>
              <w:t>3.40</w:t>
            </w:r>
          </w:p>
        </w:tc>
        <w:tc>
          <w:tcPr>
            <w:tcW w:w="1420" w:type="dxa"/>
            <w:vAlign w:val="bottom"/>
          </w:tcPr>
          <w:p>
            <w:pPr>
              <w:jc w:val="right"/>
              <w:spacing w:after="0"/>
              <w:rPr>
                <w:sz w:val="20"/>
                <w:szCs w:val="20"/>
                <w:color w:val="auto"/>
              </w:rPr>
            </w:pPr>
            <w:r>
              <w:rPr>
                <w:rFonts w:ascii="Arial" w:cs="Arial" w:eastAsia="Arial" w:hAnsi="Arial"/>
                <w:sz w:val="16"/>
                <w:szCs w:val="16"/>
                <w:color w:val="auto"/>
              </w:rPr>
              <w:t>1,229</w:t>
            </w:r>
          </w:p>
        </w:tc>
        <w:tc>
          <w:tcPr>
            <w:tcW w:w="152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February 1, 2024</w:t>
            </w:r>
          </w:p>
        </w:tc>
        <w:tc>
          <w:tcPr>
            <w:tcW w:w="1760" w:type="dxa"/>
            <w:vAlign w:val="bottom"/>
          </w:tcPr>
          <w:p>
            <w:pPr>
              <w:jc w:val="right"/>
              <w:ind w:right="158"/>
              <w:spacing w:after="0"/>
              <w:rPr>
                <w:sz w:val="20"/>
                <w:szCs w:val="20"/>
                <w:color w:val="auto"/>
              </w:rPr>
            </w:pPr>
            <w:r>
              <w:rPr>
                <w:rFonts w:ascii="Arial" w:cs="Arial" w:eastAsia="Arial" w:hAnsi="Arial"/>
                <w:sz w:val="16"/>
                <w:szCs w:val="16"/>
                <w:color w:val="auto"/>
              </w:rPr>
              <w:t>7,623,000</w:t>
            </w:r>
          </w:p>
        </w:tc>
        <w:tc>
          <w:tcPr>
            <w:tcW w:w="1440" w:type="dxa"/>
            <w:vAlign w:val="bottom"/>
          </w:tcPr>
          <w:p>
            <w:pPr>
              <w:jc w:val="right"/>
              <w:ind w:right="178"/>
              <w:spacing w:after="0"/>
              <w:rPr>
                <w:sz w:val="20"/>
                <w:szCs w:val="20"/>
                <w:color w:val="auto"/>
              </w:rPr>
            </w:pPr>
            <w:r>
              <w:rPr>
                <w:rFonts w:ascii="Arial" w:cs="Arial" w:eastAsia="Arial" w:hAnsi="Arial"/>
                <w:sz w:val="16"/>
                <w:szCs w:val="16"/>
                <w:color w:val="auto"/>
              </w:rPr>
              <w:t>7,146,500</w:t>
            </w:r>
          </w:p>
        </w:tc>
        <w:tc>
          <w:tcPr>
            <w:tcW w:w="1220" w:type="dxa"/>
            <w:vAlign w:val="bottom"/>
          </w:tcPr>
          <w:p>
            <w:pPr>
              <w:jc w:val="right"/>
              <w:spacing w:after="0"/>
              <w:rPr>
                <w:sz w:val="20"/>
                <w:szCs w:val="20"/>
                <w:color w:val="auto"/>
              </w:rPr>
            </w:pPr>
            <w:r>
              <w:rPr>
                <w:rFonts w:ascii="Arial" w:cs="Arial" w:eastAsia="Arial" w:hAnsi="Arial"/>
                <w:sz w:val="16"/>
                <w:szCs w:val="16"/>
                <w:color w:val="auto"/>
              </w:rPr>
              <w:t>7,146,500</w:t>
            </w:r>
          </w:p>
        </w:tc>
        <w:tc>
          <w:tcPr>
            <w:tcW w:w="1460" w:type="dxa"/>
            <w:vAlign w:val="bottom"/>
          </w:tcPr>
          <w:p>
            <w:pPr>
              <w:jc w:val="right"/>
              <w:spacing w:after="0"/>
              <w:rPr>
                <w:sz w:val="20"/>
                <w:szCs w:val="20"/>
                <w:color w:val="auto"/>
              </w:rPr>
            </w:pPr>
            <w:r>
              <w:rPr>
                <w:rFonts w:ascii="Arial" w:cs="Arial" w:eastAsia="Arial" w:hAnsi="Arial"/>
                <w:sz w:val="16"/>
                <w:szCs w:val="16"/>
                <w:color w:val="auto"/>
              </w:rPr>
              <w:t>3.25</w:t>
            </w:r>
          </w:p>
        </w:tc>
        <w:tc>
          <w:tcPr>
            <w:tcW w:w="1420" w:type="dxa"/>
            <w:vAlign w:val="bottom"/>
          </w:tcPr>
          <w:p>
            <w:pPr>
              <w:jc w:val="right"/>
              <w:spacing w:after="0"/>
              <w:rPr>
                <w:sz w:val="20"/>
                <w:szCs w:val="20"/>
                <w:color w:val="auto"/>
              </w:rPr>
            </w:pPr>
            <w:r>
              <w:rPr>
                <w:rFonts w:ascii="Arial" w:cs="Arial" w:eastAsia="Arial" w:hAnsi="Arial"/>
                <w:sz w:val="16"/>
                <w:szCs w:val="16"/>
                <w:color w:val="auto"/>
              </w:rPr>
              <w:t>5,454</w:t>
            </w:r>
          </w:p>
        </w:tc>
        <w:tc>
          <w:tcPr>
            <w:tcW w:w="152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June 15, 2025</w:t>
            </w:r>
          </w:p>
        </w:tc>
        <w:tc>
          <w:tcPr>
            <w:tcW w:w="1760" w:type="dxa"/>
            <w:vAlign w:val="bottom"/>
          </w:tcPr>
          <w:p>
            <w:pPr>
              <w:jc w:val="right"/>
              <w:ind w:right="158"/>
              <w:spacing w:after="0"/>
              <w:rPr>
                <w:sz w:val="20"/>
                <w:szCs w:val="20"/>
                <w:color w:val="auto"/>
              </w:rPr>
            </w:pPr>
            <w:r>
              <w:rPr>
                <w:rFonts w:ascii="Arial" w:cs="Arial" w:eastAsia="Arial" w:hAnsi="Arial"/>
                <w:sz w:val="16"/>
                <w:szCs w:val="16"/>
                <w:color w:val="auto"/>
              </w:rPr>
              <w:t>13,575,000</w:t>
            </w:r>
          </w:p>
        </w:tc>
        <w:tc>
          <w:tcPr>
            <w:tcW w:w="1440" w:type="dxa"/>
            <w:vAlign w:val="bottom"/>
          </w:tcPr>
          <w:p>
            <w:pPr>
              <w:jc w:val="right"/>
              <w:ind w:right="178"/>
              <w:spacing w:after="0"/>
              <w:rPr>
                <w:sz w:val="20"/>
                <w:szCs w:val="20"/>
                <w:color w:val="auto"/>
              </w:rPr>
            </w:pPr>
            <w:r>
              <w:rPr>
                <w:rFonts w:ascii="Arial" w:cs="Arial" w:eastAsia="Arial" w:hAnsi="Arial"/>
                <w:sz w:val="16"/>
                <w:szCs w:val="16"/>
                <w:color w:val="auto"/>
              </w:rPr>
              <w:t>12,900,000</w:t>
            </w:r>
          </w:p>
        </w:tc>
        <w:tc>
          <w:tcPr>
            <w:tcW w:w="1220" w:type="dxa"/>
            <w:vAlign w:val="bottom"/>
          </w:tcPr>
          <w:p>
            <w:pPr>
              <w:jc w:val="right"/>
              <w:spacing w:after="0"/>
              <w:rPr>
                <w:sz w:val="20"/>
                <w:szCs w:val="20"/>
                <w:color w:val="auto"/>
              </w:rPr>
            </w:pPr>
            <w:r>
              <w:rPr>
                <w:rFonts w:ascii="Arial" w:cs="Arial" w:eastAsia="Arial" w:hAnsi="Arial"/>
                <w:sz w:val="16"/>
                <w:szCs w:val="16"/>
                <w:color w:val="auto"/>
              </w:rPr>
              <w:t>12,637,500</w:t>
            </w:r>
          </w:p>
        </w:tc>
        <w:tc>
          <w:tcPr>
            <w:tcW w:w="1460" w:type="dxa"/>
            <w:vAlign w:val="bottom"/>
          </w:tcPr>
          <w:p>
            <w:pPr>
              <w:jc w:val="right"/>
              <w:spacing w:after="0"/>
              <w:rPr>
                <w:sz w:val="20"/>
                <w:szCs w:val="20"/>
                <w:color w:val="auto"/>
              </w:rPr>
            </w:pPr>
            <w:r>
              <w:rPr>
                <w:rFonts w:ascii="Arial" w:cs="Arial" w:eastAsia="Arial" w:hAnsi="Arial"/>
                <w:sz w:val="16"/>
                <w:szCs w:val="16"/>
                <w:color w:val="auto"/>
              </w:rPr>
              <w:t>0.25</w:t>
            </w:r>
          </w:p>
        </w:tc>
        <w:tc>
          <w:tcPr>
            <w:tcW w:w="1420" w:type="dxa"/>
            <w:vAlign w:val="bottom"/>
          </w:tcPr>
          <w:p>
            <w:pPr>
              <w:jc w:val="right"/>
              <w:spacing w:after="0"/>
              <w:rPr>
                <w:sz w:val="20"/>
                <w:szCs w:val="20"/>
                <w:color w:val="auto"/>
              </w:rPr>
            </w:pPr>
            <w:r>
              <w:rPr>
                <w:rFonts w:ascii="Arial" w:cs="Arial" w:eastAsia="Arial" w:hAnsi="Arial"/>
                <w:sz w:val="16"/>
                <w:szCs w:val="16"/>
                <w:color w:val="auto"/>
              </w:rPr>
              <w:t>2,335</w:t>
            </w:r>
          </w:p>
        </w:tc>
        <w:tc>
          <w:tcPr>
            <w:tcW w:w="1520" w:type="dxa"/>
            <w:vAlign w:val="bottom"/>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August 20, 2025</w:t>
            </w:r>
          </w:p>
        </w:tc>
        <w:tc>
          <w:tcPr>
            <w:tcW w:w="1760" w:type="dxa"/>
            <w:vAlign w:val="bottom"/>
          </w:tcPr>
          <w:p>
            <w:pPr>
              <w:jc w:val="right"/>
              <w:ind w:right="158"/>
              <w:spacing w:after="0"/>
              <w:rPr>
                <w:sz w:val="20"/>
                <w:szCs w:val="20"/>
                <w:color w:val="auto"/>
              </w:rPr>
            </w:pPr>
            <w:r>
              <w:rPr>
                <w:rFonts w:ascii="Arial" w:cs="Arial" w:eastAsia="Arial" w:hAnsi="Arial"/>
                <w:sz w:val="16"/>
                <w:szCs w:val="16"/>
                <w:color w:val="auto"/>
              </w:rPr>
              <w:t>2,000,125</w:t>
            </w:r>
          </w:p>
        </w:tc>
        <w:tc>
          <w:tcPr>
            <w:tcW w:w="1440" w:type="dxa"/>
            <w:vAlign w:val="bottom"/>
          </w:tcPr>
          <w:p>
            <w:pPr>
              <w:jc w:val="right"/>
              <w:ind w:right="178"/>
              <w:spacing w:after="0"/>
              <w:rPr>
                <w:sz w:val="20"/>
                <w:szCs w:val="20"/>
                <w:color w:val="auto"/>
              </w:rPr>
            </w:pPr>
            <w:r>
              <w:rPr>
                <w:rFonts w:ascii="Arial" w:cs="Arial" w:eastAsia="Arial" w:hAnsi="Arial"/>
                <w:sz w:val="16"/>
                <w:szCs w:val="16"/>
                <w:color w:val="auto"/>
              </w:rPr>
              <w:t>1,900,125</w:t>
            </w:r>
          </w:p>
        </w:tc>
        <w:tc>
          <w:tcPr>
            <w:tcW w:w="1220" w:type="dxa"/>
            <w:vAlign w:val="bottom"/>
          </w:tcPr>
          <w:p>
            <w:pPr>
              <w:jc w:val="right"/>
              <w:spacing w:after="0"/>
              <w:rPr>
                <w:sz w:val="20"/>
                <w:szCs w:val="20"/>
                <w:color w:val="auto"/>
              </w:rPr>
            </w:pPr>
            <w:r>
              <w:rPr>
                <w:rFonts w:ascii="Arial" w:cs="Arial" w:eastAsia="Arial" w:hAnsi="Arial"/>
                <w:sz w:val="16"/>
                <w:szCs w:val="16"/>
                <w:color w:val="auto"/>
              </w:rPr>
              <w:t>1,500,125</w:t>
            </w:r>
          </w:p>
        </w:tc>
        <w:tc>
          <w:tcPr>
            <w:tcW w:w="1460" w:type="dxa"/>
            <w:vAlign w:val="bottom"/>
          </w:tcPr>
          <w:p>
            <w:pPr>
              <w:jc w:val="right"/>
              <w:spacing w:after="0"/>
              <w:rPr>
                <w:sz w:val="20"/>
                <w:szCs w:val="20"/>
                <w:color w:val="auto"/>
              </w:rPr>
            </w:pPr>
            <w:r>
              <w:rPr>
                <w:rFonts w:ascii="Arial" w:cs="Arial" w:eastAsia="Arial" w:hAnsi="Arial"/>
                <w:sz w:val="16"/>
                <w:szCs w:val="16"/>
                <w:color w:val="auto"/>
              </w:rPr>
              <w:t>0.64</w:t>
            </w:r>
          </w:p>
        </w:tc>
        <w:tc>
          <w:tcPr>
            <w:tcW w:w="1420" w:type="dxa"/>
            <w:vAlign w:val="bottom"/>
          </w:tcPr>
          <w:p>
            <w:pPr>
              <w:jc w:val="right"/>
              <w:spacing w:after="0"/>
              <w:rPr>
                <w:sz w:val="20"/>
                <w:szCs w:val="20"/>
                <w:color w:val="auto"/>
              </w:rPr>
            </w:pPr>
            <w:r>
              <w:rPr>
                <w:rFonts w:ascii="Arial" w:cs="Arial" w:eastAsia="Arial" w:hAnsi="Arial"/>
                <w:sz w:val="16"/>
                <w:szCs w:val="16"/>
                <w:color w:val="auto"/>
              </w:rPr>
              <w:t>847</w:t>
            </w:r>
          </w:p>
        </w:tc>
        <w:tc>
          <w:tcPr>
            <w:tcW w:w="152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08"/>
        </w:trPr>
        <w:tc>
          <w:tcPr>
            <w:tcW w:w="2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November 15, 2025</w:t>
            </w:r>
          </w:p>
        </w:tc>
        <w:tc>
          <w:tcPr>
            <w:tcW w:w="176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1,150,000</w:t>
            </w: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1,150,000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1,150,000</w:t>
            </w:r>
          </w:p>
        </w:tc>
        <w:tc>
          <w:tcPr>
            <w:tcW w:w="146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1"/>
        </w:trPr>
        <w:tc>
          <w:tcPr>
            <w:tcW w:w="2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30,053,894</w:t>
            </w: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26,101,421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24,688,921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10,635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w:t>
            </w:r>
          </w:p>
        </w:tc>
        <w:tc>
          <w:tcPr>
            <w:tcW w:w="0" w:type="dxa"/>
            <w:vAlign w:val="bottom"/>
          </w:tcPr>
          <w:p>
            <w:pPr>
              <w:spacing w:after="0"/>
              <w:rPr>
                <w:sz w:val="1"/>
                <w:szCs w:val="1"/>
                <w:color w:val="auto"/>
              </w:rPr>
            </w:pPr>
          </w:p>
        </w:tc>
      </w:tr>
      <w:tr>
        <w:trPr>
          <w:trHeight w:val="419"/>
        </w:trPr>
        <w:tc>
          <w:tcPr>
            <w:tcW w:w="21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Unit Purchase Warrants</w:t>
            </w: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February 4, 2024</w:t>
            </w:r>
          </w:p>
        </w:tc>
        <w:tc>
          <w:tcPr>
            <w:tcW w:w="176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868,740</w:t>
            </w: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868,740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868,740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1"/>
        </w:trPr>
        <w:tc>
          <w:tcPr>
            <w:tcW w:w="2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868,740</w:t>
            </w: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868,740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868,740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w:t>
            </w:r>
          </w:p>
        </w:tc>
        <w:tc>
          <w:tcPr>
            <w:tcW w:w="0" w:type="dxa"/>
            <w:vAlign w:val="bottom"/>
          </w:tcPr>
          <w:p>
            <w:pPr>
              <w:spacing w:after="0"/>
              <w:rPr>
                <w:sz w:val="1"/>
                <w:szCs w:val="1"/>
                <w:color w:val="auto"/>
              </w:rPr>
            </w:pPr>
          </w:p>
        </w:tc>
      </w:tr>
      <w:tr>
        <w:trPr>
          <w:trHeight w:val="212"/>
        </w:trPr>
        <w:tc>
          <w:tcPr>
            <w:tcW w:w="2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176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30,922,634</w:t>
            </w: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26,970,161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25,557,661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11,605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at December 31, 2021, the Company has 3,125,032 Common Share purchase warrants held in escrow (March 31, 2021 - 9,375,094).</w:t>
      </w:r>
    </w:p>
    <w:p>
      <w:pPr>
        <w:spacing w:after="0" w:line="171"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November 10, 2021, the Company approved the amendment of the terms of 1,150,000 Common Share purchase warrants such that the expiry date was extended from June 15, 2025 to November 15, 2025. The incremental fair value using the Black-Scholes option pricing model results in additional share-based payment compensation of $12 for the three and nine months ended December 31, 2021.</w:t>
      </w:r>
    </w:p>
    <w:p>
      <w:pPr>
        <w:spacing w:after="0" w:line="144" w:lineRule="exact"/>
        <w:rPr>
          <w:sz w:val="20"/>
          <w:szCs w:val="20"/>
          <w:color w:val="auto"/>
        </w:rPr>
      </w:pPr>
    </w:p>
    <w:p>
      <w:pPr>
        <w:jc w:val="both"/>
        <w:ind w:left="240"/>
        <w:spacing w:after="0" w:line="270" w:lineRule="auto"/>
        <w:rPr>
          <w:sz w:val="20"/>
          <w:szCs w:val="20"/>
          <w:color w:val="auto"/>
        </w:rPr>
      </w:pPr>
      <w:r>
        <w:rPr>
          <w:rFonts w:ascii="Arial" w:cs="Arial" w:eastAsia="Arial" w:hAnsi="Arial"/>
          <w:sz w:val="16"/>
          <w:szCs w:val="16"/>
          <w:color w:val="auto"/>
        </w:rPr>
        <w:t>The Company recognized share-based payments compensation related to the issuance of Common Share purchase warrants for the three and nine months ended December 31, 2021 of $32 and $209 respectively.</w:t>
      </w:r>
    </w:p>
    <w:p>
      <w:pPr>
        <w:spacing w:after="0" w:line="129" w:lineRule="exact"/>
        <w:rPr>
          <w:sz w:val="20"/>
          <w:szCs w:val="20"/>
          <w:color w:val="auto"/>
        </w:rPr>
      </w:pPr>
    </w:p>
    <w:p>
      <w:pPr>
        <w:ind w:left="540" w:hanging="309"/>
        <w:spacing w:after="0"/>
        <w:tabs>
          <w:tab w:leader="none" w:pos="54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options</w:t>
      </w:r>
    </w:p>
    <w:p>
      <w:pPr>
        <w:spacing w:after="0" w:line="191"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On November 5, 2020, Cybin adopted a new equity incentive plan. Under the plan, the board of directors may grant share-based awards to acquire such number of Common Shares as is equal to up to 20% of the total number of issued and outstanding Common Shares at the time such awards are granted. Options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13 of 25</w:t>
      </w:r>
    </w:p>
    <w:p>
      <w:pPr>
        <w:sectPr>
          <w:pgSz w:w="11900" w:h="16838" w:orient="portrait"/>
          <w:cols w:equalWidth="0" w:num="1">
            <w:col w:w="11200"/>
          </w:cols>
          <w:pgMar w:left="380" w:top="171" w:right="31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under the plan vest over a period of time at the discretion of the board of directors. On August 16, 2021, the board of directors and the shareholders approved an amendment to the equity incentive plan to modify certain provisions for awards granted to residents of the United States, to increase the fixed number of Incentive Stock Options (as defined in the plan) and certain other housekeeping amendments.</w:t>
      </w:r>
    </w:p>
    <w:p>
      <w:pPr>
        <w:spacing w:after="0" w:line="156"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640" w:type="dxa"/>
            <w:vAlign w:val="bottom"/>
          </w:tcPr>
          <w:p>
            <w:pPr>
              <w:spacing w:after="0"/>
              <w:rPr>
                <w:sz w:val="20"/>
                <w:szCs w:val="20"/>
                <w:color w:val="auto"/>
              </w:rPr>
            </w:pPr>
            <w:r>
              <w:rPr>
                <w:rFonts w:ascii="Arial" w:cs="Arial" w:eastAsia="Arial" w:hAnsi="Arial"/>
                <w:sz w:val="16"/>
                <w:szCs w:val="16"/>
                <w:color w:val="auto"/>
              </w:rPr>
              <w:t>The changes in options for the nine-months ended December 31, 2021 are as follows:</w:t>
            </w:r>
          </w:p>
        </w:tc>
        <w:tc>
          <w:tcPr>
            <w:tcW w:w="2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6640" w:type="dxa"/>
            <w:vAlign w:val="bottom"/>
          </w:tcPr>
          <w:p>
            <w:pPr>
              <w:spacing w:after="0"/>
              <w:rPr>
                <w:sz w:val="24"/>
                <w:szCs w:val="24"/>
                <w:color w:val="auto"/>
              </w:rPr>
            </w:pPr>
          </w:p>
        </w:tc>
        <w:tc>
          <w:tcPr>
            <w:tcW w:w="218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rPr>
              <w:t>Number of Options</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8"/>
        </w:trPr>
        <w:tc>
          <w:tcPr>
            <w:tcW w:w="66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00"/>
        </w:trPr>
        <w:tc>
          <w:tcPr>
            <w:tcW w:w="66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6640" w:type="dxa"/>
            <w:vAlign w:val="bottom"/>
          </w:tcPr>
          <w:p>
            <w:pPr>
              <w:ind w:left="60"/>
              <w:spacing w:after="0"/>
              <w:rPr>
                <w:sz w:val="20"/>
                <w:szCs w:val="20"/>
                <w:color w:val="auto"/>
              </w:rPr>
            </w:pPr>
            <w:r>
              <w:rPr>
                <w:rFonts w:ascii="Arial" w:cs="Arial" w:eastAsia="Arial" w:hAnsi="Arial"/>
                <w:sz w:val="16"/>
                <w:szCs w:val="16"/>
                <w:color w:val="auto"/>
              </w:rPr>
              <w:t>As at March 31, 2021</w:t>
            </w:r>
          </w:p>
        </w:tc>
        <w:tc>
          <w:tcPr>
            <w:tcW w:w="2180" w:type="dxa"/>
            <w:vAlign w:val="bottom"/>
          </w:tcPr>
          <w:p>
            <w:pPr>
              <w:jc w:val="right"/>
              <w:ind w:right="178"/>
              <w:spacing w:after="0"/>
              <w:rPr>
                <w:sz w:val="20"/>
                <w:szCs w:val="20"/>
                <w:color w:val="auto"/>
              </w:rPr>
            </w:pPr>
            <w:r>
              <w:rPr>
                <w:rFonts w:ascii="Arial" w:cs="Arial" w:eastAsia="Arial" w:hAnsi="Arial"/>
                <w:sz w:val="16"/>
                <w:szCs w:val="16"/>
                <w:color w:val="auto"/>
              </w:rPr>
              <w:t>22,032,452</w:t>
            </w:r>
          </w:p>
        </w:tc>
        <w:tc>
          <w:tcPr>
            <w:tcW w:w="168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8"/>
        </w:trPr>
        <w:tc>
          <w:tcPr>
            <w:tcW w:w="6640" w:type="dxa"/>
            <w:vAlign w:val="bottom"/>
          </w:tcPr>
          <w:p>
            <w:pPr>
              <w:ind w:left="6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ind w:right="178"/>
              <w:spacing w:after="0"/>
              <w:rPr>
                <w:sz w:val="20"/>
                <w:szCs w:val="20"/>
                <w:color w:val="auto"/>
              </w:rPr>
            </w:pPr>
            <w:r>
              <w:rPr>
                <w:rFonts w:ascii="Arial" w:cs="Arial" w:eastAsia="Arial" w:hAnsi="Arial"/>
                <w:sz w:val="16"/>
                <w:szCs w:val="16"/>
                <w:color w:val="auto"/>
              </w:rPr>
              <w:t>7,609,000</w:t>
            </w:r>
          </w:p>
        </w:tc>
        <w:tc>
          <w:tcPr>
            <w:tcW w:w="168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8"/>
        </w:trPr>
        <w:tc>
          <w:tcPr>
            <w:tcW w:w="6640" w:type="dxa"/>
            <w:vAlign w:val="bottom"/>
          </w:tcPr>
          <w:p>
            <w:pPr>
              <w:ind w:left="60"/>
              <w:spacing w:after="0"/>
              <w:rPr>
                <w:sz w:val="20"/>
                <w:szCs w:val="20"/>
                <w:color w:val="auto"/>
              </w:rPr>
            </w:pPr>
            <w:r>
              <w:rPr>
                <w:rFonts w:ascii="Arial" w:cs="Arial" w:eastAsia="Arial" w:hAnsi="Arial"/>
                <w:sz w:val="16"/>
                <w:szCs w:val="16"/>
                <w:color w:val="auto"/>
              </w:rPr>
              <w:t>Exercised</w:t>
            </w:r>
          </w:p>
        </w:tc>
        <w:tc>
          <w:tcPr>
            <w:tcW w:w="2180" w:type="dxa"/>
            <w:vAlign w:val="bottom"/>
          </w:tcPr>
          <w:p>
            <w:pPr>
              <w:jc w:val="right"/>
              <w:ind w:right="178"/>
              <w:spacing w:after="0"/>
              <w:rPr>
                <w:sz w:val="20"/>
                <w:szCs w:val="20"/>
                <w:color w:val="auto"/>
              </w:rPr>
            </w:pPr>
            <w:r>
              <w:rPr>
                <w:rFonts w:ascii="Arial" w:cs="Arial" w:eastAsia="Arial" w:hAnsi="Arial"/>
                <w:sz w:val="16"/>
                <w:szCs w:val="16"/>
                <w:color w:val="auto"/>
              </w:rPr>
              <w:t>(1,550,800)</w:t>
            </w:r>
          </w:p>
        </w:tc>
        <w:tc>
          <w:tcPr>
            <w:tcW w:w="1680" w:type="dxa"/>
            <w:vAlign w:val="bottom"/>
          </w:tcPr>
          <w:p>
            <w:pPr>
              <w:jc w:val="right"/>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08"/>
        </w:trPr>
        <w:tc>
          <w:tcPr>
            <w:tcW w:w="66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Forfeited</w:t>
            </w:r>
          </w:p>
        </w:tc>
        <w:tc>
          <w:tcPr>
            <w:tcW w:w="21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(213,750)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1"/>
        </w:trPr>
        <w:tc>
          <w:tcPr>
            <w:tcW w:w="6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Outstanding as at December 31, 2021</w:t>
            </w:r>
          </w:p>
        </w:tc>
        <w:tc>
          <w:tcPr>
            <w:tcW w:w="21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27,876,902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w:t>
            </w:r>
          </w:p>
        </w:tc>
        <w:tc>
          <w:tcPr>
            <w:tcW w:w="0" w:type="dxa"/>
            <w:vAlign w:val="bottom"/>
          </w:tcPr>
          <w:p>
            <w:pPr>
              <w:spacing w:after="0"/>
              <w:rPr>
                <w:sz w:val="1"/>
                <w:szCs w:val="1"/>
                <w:color w:val="auto"/>
              </w:rPr>
            </w:pPr>
          </w:p>
        </w:tc>
      </w:tr>
      <w:tr>
        <w:trPr>
          <w:trHeight w:val="200"/>
        </w:trPr>
        <w:tc>
          <w:tcPr>
            <w:tcW w:w="6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Exercisable as at December 31, 2021</w:t>
            </w:r>
          </w:p>
        </w:tc>
        <w:tc>
          <w:tcPr>
            <w:tcW w:w="21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15,281,488</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left="240"/>
        <w:spacing w:after="0" w:line="259" w:lineRule="auto"/>
        <w:rPr>
          <w:sz w:val="20"/>
          <w:szCs w:val="20"/>
          <w:color w:val="auto"/>
        </w:rPr>
      </w:pPr>
      <w:r>
        <w:rPr>
          <w:rFonts w:ascii="Arial" w:cs="Arial" w:eastAsia="Arial" w:hAnsi="Arial"/>
          <w:sz w:val="16"/>
          <w:szCs w:val="16"/>
          <w:color w:val="auto"/>
        </w:rPr>
        <w:t>On June 28, 2021, the Company granted 3,259,000 options to purchase up to: 1,975,000 Common Shares to executive officers, 1,090,000 Common Shares to employees, and 194,000 Common Shares to consultants, with an exercise price of $2.90 per Common Share and vesting over a 24-month period expiring June 28, 2026. On the same date, the Company granted 550,000 options to purchase 550,000 Common Shares to consultants with an exercise price of $2.90 per Common Share and vesting over a 12-month period expiring June 28, 2026. In addition, the Company granted 25,000 options to purchase 25,000 Common Shares to a consultant that vested immediately with an exercise price of $2.90 per Common Share expiring June 28, 2026.</w:t>
      </w:r>
    </w:p>
    <w:p>
      <w:pPr>
        <w:spacing w:after="0" w:line="3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estimated grant date fair value of the 3,834,000 options granted on June 28, 2021 was determined to be $7,994, calculated using the Black-</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Scholes option pricing model with the following assumptions:</w:t>
      </w:r>
    </w:p>
    <w:p>
      <w:pPr>
        <w:spacing w:after="0" w:line="220"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r>
    </w:tbl>
    <w:p>
      <w:pPr>
        <w:spacing w:after="0" w:line="2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August 16, 2021, the Company granted 215,000 options to purchase up to: 165,000 Common Shares to employees, and 50,000 Common Shares to consultants, with an exercise price of $2.48 per Common Share and vesting over a 24-month period expiring August 16, 2026. The estimated grant date fair value of the 215,000 options was determined to be $383, calculated using the Black-Scholes option 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14 of 25</w:t>
      </w:r>
    </w:p>
    <w:p>
      <w:pPr>
        <w:sectPr>
          <w:pgSz w:w="11900" w:h="16838" w:orient="portrait"/>
          <w:cols w:equalWidth="0" w:num="1">
            <w:col w:w="11200"/>
          </w:cols>
          <w:pgMar w:left="380" w:top="171" w:right="31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0.81%</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r>
    </w:tbl>
    <w:p>
      <w:pPr>
        <w:spacing w:after="0" w:line="2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August 18, 2021, the Company granted 300,000 options to purchase up to 300,000 Common Shares to an executive officer with an exercise price of $2.48 per Common Share and vesting over a 24-month period expiring August 18, 2026. The estimated grant date fair value was determined to be $519, calculated using the Black-Scholes option pricing model with the following assumptions:</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0.82%</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r>
    </w:tbl>
    <w:p>
      <w:pPr>
        <w:spacing w:after="0" w:line="2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September 27, 2021, the Company granted 585,000 options to purchase up to 585,000 Common Shares to employees with an exercise price of $3.15 per Common Share and vesting over a 24-month period expiring September 27, 2026. The estimated grant date fair value was determined to be $1,186, calculated using the Black-Scholes option pricing model with the following assumptions:</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r>
    </w:tbl>
    <w:p>
      <w:pPr>
        <w:spacing w:after="0" w:line="2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September 27, 2021, the Company granted 195,000 options to purchase up to 195,000 Common Shares to a director with an exercise price of $2.87 per Common Share and vesting over a 24-month period expiring September 27, 2026. The estimated grant date fair value was determined to be $403, calculated using the Black-Scholes option pricing model with the following assumptions:</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15 of 25</w:t>
      </w:r>
    </w:p>
    <w:p>
      <w:pPr>
        <w:sectPr>
          <w:pgSz w:w="11900" w:h="16838" w:orient="portrait"/>
          <w:cols w:equalWidth="0" w:num="1">
            <w:col w:w="11180"/>
          </w:cols>
          <w:pgMar w:left="380" w:top="171"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September 30, 2021, the Company granted 450,000 options to purchase up to 450,000 Common Shares to employees with an exercise price of $3.15 per Common Share and vesting over a 24-month period expiring September 30, 2026. The estimated grant date fair value was determined to be $878, calculated using the Black-Scholes option pricing model with the following assumptions:</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r>
    </w:tbl>
    <w:p>
      <w:pPr>
        <w:spacing w:after="0" w:line="2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September 30, 2021, the Company granted 40,000 options to purchase up to 40,000 Common Shares to a consultant with an exercise price of $2.78 per Common Share and vesting over a 12-month period expiring June 30, 2023. The estimated grant date fair value was determined to be $48, calculated using the Black-Scholes option pricing model with the following assumptions:</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0.53%</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r>
    </w:tbl>
    <w:p>
      <w:pPr>
        <w:spacing w:after="0" w:line="2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September 30, 2021, the Company granted 700,000 options to purchase up to 700,000 Common Shares to consultants with an exercise price of $2.78 per Common Share and vesting over a 12-month period expiring December 31, 2022. The estimated grant date fair value was determined to be $715, calculated using the Black-Scholes option pricing model with the following assumptions:</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0.41%</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r>
    </w:tbl>
    <w:p>
      <w:pPr>
        <w:spacing w:after="0" w:line="2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December 31, 2021, the Company granted 40,000 options to purchase up to 40,000 Common Shares to employees with an exercise price of $3.15 per Common Share and vesting over a 24-month period expiring December 31, 2026. The estimated grant date fair value was determined to be $36, calculated using the Black-Scholes option 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16 of 25</w:t>
      </w:r>
    </w:p>
    <w:p>
      <w:pPr>
        <w:sectPr>
          <w:pgSz w:w="11900" w:h="16838" w:orient="portrait"/>
          <w:cols w:equalWidth="0" w:num="1">
            <w:col w:w="11180"/>
          </w:cols>
          <w:pgMar w:left="380" w:top="171"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r>
    </w:tbl>
    <w:p>
      <w:pPr>
        <w:spacing w:after="0" w:line="200" w:lineRule="exact"/>
        <w:rPr>
          <w:sz w:val="20"/>
          <w:szCs w:val="20"/>
          <w:color w:val="auto"/>
        </w:rPr>
      </w:pPr>
    </w:p>
    <w:p>
      <w:pPr>
        <w:spacing w:after="0" w:line="264"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On December 31, 2021, the Company granted 1,250,000 options to purchase up to 1,250,000 Common Shares to consultants with an exercise price of $1.50 per Common Share and vesting over a 24-month period expiring December 31, 2026. The estimated grant date fair value was determined to be $1,352, calculated using the Black-Scholes option pricing model with the following assumptions:</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bl>
    <w:p>
      <w:pPr>
        <w:spacing w:after="0" w:line="244" w:lineRule="exact"/>
        <w:rPr>
          <w:sz w:val="20"/>
          <w:szCs w:val="20"/>
          <w:color w:val="auto"/>
        </w:rPr>
      </w:pPr>
    </w:p>
    <w:p>
      <w:pPr>
        <w:jc w:val="both"/>
        <w:ind w:left="240"/>
        <w:spacing w:after="0" w:line="260" w:lineRule="auto"/>
        <w:rPr>
          <w:sz w:val="20"/>
          <w:szCs w:val="20"/>
          <w:color w:val="auto"/>
        </w:rPr>
      </w:pPr>
      <w:r>
        <w:rPr>
          <w:rFonts w:ascii="Arial" w:cs="Arial" w:eastAsia="Arial" w:hAnsi="Arial"/>
          <w:sz w:val="16"/>
          <w:szCs w:val="16"/>
          <w:color w:val="auto"/>
        </w:rPr>
        <w:t>During the nine months ended December 31, 2021, the Company amended the vesting and expiry dates of certain options with former employees of the Company, resulting in a modification of terms. As a result of the modifications, the Company calculated the incremental fair value using the Black-Scholes option pricing model. The fair value of the options after modification was determined to be less than the fair value prior to modification and therefore the original fair value of the grant was used and is being recognized over the new vesting schedule.</w:t>
      </w:r>
    </w:p>
    <w:p>
      <w:pPr>
        <w:spacing w:after="0" w:line="144"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During the three and nine months ended December 31, 2021, 1,100,800 and 1,550,800 options were exercised by various holders for aggregate proceeds to the Company of $1,108 and $1,318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17 of 25</w:t>
      </w:r>
    </w:p>
    <w:p>
      <w:pPr>
        <w:sectPr>
          <w:pgSz w:w="11900" w:h="16838" w:orient="portrait"/>
          <w:cols w:equalWidth="0" w:num="1">
            <w:col w:w="11200"/>
          </w:cols>
          <w:pgMar w:left="380" w:top="171" w:right="31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summarizes information about stock options outstanding on December 31, 2021:</w:t>
      </w:r>
    </w:p>
    <w:p>
      <w:pPr>
        <w:spacing w:after="0" w:line="183"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6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rPr>
              <w:t>Number of options</w:t>
            </w:r>
          </w:p>
        </w:tc>
        <w:tc>
          <w:tcPr>
            <w:tcW w:w="176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rPr>
              <w:t>Number of options</w:t>
            </w:r>
          </w:p>
        </w:tc>
        <w:tc>
          <w:tcPr>
            <w:tcW w:w="1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Weighted average</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Recognized</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1840" w:type="dxa"/>
            <w:vAlign w:val="bottom"/>
            <w:vMerge w:val="restart"/>
          </w:tcPr>
          <w:p>
            <w:pPr>
              <w:jc w:val="right"/>
              <w:ind w:right="58"/>
              <w:spacing w:after="0"/>
              <w:rPr>
                <w:sz w:val="20"/>
                <w:szCs w:val="20"/>
                <w:color w:val="auto"/>
              </w:rPr>
            </w:pPr>
            <w:r>
              <w:rPr>
                <w:rFonts w:ascii="Arial" w:cs="Arial" w:eastAsia="Arial" w:hAnsi="Arial"/>
                <w:sz w:val="16"/>
                <w:szCs w:val="16"/>
                <w:b w:val="1"/>
                <w:bCs w:val="1"/>
                <w:color w:val="auto"/>
              </w:rPr>
              <w:t>Exercise Price</w:t>
            </w:r>
          </w:p>
        </w:tc>
        <w:tc>
          <w:tcPr>
            <w:tcW w:w="176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74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estimated grant date</w:t>
            </w:r>
          </w:p>
        </w:tc>
        <w:tc>
          <w:tcPr>
            <w:tcW w:w="0" w:type="dxa"/>
            <w:vAlign w:val="bottom"/>
          </w:tcPr>
          <w:p>
            <w:pPr>
              <w:spacing w:after="0"/>
              <w:rPr>
                <w:sz w:val="1"/>
                <w:szCs w:val="1"/>
                <w:color w:val="auto"/>
              </w:rPr>
            </w:pPr>
          </w:p>
        </w:tc>
      </w:tr>
      <w:tr>
        <w:trPr>
          <w:trHeight w:val="208"/>
        </w:trPr>
        <w:tc>
          <w:tcPr>
            <w:tcW w:w="2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outstanding</w:t>
            </w:r>
          </w:p>
        </w:tc>
        <w:tc>
          <w:tcPr>
            <w:tcW w:w="17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exercisable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remaining life</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0"/>
        </w:trPr>
        <w:tc>
          <w:tcPr>
            <w:tcW w:w="2200" w:type="dxa"/>
            <w:vAlign w:val="bottom"/>
            <w:tcBorders>
              <w:bottom w:val="single" w:sz="8" w:color="929292"/>
            </w:tcBorders>
          </w:tcPr>
          <w:p>
            <w:pPr>
              <w:spacing w:after="0"/>
              <w:rPr>
                <w:sz w:val="20"/>
                <w:szCs w:val="20"/>
                <w:color w:val="auto"/>
              </w:rPr>
            </w:pPr>
            <w:r>
              <w:rPr>
                <w:rFonts w:ascii="Arial" w:cs="Arial" w:eastAsia="Arial" w:hAnsi="Arial"/>
                <w:sz w:val="16"/>
                <w:szCs w:val="16"/>
                <w:b w:val="1"/>
                <w:bCs w:val="1"/>
                <w:color w:val="auto"/>
              </w:rPr>
              <w:t>Expiry date</w:t>
            </w:r>
          </w:p>
        </w:tc>
        <w:tc>
          <w:tcPr>
            <w:tcW w:w="18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199"/>
        </w:trPr>
        <w:tc>
          <w:tcPr>
            <w:tcW w:w="2200" w:type="dxa"/>
            <w:vAlign w:val="bottom"/>
          </w:tcPr>
          <w:p>
            <w:pPr>
              <w:spacing w:after="0"/>
              <w:rPr>
                <w:sz w:val="20"/>
                <w:szCs w:val="20"/>
                <w:color w:val="auto"/>
              </w:rPr>
            </w:pPr>
            <w:r>
              <w:rPr>
                <w:rFonts w:ascii="Arial" w:cs="Arial" w:eastAsia="Arial" w:hAnsi="Arial"/>
                <w:sz w:val="16"/>
                <w:szCs w:val="16"/>
                <w:color w:val="auto"/>
              </w:rPr>
              <w:t>April 15, 2022</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0.64</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37,500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0.29</w:t>
            </w:r>
          </w:p>
        </w:tc>
        <w:tc>
          <w:tcPr>
            <w:tcW w:w="17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August 12, 2022</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2.90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6,250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6,250</w:t>
            </w:r>
          </w:p>
        </w:tc>
        <w:tc>
          <w:tcPr>
            <w:tcW w:w="1660" w:type="dxa"/>
            <w:vAlign w:val="bottom"/>
          </w:tcPr>
          <w:p>
            <w:pPr>
              <w:jc w:val="right"/>
              <w:spacing w:after="0"/>
              <w:rPr>
                <w:sz w:val="20"/>
                <w:szCs w:val="20"/>
                <w:color w:val="auto"/>
              </w:rPr>
            </w:pPr>
            <w:r>
              <w:rPr>
                <w:rFonts w:ascii="Arial" w:cs="Arial" w:eastAsia="Arial" w:hAnsi="Arial"/>
                <w:sz w:val="16"/>
                <w:szCs w:val="16"/>
                <w:color w:val="auto"/>
              </w:rPr>
              <w:t>0.61</w:t>
            </w:r>
          </w:p>
        </w:tc>
        <w:tc>
          <w:tcPr>
            <w:tcW w:w="17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November 27, 2022</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0.91</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200,000</w:t>
            </w:r>
          </w:p>
        </w:tc>
        <w:tc>
          <w:tcPr>
            <w:tcW w:w="1660" w:type="dxa"/>
            <w:vAlign w:val="bottom"/>
          </w:tcPr>
          <w:p>
            <w:pPr>
              <w:jc w:val="right"/>
              <w:spacing w:after="0"/>
              <w:rPr>
                <w:sz w:val="20"/>
                <w:szCs w:val="20"/>
                <w:color w:val="auto"/>
              </w:rPr>
            </w:pPr>
            <w:r>
              <w:rPr>
                <w:rFonts w:ascii="Arial" w:cs="Arial" w:eastAsia="Arial" w:hAnsi="Arial"/>
                <w:sz w:val="16"/>
                <w:szCs w:val="16"/>
                <w:color w:val="auto"/>
              </w:rPr>
              <w:t>0.91</w:t>
            </w:r>
          </w:p>
        </w:tc>
        <w:tc>
          <w:tcPr>
            <w:tcW w:w="174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December 11, 2022</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0.67</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59,952</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59,952</w:t>
            </w:r>
          </w:p>
        </w:tc>
        <w:tc>
          <w:tcPr>
            <w:tcW w:w="1660" w:type="dxa"/>
            <w:vAlign w:val="bottom"/>
          </w:tcPr>
          <w:p>
            <w:pPr>
              <w:jc w:val="right"/>
              <w:spacing w:after="0"/>
              <w:rPr>
                <w:sz w:val="20"/>
                <w:szCs w:val="20"/>
                <w:color w:val="auto"/>
              </w:rPr>
            </w:pPr>
            <w:r>
              <w:rPr>
                <w:rFonts w:ascii="Arial" w:cs="Arial" w:eastAsia="Arial" w:hAnsi="Arial"/>
                <w:sz w:val="16"/>
                <w:szCs w:val="16"/>
                <w:color w:val="auto"/>
              </w:rPr>
              <w:t>0.95</w:t>
            </w: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December 31, 2022</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2.78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633,333</w:t>
            </w:r>
          </w:p>
        </w:tc>
        <w:tc>
          <w:tcPr>
            <w:tcW w:w="1660" w:type="dxa"/>
            <w:vAlign w:val="bottom"/>
          </w:tcPr>
          <w:p>
            <w:pPr>
              <w:jc w:val="right"/>
              <w:spacing w:after="0"/>
              <w:rPr>
                <w:sz w:val="20"/>
                <w:szCs w:val="20"/>
                <w:color w:val="auto"/>
              </w:rPr>
            </w:pPr>
            <w:r>
              <w:rPr>
                <w:rFonts w:ascii="Arial" w:cs="Arial" w:eastAsia="Arial" w:hAnsi="Arial"/>
                <w:sz w:val="16"/>
                <w:szCs w:val="16"/>
                <w:color w:val="auto"/>
              </w:rPr>
              <w:t>1.00</w:t>
            </w:r>
          </w:p>
        </w:tc>
        <w:tc>
          <w:tcPr>
            <w:tcW w:w="1740" w:type="dxa"/>
            <w:vAlign w:val="bottom"/>
          </w:tcPr>
          <w:p>
            <w:pPr>
              <w:jc w:val="right"/>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June 30, 2023</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2.78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40,000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20,000</w:t>
            </w:r>
          </w:p>
        </w:tc>
        <w:tc>
          <w:tcPr>
            <w:tcW w:w="1660" w:type="dxa"/>
            <w:vAlign w:val="bottom"/>
          </w:tcPr>
          <w:p>
            <w:pPr>
              <w:jc w:val="right"/>
              <w:spacing w:after="0"/>
              <w:rPr>
                <w:sz w:val="20"/>
                <w:szCs w:val="20"/>
                <w:color w:val="auto"/>
              </w:rPr>
            </w:pPr>
            <w:r>
              <w:rPr>
                <w:rFonts w:ascii="Arial" w:cs="Arial" w:eastAsia="Arial" w:hAnsi="Arial"/>
                <w:sz w:val="16"/>
                <w:szCs w:val="16"/>
                <w:color w:val="auto"/>
              </w:rPr>
              <w:t>1.50</w:t>
            </w:r>
          </w:p>
        </w:tc>
        <w:tc>
          <w:tcPr>
            <w:tcW w:w="17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June 15,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0.25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2,350,000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2,043,750</w:t>
            </w:r>
          </w:p>
        </w:tc>
        <w:tc>
          <w:tcPr>
            <w:tcW w:w="1660" w:type="dxa"/>
            <w:vAlign w:val="bottom"/>
          </w:tcPr>
          <w:p>
            <w:pPr>
              <w:jc w:val="right"/>
              <w:spacing w:after="0"/>
              <w:rPr>
                <w:sz w:val="20"/>
                <w:szCs w:val="20"/>
                <w:color w:val="auto"/>
              </w:rPr>
            </w:pPr>
            <w:r>
              <w:rPr>
                <w:rFonts w:ascii="Arial" w:cs="Arial" w:eastAsia="Arial" w:hAnsi="Arial"/>
                <w:sz w:val="16"/>
                <w:szCs w:val="16"/>
                <w:color w:val="auto"/>
              </w:rPr>
              <w:t>3.46</w:t>
            </w:r>
          </w:p>
        </w:tc>
        <w:tc>
          <w:tcPr>
            <w:tcW w:w="174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October 12,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0.75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3,000,000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1,875,000</w:t>
            </w:r>
          </w:p>
        </w:tc>
        <w:tc>
          <w:tcPr>
            <w:tcW w:w="1660" w:type="dxa"/>
            <w:vAlign w:val="bottom"/>
          </w:tcPr>
          <w:p>
            <w:pPr>
              <w:jc w:val="right"/>
              <w:spacing w:after="0"/>
              <w:rPr>
                <w:sz w:val="20"/>
                <w:szCs w:val="20"/>
                <w:color w:val="auto"/>
              </w:rPr>
            </w:pPr>
            <w:r>
              <w:rPr>
                <w:rFonts w:ascii="Arial" w:cs="Arial" w:eastAsia="Arial" w:hAnsi="Arial"/>
                <w:sz w:val="16"/>
                <w:szCs w:val="16"/>
                <w:color w:val="auto"/>
              </w:rPr>
              <w:t>3.78</w:t>
            </w:r>
          </w:p>
        </w:tc>
        <w:tc>
          <w:tcPr>
            <w:tcW w:w="1740" w:type="dxa"/>
            <w:vAlign w:val="bottom"/>
          </w:tcPr>
          <w:p>
            <w:pPr>
              <w:jc w:val="right"/>
              <w:spacing w:after="0"/>
              <w:rPr>
                <w:sz w:val="20"/>
                <w:szCs w:val="20"/>
                <w:color w:val="auto"/>
              </w:rPr>
            </w:pPr>
            <w:r>
              <w:rPr>
                <w:rFonts w:ascii="Arial" w:cs="Arial" w:eastAsia="Arial" w:hAnsi="Arial"/>
                <w:sz w:val="16"/>
                <w:szCs w:val="16"/>
                <w:color w:val="auto"/>
              </w:rPr>
              <w:t>1,483</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November 4,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0.75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6,000,000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3,750,000</w:t>
            </w:r>
          </w:p>
        </w:tc>
        <w:tc>
          <w:tcPr>
            <w:tcW w:w="1660" w:type="dxa"/>
            <w:vAlign w:val="bottom"/>
          </w:tcPr>
          <w:p>
            <w:pPr>
              <w:jc w:val="right"/>
              <w:spacing w:after="0"/>
              <w:rPr>
                <w:sz w:val="20"/>
                <w:szCs w:val="20"/>
                <w:color w:val="auto"/>
              </w:rPr>
            </w:pPr>
            <w:r>
              <w:rPr>
                <w:rFonts w:ascii="Arial" w:cs="Arial" w:eastAsia="Arial" w:hAnsi="Arial"/>
                <w:sz w:val="16"/>
                <w:szCs w:val="16"/>
                <w:color w:val="auto"/>
              </w:rPr>
              <w:t>3.85</w:t>
            </w:r>
          </w:p>
        </w:tc>
        <w:tc>
          <w:tcPr>
            <w:tcW w:w="1740" w:type="dxa"/>
            <w:vAlign w:val="bottom"/>
          </w:tcPr>
          <w:p>
            <w:pPr>
              <w:jc w:val="right"/>
              <w:spacing w:after="0"/>
              <w:rPr>
                <w:sz w:val="20"/>
                <w:szCs w:val="20"/>
                <w:color w:val="auto"/>
              </w:rPr>
            </w:pPr>
            <w:r>
              <w:rPr>
                <w:rFonts w:ascii="Arial" w:cs="Arial" w:eastAsia="Arial" w:hAnsi="Arial"/>
                <w:sz w:val="16"/>
                <w:szCs w:val="16"/>
                <w:color w:val="auto"/>
              </w:rPr>
              <w:t>2,961</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November 13,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0.88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312,500</w:t>
            </w:r>
          </w:p>
        </w:tc>
        <w:tc>
          <w:tcPr>
            <w:tcW w:w="1660" w:type="dxa"/>
            <w:vAlign w:val="bottom"/>
          </w:tcPr>
          <w:p>
            <w:pPr>
              <w:jc w:val="right"/>
              <w:spacing w:after="0"/>
              <w:rPr>
                <w:sz w:val="20"/>
                <w:szCs w:val="20"/>
                <w:color w:val="auto"/>
              </w:rPr>
            </w:pPr>
            <w:r>
              <w:rPr>
                <w:rFonts w:ascii="Arial" w:cs="Arial" w:eastAsia="Arial" w:hAnsi="Arial"/>
                <w:sz w:val="16"/>
                <w:szCs w:val="16"/>
                <w:color w:val="auto"/>
              </w:rPr>
              <w:t>3.87</w:t>
            </w:r>
          </w:p>
        </w:tc>
        <w:tc>
          <w:tcPr>
            <w:tcW w:w="174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December 11,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1.48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350,000</w:t>
            </w:r>
          </w:p>
        </w:tc>
        <w:tc>
          <w:tcPr>
            <w:tcW w:w="1660" w:type="dxa"/>
            <w:vAlign w:val="bottom"/>
          </w:tcPr>
          <w:p>
            <w:pPr>
              <w:jc w:val="right"/>
              <w:spacing w:after="0"/>
              <w:rPr>
                <w:sz w:val="20"/>
                <w:szCs w:val="20"/>
                <w:color w:val="auto"/>
              </w:rPr>
            </w:pPr>
            <w:r>
              <w:rPr>
                <w:rFonts w:ascii="Arial" w:cs="Arial" w:eastAsia="Arial" w:hAnsi="Arial"/>
                <w:sz w:val="16"/>
                <w:szCs w:val="16"/>
                <w:color w:val="auto"/>
              </w:rPr>
              <w:t>3.95</w:t>
            </w:r>
          </w:p>
        </w:tc>
        <w:tc>
          <w:tcPr>
            <w:tcW w:w="1740" w:type="dxa"/>
            <w:vAlign w:val="bottom"/>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December 14,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1.74</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2,264,100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1,412,559</w:t>
            </w:r>
          </w:p>
        </w:tc>
        <w:tc>
          <w:tcPr>
            <w:tcW w:w="1660" w:type="dxa"/>
            <w:vAlign w:val="bottom"/>
          </w:tcPr>
          <w:p>
            <w:pPr>
              <w:jc w:val="right"/>
              <w:spacing w:after="0"/>
              <w:rPr>
                <w:sz w:val="20"/>
                <w:szCs w:val="20"/>
                <w:color w:val="auto"/>
              </w:rPr>
            </w:pPr>
            <w:r>
              <w:rPr>
                <w:rFonts w:ascii="Arial" w:cs="Arial" w:eastAsia="Arial" w:hAnsi="Arial"/>
                <w:sz w:val="16"/>
                <w:szCs w:val="16"/>
                <w:color w:val="auto"/>
              </w:rPr>
              <w:t>3.96</w:t>
            </w:r>
          </w:p>
        </w:tc>
        <w:tc>
          <w:tcPr>
            <w:tcW w:w="1740" w:type="dxa"/>
            <w:vAlign w:val="bottom"/>
          </w:tcPr>
          <w:p>
            <w:pPr>
              <w:jc w:val="right"/>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December 28, 2025</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1.89</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760,000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475,000</w:t>
            </w:r>
          </w:p>
        </w:tc>
        <w:tc>
          <w:tcPr>
            <w:tcW w:w="1660" w:type="dxa"/>
            <w:vAlign w:val="bottom"/>
          </w:tcPr>
          <w:p>
            <w:pPr>
              <w:jc w:val="right"/>
              <w:spacing w:after="0"/>
              <w:rPr>
                <w:sz w:val="20"/>
                <w:szCs w:val="20"/>
                <w:color w:val="auto"/>
              </w:rPr>
            </w:pPr>
            <w:r>
              <w:rPr>
                <w:rFonts w:ascii="Arial" w:cs="Arial" w:eastAsia="Arial" w:hAnsi="Arial"/>
                <w:sz w:val="16"/>
                <w:szCs w:val="16"/>
                <w:color w:val="auto"/>
              </w:rPr>
              <w:t>3.99</w:t>
            </w:r>
          </w:p>
        </w:tc>
        <w:tc>
          <w:tcPr>
            <w:tcW w:w="1740" w:type="dxa"/>
            <w:vAlign w:val="bottom"/>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January 2,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1.89</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225,000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112,500</w:t>
            </w:r>
          </w:p>
        </w:tc>
        <w:tc>
          <w:tcPr>
            <w:tcW w:w="1660" w:type="dxa"/>
            <w:vAlign w:val="bottom"/>
          </w:tcPr>
          <w:p>
            <w:pPr>
              <w:jc w:val="right"/>
              <w:spacing w:after="0"/>
              <w:rPr>
                <w:sz w:val="20"/>
                <w:szCs w:val="20"/>
                <w:color w:val="auto"/>
              </w:rPr>
            </w:pPr>
            <w:r>
              <w:rPr>
                <w:rFonts w:ascii="Arial" w:cs="Arial" w:eastAsia="Arial" w:hAnsi="Arial"/>
                <w:sz w:val="16"/>
                <w:szCs w:val="16"/>
                <w:color w:val="auto"/>
              </w:rPr>
              <w:t>4.01</w:t>
            </w:r>
          </w:p>
        </w:tc>
        <w:tc>
          <w:tcPr>
            <w:tcW w:w="174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February 15,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2.03</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170,000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75,625</w:t>
            </w:r>
          </w:p>
        </w:tc>
        <w:tc>
          <w:tcPr>
            <w:tcW w:w="1660" w:type="dxa"/>
            <w:vAlign w:val="bottom"/>
          </w:tcPr>
          <w:p>
            <w:pPr>
              <w:jc w:val="right"/>
              <w:spacing w:after="0"/>
              <w:rPr>
                <w:sz w:val="20"/>
                <w:szCs w:val="20"/>
                <w:color w:val="auto"/>
              </w:rPr>
            </w:pPr>
            <w:r>
              <w:rPr>
                <w:rFonts w:ascii="Arial" w:cs="Arial" w:eastAsia="Arial" w:hAnsi="Arial"/>
                <w:sz w:val="16"/>
                <w:szCs w:val="16"/>
                <w:color w:val="auto"/>
              </w:rPr>
              <w:t>4.13</w:t>
            </w:r>
          </w:p>
        </w:tc>
        <w:tc>
          <w:tcPr>
            <w:tcW w:w="174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February 16,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2.03</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150,000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75,000</w:t>
            </w:r>
          </w:p>
        </w:tc>
        <w:tc>
          <w:tcPr>
            <w:tcW w:w="1660" w:type="dxa"/>
            <w:vAlign w:val="bottom"/>
          </w:tcPr>
          <w:p>
            <w:pPr>
              <w:jc w:val="right"/>
              <w:spacing w:after="0"/>
              <w:rPr>
                <w:sz w:val="20"/>
                <w:szCs w:val="20"/>
                <w:color w:val="auto"/>
              </w:rPr>
            </w:pPr>
            <w:r>
              <w:rPr>
                <w:rFonts w:ascii="Arial" w:cs="Arial" w:eastAsia="Arial" w:hAnsi="Arial"/>
                <w:sz w:val="16"/>
                <w:szCs w:val="16"/>
                <w:color w:val="auto"/>
              </w:rPr>
              <w:t>4.13</w:t>
            </w:r>
          </w:p>
        </w:tc>
        <w:tc>
          <w:tcPr>
            <w:tcW w:w="174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March 10,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1.39</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1,307,600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1,039,644</w:t>
            </w:r>
          </w:p>
        </w:tc>
        <w:tc>
          <w:tcPr>
            <w:tcW w:w="1660" w:type="dxa"/>
            <w:vAlign w:val="bottom"/>
          </w:tcPr>
          <w:p>
            <w:pPr>
              <w:jc w:val="right"/>
              <w:spacing w:after="0"/>
              <w:rPr>
                <w:sz w:val="20"/>
                <w:szCs w:val="20"/>
                <w:color w:val="auto"/>
              </w:rPr>
            </w:pPr>
            <w:r>
              <w:rPr>
                <w:rFonts w:ascii="Arial" w:cs="Arial" w:eastAsia="Arial" w:hAnsi="Arial"/>
                <w:sz w:val="16"/>
                <w:szCs w:val="16"/>
                <w:color w:val="auto"/>
              </w:rPr>
              <w:t>4.19</w:t>
            </w:r>
          </w:p>
        </w:tc>
        <w:tc>
          <w:tcPr>
            <w:tcW w:w="1740" w:type="dxa"/>
            <w:vAlign w:val="bottom"/>
          </w:tcPr>
          <w:p>
            <w:pPr>
              <w:jc w:val="right"/>
              <w:spacing w:after="0"/>
              <w:rPr>
                <w:sz w:val="20"/>
                <w:szCs w:val="20"/>
                <w:color w:val="auto"/>
              </w:rPr>
            </w:pPr>
            <w:r>
              <w:rPr>
                <w:rFonts w:ascii="Arial" w:cs="Arial" w:eastAsia="Arial" w:hAnsi="Arial"/>
                <w:sz w:val="16"/>
                <w:szCs w:val="16"/>
                <w:color w:val="auto"/>
              </w:rPr>
              <w:t>1,197</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March 15,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1.55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150,000</w:t>
            </w:r>
          </w:p>
        </w:tc>
        <w:tc>
          <w:tcPr>
            <w:tcW w:w="1660" w:type="dxa"/>
            <w:vAlign w:val="bottom"/>
          </w:tcPr>
          <w:p>
            <w:pPr>
              <w:jc w:val="right"/>
              <w:spacing w:after="0"/>
              <w:rPr>
                <w:sz w:val="20"/>
                <w:szCs w:val="20"/>
                <w:color w:val="auto"/>
              </w:rPr>
            </w:pPr>
            <w:r>
              <w:rPr>
                <w:rFonts w:ascii="Arial" w:cs="Arial" w:eastAsia="Arial" w:hAnsi="Arial"/>
                <w:sz w:val="16"/>
                <w:szCs w:val="16"/>
                <w:color w:val="auto"/>
              </w:rPr>
              <w:t>4.21</w:t>
            </w:r>
          </w:p>
        </w:tc>
        <w:tc>
          <w:tcPr>
            <w:tcW w:w="174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March 28,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1.36</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1,925,000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1,118,750</w:t>
            </w:r>
          </w:p>
        </w:tc>
        <w:tc>
          <w:tcPr>
            <w:tcW w:w="1660" w:type="dxa"/>
            <w:vAlign w:val="bottom"/>
          </w:tcPr>
          <w:p>
            <w:pPr>
              <w:jc w:val="right"/>
              <w:spacing w:after="0"/>
              <w:rPr>
                <w:sz w:val="20"/>
                <w:szCs w:val="20"/>
                <w:color w:val="auto"/>
              </w:rPr>
            </w:pPr>
            <w:r>
              <w:rPr>
                <w:rFonts w:ascii="Arial" w:cs="Arial" w:eastAsia="Arial" w:hAnsi="Arial"/>
                <w:sz w:val="16"/>
                <w:szCs w:val="16"/>
                <w:color w:val="auto"/>
              </w:rPr>
              <w:t>4.24</w:t>
            </w:r>
          </w:p>
        </w:tc>
        <w:tc>
          <w:tcPr>
            <w:tcW w:w="1740" w:type="dxa"/>
            <w:vAlign w:val="bottom"/>
          </w:tcPr>
          <w:p>
            <w:pPr>
              <w:jc w:val="right"/>
              <w:spacing w:after="0"/>
              <w:rPr>
                <w:sz w:val="20"/>
                <w:szCs w:val="20"/>
                <w:color w:val="auto"/>
              </w:rPr>
            </w:pPr>
            <w:r>
              <w:rPr>
                <w:rFonts w:ascii="Arial" w:cs="Arial" w:eastAsia="Arial" w:hAnsi="Arial"/>
                <w:sz w:val="16"/>
                <w:szCs w:val="16"/>
                <w:color w:val="auto"/>
              </w:rPr>
              <w:t>1,544</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March 29,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1.32</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37,500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37,500</w:t>
            </w:r>
          </w:p>
        </w:tc>
        <w:tc>
          <w:tcPr>
            <w:tcW w:w="1660" w:type="dxa"/>
            <w:vAlign w:val="bottom"/>
          </w:tcPr>
          <w:p>
            <w:pPr>
              <w:jc w:val="right"/>
              <w:spacing w:after="0"/>
              <w:rPr>
                <w:sz w:val="20"/>
                <w:szCs w:val="20"/>
                <w:color w:val="auto"/>
              </w:rPr>
            </w:pPr>
            <w:r>
              <w:rPr>
                <w:rFonts w:ascii="Arial" w:cs="Arial" w:eastAsia="Arial" w:hAnsi="Arial"/>
                <w:sz w:val="16"/>
                <w:szCs w:val="16"/>
                <w:color w:val="auto"/>
              </w:rPr>
              <w:t>4.24</w:t>
            </w:r>
          </w:p>
        </w:tc>
        <w:tc>
          <w:tcPr>
            <w:tcW w:w="17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March 31,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1.35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345,000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122,500</w:t>
            </w:r>
          </w:p>
        </w:tc>
        <w:tc>
          <w:tcPr>
            <w:tcW w:w="1660" w:type="dxa"/>
            <w:vAlign w:val="bottom"/>
          </w:tcPr>
          <w:p>
            <w:pPr>
              <w:jc w:val="right"/>
              <w:spacing w:after="0"/>
              <w:rPr>
                <w:sz w:val="20"/>
                <w:szCs w:val="20"/>
                <w:color w:val="auto"/>
              </w:rPr>
            </w:pPr>
            <w:r>
              <w:rPr>
                <w:rFonts w:ascii="Arial" w:cs="Arial" w:eastAsia="Arial" w:hAnsi="Arial"/>
                <w:sz w:val="16"/>
                <w:szCs w:val="16"/>
                <w:color w:val="auto"/>
              </w:rPr>
              <w:t>4.25</w:t>
            </w:r>
          </w:p>
        </w:tc>
        <w:tc>
          <w:tcPr>
            <w:tcW w:w="174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June 28,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2.90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3,784,000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1,102,250</w:t>
            </w:r>
          </w:p>
        </w:tc>
        <w:tc>
          <w:tcPr>
            <w:tcW w:w="1660" w:type="dxa"/>
            <w:vAlign w:val="bottom"/>
          </w:tcPr>
          <w:p>
            <w:pPr>
              <w:jc w:val="right"/>
              <w:spacing w:after="0"/>
              <w:rPr>
                <w:sz w:val="20"/>
                <w:szCs w:val="20"/>
                <w:color w:val="auto"/>
              </w:rPr>
            </w:pPr>
            <w:r>
              <w:rPr>
                <w:rFonts w:ascii="Arial" w:cs="Arial" w:eastAsia="Arial" w:hAnsi="Arial"/>
                <w:sz w:val="16"/>
                <w:szCs w:val="16"/>
                <w:color w:val="auto"/>
              </w:rPr>
              <w:t>4.49</w:t>
            </w:r>
          </w:p>
        </w:tc>
        <w:tc>
          <w:tcPr>
            <w:tcW w:w="1740" w:type="dxa"/>
            <w:vAlign w:val="bottom"/>
          </w:tcPr>
          <w:p>
            <w:pPr>
              <w:jc w:val="right"/>
              <w:spacing w:after="0"/>
              <w:rPr>
                <w:sz w:val="20"/>
                <w:szCs w:val="20"/>
                <w:color w:val="auto"/>
              </w:rPr>
            </w:pPr>
            <w:r>
              <w:rPr>
                <w:rFonts w:ascii="Arial" w:cs="Arial" w:eastAsia="Arial" w:hAnsi="Arial"/>
                <w:sz w:val="16"/>
                <w:szCs w:val="16"/>
                <w:color w:val="auto"/>
              </w:rPr>
              <w:t>5,454</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August 16,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2.48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215,000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53,750</w:t>
            </w:r>
          </w:p>
        </w:tc>
        <w:tc>
          <w:tcPr>
            <w:tcW w:w="1660" w:type="dxa"/>
            <w:vAlign w:val="bottom"/>
          </w:tcPr>
          <w:p>
            <w:pPr>
              <w:jc w:val="right"/>
              <w:spacing w:after="0"/>
              <w:rPr>
                <w:sz w:val="20"/>
                <w:szCs w:val="20"/>
                <w:color w:val="auto"/>
              </w:rPr>
            </w:pPr>
            <w:r>
              <w:rPr>
                <w:rFonts w:ascii="Arial" w:cs="Arial" w:eastAsia="Arial" w:hAnsi="Arial"/>
                <w:sz w:val="16"/>
                <w:szCs w:val="16"/>
                <w:color w:val="auto"/>
              </w:rPr>
              <w:t>4.63</w:t>
            </w:r>
          </w:p>
        </w:tc>
        <w:tc>
          <w:tcPr>
            <w:tcW w:w="174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August 18,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2.48</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300,000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75,000</w:t>
            </w:r>
          </w:p>
        </w:tc>
        <w:tc>
          <w:tcPr>
            <w:tcW w:w="1660" w:type="dxa"/>
            <w:vAlign w:val="bottom"/>
          </w:tcPr>
          <w:p>
            <w:pPr>
              <w:jc w:val="right"/>
              <w:spacing w:after="0"/>
              <w:rPr>
                <w:sz w:val="20"/>
                <w:szCs w:val="20"/>
                <w:color w:val="auto"/>
              </w:rPr>
            </w:pPr>
            <w:r>
              <w:rPr>
                <w:rFonts w:ascii="Arial" w:cs="Arial" w:eastAsia="Arial" w:hAnsi="Arial"/>
                <w:sz w:val="16"/>
                <w:szCs w:val="16"/>
                <w:color w:val="auto"/>
              </w:rPr>
              <w:t>4.63</w:t>
            </w:r>
          </w:p>
        </w:tc>
        <w:tc>
          <w:tcPr>
            <w:tcW w:w="1740" w:type="dxa"/>
            <w:vAlign w:val="bottom"/>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September 27,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3.15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565,000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70,625</w:t>
            </w:r>
          </w:p>
        </w:tc>
        <w:tc>
          <w:tcPr>
            <w:tcW w:w="1660" w:type="dxa"/>
            <w:vAlign w:val="bottom"/>
          </w:tcPr>
          <w:p>
            <w:pPr>
              <w:jc w:val="right"/>
              <w:spacing w:after="0"/>
              <w:rPr>
                <w:sz w:val="20"/>
                <w:szCs w:val="20"/>
                <w:color w:val="auto"/>
              </w:rPr>
            </w:pPr>
            <w:r>
              <w:rPr>
                <w:rFonts w:ascii="Arial" w:cs="Arial" w:eastAsia="Arial" w:hAnsi="Arial"/>
                <w:sz w:val="16"/>
                <w:szCs w:val="16"/>
                <w:color w:val="auto"/>
              </w:rPr>
              <w:t>4.74</w:t>
            </w:r>
          </w:p>
        </w:tc>
        <w:tc>
          <w:tcPr>
            <w:tcW w:w="174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September 27,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2.87</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195,000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48,750</w:t>
            </w:r>
          </w:p>
        </w:tc>
        <w:tc>
          <w:tcPr>
            <w:tcW w:w="1660" w:type="dxa"/>
            <w:vAlign w:val="bottom"/>
          </w:tcPr>
          <w:p>
            <w:pPr>
              <w:jc w:val="right"/>
              <w:spacing w:after="0"/>
              <w:rPr>
                <w:sz w:val="20"/>
                <w:szCs w:val="20"/>
                <w:color w:val="auto"/>
              </w:rPr>
            </w:pPr>
            <w:r>
              <w:rPr>
                <w:rFonts w:ascii="Arial" w:cs="Arial" w:eastAsia="Arial" w:hAnsi="Arial"/>
                <w:sz w:val="16"/>
                <w:szCs w:val="16"/>
                <w:color w:val="auto"/>
              </w:rPr>
              <w:t>4.74</w:t>
            </w:r>
          </w:p>
        </w:tc>
        <w:tc>
          <w:tcPr>
            <w:tcW w:w="174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September 30,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3.15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450,000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56,250</w:t>
            </w:r>
          </w:p>
        </w:tc>
        <w:tc>
          <w:tcPr>
            <w:tcW w:w="1660" w:type="dxa"/>
            <w:vAlign w:val="bottom"/>
          </w:tcPr>
          <w:p>
            <w:pPr>
              <w:jc w:val="right"/>
              <w:spacing w:after="0"/>
              <w:rPr>
                <w:sz w:val="20"/>
                <w:szCs w:val="20"/>
                <w:color w:val="auto"/>
              </w:rPr>
            </w:pPr>
            <w:r>
              <w:rPr>
                <w:rFonts w:ascii="Arial" w:cs="Arial" w:eastAsia="Arial" w:hAnsi="Arial"/>
                <w:sz w:val="16"/>
                <w:szCs w:val="16"/>
                <w:color w:val="auto"/>
              </w:rPr>
              <w:t>4.75</w:t>
            </w:r>
          </w:p>
        </w:tc>
        <w:tc>
          <w:tcPr>
            <w:tcW w:w="174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December 31, 2026</w:t>
            </w:r>
          </w:p>
        </w:tc>
        <w:tc>
          <w:tcPr>
            <w:tcW w:w="1840" w:type="dxa"/>
            <w:vAlign w:val="bottom"/>
          </w:tcPr>
          <w:p>
            <w:pPr>
              <w:jc w:val="right"/>
              <w:ind w:right="58"/>
              <w:spacing w:after="0"/>
              <w:rPr>
                <w:sz w:val="20"/>
                <w:szCs w:val="20"/>
                <w:color w:val="auto"/>
              </w:rPr>
            </w:pPr>
            <w:r>
              <w:rPr>
                <w:rFonts w:ascii="Arial" w:cs="Arial" w:eastAsia="Arial" w:hAnsi="Arial"/>
                <w:sz w:val="16"/>
                <w:szCs w:val="16"/>
                <w:color w:val="auto"/>
              </w:rPr>
              <w:t>3.15</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40,000</w:t>
            </w:r>
          </w:p>
        </w:tc>
        <w:tc>
          <w:tcPr>
            <w:tcW w:w="1760" w:type="dxa"/>
            <w:vAlign w:val="bottom"/>
          </w:tcPr>
          <w:p>
            <w:pPr>
              <w:jc w:val="right"/>
              <w:ind w:right="78"/>
              <w:spacing w:after="0"/>
              <w:rPr>
                <w:sz w:val="20"/>
                <w:szCs w:val="20"/>
                <w:color w:val="auto"/>
              </w:rPr>
            </w:pPr>
            <w:r>
              <w:rPr>
                <w:rFonts w:ascii="Arial" w:cs="Arial" w:eastAsia="Arial" w:hAnsi="Arial"/>
                <w:sz w:val="16"/>
                <w:szCs w:val="16"/>
                <w:color w:val="auto"/>
              </w:rPr>
              <w:t>5,000</w:t>
            </w:r>
          </w:p>
        </w:tc>
        <w:tc>
          <w:tcPr>
            <w:tcW w:w="1660" w:type="dxa"/>
            <w:vAlign w:val="bottom"/>
          </w:tcPr>
          <w:p>
            <w:pPr>
              <w:jc w:val="right"/>
              <w:spacing w:after="0"/>
              <w:rPr>
                <w:sz w:val="20"/>
                <w:szCs w:val="20"/>
                <w:color w:val="auto"/>
              </w:rPr>
            </w:pPr>
            <w:r>
              <w:rPr>
                <w:rFonts w:ascii="Arial" w:cs="Arial" w:eastAsia="Arial" w:hAnsi="Arial"/>
                <w:sz w:val="16"/>
                <w:szCs w:val="16"/>
                <w:color w:val="auto"/>
              </w:rPr>
              <w:t>5.00</w:t>
            </w:r>
          </w:p>
        </w:tc>
        <w:tc>
          <w:tcPr>
            <w:tcW w:w="17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8"/>
        </w:trPr>
        <w:tc>
          <w:tcPr>
            <w:tcW w:w="2200" w:type="dxa"/>
            <w:vAlign w:val="bottom"/>
            <w:tcBorders>
              <w:bottom w:val="single" w:sz="8" w:color="929292"/>
            </w:tcBorders>
          </w:tcPr>
          <w:p>
            <w:pPr>
              <w:spacing w:after="0"/>
              <w:rPr>
                <w:sz w:val="20"/>
                <w:szCs w:val="20"/>
                <w:color w:val="auto"/>
              </w:rPr>
            </w:pPr>
            <w:r>
              <w:rPr>
                <w:rFonts w:ascii="Arial" w:cs="Arial" w:eastAsia="Arial" w:hAnsi="Arial"/>
                <w:sz w:val="16"/>
                <w:szCs w:val="16"/>
                <w:color w:val="auto"/>
              </w:rPr>
              <w:t>December 31, 2026</w:t>
            </w:r>
          </w:p>
        </w:tc>
        <w:tc>
          <w:tcPr>
            <w:tcW w:w="1840" w:type="dxa"/>
            <w:vAlign w:val="bottom"/>
            <w:tcBorders>
              <w:bottom w:val="single" w:sz="8" w:color="929292"/>
            </w:tcBorders>
          </w:tcPr>
          <w:p>
            <w:pPr>
              <w:jc w:val="right"/>
              <w:ind w:right="58"/>
              <w:spacing w:after="0"/>
              <w:rPr>
                <w:sz w:val="20"/>
                <w:szCs w:val="20"/>
                <w:color w:val="auto"/>
              </w:rPr>
            </w:pPr>
            <w:r>
              <w:rPr>
                <w:rFonts w:ascii="Arial" w:cs="Arial" w:eastAsia="Arial" w:hAnsi="Arial"/>
                <w:sz w:val="16"/>
                <w:szCs w:val="16"/>
                <w:color w:val="auto"/>
              </w:rPr>
              <w:t>1.50</w:t>
            </w:r>
          </w:p>
        </w:tc>
        <w:tc>
          <w:tcPr>
            <w:tcW w:w="1760" w:type="dxa"/>
            <w:vAlign w:val="bottom"/>
            <w:tcBorders>
              <w:bottom w:val="single" w:sz="8" w:color="929292"/>
            </w:tcBorders>
          </w:tcPr>
          <w:p>
            <w:pPr>
              <w:jc w:val="right"/>
              <w:ind w:right="78"/>
              <w:spacing w:after="0"/>
              <w:rPr>
                <w:sz w:val="20"/>
                <w:szCs w:val="20"/>
                <w:color w:val="auto"/>
              </w:rPr>
            </w:pPr>
            <w:r>
              <w:rPr>
                <w:rFonts w:ascii="Arial" w:cs="Arial" w:eastAsia="Arial" w:hAnsi="Arial"/>
                <w:sz w:val="16"/>
                <w:szCs w:val="16"/>
                <w:color w:val="auto"/>
              </w:rPr>
              <w:t>1,250,000</w:t>
            </w:r>
          </w:p>
        </w:tc>
        <w:tc>
          <w:tcPr>
            <w:tcW w:w="1760" w:type="dxa"/>
            <w:vAlign w:val="bottom"/>
            <w:tcBorders>
              <w:bottom w:val="single" w:sz="8" w:color="929292"/>
            </w:tcBorders>
          </w:tcPr>
          <w:p>
            <w:pPr>
              <w:jc w:val="right"/>
              <w:ind w:right="78"/>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5.00</w:t>
            </w:r>
          </w:p>
        </w:tc>
        <w:tc>
          <w:tcPr>
            <w:tcW w:w="174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60" w:type="dxa"/>
            <w:vAlign w:val="bottom"/>
          </w:tcPr>
          <w:p>
            <w:pPr>
              <w:jc w:val="right"/>
              <w:ind w:right="78"/>
              <w:spacing w:after="0"/>
              <w:rPr>
                <w:sz w:val="20"/>
                <w:szCs w:val="20"/>
                <w:color w:val="auto"/>
              </w:rPr>
            </w:pPr>
            <w:r>
              <w:rPr>
                <w:rFonts w:ascii="Arial" w:cs="Arial" w:eastAsia="Arial" w:hAnsi="Arial"/>
                <w:sz w:val="16"/>
                <w:szCs w:val="16"/>
                <w:b w:val="1"/>
                <w:bCs w:val="1"/>
                <w:color w:val="auto"/>
              </w:rPr>
              <w:t>27,876,902</w:t>
            </w:r>
          </w:p>
        </w:tc>
        <w:tc>
          <w:tcPr>
            <w:tcW w:w="1760" w:type="dxa"/>
            <w:vAlign w:val="bottom"/>
          </w:tcPr>
          <w:p>
            <w:pPr>
              <w:jc w:val="right"/>
              <w:ind w:right="98"/>
              <w:spacing w:after="0"/>
              <w:rPr>
                <w:sz w:val="20"/>
                <w:szCs w:val="20"/>
                <w:color w:val="auto"/>
              </w:rPr>
            </w:pPr>
            <w:r>
              <w:rPr>
                <w:rFonts w:ascii="Arial" w:cs="Arial" w:eastAsia="Arial" w:hAnsi="Arial"/>
                <w:sz w:val="16"/>
                <w:szCs w:val="16"/>
                <w:b w:val="1"/>
                <w:bCs w:val="1"/>
                <w:color w:val="auto"/>
              </w:rPr>
              <w:t>15,281,488</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3.76</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20,689</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The Company recognized share-based payments expense related to the issuance of stock options for the three and nine months ended December 31, 2021 of $4,426 and $14,478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18 of 25</w:t>
      </w:r>
    </w:p>
    <w:p>
      <w:pPr>
        <w:sectPr>
          <w:pgSz w:w="11900" w:h="16838" w:orient="portrait"/>
          <w:cols w:equalWidth="0" w:num="1">
            <w:col w:w="11200"/>
          </w:cols>
          <w:pgMar w:left="380" w:top="171" w:right="319" w:bottom="1440" w:gutter="0" w:footer="0" w:header="0"/>
        </w:sectPr>
      </w:pPr>
    </w:p>
    <w:bookmarkStart w:id="21" w:name="page22"/>
    <w:bookmarkEnd w:id="21"/>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
        <w:spacing w:after="0"/>
        <w:rPr>
          <w:sz w:val="20"/>
          <w:szCs w:val="20"/>
          <w:color w:val="auto"/>
        </w:rPr>
      </w:pPr>
      <w:r>
        <w:rPr>
          <w:rFonts w:ascii="Arial" w:cs="Arial" w:eastAsia="Arial" w:hAnsi="Arial"/>
          <w:sz w:val="16"/>
          <w:szCs w:val="16"/>
          <w:color w:val="auto"/>
        </w:rPr>
        <w:t>As at December 31, 2021, the Company has 2,981,250 options held in escrow (March 31, 2021 - 8,475,000).</w:t>
      </w:r>
    </w:p>
    <w:p>
      <w:pPr>
        <w:spacing w:after="0" w:line="183"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outstanding options and warrants disclosed above were anti-dilutive for the current period and did not impact the calculation of the loss per share.</w:t>
      </w:r>
    </w:p>
    <w:p>
      <w:pPr>
        <w:spacing w:after="0" w:line="151" w:lineRule="exact"/>
        <w:rPr>
          <w:sz w:val="20"/>
          <w:szCs w:val="20"/>
          <w:color w:val="auto"/>
        </w:rPr>
      </w:pPr>
    </w:p>
    <w:p>
      <w:pPr>
        <w:ind w:left="322" w:hanging="322"/>
        <w:spacing w:after="0"/>
        <w:tabs>
          <w:tab w:leader="none" w:pos="322" w:val="left"/>
        </w:tabs>
        <w:numPr>
          <w:ilvl w:val="0"/>
          <w:numId w:val="10"/>
        </w:numPr>
        <w:rPr>
          <w:rFonts w:ascii="Arial" w:cs="Arial" w:eastAsia="Arial" w:hAnsi="Arial"/>
          <w:sz w:val="16"/>
          <w:szCs w:val="16"/>
          <w:b w:val="1"/>
          <w:bCs w:val="1"/>
          <w:color w:val="2D5F91"/>
        </w:rPr>
      </w:pPr>
      <w:r>
        <w:rPr>
          <w:rFonts w:ascii="Arial" w:cs="Arial" w:eastAsia="Arial" w:hAnsi="Arial"/>
          <w:sz w:val="16"/>
          <w:szCs w:val="16"/>
          <w:b w:val="1"/>
          <w:bCs w:val="1"/>
          <w:color w:val="2D5F91"/>
        </w:rPr>
        <w:t>RELATED PARTY TRANSACTIONS AND BALANCES</w:t>
      </w:r>
    </w:p>
    <w:p>
      <w:pPr>
        <w:spacing w:after="0" w:line="191"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Key management personnel include persons having the authority and responsibility for planning, directing, and controlling the activities of the Company as a whole. The Company has determined its key management personnel to be executive officers and directors of the Company.</w:t>
      </w:r>
    </w:p>
    <w:p>
      <w:pPr>
        <w:spacing w:after="0" w:line="149"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remuneration of key management personnel for the three and nine months ended December 31, 2021 are as follows:</w:t>
      </w:r>
    </w:p>
    <w:p>
      <w:pPr>
        <w:spacing w:after="0" w:line="171" w:lineRule="exact"/>
        <w:rPr>
          <w:sz w:val="20"/>
          <w:szCs w:val="20"/>
          <w:color w:val="auto"/>
        </w:rPr>
      </w:pPr>
    </w:p>
    <w:tbl>
      <w:tblPr>
        <w:tblLayout w:type="fixed"/>
        <w:tblInd w:w="302"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4400" w:type="dxa"/>
            <w:vAlign w:val="bottom"/>
            <w:gridSpan w:val="2"/>
            <w:vMerge w:val="restart"/>
          </w:tcPr>
          <w:p>
            <w:pPr>
              <w:jc w:val="right"/>
              <w:ind w:right="398"/>
              <w:spacing w:after="0"/>
              <w:rPr>
                <w:sz w:val="20"/>
                <w:szCs w:val="20"/>
                <w:color w:val="auto"/>
              </w:rPr>
            </w:pPr>
            <w:r>
              <w:rPr>
                <w:rFonts w:ascii="Arial" w:cs="Arial" w:eastAsia="Arial" w:hAnsi="Arial"/>
                <w:sz w:val="16"/>
                <w:szCs w:val="16"/>
                <w:b w:val="1"/>
                <w:bCs w:val="1"/>
                <w:color w:val="auto"/>
              </w:rPr>
              <w:t>Three-months ended December 31,</w:t>
            </w:r>
          </w:p>
        </w:tc>
        <w:tc>
          <w:tcPr>
            <w:tcW w:w="244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Nine-months ended</w:t>
            </w: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440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8"/>
        </w:trPr>
        <w:tc>
          <w:tcPr>
            <w:tcW w:w="3660" w:type="dxa"/>
            <w:vAlign w:val="bottom"/>
          </w:tcPr>
          <w:p>
            <w:pPr>
              <w:spacing w:after="0"/>
              <w:rPr>
                <w:sz w:val="18"/>
                <w:szCs w:val="18"/>
                <w:color w:val="auto"/>
              </w:rPr>
            </w:pPr>
          </w:p>
        </w:tc>
        <w:tc>
          <w:tcPr>
            <w:tcW w:w="2980" w:type="dxa"/>
            <w:vAlign w:val="bottom"/>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1420" w:type="dxa"/>
            <w:vAlign w:val="bottom"/>
          </w:tcPr>
          <w:p>
            <w:pPr>
              <w:jc w:val="right"/>
              <w:ind w:right="398"/>
              <w:spacing w:after="0"/>
              <w:rPr>
                <w:sz w:val="20"/>
                <w:szCs w:val="20"/>
                <w:color w:val="auto"/>
              </w:rPr>
            </w:pPr>
            <w:r>
              <w:rPr>
                <w:rFonts w:ascii="Arial" w:cs="Arial" w:eastAsia="Arial" w:hAnsi="Arial"/>
                <w:sz w:val="16"/>
                <w:szCs w:val="16"/>
                <w:b w:val="1"/>
                <w:bCs w:val="1"/>
                <w:color w:val="auto"/>
              </w:rPr>
              <w:t>2020</w:t>
            </w:r>
          </w:p>
        </w:tc>
        <w:tc>
          <w:tcPr>
            <w:tcW w:w="1160" w:type="dxa"/>
            <w:vAlign w:val="bottom"/>
          </w:tcPr>
          <w:p>
            <w:pPr>
              <w:jc w:val="right"/>
              <w:ind w:right="98"/>
              <w:spacing w:after="0"/>
              <w:rPr>
                <w:sz w:val="20"/>
                <w:szCs w:val="20"/>
                <w:color w:val="auto"/>
              </w:rPr>
            </w:pPr>
            <w:r>
              <w:rPr>
                <w:rFonts w:ascii="Arial" w:cs="Arial" w:eastAsia="Arial" w:hAnsi="Arial"/>
                <w:sz w:val="16"/>
                <w:szCs w:val="16"/>
                <w:b w:val="1"/>
                <w:bCs w:val="1"/>
                <w:color w:val="auto"/>
              </w:rPr>
              <w:t>2021</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$000’s</w:t>
            </w:r>
          </w:p>
        </w:tc>
        <w:tc>
          <w:tcPr>
            <w:tcW w:w="142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$000’s</w:t>
            </w:r>
          </w:p>
        </w:tc>
        <w:tc>
          <w:tcPr>
            <w:tcW w:w="11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$000’s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212"/>
        </w:trPr>
        <w:tc>
          <w:tcPr>
            <w:tcW w:w="3660" w:type="dxa"/>
            <w:vAlign w:val="bottom"/>
          </w:tcPr>
          <w:p>
            <w:pPr>
              <w:ind w:left="60"/>
              <w:spacing w:after="0" w:line="212" w:lineRule="exact"/>
              <w:rPr>
                <w:sz w:val="20"/>
                <w:szCs w:val="20"/>
                <w:color w:val="auto"/>
              </w:rPr>
            </w:pPr>
            <w:r>
              <w:rPr>
                <w:rFonts w:ascii="Arial" w:cs="Arial" w:eastAsia="Arial" w:hAnsi="Arial"/>
                <w:sz w:val="16"/>
                <w:szCs w:val="16"/>
                <w:color w:val="auto"/>
              </w:rPr>
              <w:t>Payroll, consulting and benefits</w:t>
            </w:r>
            <w:r>
              <w:rPr>
                <w:rFonts w:ascii="Arial" w:cs="Arial" w:eastAsia="Arial" w:hAnsi="Arial"/>
                <w:sz w:val="21"/>
                <w:szCs w:val="21"/>
                <w:color w:val="auto"/>
                <w:vertAlign w:val="superscript"/>
              </w:rPr>
              <w:t>(1)</w:t>
            </w:r>
          </w:p>
        </w:tc>
        <w:tc>
          <w:tcPr>
            <w:tcW w:w="2980" w:type="dxa"/>
            <w:vAlign w:val="bottom"/>
          </w:tcPr>
          <w:p>
            <w:pPr>
              <w:jc w:val="right"/>
              <w:ind w:right="378"/>
              <w:spacing w:after="0"/>
              <w:rPr>
                <w:sz w:val="20"/>
                <w:szCs w:val="20"/>
                <w:color w:val="auto"/>
              </w:rPr>
            </w:pPr>
            <w:r>
              <w:rPr>
                <w:rFonts w:ascii="Arial" w:cs="Arial" w:eastAsia="Arial" w:hAnsi="Arial"/>
                <w:sz w:val="16"/>
                <w:szCs w:val="16"/>
                <w:b w:val="1"/>
                <w:bCs w:val="1"/>
                <w:color w:val="auto"/>
              </w:rPr>
              <w:t>1,154</w:t>
            </w:r>
          </w:p>
        </w:tc>
        <w:tc>
          <w:tcPr>
            <w:tcW w:w="1420" w:type="dxa"/>
            <w:vAlign w:val="bottom"/>
          </w:tcPr>
          <w:p>
            <w:pPr>
              <w:jc w:val="right"/>
              <w:ind w:right="398"/>
              <w:spacing w:after="0"/>
              <w:rPr>
                <w:sz w:val="20"/>
                <w:szCs w:val="20"/>
                <w:color w:val="auto"/>
              </w:rPr>
            </w:pPr>
            <w:r>
              <w:rPr>
                <w:rFonts w:ascii="Arial" w:cs="Arial" w:eastAsia="Arial" w:hAnsi="Arial"/>
                <w:sz w:val="16"/>
                <w:szCs w:val="16"/>
                <w:color w:val="auto"/>
              </w:rPr>
              <w:t>1,304</w:t>
            </w:r>
          </w:p>
        </w:tc>
        <w:tc>
          <w:tcPr>
            <w:tcW w:w="1160" w:type="dxa"/>
            <w:vAlign w:val="bottom"/>
          </w:tcPr>
          <w:p>
            <w:pPr>
              <w:jc w:val="right"/>
              <w:ind w:right="98"/>
              <w:spacing w:after="0"/>
              <w:rPr>
                <w:sz w:val="20"/>
                <w:szCs w:val="20"/>
                <w:color w:val="auto"/>
              </w:rPr>
            </w:pPr>
            <w:r>
              <w:rPr>
                <w:rFonts w:ascii="Arial" w:cs="Arial" w:eastAsia="Arial" w:hAnsi="Arial"/>
                <w:sz w:val="16"/>
                <w:szCs w:val="16"/>
                <w:b w:val="1"/>
                <w:bCs w:val="1"/>
                <w:color w:val="auto"/>
              </w:rPr>
              <w:t>4,107</w:t>
            </w:r>
          </w:p>
        </w:tc>
        <w:tc>
          <w:tcPr>
            <w:tcW w:w="1280" w:type="dxa"/>
            <w:vAlign w:val="bottom"/>
          </w:tcPr>
          <w:p>
            <w:pPr>
              <w:jc w:val="right"/>
              <w:spacing w:after="0"/>
              <w:rPr>
                <w:sz w:val="20"/>
                <w:szCs w:val="20"/>
                <w:color w:val="auto"/>
              </w:rPr>
            </w:pPr>
            <w:r>
              <w:rPr>
                <w:rFonts w:ascii="Arial" w:cs="Arial" w:eastAsia="Arial" w:hAnsi="Arial"/>
                <w:sz w:val="16"/>
                <w:szCs w:val="16"/>
                <w:color w:val="auto"/>
              </w:rPr>
              <w:t>1,839</w:t>
            </w:r>
          </w:p>
        </w:tc>
        <w:tc>
          <w:tcPr>
            <w:tcW w:w="0" w:type="dxa"/>
            <w:vAlign w:val="bottom"/>
          </w:tcPr>
          <w:p>
            <w:pPr>
              <w:spacing w:after="0"/>
              <w:rPr>
                <w:sz w:val="1"/>
                <w:szCs w:val="1"/>
                <w:color w:val="auto"/>
              </w:rPr>
            </w:pPr>
          </w:p>
        </w:tc>
      </w:tr>
      <w:tr>
        <w:trPr>
          <w:trHeight w:val="196"/>
        </w:trPr>
        <w:tc>
          <w:tcPr>
            <w:tcW w:w="3660" w:type="dxa"/>
            <w:vAlign w:val="bottom"/>
          </w:tcPr>
          <w:p>
            <w:pPr>
              <w:ind w:left="60"/>
              <w:spacing w:after="0"/>
              <w:rPr>
                <w:sz w:val="20"/>
                <w:szCs w:val="20"/>
                <w:color w:val="auto"/>
              </w:rPr>
            </w:pPr>
            <w:r>
              <w:rPr>
                <w:rFonts w:ascii="Arial" w:cs="Arial" w:eastAsia="Arial" w:hAnsi="Arial"/>
                <w:sz w:val="16"/>
                <w:szCs w:val="16"/>
                <w:color w:val="auto"/>
              </w:rPr>
              <w:t>Share-based compensation</w:t>
            </w:r>
          </w:p>
        </w:tc>
        <w:tc>
          <w:tcPr>
            <w:tcW w:w="2980" w:type="dxa"/>
            <w:vAlign w:val="bottom"/>
            <w:vMerge w:val="restart"/>
          </w:tcPr>
          <w:p>
            <w:pPr>
              <w:jc w:val="right"/>
              <w:ind w:right="378"/>
              <w:spacing w:after="0"/>
              <w:rPr>
                <w:sz w:val="20"/>
                <w:szCs w:val="20"/>
                <w:color w:val="auto"/>
              </w:rPr>
            </w:pPr>
            <w:r>
              <w:rPr>
                <w:rFonts w:ascii="Arial" w:cs="Arial" w:eastAsia="Arial" w:hAnsi="Arial"/>
                <w:sz w:val="16"/>
                <w:szCs w:val="16"/>
                <w:b w:val="1"/>
                <w:bCs w:val="1"/>
                <w:color w:val="auto"/>
              </w:rPr>
              <w:t>1,911</w:t>
            </w:r>
          </w:p>
        </w:tc>
        <w:tc>
          <w:tcPr>
            <w:tcW w:w="1420" w:type="dxa"/>
            <w:vAlign w:val="bottom"/>
          </w:tcPr>
          <w:p>
            <w:pPr>
              <w:spacing w:after="0"/>
              <w:rPr>
                <w:sz w:val="17"/>
                <w:szCs w:val="17"/>
                <w:color w:val="auto"/>
              </w:rPr>
            </w:pPr>
          </w:p>
        </w:tc>
        <w:tc>
          <w:tcPr>
            <w:tcW w:w="116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6,890</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60" w:type="dxa"/>
            <w:vAlign w:val="bottom"/>
          </w:tcPr>
          <w:p>
            <w:pPr>
              <w:ind w:left="240"/>
              <w:spacing w:after="0"/>
              <w:rPr>
                <w:sz w:val="20"/>
                <w:szCs w:val="20"/>
                <w:color w:val="auto"/>
              </w:rPr>
            </w:pPr>
            <w:r>
              <w:rPr>
                <w:rFonts w:ascii="Arial" w:cs="Arial" w:eastAsia="Arial" w:hAnsi="Arial"/>
                <w:sz w:val="16"/>
                <w:szCs w:val="16"/>
                <w:color w:val="auto"/>
              </w:rPr>
              <w:t>Options</w:t>
            </w:r>
          </w:p>
        </w:tc>
        <w:tc>
          <w:tcPr>
            <w:tcW w:w="2980" w:type="dxa"/>
            <w:vAlign w:val="bottom"/>
            <w:vMerge w:val="continue"/>
          </w:tcPr>
          <w:p>
            <w:pPr>
              <w:spacing w:after="0"/>
              <w:rPr>
                <w:sz w:val="17"/>
                <w:szCs w:val="17"/>
                <w:color w:val="auto"/>
              </w:rPr>
            </w:pPr>
          </w:p>
        </w:tc>
        <w:tc>
          <w:tcPr>
            <w:tcW w:w="1420" w:type="dxa"/>
            <w:vAlign w:val="bottom"/>
          </w:tcPr>
          <w:p>
            <w:pPr>
              <w:jc w:val="right"/>
              <w:ind w:right="398"/>
              <w:spacing w:after="0"/>
              <w:rPr>
                <w:sz w:val="20"/>
                <w:szCs w:val="20"/>
                <w:color w:val="auto"/>
              </w:rPr>
            </w:pPr>
            <w:r>
              <w:rPr>
                <w:rFonts w:ascii="Arial" w:cs="Arial" w:eastAsia="Arial" w:hAnsi="Arial"/>
                <w:sz w:val="16"/>
                <w:szCs w:val="16"/>
                <w:color w:val="auto"/>
              </w:rPr>
              <w:t>2,359</w:t>
            </w:r>
          </w:p>
        </w:tc>
        <w:tc>
          <w:tcPr>
            <w:tcW w:w="1160" w:type="dxa"/>
            <w:vAlign w:val="bottom"/>
            <w:vMerge w:val="continue"/>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2,472</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Warrants</w:t>
            </w:r>
          </w:p>
        </w:tc>
        <w:tc>
          <w:tcPr>
            <w:tcW w:w="298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30</w:t>
            </w:r>
          </w:p>
        </w:tc>
        <w:tc>
          <w:tcPr>
            <w:tcW w:w="142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color w:val="auto"/>
              </w:rPr>
              <w:t>88</w:t>
            </w:r>
          </w:p>
        </w:tc>
        <w:tc>
          <w:tcPr>
            <w:tcW w:w="11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99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w:t>
            </w:r>
          </w:p>
        </w:tc>
        <w:tc>
          <w:tcPr>
            <w:tcW w:w="0" w:type="dxa"/>
            <w:vAlign w:val="bottom"/>
          </w:tcPr>
          <w:p>
            <w:pPr>
              <w:spacing w:after="0"/>
              <w:rPr>
                <w:sz w:val="1"/>
                <w:szCs w:val="1"/>
                <w:color w:val="auto"/>
              </w:rPr>
            </w:pPr>
          </w:p>
        </w:tc>
      </w:tr>
      <w:tr>
        <w:trPr>
          <w:trHeight w:val="201"/>
        </w:trPr>
        <w:tc>
          <w:tcPr>
            <w:tcW w:w="36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298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3,095</w:t>
            </w:r>
          </w:p>
        </w:tc>
        <w:tc>
          <w:tcPr>
            <w:tcW w:w="142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color w:val="auto"/>
              </w:rPr>
              <w:t>3,751</w:t>
            </w:r>
          </w:p>
        </w:tc>
        <w:tc>
          <w:tcPr>
            <w:tcW w:w="11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11,096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6,676</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302" w:hanging="9"/>
        <w:spacing w:after="0" w:line="227" w:lineRule="auto"/>
        <w:tabs>
          <w:tab w:leader="none" w:pos="460" w:val="left"/>
        </w:tabs>
        <w:numPr>
          <w:ilvl w:val="1"/>
          <w:numId w:val="11"/>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For the three months ended December 31, 2021, includes $757 presented in the statement of loss as a part of “General and administrative costs” and $397 presented in the statement of loss as a part of “Research”. For the nine months ended December 31, 2021, includes $2,918 presented in the statement of loss as a part of “General and administrative costs” and $1,189 presented in the statement of loss as a part of “Research”.</w:t>
      </w:r>
    </w:p>
    <w:p>
      <w:pPr>
        <w:spacing w:after="0" w:line="131" w:lineRule="exact"/>
        <w:rPr>
          <w:rFonts w:ascii="Arial" w:cs="Arial" w:eastAsia="Arial" w:hAnsi="Arial"/>
          <w:sz w:val="19"/>
          <w:szCs w:val="19"/>
          <w:i w:val="1"/>
          <w:iCs w:val="1"/>
          <w:color w:val="auto"/>
          <w:vertAlign w:val="superscript"/>
        </w:rPr>
      </w:pPr>
    </w:p>
    <w:p>
      <w:pPr>
        <w:ind w:left="322" w:hanging="322"/>
        <w:spacing w:after="0"/>
        <w:tabs>
          <w:tab w:leader="none" w:pos="322" w:val="left"/>
        </w:tabs>
        <w:numPr>
          <w:ilvl w:val="0"/>
          <w:numId w:val="12"/>
        </w:numPr>
        <w:rPr>
          <w:rFonts w:ascii="Arial" w:cs="Arial" w:eastAsia="Arial" w:hAnsi="Arial"/>
          <w:sz w:val="16"/>
          <w:szCs w:val="16"/>
          <w:b w:val="1"/>
          <w:bCs w:val="1"/>
          <w:color w:val="2D5F91"/>
        </w:rPr>
      </w:pPr>
      <w:r>
        <w:rPr>
          <w:rFonts w:ascii="Arial" w:cs="Arial" w:eastAsia="Arial" w:hAnsi="Arial"/>
          <w:sz w:val="16"/>
          <w:szCs w:val="16"/>
          <w:b w:val="1"/>
          <w:bCs w:val="1"/>
          <w:color w:val="2D5F91"/>
        </w:rPr>
        <w:t>GENERAL AND ADMINISTRATIVE EXPENSES</w:t>
      </w:r>
    </w:p>
    <w:p>
      <w:pPr>
        <w:spacing w:after="0" w:line="48" w:lineRule="exact"/>
        <w:rPr>
          <w:sz w:val="20"/>
          <w:szCs w:val="20"/>
          <w:color w:val="auto"/>
        </w:rPr>
      </w:pPr>
    </w:p>
    <w:tbl>
      <w:tblPr>
        <w:tblLayout w:type="fixed"/>
        <w:tblInd w:w="242"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Three-months ended December 31,</w:t>
            </w:r>
          </w:p>
        </w:tc>
        <w:tc>
          <w:tcPr>
            <w:tcW w:w="278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Nine-months ended December 31,</w:t>
            </w:r>
          </w:p>
        </w:tc>
      </w:tr>
      <w:tr>
        <w:trPr>
          <w:trHeight w:val="208"/>
        </w:trPr>
        <w:tc>
          <w:tcPr>
            <w:tcW w:w="3760" w:type="dxa"/>
            <w:vAlign w:val="bottom"/>
          </w:tcPr>
          <w:p>
            <w:pPr>
              <w:spacing w:after="0"/>
              <w:rPr>
                <w:sz w:val="18"/>
                <w:szCs w:val="18"/>
                <w:color w:val="auto"/>
              </w:rPr>
            </w:pPr>
          </w:p>
        </w:tc>
        <w:tc>
          <w:tcPr>
            <w:tcW w:w="3080" w:type="dxa"/>
            <w:vAlign w:val="bottom"/>
          </w:tcPr>
          <w:p>
            <w:pPr>
              <w:jc w:val="right"/>
              <w:ind w:right="398"/>
              <w:spacing w:after="0"/>
              <w:rPr>
                <w:sz w:val="20"/>
                <w:szCs w:val="20"/>
                <w:color w:val="auto"/>
              </w:rPr>
            </w:pPr>
            <w:r>
              <w:rPr>
                <w:rFonts w:ascii="Arial" w:cs="Arial" w:eastAsia="Arial" w:hAnsi="Arial"/>
                <w:sz w:val="16"/>
                <w:szCs w:val="16"/>
                <w:b w:val="1"/>
                <w:bCs w:val="1"/>
                <w:color w:val="auto"/>
              </w:rPr>
              <w:t>2021</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780" w:type="dxa"/>
            <w:vAlign w:val="bottom"/>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r>
      <w:tr>
        <w:trPr>
          <w:trHeight w:val="216"/>
        </w:trPr>
        <w:tc>
          <w:tcPr>
            <w:tcW w:w="37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$000’s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178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$000’s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192"/>
        </w:trPr>
        <w:tc>
          <w:tcPr>
            <w:tcW w:w="3760" w:type="dxa"/>
            <w:vAlign w:val="bottom"/>
          </w:tcPr>
          <w:p>
            <w:pPr>
              <w:ind w:left="60"/>
              <w:spacing w:after="0"/>
              <w:rPr>
                <w:sz w:val="20"/>
                <w:szCs w:val="20"/>
                <w:color w:val="auto"/>
              </w:rPr>
            </w:pPr>
            <w:r>
              <w:rPr>
                <w:rFonts w:ascii="Arial" w:cs="Arial" w:eastAsia="Arial" w:hAnsi="Arial"/>
                <w:sz w:val="16"/>
                <w:szCs w:val="16"/>
                <w:color w:val="auto"/>
              </w:rPr>
              <w:t>Capital market</w:t>
            </w:r>
          </w:p>
        </w:tc>
        <w:tc>
          <w:tcPr>
            <w:tcW w:w="3080" w:type="dxa"/>
            <w:vAlign w:val="bottom"/>
          </w:tcPr>
          <w:p>
            <w:pPr>
              <w:jc w:val="right"/>
              <w:ind w:right="398"/>
              <w:spacing w:after="0"/>
              <w:rPr>
                <w:sz w:val="20"/>
                <w:szCs w:val="20"/>
                <w:color w:val="auto"/>
              </w:rPr>
            </w:pPr>
            <w:r>
              <w:rPr>
                <w:rFonts w:ascii="Arial" w:cs="Arial" w:eastAsia="Arial" w:hAnsi="Arial"/>
                <w:sz w:val="16"/>
                <w:szCs w:val="16"/>
                <w:b w:val="1"/>
                <w:bCs w:val="1"/>
                <w:color w:val="auto"/>
              </w:rPr>
              <w:t>2,170</w:t>
            </w:r>
          </w:p>
        </w:tc>
        <w:tc>
          <w:tcPr>
            <w:tcW w:w="1080" w:type="dxa"/>
            <w:vAlign w:val="bottom"/>
          </w:tcPr>
          <w:p>
            <w:pPr>
              <w:jc w:val="right"/>
              <w:spacing w:after="0"/>
              <w:rPr>
                <w:sz w:val="20"/>
                <w:szCs w:val="20"/>
                <w:color w:val="auto"/>
              </w:rPr>
            </w:pPr>
            <w:r>
              <w:rPr>
                <w:rFonts w:ascii="Arial" w:cs="Arial" w:eastAsia="Arial" w:hAnsi="Arial"/>
                <w:sz w:val="16"/>
                <w:szCs w:val="16"/>
                <w:color w:val="auto"/>
              </w:rPr>
              <w:t>382</w:t>
            </w:r>
          </w:p>
        </w:tc>
        <w:tc>
          <w:tcPr>
            <w:tcW w:w="1780" w:type="dxa"/>
            <w:vAlign w:val="bottom"/>
          </w:tcPr>
          <w:p>
            <w:pPr>
              <w:jc w:val="right"/>
              <w:ind w:right="378"/>
              <w:spacing w:after="0"/>
              <w:rPr>
                <w:sz w:val="20"/>
                <w:szCs w:val="20"/>
                <w:color w:val="auto"/>
              </w:rPr>
            </w:pPr>
            <w:r>
              <w:rPr>
                <w:rFonts w:ascii="Arial" w:cs="Arial" w:eastAsia="Arial" w:hAnsi="Arial"/>
                <w:sz w:val="16"/>
                <w:szCs w:val="16"/>
                <w:b w:val="1"/>
                <w:bCs w:val="1"/>
                <w:color w:val="auto"/>
              </w:rPr>
              <w:t>5,362</w:t>
            </w:r>
          </w:p>
        </w:tc>
        <w:tc>
          <w:tcPr>
            <w:tcW w:w="100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08"/>
        </w:trPr>
        <w:tc>
          <w:tcPr>
            <w:tcW w:w="3760" w:type="dxa"/>
            <w:vAlign w:val="bottom"/>
          </w:tcPr>
          <w:p>
            <w:pPr>
              <w:ind w:left="60"/>
              <w:spacing w:after="0"/>
              <w:rPr>
                <w:sz w:val="20"/>
                <w:szCs w:val="20"/>
                <w:color w:val="auto"/>
              </w:rPr>
            </w:pPr>
            <w:r>
              <w:rPr>
                <w:rFonts w:ascii="Arial" w:cs="Arial" w:eastAsia="Arial" w:hAnsi="Arial"/>
                <w:sz w:val="16"/>
                <w:szCs w:val="16"/>
                <w:color w:val="auto"/>
              </w:rPr>
              <w:t>Payroll, consulting and benefits</w:t>
            </w:r>
          </w:p>
        </w:tc>
        <w:tc>
          <w:tcPr>
            <w:tcW w:w="3080" w:type="dxa"/>
            <w:vAlign w:val="bottom"/>
          </w:tcPr>
          <w:p>
            <w:pPr>
              <w:jc w:val="right"/>
              <w:ind w:right="398"/>
              <w:spacing w:after="0"/>
              <w:rPr>
                <w:sz w:val="20"/>
                <w:szCs w:val="20"/>
                <w:color w:val="auto"/>
              </w:rPr>
            </w:pPr>
            <w:r>
              <w:rPr>
                <w:rFonts w:ascii="Arial" w:cs="Arial" w:eastAsia="Arial" w:hAnsi="Arial"/>
                <w:sz w:val="16"/>
                <w:szCs w:val="16"/>
                <w:b w:val="1"/>
                <w:bCs w:val="1"/>
                <w:color w:val="auto"/>
              </w:rPr>
              <w:t>1,275</w:t>
            </w:r>
          </w:p>
        </w:tc>
        <w:tc>
          <w:tcPr>
            <w:tcW w:w="1080" w:type="dxa"/>
            <w:vAlign w:val="bottom"/>
          </w:tcPr>
          <w:p>
            <w:pPr>
              <w:jc w:val="right"/>
              <w:spacing w:after="0"/>
              <w:rPr>
                <w:sz w:val="20"/>
                <w:szCs w:val="20"/>
                <w:color w:val="auto"/>
              </w:rPr>
            </w:pPr>
            <w:r>
              <w:rPr>
                <w:rFonts w:ascii="Arial" w:cs="Arial" w:eastAsia="Arial" w:hAnsi="Arial"/>
                <w:sz w:val="16"/>
                <w:szCs w:val="16"/>
                <w:color w:val="auto"/>
              </w:rPr>
              <w:t>1,298</w:t>
            </w:r>
          </w:p>
        </w:tc>
        <w:tc>
          <w:tcPr>
            <w:tcW w:w="1780" w:type="dxa"/>
            <w:vAlign w:val="bottom"/>
          </w:tcPr>
          <w:p>
            <w:pPr>
              <w:jc w:val="right"/>
              <w:ind w:right="378"/>
              <w:spacing w:after="0"/>
              <w:rPr>
                <w:sz w:val="20"/>
                <w:szCs w:val="20"/>
                <w:color w:val="auto"/>
              </w:rPr>
            </w:pPr>
            <w:r>
              <w:rPr>
                <w:rFonts w:ascii="Arial" w:cs="Arial" w:eastAsia="Arial" w:hAnsi="Arial"/>
                <w:sz w:val="16"/>
                <w:szCs w:val="16"/>
                <w:b w:val="1"/>
                <w:bCs w:val="1"/>
                <w:color w:val="auto"/>
              </w:rPr>
              <w:t>4,848</w:t>
            </w:r>
          </w:p>
        </w:tc>
        <w:tc>
          <w:tcPr>
            <w:tcW w:w="1000" w:type="dxa"/>
            <w:vAlign w:val="bottom"/>
          </w:tcPr>
          <w:p>
            <w:pPr>
              <w:jc w:val="right"/>
              <w:spacing w:after="0"/>
              <w:rPr>
                <w:sz w:val="20"/>
                <w:szCs w:val="20"/>
                <w:color w:val="auto"/>
              </w:rPr>
            </w:pPr>
            <w:r>
              <w:rPr>
                <w:rFonts w:ascii="Arial" w:cs="Arial" w:eastAsia="Arial" w:hAnsi="Arial"/>
                <w:sz w:val="16"/>
                <w:szCs w:val="16"/>
                <w:color w:val="auto"/>
              </w:rPr>
              <w:t>2,157</w:t>
            </w:r>
          </w:p>
        </w:tc>
      </w:tr>
      <w:tr>
        <w:trPr>
          <w:trHeight w:val="208"/>
        </w:trPr>
        <w:tc>
          <w:tcPr>
            <w:tcW w:w="3760" w:type="dxa"/>
            <w:vAlign w:val="bottom"/>
          </w:tcPr>
          <w:p>
            <w:pPr>
              <w:ind w:left="60"/>
              <w:spacing w:after="0"/>
              <w:rPr>
                <w:sz w:val="20"/>
                <w:szCs w:val="20"/>
                <w:color w:val="auto"/>
              </w:rPr>
            </w:pPr>
            <w:r>
              <w:rPr>
                <w:rFonts w:ascii="Arial" w:cs="Arial" w:eastAsia="Arial" w:hAnsi="Arial"/>
                <w:sz w:val="16"/>
                <w:szCs w:val="16"/>
                <w:color w:val="auto"/>
              </w:rPr>
              <w:t>Office and administration</w:t>
            </w:r>
          </w:p>
        </w:tc>
        <w:tc>
          <w:tcPr>
            <w:tcW w:w="3080" w:type="dxa"/>
            <w:vAlign w:val="bottom"/>
          </w:tcPr>
          <w:p>
            <w:pPr>
              <w:jc w:val="right"/>
              <w:ind w:right="398"/>
              <w:spacing w:after="0"/>
              <w:rPr>
                <w:sz w:val="20"/>
                <w:szCs w:val="20"/>
                <w:color w:val="auto"/>
              </w:rPr>
            </w:pPr>
            <w:r>
              <w:rPr>
                <w:rFonts w:ascii="Arial" w:cs="Arial" w:eastAsia="Arial" w:hAnsi="Arial"/>
                <w:sz w:val="16"/>
                <w:szCs w:val="16"/>
                <w:b w:val="1"/>
                <w:bCs w:val="1"/>
                <w:color w:val="auto"/>
              </w:rPr>
              <w:t>1,299</w:t>
            </w:r>
          </w:p>
        </w:tc>
        <w:tc>
          <w:tcPr>
            <w:tcW w:w="1080" w:type="dxa"/>
            <w:vAlign w:val="bottom"/>
          </w:tcPr>
          <w:p>
            <w:pPr>
              <w:jc w:val="right"/>
              <w:spacing w:after="0"/>
              <w:rPr>
                <w:sz w:val="20"/>
                <w:szCs w:val="20"/>
                <w:color w:val="auto"/>
              </w:rPr>
            </w:pPr>
            <w:r>
              <w:rPr>
                <w:rFonts w:ascii="Arial" w:cs="Arial" w:eastAsia="Arial" w:hAnsi="Arial"/>
                <w:sz w:val="16"/>
                <w:szCs w:val="16"/>
                <w:color w:val="auto"/>
              </w:rPr>
              <w:t>281</w:t>
            </w:r>
          </w:p>
        </w:tc>
        <w:tc>
          <w:tcPr>
            <w:tcW w:w="1780" w:type="dxa"/>
            <w:vAlign w:val="bottom"/>
          </w:tcPr>
          <w:p>
            <w:pPr>
              <w:jc w:val="right"/>
              <w:ind w:right="378"/>
              <w:spacing w:after="0"/>
              <w:rPr>
                <w:sz w:val="20"/>
                <w:szCs w:val="20"/>
                <w:color w:val="auto"/>
              </w:rPr>
            </w:pPr>
            <w:r>
              <w:rPr>
                <w:rFonts w:ascii="Arial" w:cs="Arial" w:eastAsia="Arial" w:hAnsi="Arial"/>
                <w:sz w:val="16"/>
                <w:szCs w:val="16"/>
                <w:b w:val="1"/>
                <w:bCs w:val="1"/>
                <w:color w:val="auto"/>
              </w:rPr>
              <w:t>3,208</w:t>
            </w:r>
          </w:p>
        </w:tc>
        <w:tc>
          <w:tcPr>
            <w:tcW w:w="1000" w:type="dxa"/>
            <w:vAlign w:val="bottom"/>
          </w:tcPr>
          <w:p>
            <w:pPr>
              <w:jc w:val="right"/>
              <w:spacing w:after="0"/>
              <w:rPr>
                <w:sz w:val="20"/>
                <w:szCs w:val="20"/>
                <w:color w:val="auto"/>
              </w:rPr>
            </w:pPr>
            <w:r>
              <w:rPr>
                <w:rFonts w:ascii="Arial" w:cs="Arial" w:eastAsia="Arial" w:hAnsi="Arial"/>
                <w:sz w:val="16"/>
                <w:szCs w:val="16"/>
                <w:color w:val="auto"/>
              </w:rPr>
              <w:t>414</w:t>
            </w:r>
          </w:p>
        </w:tc>
      </w:tr>
      <w:tr>
        <w:trPr>
          <w:trHeight w:val="208"/>
        </w:trPr>
        <w:tc>
          <w:tcPr>
            <w:tcW w:w="3760" w:type="dxa"/>
            <w:vAlign w:val="bottom"/>
          </w:tcPr>
          <w:p>
            <w:pPr>
              <w:ind w:left="60"/>
              <w:spacing w:after="0"/>
              <w:rPr>
                <w:sz w:val="20"/>
                <w:szCs w:val="20"/>
                <w:color w:val="auto"/>
              </w:rPr>
            </w:pPr>
            <w:r>
              <w:rPr>
                <w:rFonts w:ascii="Arial" w:cs="Arial" w:eastAsia="Arial" w:hAnsi="Arial"/>
                <w:sz w:val="16"/>
                <w:szCs w:val="16"/>
                <w:color w:val="auto"/>
              </w:rPr>
              <w:t>Professional and consulting fees</w:t>
            </w:r>
          </w:p>
        </w:tc>
        <w:tc>
          <w:tcPr>
            <w:tcW w:w="3080" w:type="dxa"/>
            <w:vAlign w:val="bottom"/>
          </w:tcPr>
          <w:p>
            <w:pPr>
              <w:jc w:val="right"/>
              <w:ind w:right="398"/>
              <w:spacing w:after="0"/>
              <w:rPr>
                <w:sz w:val="20"/>
                <w:szCs w:val="20"/>
                <w:color w:val="auto"/>
              </w:rPr>
            </w:pPr>
            <w:r>
              <w:rPr>
                <w:rFonts w:ascii="Arial" w:cs="Arial" w:eastAsia="Arial" w:hAnsi="Arial"/>
                <w:sz w:val="16"/>
                <w:szCs w:val="16"/>
                <w:b w:val="1"/>
                <w:bCs w:val="1"/>
                <w:color w:val="auto"/>
              </w:rPr>
              <w:t>680</w:t>
            </w:r>
          </w:p>
        </w:tc>
        <w:tc>
          <w:tcPr>
            <w:tcW w:w="1080" w:type="dxa"/>
            <w:vAlign w:val="bottom"/>
          </w:tcPr>
          <w:p>
            <w:pPr>
              <w:jc w:val="right"/>
              <w:spacing w:after="0"/>
              <w:rPr>
                <w:sz w:val="20"/>
                <w:szCs w:val="20"/>
                <w:color w:val="auto"/>
              </w:rPr>
            </w:pPr>
            <w:r>
              <w:rPr>
                <w:rFonts w:ascii="Arial" w:cs="Arial" w:eastAsia="Arial" w:hAnsi="Arial"/>
                <w:sz w:val="16"/>
                <w:szCs w:val="16"/>
                <w:color w:val="auto"/>
              </w:rPr>
              <w:t>1,920</w:t>
            </w:r>
          </w:p>
        </w:tc>
        <w:tc>
          <w:tcPr>
            <w:tcW w:w="1780" w:type="dxa"/>
            <w:vAlign w:val="bottom"/>
          </w:tcPr>
          <w:p>
            <w:pPr>
              <w:jc w:val="right"/>
              <w:ind w:right="378"/>
              <w:spacing w:after="0"/>
              <w:rPr>
                <w:sz w:val="20"/>
                <w:szCs w:val="20"/>
                <w:color w:val="auto"/>
              </w:rPr>
            </w:pPr>
            <w:r>
              <w:rPr>
                <w:rFonts w:ascii="Arial" w:cs="Arial" w:eastAsia="Arial" w:hAnsi="Arial"/>
                <w:sz w:val="16"/>
                <w:szCs w:val="16"/>
                <w:b w:val="1"/>
                <w:bCs w:val="1"/>
                <w:color w:val="auto"/>
              </w:rPr>
              <w:t>2,473</w:t>
            </w:r>
          </w:p>
        </w:tc>
        <w:tc>
          <w:tcPr>
            <w:tcW w:w="1000" w:type="dxa"/>
            <w:vAlign w:val="bottom"/>
          </w:tcPr>
          <w:p>
            <w:pPr>
              <w:jc w:val="right"/>
              <w:spacing w:after="0"/>
              <w:rPr>
                <w:sz w:val="20"/>
                <w:szCs w:val="20"/>
                <w:color w:val="auto"/>
              </w:rPr>
            </w:pPr>
            <w:r>
              <w:rPr>
                <w:rFonts w:ascii="Arial" w:cs="Arial" w:eastAsia="Arial" w:hAnsi="Arial"/>
                <w:sz w:val="16"/>
                <w:szCs w:val="16"/>
                <w:color w:val="auto"/>
              </w:rPr>
              <w:t>2,814</w:t>
            </w:r>
          </w:p>
        </w:tc>
      </w:tr>
      <w:tr>
        <w:trPr>
          <w:trHeight w:val="208"/>
        </w:trPr>
        <w:tc>
          <w:tcPr>
            <w:tcW w:w="3760" w:type="dxa"/>
            <w:vAlign w:val="bottom"/>
          </w:tcPr>
          <w:p>
            <w:pPr>
              <w:ind w:left="60"/>
              <w:spacing w:after="0"/>
              <w:rPr>
                <w:sz w:val="20"/>
                <w:szCs w:val="20"/>
                <w:color w:val="auto"/>
              </w:rPr>
            </w:pPr>
            <w:r>
              <w:rPr>
                <w:rFonts w:ascii="Arial" w:cs="Arial" w:eastAsia="Arial" w:hAnsi="Arial"/>
                <w:sz w:val="16"/>
                <w:szCs w:val="16"/>
                <w:color w:val="auto"/>
              </w:rPr>
              <w:t>Business development</w:t>
            </w:r>
          </w:p>
        </w:tc>
        <w:tc>
          <w:tcPr>
            <w:tcW w:w="3080" w:type="dxa"/>
            <w:vAlign w:val="bottom"/>
          </w:tcPr>
          <w:p>
            <w:pPr>
              <w:jc w:val="right"/>
              <w:ind w:right="398"/>
              <w:spacing w:after="0"/>
              <w:rPr>
                <w:sz w:val="20"/>
                <w:szCs w:val="20"/>
                <w:color w:val="auto"/>
              </w:rPr>
            </w:pPr>
            <w:r>
              <w:rPr>
                <w:rFonts w:ascii="Arial" w:cs="Arial" w:eastAsia="Arial" w:hAnsi="Arial"/>
                <w:sz w:val="16"/>
                <w:szCs w:val="16"/>
                <w:b w:val="1"/>
                <w:bCs w:val="1"/>
                <w:color w:val="auto"/>
              </w:rPr>
              <w:t>614</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78"/>
              <w:spacing w:after="0"/>
              <w:rPr>
                <w:sz w:val="20"/>
                <w:szCs w:val="20"/>
                <w:color w:val="auto"/>
              </w:rPr>
            </w:pPr>
            <w:r>
              <w:rPr>
                <w:rFonts w:ascii="Arial" w:cs="Arial" w:eastAsia="Arial" w:hAnsi="Arial"/>
                <w:sz w:val="16"/>
                <w:szCs w:val="16"/>
                <w:b w:val="1"/>
                <w:bCs w:val="1"/>
                <w:color w:val="auto"/>
              </w:rPr>
              <w:t>2,046</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760" w:type="dxa"/>
            <w:vAlign w:val="bottom"/>
          </w:tcPr>
          <w:p>
            <w:pPr>
              <w:ind w:left="60"/>
              <w:spacing w:after="0"/>
              <w:rPr>
                <w:sz w:val="20"/>
                <w:szCs w:val="20"/>
                <w:color w:val="auto"/>
              </w:rPr>
            </w:pPr>
            <w:r>
              <w:rPr>
                <w:rFonts w:ascii="Arial" w:cs="Arial" w:eastAsia="Arial" w:hAnsi="Arial"/>
                <w:sz w:val="16"/>
                <w:szCs w:val="16"/>
                <w:color w:val="auto"/>
              </w:rPr>
              <w:t>Investor relations</w:t>
            </w:r>
          </w:p>
        </w:tc>
        <w:tc>
          <w:tcPr>
            <w:tcW w:w="3080" w:type="dxa"/>
            <w:vAlign w:val="bottom"/>
          </w:tcPr>
          <w:p>
            <w:pPr>
              <w:jc w:val="right"/>
              <w:ind w:right="398"/>
              <w:spacing w:after="0"/>
              <w:rPr>
                <w:sz w:val="20"/>
                <w:szCs w:val="20"/>
                <w:color w:val="auto"/>
              </w:rPr>
            </w:pPr>
            <w:r>
              <w:rPr>
                <w:rFonts w:ascii="Arial" w:cs="Arial" w:eastAsia="Arial" w:hAnsi="Arial"/>
                <w:sz w:val="16"/>
                <w:szCs w:val="16"/>
                <w:b w:val="1"/>
                <w:bCs w:val="1"/>
                <w:color w:val="auto"/>
              </w:rPr>
              <w:t>578</w:t>
            </w:r>
          </w:p>
        </w:tc>
        <w:tc>
          <w:tcPr>
            <w:tcW w:w="1080" w:type="dxa"/>
            <w:vAlign w:val="bottom"/>
          </w:tcPr>
          <w:p>
            <w:pPr>
              <w:jc w:val="right"/>
              <w:spacing w:after="0"/>
              <w:rPr>
                <w:sz w:val="20"/>
                <w:szCs w:val="20"/>
                <w:color w:val="auto"/>
              </w:rPr>
            </w:pPr>
            <w:r>
              <w:rPr>
                <w:rFonts w:ascii="Arial" w:cs="Arial" w:eastAsia="Arial" w:hAnsi="Arial"/>
                <w:sz w:val="16"/>
                <w:szCs w:val="16"/>
                <w:color w:val="auto"/>
              </w:rPr>
              <w:t>620</w:t>
            </w:r>
          </w:p>
        </w:tc>
        <w:tc>
          <w:tcPr>
            <w:tcW w:w="1780" w:type="dxa"/>
            <w:vAlign w:val="bottom"/>
          </w:tcPr>
          <w:p>
            <w:pPr>
              <w:jc w:val="right"/>
              <w:ind w:right="378"/>
              <w:spacing w:after="0"/>
              <w:rPr>
                <w:sz w:val="20"/>
                <w:szCs w:val="20"/>
                <w:color w:val="auto"/>
              </w:rPr>
            </w:pPr>
            <w:r>
              <w:rPr>
                <w:rFonts w:ascii="Arial" w:cs="Arial" w:eastAsia="Arial" w:hAnsi="Arial"/>
                <w:sz w:val="16"/>
                <w:szCs w:val="16"/>
                <w:b w:val="1"/>
                <w:bCs w:val="1"/>
                <w:color w:val="auto"/>
              </w:rPr>
              <w:t>1,608</w:t>
            </w:r>
          </w:p>
        </w:tc>
        <w:tc>
          <w:tcPr>
            <w:tcW w:w="100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208"/>
        </w:trPr>
        <w:tc>
          <w:tcPr>
            <w:tcW w:w="3760" w:type="dxa"/>
            <w:vAlign w:val="bottom"/>
          </w:tcPr>
          <w:p>
            <w:pPr>
              <w:ind w:left="60"/>
              <w:spacing w:after="0"/>
              <w:rPr>
                <w:sz w:val="20"/>
                <w:szCs w:val="20"/>
                <w:color w:val="auto"/>
              </w:rPr>
            </w:pPr>
            <w:r>
              <w:rPr>
                <w:rFonts w:ascii="Arial" w:cs="Arial" w:eastAsia="Arial" w:hAnsi="Arial"/>
                <w:sz w:val="16"/>
                <w:szCs w:val="16"/>
                <w:color w:val="auto"/>
              </w:rPr>
              <w:t>Marketing media</w:t>
            </w:r>
          </w:p>
        </w:tc>
        <w:tc>
          <w:tcPr>
            <w:tcW w:w="3080" w:type="dxa"/>
            <w:vAlign w:val="bottom"/>
          </w:tcPr>
          <w:p>
            <w:pPr>
              <w:jc w:val="right"/>
              <w:ind w:right="398"/>
              <w:spacing w:after="0"/>
              <w:rPr>
                <w:sz w:val="20"/>
                <w:szCs w:val="20"/>
                <w:color w:val="auto"/>
              </w:rPr>
            </w:pPr>
            <w:r>
              <w:rPr>
                <w:rFonts w:ascii="Arial" w:cs="Arial" w:eastAsia="Arial" w:hAnsi="Arial"/>
                <w:sz w:val="16"/>
                <w:szCs w:val="16"/>
                <w:b w:val="1"/>
                <w:bCs w:val="1"/>
                <w:color w:val="auto"/>
              </w:rPr>
              <w:t>399</w:t>
            </w:r>
          </w:p>
        </w:tc>
        <w:tc>
          <w:tcPr>
            <w:tcW w:w="1080" w:type="dxa"/>
            <w:vAlign w:val="bottom"/>
          </w:tcPr>
          <w:p>
            <w:pPr>
              <w:jc w:val="right"/>
              <w:spacing w:after="0"/>
              <w:rPr>
                <w:sz w:val="20"/>
                <w:szCs w:val="20"/>
                <w:color w:val="auto"/>
              </w:rPr>
            </w:pPr>
            <w:r>
              <w:rPr>
                <w:rFonts w:ascii="Arial" w:cs="Arial" w:eastAsia="Arial" w:hAnsi="Arial"/>
                <w:sz w:val="16"/>
                <w:szCs w:val="16"/>
                <w:color w:val="auto"/>
              </w:rPr>
              <w:t>207</w:t>
            </w:r>
          </w:p>
        </w:tc>
        <w:tc>
          <w:tcPr>
            <w:tcW w:w="1780" w:type="dxa"/>
            <w:vAlign w:val="bottom"/>
          </w:tcPr>
          <w:p>
            <w:pPr>
              <w:jc w:val="right"/>
              <w:ind w:right="378"/>
              <w:spacing w:after="0"/>
              <w:rPr>
                <w:sz w:val="20"/>
                <w:szCs w:val="20"/>
                <w:color w:val="auto"/>
              </w:rPr>
            </w:pPr>
            <w:r>
              <w:rPr>
                <w:rFonts w:ascii="Arial" w:cs="Arial" w:eastAsia="Arial" w:hAnsi="Arial"/>
                <w:sz w:val="16"/>
                <w:szCs w:val="16"/>
                <w:b w:val="1"/>
                <w:bCs w:val="1"/>
                <w:color w:val="auto"/>
              </w:rPr>
              <w:t>1,154</w:t>
            </w:r>
          </w:p>
        </w:tc>
        <w:tc>
          <w:tcPr>
            <w:tcW w:w="100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216"/>
        </w:trPr>
        <w:tc>
          <w:tcPr>
            <w:tcW w:w="3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Listing fees</w:t>
            </w:r>
          </w:p>
        </w:tc>
        <w:tc>
          <w:tcPr>
            <w:tcW w:w="308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w:t>
            </w:r>
          </w:p>
        </w:tc>
        <w:tc>
          <w:tcPr>
            <w:tcW w:w="178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357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1,856</w:t>
            </w:r>
          </w:p>
        </w:tc>
      </w:tr>
      <w:tr>
        <w:trPr>
          <w:trHeight w:val="201"/>
        </w:trPr>
        <w:tc>
          <w:tcPr>
            <w:tcW w:w="37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308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7,035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6,419</w:t>
            </w:r>
          </w:p>
        </w:tc>
        <w:tc>
          <w:tcPr>
            <w:tcW w:w="178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21,056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19 of 25</w:t>
      </w:r>
    </w:p>
    <w:p>
      <w:pPr>
        <w:sectPr>
          <w:pgSz w:w="11900" w:h="16838" w:orient="portrait"/>
          <w:cols w:equalWidth="0" w:num="1">
            <w:col w:w="11242"/>
          </w:cols>
          <w:pgMar w:left="318" w:top="171" w:right="339" w:bottom="1440" w:gutter="0" w:footer="0" w:header="0"/>
        </w:sectPr>
      </w:pPr>
    </w:p>
    <w:bookmarkStart w:id="22" w:name="page23"/>
    <w:bookmarkEnd w:id="22"/>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2" w:hanging="402"/>
        <w:spacing w:after="0"/>
        <w:tabs>
          <w:tab w:leader="none" w:pos="402" w:val="left"/>
        </w:tabs>
        <w:numPr>
          <w:ilvl w:val="0"/>
          <w:numId w:val="13"/>
        </w:numPr>
        <w:rPr>
          <w:rFonts w:ascii="Arial" w:cs="Arial" w:eastAsia="Arial" w:hAnsi="Arial"/>
          <w:sz w:val="16"/>
          <w:szCs w:val="16"/>
          <w:b w:val="1"/>
          <w:bCs w:val="1"/>
          <w:color w:val="2D5F91"/>
        </w:rPr>
      </w:pPr>
      <w:r>
        <w:rPr>
          <w:rFonts w:ascii="Arial" w:cs="Arial" w:eastAsia="Arial" w:hAnsi="Arial"/>
          <w:sz w:val="16"/>
          <w:szCs w:val="16"/>
          <w:b w:val="1"/>
          <w:bCs w:val="1"/>
          <w:color w:val="2D5F91"/>
        </w:rPr>
        <w:t>CONTRACTS AND COMMITMENTS</w:t>
      </w:r>
    </w:p>
    <w:p>
      <w:pPr>
        <w:spacing w:after="0" w:line="203"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As at December 31, 2021, the Company had also entered into agreements for various studies which may require the Company to spend up to an additional $7,696 (US$6,070). The Company expects to pay this amount within the next 18 months, however the timing and certainty of the payments are contingent on availability of materials and successful completion of certain milestones. The Company has the right to cancel the preclinical studies at its discretion, in which case a cancellation fee may apply, however the Company is not liable to pay the full amount of the studies.</w:t>
      </w:r>
    </w:p>
    <w:p>
      <w:pPr>
        <w:spacing w:after="0" w:line="124" w:lineRule="exact"/>
        <w:rPr>
          <w:sz w:val="20"/>
          <w:szCs w:val="20"/>
          <w:color w:val="auto"/>
        </w:rPr>
      </w:pPr>
    </w:p>
    <w:p>
      <w:pPr>
        <w:ind w:left="402" w:hanging="402"/>
        <w:spacing w:after="0"/>
        <w:tabs>
          <w:tab w:leader="none" w:pos="402" w:val="left"/>
        </w:tabs>
        <w:numPr>
          <w:ilvl w:val="0"/>
          <w:numId w:val="14"/>
        </w:numPr>
        <w:rPr>
          <w:rFonts w:ascii="Arial" w:cs="Arial" w:eastAsia="Arial" w:hAnsi="Arial"/>
          <w:sz w:val="16"/>
          <w:szCs w:val="16"/>
          <w:b w:val="1"/>
          <w:bCs w:val="1"/>
          <w:color w:val="2D5F91"/>
        </w:rPr>
      </w:pPr>
      <w:r>
        <w:rPr>
          <w:rFonts w:ascii="Arial" w:cs="Arial" w:eastAsia="Arial" w:hAnsi="Arial"/>
          <w:sz w:val="16"/>
          <w:szCs w:val="16"/>
          <w:b w:val="1"/>
          <w:bCs w:val="1"/>
          <w:color w:val="2D5F91"/>
        </w:rPr>
        <w:t>CAPITAL MANAGEMENT</w:t>
      </w:r>
    </w:p>
    <w:p>
      <w:pPr>
        <w:spacing w:after="0" w:line="191" w:lineRule="exact"/>
        <w:rPr>
          <w:sz w:val="20"/>
          <w:szCs w:val="20"/>
          <w:color w:val="auto"/>
        </w:rPr>
      </w:pPr>
    </w:p>
    <w:p>
      <w:pPr>
        <w:jc w:val="both"/>
        <w:ind w:left="302"/>
        <w:spacing w:after="0" w:line="258" w:lineRule="auto"/>
        <w:rPr>
          <w:sz w:val="20"/>
          <w:szCs w:val="20"/>
          <w:color w:val="auto"/>
        </w:rPr>
      </w:pPr>
      <w:r>
        <w:rPr>
          <w:rFonts w:ascii="Arial" w:cs="Arial" w:eastAsia="Arial" w:hAnsi="Arial"/>
          <w:sz w:val="16"/>
          <w:szCs w:val="16"/>
          <w:color w:val="auto"/>
        </w:rPr>
        <w:t>The Company’s objectives when managing capital are to safeguard the Company’s ability to continue as a going concern in order to pursue business opportunities and to maintain a flexible capital structure that optimizes the costs of capital at an acceptable risk. The Company’s intentions are to (i) provide financial capacity and flexibility in order to preserve its ability to meet its strategic objectives and financial obligations; (ii) maintain a capital structure which allows the Company to respond to changes in economic and marketplace conditions and affords the Company the ability to participate in new investments; (iii) optimize the use of its capital to provide an appropriate investment return to its shareholders equal with the level of risk; and (iv) maintain a flexible capital structure which optimizes the cost of capital at acceptable levels of risk.</w:t>
      </w:r>
    </w:p>
    <w:p>
      <w:pPr>
        <w:spacing w:after="0" w:line="159" w:lineRule="exact"/>
        <w:rPr>
          <w:sz w:val="20"/>
          <w:szCs w:val="20"/>
          <w:color w:val="auto"/>
        </w:rPr>
      </w:pPr>
    </w:p>
    <w:p>
      <w:pPr>
        <w:jc w:val="both"/>
        <w:ind w:left="302"/>
        <w:spacing w:after="0" w:line="260" w:lineRule="auto"/>
        <w:rPr>
          <w:sz w:val="20"/>
          <w:szCs w:val="20"/>
          <w:color w:val="auto"/>
        </w:rPr>
      </w:pPr>
      <w:r>
        <w:rPr>
          <w:rFonts w:ascii="Arial" w:cs="Arial" w:eastAsia="Arial" w:hAnsi="Arial"/>
          <w:sz w:val="16"/>
          <w:szCs w:val="16"/>
          <w:color w:val="auto"/>
        </w:rPr>
        <w:t>The Company’s financial strategy is formulated and adapted according to market conditions in order to maintain a flexible capital structure that is consistent with its objectives and the risk characteristics of its underlying assets. The Company manages its capital structure and makes adjustments to it in light of changes in economic conditions and the risk characteristics of its underlying assets. The Company maintains or adjusts its capital level to enable it to meet its objectives by raising capital through the issuance of securities.</w:t>
      </w:r>
    </w:p>
    <w:p>
      <w:pPr>
        <w:spacing w:after="0" w:line="144"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 Company’s capital management objectives, policies and processes generally remained unchanged during the three and nine months ended December 31, 2021.</w:t>
      </w:r>
    </w:p>
    <w:p>
      <w:pPr>
        <w:spacing w:after="0" w:line="136" w:lineRule="exact"/>
        <w:rPr>
          <w:sz w:val="20"/>
          <w:szCs w:val="20"/>
          <w:color w:val="auto"/>
        </w:rPr>
      </w:pPr>
    </w:p>
    <w:p>
      <w:pPr>
        <w:jc w:val="both"/>
        <w:ind w:left="302"/>
        <w:spacing w:after="0" w:line="270" w:lineRule="auto"/>
        <w:rPr>
          <w:sz w:val="20"/>
          <w:szCs w:val="20"/>
          <w:color w:val="auto"/>
        </w:rPr>
      </w:pPr>
      <w:r>
        <w:rPr>
          <w:rFonts w:ascii="Arial" w:cs="Arial" w:eastAsia="Arial" w:hAnsi="Arial"/>
          <w:sz w:val="16"/>
          <w:szCs w:val="16"/>
          <w:color w:val="auto"/>
        </w:rPr>
        <w:t>The Company requires capital to fund existing and future operations and meet regulatory capital requirements. The Company’s policy is to maintain adequate levels of capital at all times.</w:t>
      </w:r>
    </w:p>
    <w:p>
      <w:pPr>
        <w:spacing w:after="0" w:line="149" w:lineRule="exact"/>
        <w:rPr>
          <w:sz w:val="20"/>
          <w:szCs w:val="20"/>
          <w:color w:val="auto"/>
        </w:rPr>
      </w:pPr>
    </w:p>
    <w:tbl>
      <w:tblPr>
        <w:tblLayout w:type="fixed"/>
        <w:tblInd w:w="302" w:type="dxa"/>
        <w:tblCellMar>
          <w:top w:w="0" w:type="dxa"/>
          <w:left w:w="0" w:type="dxa"/>
          <w:bottom w:w="0" w:type="dxa"/>
          <w:right w:w="0" w:type="dxa"/>
        </w:tblCellMar>
      </w:tblP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The Company’s capital structure includes the following:</w:t>
            </w:r>
          </w:p>
        </w:tc>
        <w:tc>
          <w:tcPr>
            <w:tcW w:w="34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84"/>
        </w:trPr>
        <w:tc>
          <w:tcPr>
            <w:tcW w:w="5540" w:type="dxa"/>
            <w:vAlign w:val="bottom"/>
          </w:tcPr>
          <w:p>
            <w:pPr>
              <w:ind w:left="60"/>
              <w:spacing w:after="0"/>
              <w:rPr>
                <w:sz w:val="20"/>
                <w:szCs w:val="20"/>
                <w:color w:val="auto"/>
              </w:rPr>
            </w:pPr>
            <w:r>
              <w:rPr>
                <w:rFonts w:ascii="Arial" w:cs="Arial" w:eastAsia="Arial" w:hAnsi="Arial"/>
                <w:sz w:val="16"/>
                <w:szCs w:val="16"/>
                <w:b w:val="1"/>
                <w:bCs w:val="1"/>
                <w:color w:val="auto"/>
              </w:rPr>
              <w:t>As at</w:t>
            </w:r>
          </w:p>
        </w:tc>
        <w:tc>
          <w:tcPr>
            <w:tcW w:w="3400" w:type="dxa"/>
            <w:vAlign w:val="bottom"/>
          </w:tcPr>
          <w:p>
            <w:pPr>
              <w:jc w:val="right"/>
              <w:ind w:right="305"/>
              <w:spacing w:after="0"/>
              <w:rPr>
                <w:sz w:val="20"/>
                <w:szCs w:val="20"/>
                <w:color w:val="auto"/>
              </w:rPr>
            </w:pPr>
            <w:r>
              <w:rPr>
                <w:rFonts w:ascii="Arial" w:cs="Arial" w:eastAsia="Arial" w:hAnsi="Arial"/>
                <w:sz w:val="16"/>
                <w:szCs w:val="16"/>
                <w:b w:val="1"/>
                <w:bCs w:val="1"/>
                <w:color w:val="auto"/>
              </w:rPr>
              <w:t>December 31, 2021</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16"/>
        </w:trPr>
        <w:tc>
          <w:tcPr>
            <w:tcW w:w="55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$000’s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200"/>
        </w:trPr>
        <w:tc>
          <w:tcPr>
            <w:tcW w:w="5540" w:type="dxa"/>
            <w:vAlign w:val="bottom"/>
          </w:tcPr>
          <w:p>
            <w:pPr>
              <w:ind w:left="60"/>
              <w:spacing w:after="0"/>
              <w:rPr>
                <w:sz w:val="20"/>
                <w:szCs w:val="20"/>
                <w:color w:val="auto"/>
              </w:rPr>
            </w:pPr>
            <w:r>
              <w:rPr>
                <w:rFonts w:ascii="Arial" w:cs="Arial" w:eastAsia="Arial" w:hAnsi="Arial"/>
                <w:sz w:val="16"/>
                <w:szCs w:val="16"/>
                <w:color w:val="auto"/>
              </w:rPr>
              <w:t>Shareholders’ equity comprised of:</w:t>
            </w:r>
          </w:p>
        </w:tc>
        <w:tc>
          <w:tcPr>
            <w:tcW w:w="34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8"/>
        </w:trPr>
        <w:tc>
          <w:tcPr>
            <w:tcW w:w="5540" w:type="dxa"/>
            <w:vAlign w:val="bottom"/>
          </w:tcPr>
          <w:p>
            <w:pPr>
              <w:ind w:left="160"/>
              <w:spacing w:after="0"/>
              <w:rPr>
                <w:sz w:val="20"/>
                <w:szCs w:val="20"/>
                <w:color w:val="auto"/>
              </w:rPr>
            </w:pPr>
            <w:r>
              <w:rPr>
                <w:rFonts w:ascii="Arial" w:cs="Arial" w:eastAsia="Arial" w:hAnsi="Arial"/>
                <w:sz w:val="16"/>
                <w:szCs w:val="16"/>
                <w:color w:val="auto"/>
              </w:rPr>
              <w:t>Share capital</w:t>
            </w:r>
          </w:p>
        </w:tc>
        <w:tc>
          <w:tcPr>
            <w:tcW w:w="3400" w:type="dxa"/>
            <w:vAlign w:val="bottom"/>
          </w:tcPr>
          <w:p>
            <w:pPr>
              <w:jc w:val="right"/>
              <w:ind w:right="305"/>
              <w:spacing w:after="0"/>
              <w:rPr>
                <w:sz w:val="20"/>
                <w:szCs w:val="20"/>
                <w:color w:val="auto"/>
              </w:rPr>
            </w:pPr>
            <w:r>
              <w:rPr>
                <w:rFonts w:ascii="Arial" w:cs="Arial" w:eastAsia="Arial" w:hAnsi="Arial"/>
                <w:sz w:val="15"/>
                <w:szCs w:val="15"/>
                <w:b w:val="1"/>
                <w:bCs w:val="1"/>
                <w:color w:val="auto"/>
              </w:rPr>
              <w:t>139,518</w:t>
            </w:r>
          </w:p>
        </w:tc>
        <w:tc>
          <w:tcPr>
            <w:tcW w:w="1560" w:type="dxa"/>
            <w:vAlign w:val="bottom"/>
          </w:tcPr>
          <w:p>
            <w:pPr>
              <w:jc w:val="right"/>
              <w:spacing w:after="0"/>
              <w:rPr>
                <w:sz w:val="20"/>
                <w:szCs w:val="20"/>
                <w:color w:val="auto"/>
              </w:rPr>
            </w:pPr>
            <w:r>
              <w:rPr>
                <w:rFonts w:ascii="Arial" w:cs="Arial" w:eastAsia="Arial" w:hAnsi="Arial"/>
                <w:sz w:val="15"/>
                <w:szCs w:val="15"/>
                <w:color w:val="auto"/>
              </w:rPr>
              <w:t>100,676</w:t>
            </w:r>
          </w:p>
        </w:tc>
      </w:tr>
      <w:tr>
        <w:trPr>
          <w:trHeight w:val="208"/>
        </w:trPr>
        <w:tc>
          <w:tcPr>
            <w:tcW w:w="5540" w:type="dxa"/>
            <w:vAlign w:val="bottom"/>
          </w:tcPr>
          <w:p>
            <w:pPr>
              <w:ind w:left="160"/>
              <w:spacing w:after="0"/>
              <w:rPr>
                <w:sz w:val="20"/>
                <w:szCs w:val="20"/>
                <w:color w:val="auto"/>
              </w:rPr>
            </w:pPr>
            <w:r>
              <w:rPr>
                <w:rFonts w:ascii="Arial" w:cs="Arial" w:eastAsia="Arial" w:hAnsi="Arial"/>
                <w:sz w:val="16"/>
                <w:szCs w:val="16"/>
                <w:color w:val="auto"/>
              </w:rPr>
              <w:t>Contributed surplus</w:t>
            </w:r>
          </w:p>
        </w:tc>
        <w:tc>
          <w:tcPr>
            <w:tcW w:w="3400" w:type="dxa"/>
            <w:vAlign w:val="bottom"/>
          </w:tcPr>
          <w:p>
            <w:pPr>
              <w:jc w:val="right"/>
              <w:ind w:right="305"/>
              <w:spacing w:after="0"/>
              <w:rPr>
                <w:sz w:val="20"/>
                <w:szCs w:val="20"/>
                <w:color w:val="auto"/>
              </w:rPr>
            </w:pPr>
            <w:r>
              <w:rPr>
                <w:rFonts w:ascii="Arial" w:cs="Arial" w:eastAsia="Arial" w:hAnsi="Arial"/>
                <w:sz w:val="15"/>
                <w:szCs w:val="15"/>
                <w:b w:val="1"/>
                <w:bCs w:val="1"/>
                <w:color w:val="auto"/>
              </w:rPr>
              <w:t>124</w:t>
            </w:r>
          </w:p>
        </w:tc>
        <w:tc>
          <w:tcPr>
            <w:tcW w:w="1560" w:type="dxa"/>
            <w:vAlign w:val="bottom"/>
          </w:tcPr>
          <w:p>
            <w:pPr>
              <w:jc w:val="right"/>
              <w:spacing w:after="0"/>
              <w:rPr>
                <w:sz w:val="20"/>
                <w:szCs w:val="20"/>
                <w:color w:val="auto"/>
              </w:rPr>
            </w:pPr>
            <w:r>
              <w:rPr>
                <w:rFonts w:ascii="Arial" w:cs="Arial" w:eastAsia="Arial" w:hAnsi="Arial"/>
                <w:sz w:val="15"/>
                <w:szCs w:val="15"/>
                <w:color w:val="auto"/>
              </w:rPr>
              <w:t>124</w:t>
            </w:r>
          </w:p>
        </w:tc>
      </w:tr>
      <w:tr>
        <w:trPr>
          <w:trHeight w:val="208"/>
        </w:trPr>
        <w:tc>
          <w:tcPr>
            <w:tcW w:w="5540" w:type="dxa"/>
            <w:vAlign w:val="bottom"/>
          </w:tcPr>
          <w:p>
            <w:pPr>
              <w:ind w:left="160"/>
              <w:spacing w:after="0"/>
              <w:rPr>
                <w:sz w:val="20"/>
                <w:szCs w:val="20"/>
                <w:color w:val="auto"/>
              </w:rPr>
            </w:pPr>
            <w:r>
              <w:rPr>
                <w:rFonts w:ascii="Arial" w:cs="Arial" w:eastAsia="Arial" w:hAnsi="Arial"/>
                <w:sz w:val="16"/>
                <w:szCs w:val="16"/>
                <w:color w:val="auto"/>
              </w:rPr>
              <w:t>Options reserve</w:t>
            </w:r>
          </w:p>
        </w:tc>
        <w:tc>
          <w:tcPr>
            <w:tcW w:w="3400" w:type="dxa"/>
            <w:vAlign w:val="bottom"/>
          </w:tcPr>
          <w:p>
            <w:pPr>
              <w:jc w:val="right"/>
              <w:ind w:right="305"/>
              <w:spacing w:after="0"/>
              <w:rPr>
                <w:sz w:val="20"/>
                <w:szCs w:val="20"/>
                <w:color w:val="auto"/>
              </w:rPr>
            </w:pPr>
            <w:r>
              <w:rPr>
                <w:rFonts w:ascii="Arial" w:cs="Arial" w:eastAsia="Arial" w:hAnsi="Arial"/>
                <w:sz w:val="15"/>
                <w:szCs w:val="15"/>
                <w:b w:val="1"/>
                <w:bCs w:val="1"/>
                <w:color w:val="auto"/>
              </w:rPr>
              <w:t>20,689</w:t>
            </w:r>
          </w:p>
        </w:tc>
        <w:tc>
          <w:tcPr>
            <w:tcW w:w="1560" w:type="dxa"/>
            <w:vAlign w:val="bottom"/>
          </w:tcPr>
          <w:p>
            <w:pPr>
              <w:jc w:val="right"/>
              <w:spacing w:after="0"/>
              <w:rPr>
                <w:sz w:val="20"/>
                <w:szCs w:val="20"/>
                <w:color w:val="auto"/>
              </w:rPr>
            </w:pPr>
            <w:r>
              <w:rPr>
                <w:rFonts w:ascii="Arial" w:cs="Arial" w:eastAsia="Arial" w:hAnsi="Arial"/>
                <w:sz w:val="15"/>
                <w:szCs w:val="15"/>
                <w:color w:val="auto"/>
              </w:rPr>
              <w:t>7,158</w:t>
            </w:r>
          </w:p>
        </w:tc>
      </w:tr>
      <w:tr>
        <w:trPr>
          <w:trHeight w:val="208"/>
        </w:trPr>
        <w:tc>
          <w:tcPr>
            <w:tcW w:w="5540" w:type="dxa"/>
            <w:vAlign w:val="bottom"/>
          </w:tcPr>
          <w:p>
            <w:pPr>
              <w:ind w:left="160"/>
              <w:spacing w:after="0"/>
              <w:rPr>
                <w:sz w:val="20"/>
                <w:szCs w:val="20"/>
                <w:color w:val="auto"/>
              </w:rPr>
            </w:pPr>
            <w:r>
              <w:rPr>
                <w:rFonts w:ascii="Arial" w:cs="Arial" w:eastAsia="Arial" w:hAnsi="Arial"/>
                <w:sz w:val="16"/>
                <w:szCs w:val="16"/>
                <w:color w:val="auto"/>
              </w:rPr>
              <w:t>Warrants reserve</w:t>
            </w:r>
          </w:p>
        </w:tc>
        <w:tc>
          <w:tcPr>
            <w:tcW w:w="3400" w:type="dxa"/>
            <w:vAlign w:val="bottom"/>
          </w:tcPr>
          <w:p>
            <w:pPr>
              <w:jc w:val="right"/>
              <w:ind w:right="305"/>
              <w:spacing w:after="0"/>
              <w:rPr>
                <w:sz w:val="20"/>
                <w:szCs w:val="20"/>
                <w:color w:val="auto"/>
              </w:rPr>
            </w:pPr>
            <w:r>
              <w:rPr>
                <w:rFonts w:ascii="Arial" w:cs="Arial" w:eastAsia="Arial" w:hAnsi="Arial"/>
                <w:sz w:val="15"/>
                <w:szCs w:val="15"/>
                <w:b w:val="1"/>
                <w:bCs w:val="1"/>
                <w:color w:val="auto"/>
              </w:rPr>
              <w:t>11,605</w:t>
            </w:r>
          </w:p>
        </w:tc>
        <w:tc>
          <w:tcPr>
            <w:tcW w:w="1560" w:type="dxa"/>
            <w:vAlign w:val="bottom"/>
          </w:tcPr>
          <w:p>
            <w:pPr>
              <w:jc w:val="right"/>
              <w:spacing w:after="0"/>
              <w:rPr>
                <w:sz w:val="20"/>
                <w:szCs w:val="20"/>
                <w:color w:val="auto"/>
              </w:rPr>
            </w:pPr>
            <w:r>
              <w:rPr>
                <w:rFonts w:ascii="Arial" w:cs="Arial" w:eastAsia="Arial" w:hAnsi="Arial"/>
                <w:sz w:val="15"/>
                <w:szCs w:val="15"/>
                <w:color w:val="auto"/>
              </w:rPr>
              <w:t>11,166</w:t>
            </w:r>
          </w:p>
        </w:tc>
      </w:tr>
      <w:tr>
        <w:trPr>
          <w:trHeight w:val="208"/>
        </w:trPr>
        <w:tc>
          <w:tcPr>
            <w:tcW w:w="554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3400" w:type="dxa"/>
            <w:vAlign w:val="bottom"/>
          </w:tcPr>
          <w:p>
            <w:pPr>
              <w:jc w:val="right"/>
              <w:ind w:right="265"/>
              <w:spacing w:after="0"/>
              <w:rPr>
                <w:sz w:val="20"/>
                <w:szCs w:val="20"/>
                <w:color w:val="auto"/>
              </w:rPr>
            </w:pPr>
            <w:r>
              <w:rPr>
                <w:rFonts w:ascii="Arial" w:cs="Arial" w:eastAsia="Arial" w:hAnsi="Arial"/>
                <w:sz w:val="15"/>
                <w:szCs w:val="15"/>
                <w:b w:val="1"/>
                <w:bCs w:val="1"/>
                <w:color w:val="auto"/>
              </w:rPr>
              <w:t>(276)</w:t>
            </w:r>
          </w:p>
        </w:tc>
        <w:tc>
          <w:tcPr>
            <w:tcW w:w="156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08"/>
        </w:trPr>
        <w:tc>
          <w:tcPr>
            <w:tcW w:w="55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Deficit</w:t>
            </w:r>
          </w:p>
        </w:tc>
        <w:tc>
          <w:tcPr>
            <w:tcW w:w="340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(82,564)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(33,030)</w:t>
            </w:r>
          </w:p>
        </w:tc>
      </w:tr>
      <w:tr>
        <w:trPr>
          <w:trHeight w:val="201"/>
        </w:trPr>
        <w:tc>
          <w:tcPr>
            <w:tcW w:w="55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340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89,096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86,118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20 of 25</w:t>
      </w:r>
    </w:p>
    <w:p>
      <w:pPr>
        <w:sectPr>
          <w:pgSz w:w="11900" w:h="16838" w:orient="portrait"/>
          <w:cols w:equalWidth="0" w:num="1">
            <w:col w:w="11242"/>
          </w:cols>
          <w:pgMar w:left="318" w:top="171" w:right="339" w:bottom="1440" w:gutter="0" w:footer="0" w:header="0"/>
        </w:sectPr>
      </w:pPr>
    </w:p>
    <w:bookmarkStart w:id="23" w:name="page24"/>
    <w:bookmarkEnd w:id="23"/>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2" w:hanging="402"/>
        <w:spacing w:after="0"/>
        <w:tabs>
          <w:tab w:leader="none" w:pos="402" w:val="left"/>
        </w:tabs>
        <w:numPr>
          <w:ilvl w:val="0"/>
          <w:numId w:val="15"/>
        </w:numPr>
        <w:rPr>
          <w:rFonts w:ascii="Arial" w:cs="Arial" w:eastAsia="Arial" w:hAnsi="Arial"/>
          <w:sz w:val="16"/>
          <w:szCs w:val="16"/>
          <w:b w:val="1"/>
          <w:bCs w:val="1"/>
          <w:color w:val="2D5F91"/>
        </w:rPr>
      </w:pPr>
      <w:r>
        <w:rPr>
          <w:rFonts w:ascii="Arial" w:cs="Arial" w:eastAsia="Arial" w:hAnsi="Arial"/>
          <w:sz w:val="16"/>
          <w:szCs w:val="16"/>
          <w:b w:val="1"/>
          <w:bCs w:val="1"/>
          <w:color w:val="2D5F91"/>
        </w:rPr>
        <w:t>FINANCIAL INSTRUMENTS</w:t>
      </w:r>
    </w:p>
    <w:p>
      <w:pPr>
        <w:spacing w:after="0" w:line="20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The Company’s financial instruments are exposed to certain financial risks, which include currency risk, credit risk, liquidity risk and interest rate risk.</w:t>
      </w:r>
    </w:p>
    <w:p>
      <w:pPr>
        <w:spacing w:after="0" w:line="171" w:lineRule="exact"/>
        <w:rPr>
          <w:sz w:val="20"/>
          <w:szCs w:val="20"/>
          <w:color w:val="auto"/>
        </w:rPr>
      </w:pPr>
    </w:p>
    <w:tbl>
      <w:tblPr>
        <w:tblLayout w:type="fixed"/>
        <w:tblInd w:w="302" w:type="dxa"/>
        <w:tblCellMar>
          <w:top w:w="0" w:type="dxa"/>
          <w:left w:w="0" w:type="dxa"/>
          <w:bottom w:w="0" w:type="dxa"/>
          <w:right w:w="0" w:type="dxa"/>
        </w:tblCellMar>
      </w:tblPr>
      <w:tr>
        <w:trPr>
          <w:trHeight w:val="196"/>
        </w:trPr>
        <w:tc>
          <w:tcPr>
            <w:tcW w:w="5840" w:type="dxa"/>
            <w:vAlign w:val="bottom"/>
          </w:tcPr>
          <w:p>
            <w:pPr>
              <w:spacing w:after="0"/>
              <w:rPr>
                <w:sz w:val="20"/>
                <w:szCs w:val="20"/>
                <w:color w:val="auto"/>
              </w:rPr>
            </w:pPr>
            <w:r>
              <w:rPr>
                <w:rFonts w:ascii="Arial" w:cs="Arial" w:eastAsia="Arial" w:hAnsi="Arial"/>
                <w:sz w:val="16"/>
                <w:szCs w:val="16"/>
                <w:color w:val="auto"/>
              </w:rPr>
              <w:t>The Company has classified its financial instruments as follows:</w:t>
            </w:r>
          </w:p>
        </w:tc>
        <w:tc>
          <w:tcPr>
            <w:tcW w:w="33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84"/>
        </w:trPr>
        <w:tc>
          <w:tcPr>
            <w:tcW w:w="5840" w:type="dxa"/>
            <w:vAlign w:val="bottom"/>
          </w:tcPr>
          <w:p>
            <w:pPr>
              <w:ind w:left="60"/>
              <w:spacing w:after="0"/>
              <w:rPr>
                <w:sz w:val="20"/>
                <w:szCs w:val="20"/>
                <w:color w:val="auto"/>
              </w:rPr>
            </w:pPr>
            <w:r>
              <w:rPr>
                <w:rFonts w:ascii="Arial" w:cs="Arial" w:eastAsia="Arial" w:hAnsi="Arial"/>
                <w:sz w:val="16"/>
                <w:szCs w:val="16"/>
                <w:b w:val="1"/>
                <w:bCs w:val="1"/>
                <w:color w:val="auto"/>
              </w:rPr>
              <w:t>As at</w:t>
            </w:r>
          </w:p>
        </w:tc>
        <w:tc>
          <w:tcPr>
            <w:tcW w:w="3320" w:type="dxa"/>
            <w:vAlign w:val="bottom"/>
          </w:tcPr>
          <w:p>
            <w:pPr>
              <w:jc w:val="right"/>
              <w:ind w:right="500"/>
              <w:spacing w:after="0"/>
              <w:rPr>
                <w:sz w:val="20"/>
                <w:szCs w:val="20"/>
                <w:color w:val="auto"/>
              </w:rPr>
            </w:pPr>
            <w:r>
              <w:rPr>
                <w:rFonts w:ascii="Arial" w:cs="Arial" w:eastAsia="Arial" w:hAnsi="Arial"/>
                <w:sz w:val="16"/>
                <w:szCs w:val="16"/>
                <w:b w:val="1"/>
                <w:bCs w:val="1"/>
                <w:color w:val="auto"/>
              </w:rPr>
              <w:t>December 31, 2021</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16"/>
        </w:trPr>
        <w:tc>
          <w:tcPr>
            <w:tcW w:w="58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$000’s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208"/>
        </w:trPr>
        <w:tc>
          <w:tcPr>
            <w:tcW w:w="5840" w:type="dxa"/>
            <w:vAlign w:val="bottom"/>
          </w:tcPr>
          <w:p>
            <w:pPr>
              <w:ind w:left="60"/>
              <w:spacing w:after="0"/>
              <w:rPr>
                <w:sz w:val="20"/>
                <w:szCs w:val="20"/>
                <w:color w:val="auto"/>
              </w:rPr>
            </w:pPr>
            <w:r>
              <w:rPr>
                <w:rFonts w:ascii="Arial" w:cs="Arial" w:eastAsia="Arial" w:hAnsi="Arial"/>
                <w:sz w:val="16"/>
                <w:szCs w:val="16"/>
                <w:b w:val="1"/>
                <w:bCs w:val="1"/>
                <w:color w:val="auto"/>
              </w:rPr>
              <w:t>Financial assets, measured at fair value:</w:t>
            </w:r>
          </w:p>
        </w:tc>
        <w:tc>
          <w:tcPr>
            <w:tcW w:w="3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199"/>
        </w:trPr>
        <w:tc>
          <w:tcPr>
            <w:tcW w:w="5840" w:type="dxa"/>
            <w:vAlign w:val="bottom"/>
          </w:tcPr>
          <w:p>
            <w:pPr>
              <w:ind w:left="160"/>
              <w:spacing w:after="0"/>
              <w:rPr>
                <w:sz w:val="20"/>
                <w:szCs w:val="20"/>
                <w:color w:val="auto"/>
              </w:rPr>
            </w:pPr>
            <w:r>
              <w:rPr>
                <w:rFonts w:ascii="Arial" w:cs="Arial" w:eastAsia="Arial" w:hAnsi="Arial"/>
                <w:sz w:val="16"/>
                <w:szCs w:val="16"/>
                <w:color w:val="auto"/>
              </w:rPr>
              <w:t>Cash</w:t>
            </w:r>
          </w:p>
        </w:tc>
        <w:tc>
          <w:tcPr>
            <w:tcW w:w="3320" w:type="dxa"/>
            <w:vAlign w:val="bottom"/>
          </w:tcPr>
          <w:p>
            <w:pPr>
              <w:jc w:val="right"/>
              <w:ind w:right="500"/>
              <w:spacing w:after="0"/>
              <w:rPr>
                <w:sz w:val="20"/>
                <w:szCs w:val="20"/>
                <w:color w:val="auto"/>
              </w:rPr>
            </w:pPr>
            <w:r>
              <w:rPr>
                <w:rFonts w:ascii="Arial" w:cs="Arial" w:eastAsia="Arial" w:hAnsi="Arial"/>
                <w:sz w:val="15"/>
                <w:szCs w:val="15"/>
                <w:color w:val="auto"/>
              </w:rPr>
              <w:t>63,580</w:t>
            </w:r>
          </w:p>
        </w:tc>
        <w:tc>
          <w:tcPr>
            <w:tcW w:w="1800" w:type="dxa"/>
            <w:vAlign w:val="bottom"/>
          </w:tcPr>
          <w:p>
            <w:pPr>
              <w:jc w:val="right"/>
              <w:spacing w:after="0"/>
              <w:rPr>
                <w:sz w:val="20"/>
                <w:szCs w:val="20"/>
                <w:color w:val="auto"/>
              </w:rPr>
            </w:pPr>
            <w:r>
              <w:rPr>
                <w:rFonts w:ascii="Arial" w:cs="Arial" w:eastAsia="Arial" w:hAnsi="Arial"/>
                <w:sz w:val="16"/>
                <w:szCs w:val="16"/>
                <w:color w:val="auto"/>
              </w:rPr>
              <w:t>64,026</w:t>
            </w:r>
          </w:p>
        </w:tc>
      </w:tr>
      <w:tr>
        <w:trPr>
          <w:trHeight w:val="200"/>
        </w:trPr>
        <w:tc>
          <w:tcPr>
            <w:tcW w:w="5840" w:type="dxa"/>
            <w:vAlign w:val="bottom"/>
          </w:tcPr>
          <w:p>
            <w:pPr>
              <w:ind w:left="160"/>
              <w:spacing w:after="0"/>
              <w:rPr>
                <w:sz w:val="20"/>
                <w:szCs w:val="20"/>
                <w:color w:val="auto"/>
              </w:rPr>
            </w:pPr>
            <w:r>
              <w:rPr>
                <w:rFonts w:ascii="Arial" w:cs="Arial" w:eastAsia="Arial" w:hAnsi="Arial"/>
                <w:sz w:val="16"/>
                <w:szCs w:val="16"/>
                <w:color w:val="auto"/>
              </w:rPr>
              <w:t>Investments</w:t>
            </w:r>
          </w:p>
        </w:tc>
        <w:tc>
          <w:tcPr>
            <w:tcW w:w="3320" w:type="dxa"/>
            <w:vAlign w:val="bottom"/>
          </w:tcPr>
          <w:p>
            <w:pPr>
              <w:jc w:val="right"/>
              <w:ind w:right="500"/>
              <w:spacing w:after="0"/>
              <w:rPr>
                <w:sz w:val="20"/>
                <w:szCs w:val="20"/>
                <w:color w:val="auto"/>
              </w:rPr>
            </w:pPr>
            <w:r>
              <w:rPr>
                <w:rFonts w:ascii="Arial" w:cs="Arial" w:eastAsia="Arial" w:hAnsi="Arial"/>
                <w:sz w:val="16"/>
                <w:szCs w:val="16"/>
                <w:color w:val="auto"/>
              </w:rPr>
              <w:t>250</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40" w:type="dxa"/>
            <w:vAlign w:val="bottom"/>
          </w:tcPr>
          <w:p>
            <w:pPr>
              <w:ind w:left="60"/>
              <w:spacing w:after="0"/>
              <w:rPr>
                <w:sz w:val="20"/>
                <w:szCs w:val="20"/>
                <w:color w:val="auto"/>
              </w:rPr>
            </w:pPr>
            <w:r>
              <w:rPr>
                <w:rFonts w:ascii="Arial" w:cs="Arial" w:eastAsia="Arial" w:hAnsi="Arial"/>
                <w:sz w:val="16"/>
                <w:szCs w:val="16"/>
                <w:b w:val="1"/>
                <w:bCs w:val="1"/>
                <w:color w:val="auto"/>
              </w:rPr>
              <w:t>Financial assets, measured at amortized cost:</w:t>
            </w:r>
          </w:p>
        </w:tc>
        <w:tc>
          <w:tcPr>
            <w:tcW w:w="3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0"/>
        </w:trPr>
        <w:tc>
          <w:tcPr>
            <w:tcW w:w="584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3320" w:type="dxa"/>
            <w:vAlign w:val="bottom"/>
          </w:tcPr>
          <w:p>
            <w:pPr>
              <w:jc w:val="right"/>
              <w:ind w:right="500"/>
              <w:spacing w:after="0"/>
              <w:rPr>
                <w:sz w:val="20"/>
                <w:szCs w:val="20"/>
                <w:color w:val="auto"/>
              </w:rPr>
            </w:pPr>
            <w:r>
              <w:rPr>
                <w:rFonts w:ascii="Arial" w:cs="Arial" w:eastAsia="Arial" w:hAnsi="Arial"/>
                <w:sz w:val="16"/>
                <w:szCs w:val="16"/>
                <w:color w:val="auto"/>
              </w:rPr>
              <w:t>34</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40" w:type="dxa"/>
            <w:vAlign w:val="bottom"/>
          </w:tcPr>
          <w:p>
            <w:pPr>
              <w:ind w:left="60"/>
              <w:spacing w:after="0"/>
              <w:rPr>
                <w:sz w:val="20"/>
                <w:szCs w:val="20"/>
                <w:color w:val="auto"/>
              </w:rPr>
            </w:pPr>
            <w:r>
              <w:rPr>
                <w:rFonts w:ascii="Arial" w:cs="Arial" w:eastAsia="Arial" w:hAnsi="Arial"/>
                <w:sz w:val="16"/>
                <w:szCs w:val="16"/>
                <w:b w:val="1"/>
                <w:bCs w:val="1"/>
                <w:color w:val="auto"/>
              </w:rPr>
              <w:t>Financial liabilities, measured at fair value:</w:t>
            </w:r>
          </w:p>
        </w:tc>
        <w:tc>
          <w:tcPr>
            <w:tcW w:w="3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0"/>
        </w:trPr>
        <w:tc>
          <w:tcPr>
            <w:tcW w:w="5840" w:type="dxa"/>
            <w:vAlign w:val="bottom"/>
          </w:tcPr>
          <w:p>
            <w:pPr>
              <w:ind w:left="160"/>
              <w:spacing w:after="0"/>
              <w:rPr>
                <w:sz w:val="20"/>
                <w:szCs w:val="20"/>
                <w:color w:val="auto"/>
              </w:rPr>
            </w:pPr>
            <w:r>
              <w:rPr>
                <w:rFonts w:ascii="Arial" w:cs="Arial" w:eastAsia="Arial" w:hAnsi="Arial"/>
                <w:sz w:val="16"/>
                <w:szCs w:val="16"/>
                <w:color w:val="auto"/>
              </w:rPr>
              <w:t>Contingent consideration payable</w:t>
            </w:r>
          </w:p>
        </w:tc>
        <w:tc>
          <w:tcPr>
            <w:tcW w:w="3320" w:type="dxa"/>
            <w:vAlign w:val="bottom"/>
          </w:tcPr>
          <w:p>
            <w:pPr>
              <w:jc w:val="right"/>
              <w:ind w:right="500"/>
              <w:spacing w:after="0"/>
              <w:rPr>
                <w:sz w:val="20"/>
                <w:szCs w:val="20"/>
                <w:color w:val="auto"/>
              </w:rPr>
            </w:pPr>
            <w:r>
              <w:rPr>
                <w:rFonts w:ascii="Arial" w:cs="Arial" w:eastAsia="Arial" w:hAnsi="Arial"/>
                <w:sz w:val="16"/>
                <w:szCs w:val="16"/>
                <w:color w:val="auto"/>
              </w:rPr>
              <w:t>3,020</w:t>
            </w:r>
          </w:p>
        </w:tc>
        <w:tc>
          <w:tcPr>
            <w:tcW w:w="1800" w:type="dxa"/>
            <w:vAlign w:val="bottom"/>
          </w:tcPr>
          <w:p>
            <w:pPr>
              <w:jc w:val="right"/>
              <w:spacing w:after="0"/>
              <w:rPr>
                <w:sz w:val="20"/>
                <w:szCs w:val="20"/>
                <w:color w:val="auto"/>
              </w:rPr>
            </w:pPr>
            <w:r>
              <w:rPr>
                <w:rFonts w:ascii="Arial" w:cs="Arial" w:eastAsia="Arial" w:hAnsi="Arial"/>
                <w:sz w:val="16"/>
                <w:szCs w:val="16"/>
                <w:color w:val="auto"/>
              </w:rPr>
              <w:t>3,201</w:t>
            </w:r>
          </w:p>
        </w:tc>
      </w:tr>
      <w:tr>
        <w:trPr>
          <w:trHeight w:val="232"/>
        </w:trPr>
        <w:tc>
          <w:tcPr>
            <w:tcW w:w="5840" w:type="dxa"/>
            <w:vAlign w:val="bottom"/>
          </w:tcPr>
          <w:p>
            <w:pPr>
              <w:ind w:left="60"/>
              <w:spacing w:after="0"/>
              <w:rPr>
                <w:sz w:val="20"/>
                <w:szCs w:val="20"/>
                <w:color w:val="auto"/>
              </w:rPr>
            </w:pPr>
            <w:r>
              <w:rPr>
                <w:rFonts w:ascii="Arial" w:cs="Arial" w:eastAsia="Arial" w:hAnsi="Arial"/>
                <w:sz w:val="16"/>
                <w:szCs w:val="16"/>
                <w:b w:val="1"/>
                <w:bCs w:val="1"/>
                <w:color w:val="auto"/>
              </w:rPr>
              <w:t>Financial liabilities, measured at amortized cost:</w:t>
            </w:r>
          </w:p>
        </w:tc>
        <w:tc>
          <w:tcPr>
            <w:tcW w:w="33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08"/>
        </w:trPr>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Accounts payable and accrued liabilities</w:t>
            </w:r>
          </w:p>
        </w:tc>
        <w:tc>
          <w:tcPr>
            <w:tcW w:w="33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3,045</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w:t>
            </w:r>
          </w:p>
        </w:tc>
      </w:tr>
    </w:tbl>
    <w:p>
      <w:pPr>
        <w:spacing w:after="0" w:line="24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carrying value of the Company’s financial instruments approximate their fair value.</w:t>
      </w:r>
    </w:p>
    <w:p>
      <w:pPr>
        <w:spacing w:after="0" w:line="163" w:lineRule="exact"/>
        <w:rPr>
          <w:sz w:val="20"/>
          <w:szCs w:val="20"/>
          <w:color w:val="auto"/>
        </w:rPr>
      </w:pPr>
    </w:p>
    <w:p>
      <w:pPr>
        <w:ind w:left="302"/>
        <w:spacing w:after="0"/>
        <w:rPr>
          <w:sz w:val="20"/>
          <w:szCs w:val="20"/>
          <w:color w:val="auto"/>
        </w:rPr>
      </w:pPr>
      <w:r>
        <w:rPr>
          <w:rFonts w:ascii="Arial" w:cs="Arial" w:eastAsia="Arial" w:hAnsi="Arial"/>
          <w:sz w:val="16"/>
          <w:szCs w:val="16"/>
          <w:b w:val="1"/>
          <w:bCs w:val="1"/>
          <w:u w:val="single" w:color="auto"/>
          <w:color w:val="auto"/>
        </w:rPr>
        <w:t>Fair value Hierarchy of Financial Instruments</w:t>
      </w:r>
    </w:p>
    <w:p>
      <w:pPr>
        <w:spacing w:after="0" w:line="191" w:lineRule="exact"/>
        <w:rPr>
          <w:sz w:val="20"/>
          <w:szCs w:val="20"/>
          <w:color w:val="auto"/>
        </w:rPr>
      </w:pPr>
    </w:p>
    <w:p>
      <w:pPr>
        <w:jc w:val="both"/>
        <w:ind w:left="302" w:right="20"/>
        <w:spacing w:after="0" w:line="270" w:lineRule="auto"/>
        <w:rPr>
          <w:sz w:val="20"/>
          <w:szCs w:val="20"/>
          <w:color w:val="auto"/>
        </w:rPr>
      </w:pPr>
      <w:r>
        <w:rPr>
          <w:rFonts w:ascii="Arial" w:cs="Arial" w:eastAsia="Arial" w:hAnsi="Arial"/>
          <w:sz w:val="16"/>
          <w:szCs w:val="16"/>
          <w:color w:val="auto"/>
        </w:rPr>
        <w:t>The Company has categorized its financial instruments that are carried at fair value, based on the priority of the inputs to the valuation techniques used to measure fair value, into a three-level fair value hierarchy as follows:</w:t>
      </w:r>
    </w:p>
    <w:p>
      <w:pPr>
        <w:spacing w:after="0" w:line="136" w:lineRule="exact"/>
        <w:rPr>
          <w:sz w:val="20"/>
          <w:szCs w:val="20"/>
          <w:color w:val="auto"/>
        </w:rPr>
      </w:pPr>
    </w:p>
    <w:p>
      <w:pPr>
        <w:jc w:val="both"/>
        <w:ind w:left="302" w:right="20"/>
        <w:spacing w:after="0" w:line="270" w:lineRule="auto"/>
        <w:rPr>
          <w:sz w:val="20"/>
          <w:szCs w:val="20"/>
          <w:color w:val="auto"/>
        </w:rPr>
      </w:pPr>
      <w:r>
        <w:rPr>
          <w:rFonts w:ascii="Arial" w:cs="Arial" w:eastAsia="Arial" w:hAnsi="Arial"/>
          <w:sz w:val="16"/>
          <w:szCs w:val="16"/>
          <w:color w:val="auto"/>
        </w:rPr>
        <w:t>Level 1: Fair value is based on unadjusted quoted prices for identical assets or liabilities in an active market. The types of assets and liabilities classified as Level 1 generally included cash.</w:t>
      </w:r>
    </w:p>
    <w:p>
      <w:pPr>
        <w:spacing w:after="0" w:line="149" w:lineRule="exact"/>
        <w:rPr>
          <w:sz w:val="20"/>
          <w:szCs w:val="20"/>
          <w:color w:val="auto"/>
        </w:rPr>
      </w:pPr>
    </w:p>
    <w:p>
      <w:pPr>
        <w:jc w:val="both"/>
        <w:ind w:left="302" w:right="20"/>
        <w:spacing w:after="0" w:line="262" w:lineRule="auto"/>
        <w:rPr>
          <w:sz w:val="20"/>
          <w:szCs w:val="20"/>
          <w:color w:val="auto"/>
        </w:rPr>
      </w:pPr>
      <w:r>
        <w:rPr>
          <w:rFonts w:ascii="Arial" w:cs="Arial" w:eastAsia="Arial" w:hAnsi="Arial"/>
          <w:sz w:val="16"/>
          <w:szCs w:val="16"/>
          <w:color w:val="auto"/>
        </w:rPr>
        <w:t>Level 2: Fair value is based on quoted prices for similar assets or liabilities in active markets, valuation that is based on significant observable inputs, or inputs that are derived principally from or corroborated with observable market data through correlation or other means. Currently, the Company has no financial instruments that would be classified as Level 2.</w:t>
      </w:r>
    </w:p>
    <w:p>
      <w:pPr>
        <w:spacing w:after="0" w:line="144" w:lineRule="exact"/>
        <w:rPr>
          <w:sz w:val="20"/>
          <w:szCs w:val="20"/>
          <w:color w:val="auto"/>
        </w:rPr>
      </w:pPr>
    </w:p>
    <w:p>
      <w:pPr>
        <w:jc w:val="both"/>
        <w:ind w:left="302" w:right="20"/>
        <w:spacing w:after="0" w:line="262" w:lineRule="auto"/>
        <w:rPr>
          <w:sz w:val="20"/>
          <w:szCs w:val="20"/>
          <w:color w:val="auto"/>
        </w:rPr>
      </w:pPr>
      <w:r>
        <w:rPr>
          <w:rFonts w:ascii="Arial" w:cs="Arial" w:eastAsia="Arial" w:hAnsi="Arial"/>
          <w:sz w:val="16"/>
          <w:szCs w:val="16"/>
          <w:color w:val="auto"/>
        </w:rPr>
        <w:t>Level 3: Fair value is based on valuation techniques that require one or more significant inputs that are not based on observable market inputs. These unobservable inputs reflect the Company’s assumptions about the assumptions market participants would use in pricing the asset or liability. The investments and the contingent liabilities are classified as Level 3.</w:t>
      </w:r>
    </w:p>
    <w:p>
      <w:pPr>
        <w:spacing w:after="0" w:line="14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There were no transfers between levels of the fair value hierarchy for the three and nine months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21 of 25</w:t>
      </w:r>
    </w:p>
    <w:p>
      <w:pPr>
        <w:sectPr>
          <w:pgSz w:w="11900" w:h="16838" w:orient="portrait"/>
          <w:cols w:equalWidth="0" w:num="1">
            <w:col w:w="11262"/>
          </w:cols>
          <w:pgMar w:left="318" w:top="171" w:right="31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quantitative information about the significant unobservable inputs used in level 3 fair value measurements:</w:t>
      </w: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 as at</w:t>
            </w:r>
          </w:p>
        </w:tc>
        <w:tc>
          <w:tcPr>
            <w:tcW w:w="1240" w:type="dxa"/>
            <w:vAlign w:val="bottom"/>
            <w:tcBorders>
              <w:bottom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Relationship of</w:t>
            </w:r>
          </w:p>
        </w:tc>
        <w:tc>
          <w:tcPr>
            <w:tcW w:w="0" w:type="dxa"/>
            <w:vAlign w:val="bottom"/>
          </w:tcPr>
          <w:p>
            <w:pPr>
              <w:spacing w:after="0"/>
              <w:rPr>
                <w:sz w:val="1"/>
                <w:szCs w:val="1"/>
                <w:color w:val="auto"/>
              </w:rPr>
            </w:pPr>
          </w:p>
        </w:tc>
      </w:tr>
      <w:tr>
        <w:trPr>
          <w:trHeight w:val="91"/>
        </w:trPr>
        <w:tc>
          <w:tcPr>
            <w:tcW w:w="1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180" w:type="dxa"/>
            <w:vAlign w:val="bottom"/>
            <w:vMerge w:val="restart"/>
          </w:tcPr>
          <w:p>
            <w:pPr>
              <w:jc w:val="right"/>
              <w:ind w:right="418"/>
              <w:spacing w:after="0"/>
              <w:rPr>
                <w:sz w:val="20"/>
                <w:szCs w:val="20"/>
                <w:color w:val="auto"/>
              </w:rPr>
            </w:pPr>
            <w:r>
              <w:rPr>
                <w:rFonts w:ascii="Arial" w:cs="Arial" w:eastAsia="Arial" w:hAnsi="Arial"/>
                <w:sz w:val="16"/>
                <w:szCs w:val="16"/>
                <w:b w:val="1"/>
                <w:bCs w:val="1"/>
                <w:color w:val="auto"/>
              </w:rPr>
              <w:t>December 31, 2021</w:t>
            </w: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March 31, 2021</w:t>
            </w:r>
          </w:p>
        </w:tc>
        <w:tc>
          <w:tcPr>
            <w:tcW w:w="2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960" w:type="dxa"/>
            <w:vAlign w:val="bottom"/>
            <w:vMerge w:val="restart"/>
          </w:tcPr>
          <w:p>
            <w:pPr>
              <w:jc w:val="right"/>
              <w:spacing w:after="0" w:line="159" w:lineRule="exact"/>
              <w:rPr>
                <w:sz w:val="20"/>
                <w:szCs w:val="20"/>
                <w:color w:val="auto"/>
              </w:rPr>
            </w:pPr>
            <w:r>
              <w:rPr>
                <w:rFonts w:ascii="Arial" w:cs="Arial" w:eastAsia="Arial" w:hAnsi="Arial"/>
                <w:sz w:val="16"/>
                <w:szCs w:val="16"/>
                <w:b w:val="1"/>
                <w:bCs w:val="1"/>
                <w:color w:val="auto"/>
              </w:rPr>
              <w:t>Range of</w:t>
            </w:r>
          </w:p>
        </w:tc>
        <w:tc>
          <w:tcPr>
            <w:tcW w:w="2100" w:type="dxa"/>
            <w:vAlign w:val="bottom"/>
            <w:vMerge w:val="restart"/>
          </w:tcPr>
          <w:p>
            <w:pPr>
              <w:jc w:val="right"/>
              <w:spacing w:after="0" w:line="159" w:lineRule="exact"/>
              <w:rPr>
                <w:sz w:val="20"/>
                <w:szCs w:val="20"/>
                <w:color w:val="auto"/>
              </w:rPr>
            </w:pPr>
            <w:r>
              <w:rPr>
                <w:rFonts w:ascii="Arial" w:cs="Arial" w:eastAsia="Arial" w:hAnsi="Arial"/>
                <w:sz w:val="16"/>
                <w:szCs w:val="16"/>
                <w:b w:val="1"/>
                <w:bCs w:val="1"/>
                <w:color w:val="auto"/>
              </w:rPr>
              <w:t>unobservable inputs to</w:t>
            </w:r>
          </w:p>
        </w:tc>
        <w:tc>
          <w:tcPr>
            <w:tcW w:w="0" w:type="dxa"/>
            <w:vAlign w:val="bottom"/>
          </w:tcPr>
          <w:p>
            <w:pPr>
              <w:spacing w:after="0"/>
              <w:rPr>
                <w:sz w:val="1"/>
                <w:szCs w:val="1"/>
                <w:color w:val="auto"/>
              </w:rPr>
            </w:pPr>
          </w:p>
        </w:tc>
      </w:tr>
      <w:tr>
        <w:trPr>
          <w:trHeight w:val="38"/>
        </w:trPr>
        <w:tc>
          <w:tcPr>
            <w:tcW w:w="22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w:t>
            </w:r>
          </w:p>
        </w:tc>
        <w:tc>
          <w:tcPr>
            <w:tcW w:w="2180" w:type="dxa"/>
            <w:vAlign w:val="bottom"/>
            <w:vMerge w:val="restart"/>
          </w:tcPr>
          <w:p>
            <w:pPr>
              <w:jc w:val="right"/>
              <w:ind w:right="458"/>
              <w:spacing w:after="0"/>
              <w:rPr>
                <w:sz w:val="20"/>
                <w:szCs w:val="20"/>
                <w:color w:val="auto"/>
              </w:rPr>
            </w:pPr>
            <w:r>
              <w:rPr>
                <w:rFonts w:ascii="Arial" w:cs="Arial" w:eastAsia="Arial" w:hAnsi="Arial"/>
                <w:sz w:val="16"/>
                <w:szCs w:val="16"/>
                <w:b w:val="1"/>
                <w:bCs w:val="1"/>
                <w:color w:val="auto"/>
              </w:rPr>
              <w:t>000’s</w:t>
            </w: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000’s</w:t>
            </w:r>
          </w:p>
        </w:tc>
        <w:tc>
          <w:tcPr>
            <w:tcW w:w="220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Unobservable inputs</w:t>
            </w:r>
          </w:p>
        </w:tc>
        <w:tc>
          <w:tcPr>
            <w:tcW w:w="960" w:type="dxa"/>
            <w:vAlign w:val="bottom"/>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280" w:type="dxa"/>
            <w:vAlign w:val="bottom"/>
            <w:tcBorders>
              <w:bottom w:val="single" w:sz="8" w:color="auto"/>
            </w:tcBorders>
            <w:gridSpan w:val="3"/>
            <w:vMerge w:val="continue"/>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inputs</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63"/>
        </w:trPr>
        <w:tc>
          <w:tcPr>
            <w:tcW w:w="2280" w:type="dxa"/>
            <w:vAlign w:val="bottom"/>
            <w:gridSpan w:val="3"/>
          </w:tcPr>
          <w:p>
            <w:pPr>
              <w:spacing w:after="0" w:line="163" w:lineRule="exact"/>
              <w:rPr>
                <w:sz w:val="20"/>
                <w:szCs w:val="20"/>
                <w:color w:val="auto"/>
              </w:rPr>
            </w:pPr>
            <w:r>
              <w:rPr>
                <w:rFonts w:ascii="Arial" w:cs="Arial" w:eastAsia="Arial" w:hAnsi="Arial"/>
                <w:sz w:val="16"/>
                <w:szCs w:val="16"/>
                <w:color w:val="auto"/>
              </w:rPr>
              <w:t>Rx Hybrid Instrument</w:t>
            </w:r>
          </w:p>
        </w:tc>
        <w:tc>
          <w:tcPr>
            <w:tcW w:w="2180" w:type="dxa"/>
            <w:vAlign w:val="bottom"/>
          </w:tcPr>
          <w:p>
            <w:pPr>
              <w:jc w:val="right"/>
              <w:ind w:right="458"/>
              <w:spacing w:after="0" w:line="163" w:lineRule="exact"/>
              <w:rPr>
                <w:sz w:val="20"/>
                <w:szCs w:val="20"/>
                <w:color w:val="auto"/>
              </w:rPr>
            </w:pPr>
            <w:r>
              <w:rPr>
                <w:rFonts w:ascii="Arial" w:cs="Arial" w:eastAsia="Arial" w:hAnsi="Arial"/>
                <w:sz w:val="16"/>
                <w:szCs w:val="16"/>
                <w:color w:val="auto"/>
              </w:rPr>
              <w:t>250</w:t>
            </w:r>
          </w:p>
        </w:tc>
        <w:tc>
          <w:tcPr>
            <w:tcW w:w="124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2200" w:type="dxa"/>
            <w:vAlign w:val="bottom"/>
          </w:tcPr>
          <w:p>
            <w:pPr>
              <w:jc w:val="right"/>
              <w:ind w:right="98"/>
              <w:spacing w:after="0" w:line="163" w:lineRule="exact"/>
              <w:rPr>
                <w:sz w:val="20"/>
                <w:szCs w:val="20"/>
                <w:color w:val="auto"/>
              </w:rPr>
            </w:pPr>
            <w:r>
              <w:rPr>
                <w:rFonts w:ascii="Arial" w:cs="Arial" w:eastAsia="Arial" w:hAnsi="Arial"/>
                <w:sz w:val="16"/>
                <w:szCs w:val="16"/>
                <w:color w:val="auto"/>
              </w:rPr>
              <w:t>Fair value interest rate of</w:t>
            </w:r>
          </w:p>
        </w:tc>
        <w:tc>
          <w:tcPr>
            <w:tcW w:w="960" w:type="dxa"/>
            <w:vAlign w:val="bottom"/>
          </w:tcPr>
          <w:p>
            <w:pPr>
              <w:jc w:val="right"/>
              <w:spacing w:after="0" w:line="163" w:lineRule="exact"/>
              <w:rPr>
                <w:sz w:val="20"/>
                <w:szCs w:val="20"/>
                <w:color w:val="auto"/>
              </w:rPr>
            </w:pPr>
            <w:r>
              <w:rPr>
                <w:rFonts w:ascii="Arial" w:cs="Arial" w:eastAsia="Arial" w:hAnsi="Arial"/>
                <w:sz w:val="16"/>
                <w:szCs w:val="16"/>
                <w:color w:val="auto"/>
              </w:rPr>
              <w:t>10%</w:t>
            </w:r>
          </w:p>
        </w:tc>
        <w:tc>
          <w:tcPr>
            <w:tcW w:w="2100" w:type="dxa"/>
            <w:vAlign w:val="bottom"/>
          </w:tcPr>
          <w:p>
            <w:pPr>
              <w:jc w:val="right"/>
              <w:spacing w:after="0" w:line="163" w:lineRule="exact"/>
              <w:rPr>
                <w:sz w:val="20"/>
                <w:szCs w:val="20"/>
                <w:color w:val="auto"/>
              </w:rPr>
            </w:pPr>
            <w:r>
              <w:rPr>
                <w:rFonts w:ascii="Arial" w:cs="Arial" w:eastAsia="Arial" w:hAnsi="Arial"/>
                <w:sz w:val="16"/>
                <w:szCs w:val="16"/>
                <w:color w:val="auto"/>
              </w:rPr>
              <w:t>Increase/decrease in the</w:t>
            </w:r>
          </w:p>
        </w:tc>
        <w:tc>
          <w:tcPr>
            <w:tcW w:w="0" w:type="dxa"/>
            <w:vAlign w:val="bottom"/>
          </w:tcPr>
          <w:p>
            <w:pPr>
              <w:spacing w:after="0"/>
              <w:rPr>
                <w:sz w:val="1"/>
                <w:szCs w:val="1"/>
                <w:color w:val="auto"/>
              </w:rPr>
            </w:pPr>
          </w:p>
        </w:tc>
      </w:tr>
      <w:tr>
        <w:trPr>
          <w:trHeight w:val="159"/>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0" w:type="dxa"/>
            <w:vAlign w:val="bottom"/>
          </w:tcPr>
          <w:p>
            <w:pPr>
              <w:jc w:val="right"/>
              <w:ind w:right="98"/>
              <w:spacing w:after="0" w:line="159" w:lineRule="exact"/>
              <w:rPr>
                <w:sz w:val="20"/>
                <w:szCs w:val="20"/>
                <w:color w:val="auto"/>
              </w:rPr>
            </w:pPr>
            <w:r>
              <w:rPr>
                <w:rFonts w:ascii="Arial" w:cs="Arial" w:eastAsia="Arial" w:hAnsi="Arial"/>
                <w:sz w:val="16"/>
                <w:szCs w:val="16"/>
                <w:color w:val="auto"/>
              </w:rPr>
              <w:t>loan and conversion feature</w:t>
            </w:r>
          </w:p>
        </w:tc>
        <w:tc>
          <w:tcPr>
            <w:tcW w:w="960" w:type="dxa"/>
            <w:vAlign w:val="bottom"/>
          </w:tcPr>
          <w:p>
            <w:pPr>
              <w:spacing w:after="0"/>
              <w:rPr>
                <w:sz w:val="13"/>
                <w:szCs w:val="13"/>
                <w:color w:val="auto"/>
              </w:rPr>
            </w:pPr>
          </w:p>
        </w:tc>
        <w:tc>
          <w:tcPr>
            <w:tcW w:w="2100" w:type="dxa"/>
            <w:vAlign w:val="bottom"/>
          </w:tcPr>
          <w:p>
            <w:pPr>
              <w:jc w:val="right"/>
              <w:spacing w:after="0" w:line="159" w:lineRule="exact"/>
              <w:rPr>
                <w:sz w:val="20"/>
                <w:szCs w:val="20"/>
                <w:color w:val="auto"/>
              </w:rPr>
            </w:pPr>
            <w:r>
              <w:rPr>
                <w:rFonts w:ascii="Arial" w:cs="Arial" w:eastAsia="Arial" w:hAnsi="Arial"/>
                <w:sz w:val="16"/>
                <w:szCs w:val="16"/>
                <w:color w:val="auto"/>
              </w:rPr>
              <w:t>fair value rate by 1% would</w:t>
            </w:r>
          </w:p>
        </w:tc>
        <w:tc>
          <w:tcPr>
            <w:tcW w:w="0" w:type="dxa"/>
            <w:vAlign w:val="bottom"/>
          </w:tcPr>
          <w:p>
            <w:pPr>
              <w:spacing w:after="0"/>
              <w:rPr>
                <w:sz w:val="1"/>
                <w:szCs w:val="1"/>
                <w:color w:val="auto"/>
              </w:rPr>
            </w:pPr>
          </w:p>
        </w:tc>
      </w:tr>
      <w:tr>
        <w:trPr>
          <w:trHeight w:val="159"/>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00" w:type="dxa"/>
            <w:vAlign w:val="bottom"/>
          </w:tcPr>
          <w:p>
            <w:pPr>
              <w:jc w:val="right"/>
              <w:spacing w:after="0" w:line="159" w:lineRule="exact"/>
              <w:rPr>
                <w:sz w:val="20"/>
                <w:szCs w:val="20"/>
                <w:color w:val="auto"/>
              </w:rPr>
            </w:pPr>
            <w:r>
              <w:rPr>
                <w:rFonts w:ascii="Arial" w:cs="Arial" w:eastAsia="Arial" w:hAnsi="Arial"/>
                <w:sz w:val="16"/>
                <w:szCs w:val="16"/>
                <w:color w:val="auto"/>
              </w:rPr>
              <w:t>not have a material effect</w:t>
            </w:r>
          </w:p>
        </w:tc>
        <w:tc>
          <w:tcPr>
            <w:tcW w:w="0" w:type="dxa"/>
            <w:vAlign w:val="bottom"/>
          </w:tcPr>
          <w:p>
            <w:pPr>
              <w:spacing w:after="0"/>
              <w:rPr>
                <w:sz w:val="1"/>
                <w:szCs w:val="1"/>
                <w:color w:val="auto"/>
              </w:rPr>
            </w:pPr>
          </w:p>
        </w:tc>
      </w:tr>
      <w:tr>
        <w:trPr>
          <w:trHeight w:val="159"/>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00" w:type="dxa"/>
            <w:vAlign w:val="bottom"/>
          </w:tcPr>
          <w:p>
            <w:pPr>
              <w:jc w:val="right"/>
              <w:spacing w:after="0" w:line="159" w:lineRule="exact"/>
              <w:rPr>
                <w:sz w:val="20"/>
                <w:szCs w:val="20"/>
                <w:color w:val="auto"/>
              </w:rPr>
            </w:pPr>
            <w:r>
              <w:rPr>
                <w:rFonts w:ascii="Arial" w:cs="Arial" w:eastAsia="Arial" w:hAnsi="Arial"/>
                <w:sz w:val="16"/>
                <w:szCs w:val="16"/>
                <w:color w:val="auto"/>
              </w:rPr>
              <w:t>on the fair value of the</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investment</w:t>
            </w:r>
          </w:p>
        </w:tc>
        <w:tc>
          <w:tcPr>
            <w:tcW w:w="0" w:type="dxa"/>
            <w:vAlign w:val="bottom"/>
          </w:tcPr>
          <w:p>
            <w:pPr>
              <w:spacing w:after="0"/>
              <w:rPr>
                <w:sz w:val="1"/>
                <w:szCs w:val="1"/>
                <w:color w:val="auto"/>
              </w:rPr>
            </w:pPr>
          </w:p>
        </w:tc>
      </w:tr>
      <w:tr>
        <w:trPr>
          <w:trHeight w:val="396"/>
        </w:trPr>
        <w:tc>
          <w:tcPr>
            <w:tcW w:w="2280" w:type="dxa"/>
            <w:vAlign w:val="bottom"/>
            <w:gridSpan w:val="3"/>
          </w:tcPr>
          <w:p>
            <w:pPr>
              <w:spacing w:after="0"/>
              <w:rPr>
                <w:sz w:val="20"/>
                <w:szCs w:val="20"/>
                <w:color w:val="auto"/>
              </w:rPr>
            </w:pPr>
            <w:r>
              <w:rPr>
                <w:rFonts w:ascii="Arial" w:cs="Arial" w:eastAsia="Arial" w:hAnsi="Arial"/>
                <w:sz w:val="16"/>
                <w:szCs w:val="16"/>
                <w:b w:val="1"/>
                <w:bCs w:val="1"/>
                <w:color w:val="auto"/>
              </w:rPr>
              <w:t>Financial risk management</w:t>
            </w:r>
          </w:p>
        </w:tc>
        <w:tc>
          <w:tcPr>
            <w:tcW w:w="2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Credit risk</w:t>
            </w: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Credit risk is the risk that one party to a financial instrument will cause a financial loss for the other party by failing to discharge an obligation. The Company’s cash is exposed to credit risk. The Company reduces its credit risk on cash by placing these instruments with institutions of high credit worthiness. As at December 31, 2021, the Company’s maximum exposure to credit risk is the carrying value of its financial assets.</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Liquidity risk</w:t>
      </w:r>
    </w:p>
    <w:p>
      <w:pPr>
        <w:spacing w:after="0" w:line="191"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Liquidity risk is the risk that an entity will encounter difficulty in raising funds to meet commitments associated with financial instruments. The Company manages liquidity by maintaining adequate cash balances to meet liabilities as they become due.</w:t>
      </w:r>
    </w:p>
    <w:p>
      <w:pPr>
        <w:spacing w:after="0" w:line="136"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As at December 31, 2021, the Company had cash and cash equivalents of $63,580 (March 31, 2021 - $64,026) in order to meet current liabilities. Accounts payable and accrued liabilities include trade payables and other obligations of $3,045 (March 31, 2021 - $2,793), all amounts are due within the next 12 months. In addition, the Company has agreed to participate in a private placement of subscription receipts of Finco in an amount of up to $500.</w:t>
      </w:r>
    </w:p>
    <w:p>
      <w:pPr>
        <w:spacing w:after="0" w:line="33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Market risk</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significant market risks to which the Company is exposed are interest rate risk and currency risk.</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6"/>
          <w:szCs w:val="16"/>
          <w:i w:val="1"/>
          <w:iCs w:val="1"/>
          <w:u w:val="single" w:color="auto"/>
          <w:color w:val="auto"/>
        </w:rPr>
        <w:t>Interest rate risk</w:t>
      </w:r>
    </w:p>
    <w:p>
      <w:pPr>
        <w:spacing w:after="0" w:line="199"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Interest rate risk is the risk that the fair value or the future cash flows of a financial instrument will fluctuate because of changes in market interest rate. In seeking to minimize the risks from interest rate fluctuations, the Company manages exposure through its normal operating and financing activities. As at December 31, 2021, the Company has determined its exposure to interest rate risk is minimal.</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6"/>
          <w:szCs w:val="16"/>
          <w:i w:val="1"/>
          <w:iCs w:val="1"/>
          <w:u w:val="single" w:color="auto"/>
          <w:color w:val="auto"/>
        </w:rPr>
        <w:t>Currency risk</w:t>
      </w:r>
    </w:p>
    <w:p>
      <w:pPr>
        <w:spacing w:after="0" w:line="187"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The Company is exposed to currency risk to the extent that monetary operational expenses are denominated in both CAD and USD while functional currency of CAD in used for reporting. The Company has not entered into any foreign currency contracts to mitigate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22 of 25</w:t>
      </w:r>
    </w:p>
    <w:p>
      <w:pPr>
        <w:sectPr>
          <w:pgSz w:w="11900" w:h="16838" w:orient="portrait"/>
          <w:cols w:equalWidth="0" w:num="1">
            <w:col w:w="11200"/>
          </w:cols>
          <w:pgMar w:left="380" w:top="171" w:right="319" w:bottom="1440" w:gutter="0" w:footer="0" w:header="0"/>
        </w:sectPr>
      </w:pPr>
    </w:p>
    <w:bookmarkStart w:id="25" w:name="page26"/>
    <w:bookmarkEnd w:id="25"/>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02" w:type="dxa"/>
        <w:tblCellMar>
          <w:top w:w="0" w:type="dxa"/>
          <w:left w:w="0" w:type="dxa"/>
          <w:bottom w:w="0" w:type="dxa"/>
          <w:right w:w="0" w:type="dxa"/>
        </w:tblCellMar>
      </w:tblPr>
      <w:tr>
        <w:trPr>
          <w:trHeight w:val="196"/>
        </w:trPr>
        <w:tc>
          <w:tcPr>
            <w:tcW w:w="9580" w:type="dxa"/>
            <w:vAlign w:val="bottom"/>
            <w:gridSpan w:val="2"/>
          </w:tcPr>
          <w:p>
            <w:pPr>
              <w:spacing w:after="0"/>
              <w:rPr>
                <w:sz w:val="20"/>
                <w:szCs w:val="20"/>
                <w:color w:val="auto"/>
              </w:rPr>
            </w:pPr>
            <w:r>
              <w:rPr>
                <w:rFonts w:ascii="Arial" w:cs="Arial" w:eastAsia="Arial" w:hAnsi="Arial"/>
                <w:sz w:val="16"/>
                <w:szCs w:val="16"/>
                <w:color w:val="auto"/>
              </w:rPr>
              <w:t>The Company had the following balances in monetary assets and monetary liabilities which are subject to fluctuation against CAD:</w:t>
            </w:r>
          </w:p>
        </w:tc>
        <w:tc>
          <w:tcPr>
            <w:tcW w:w="980" w:type="dxa"/>
            <w:vAlign w:val="bottom"/>
          </w:tcPr>
          <w:p>
            <w:pPr>
              <w:spacing w:after="0"/>
              <w:rPr>
                <w:sz w:val="17"/>
                <w:szCs w:val="17"/>
                <w:color w:val="auto"/>
              </w:rPr>
            </w:pPr>
          </w:p>
        </w:tc>
      </w:tr>
      <w:tr>
        <w:trPr>
          <w:trHeight w:val="404"/>
        </w:trPr>
        <w:tc>
          <w:tcPr>
            <w:tcW w:w="51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858"/>
              <w:spacing w:after="0"/>
              <w:rPr>
                <w:sz w:val="20"/>
                <w:szCs w:val="20"/>
                <w:color w:val="auto"/>
              </w:rPr>
            </w:pPr>
            <w:r>
              <w:rPr>
                <w:rFonts w:ascii="Arial" w:cs="Arial" w:eastAsia="Arial" w:hAnsi="Arial"/>
                <w:sz w:val="16"/>
                <w:szCs w:val="16"/>
                <w:b w:val="1"/>
                <w:bCs w:val="1"/>
                <w:color w:val="auto"/>
              </w:rPr>
              <w:t>Denominated in: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US$000’s</w:t>
            </w: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Cash</w:t>
            </w:r>
          </w:p>
        </w:tc>
        <w:tc>
          <w:tcPr>
            <w:tcW w:w="4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1,244</w:t>
            </w:r>
          </w:p>
        </w:tc>
      </w:t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Accounts payable and accrued liabilities</w:t>
            </w:r>
          </w:p>
        </w:tc>
        <w:tc>
          <w:tcPr>
            <w:tcW w:w="4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w:t>
            </w:r>
          </w:p>
        </w:tc>
      </w:tr>
      <w:tr>
        <w:trPr>
          <w:trHeight w:val="208"/>
        </w:trPr>
        <w:tc>
          <w:tcPr>
            <w:tcW w:w="51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1,050</w:t>
            </w:r>
          </w:p>
        </w:tc>
      </w:tr>
      <w:tr>
        <w:trPr>
          <w:trHeight w:val="200"/>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rate</w:t>
            </w:r>
          </w:p>
        </w:tc>
        <w:tc>
          <w:tcPr>
            <w:tcW w:w="4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1.2678</w:t>
            </w:r>
          </w:p>
        </w:tc>
      </w:tr>
      <w:tr>
        <w:trPr>
          <w:trHeight w:val="201"/>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Equivalent in Canadian dollars</w:t>
            </w:r>
          </w:p>
        </w:tc>
        <w:tc>
          <w:tcPr>
            <w:tcW w:w="4440" w:type="dxa"/>
            <w:vAlign w:val="bottom"/>
            <w:tcBorders>
              <w:bottom w:val="single" w:sz="8" w:color="auto"/>
            </w:tcBorders>
          </w:tcPr>
          <w:p>
            <w:pPr>
              <w:jc w:val="right"/>
              <w:ind w:right="738"/>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1,331</w:t>
            </w:r>
          </w:p>
        </w:tc>
      </w:tr>
    </w:tbl>
    <w:p>
      <w:pPr>
        <w:spacing w:after="0" w:line="244"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Based on the above net exposures as at December 31, 2021, and assuming that all other variables remain constant, a 10% change of the USD against the CAD would impact net loss by approximately by $133.</w:t>
      </w:r>
    </w:p>
    <w:p>
      <w:pPr>
        <w:spacing w:after="0" w:line="116" w:lineRule="exact"/>
        <w:rPr>
          <w:sz w:val="20"/>
          <w:szCs w:val="20"/>
          <w:color w:val="auto"/>
        </w:rPr>
      </w:pPr>
    </w:p>
    <w:p>
      <w:pPr>
        <w:ind w:left="402" w:hanging="402"/>
        <w:spacing w:after="0"/>
        <w:tabs>
          <w:tab w:leader="none" w:pos="402" w:val="left"/>
        </w:tabs>
        <w:numPr>
          <w:ilvl w:val="0"/>
          <w:numId w:val="16"/>
        </w:numPr>
        <w:rPr>
          <w:rFonts w:ascii="Arial" w:cs="Arial" w:eastAsia="Arial" w:hAnsi="Arial"/>
          <w:sz w:val="16"/>
          <w:szCs w:val="16"/>
          <w:b w:val="1"/>
          <w:bCs w:val="1"/>
          <w:color w:val="2D5F91"/>
        </w:rPr>
      </w:pPr>
      <w:r>
        <w:rPr>
          <w:rFonts w:ascii="Arial" w:cs="Arial" w:eastAsia="Arial" w:hAnsi="Arial"/>
          <w:sz w:val="16"/>
          <w:szCs w:val="16"/>
          <w:b w:val="1"/>
          <w:bCs w:val="1"/>
          <w:color w:val="2D5F91"/>
        </w:rPr>
        <w:t>INCOME TAX</w:t>
      </w:r>
    </w:p>
    <w:p>
      <w:pPr>
        <w:spacing w:after="0" w:line="191" w:lineRule="exact"/>
        <w:rPr>
          <w:sz w:val="20"/>
          <w:szCs w:val="20"/>
          <w:color w:val="auto"/>
        </w:rPr>
      </w:pPr>
    </w:p>
    <w:p>
      <w:pPr>
        <w:ind w:left="302"/>
        <w:spacing w:after="0"/>
        <w:rPr>
          <w:sz w:val="20"/>
          <w:szCs w:val="20"/>
          <w:color w:val="auto"/>
        </w:rPr>
      </w:pPr>
      <w:r>
        <w:rPr>
          <w:rFonts w:ascii="Arial" w:cs="Arial" w:eastAsia="Arial" w:hAnsi="Arial"/>
          <w:sz w:val="16"/>
          <w:szCs w:val="16"/>
          <w:color w:val="auto"/>
        </w:rPr>
        <w:t>Major items causing the Company’s income tax rate to differ from the Canadian statutory rate of approximately 26.50% are as follows:</w:t>
      </w:r>
    </w:p>
    <w:p>
      <w:pPr>
        <w:spacing w:after="0" w:line="183" w:lineRule="exact"/>
        <w:rPr>
          <w:sz w:val="20"/>
          <w:szCs w:val="20"/>
          <w:color w:val="auto"/>
        </w:rPr>
      </w:pPr>
    </w:p>
    <w:tbl>
      <w:tblPr>
        <w:tblLayout w:type="fixed"/>
        <w:tblInd w:w="302"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3480" w:type="dxa"/>
            <w:vAlign w:val="bottom"/>
            <w:gridSpan w:val="2"/>
          </w:tcPr>
          <w:p>
            <w:pPr>
              <w:jc w:val="right"/>
              <w:ind w:right="298"/>
              <w:spacing w:after="0"/>
              <w:rPr>
                <w:sz w:val="20"/>
                <w:szCs w:val="20"/>
                <w:color w:val="auto"/>
              </w:rPr>
            </w:pPr>
            <w:r>
              <w:rPr>
                <w:rFonts w:ascii="Arial" w:cs="Arial" w:eastAsia="Arial" w:hAnsi="Arial"/>
                <w:sz w:val="16"/>
                <w:szCs w:val="16"/>
                <w:b w:val="1"/>
                <w:bCs w:val="1"/>
                <w:color w:val="auto"/>
              </w:rPr>
              <w:t>Three-months ended December</w:t>
            </w:r>
          </w:p>
        </w:tc>
        <w:tc>
          <w:tcPr>
            <w:tcW w:w="244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Nine-months ended</w:t>
            </w:r>
          </w:p>
        </w:tc>
      </w:tr>
      <w:tr>
        <w:trPr>
          <w:trHeight w:val="199"/>
        </w:trPr>
        <w:tc>
          <w:tcPr>
            <w:tcW w:w="45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60" w:type="dxa"/>
            <w:vAlign w:val="bottom"/>
          </w:tcPr>
          <w:p>
            <w:pPr>
              <w:jc w:val="right"/>
              <w:ind w:right="298"/>
              <w:spacing w:after="0"/>
              <w:rPr>
                <w:sz w:val="20"/>
                <w:szCs w:val="20"/>
                <w:color w:val="auto"/>
              </w:rPr>
            </w:pPr>
            <w:r>
              <w:rPr>
                <w:rFonts w:ascii="Arial" w:cs="Arial" w:eastAsia="Arial" w:hAnsi="Arial"/>
                <w:sz w:val="16"/>
                <w:szCs w:val="16"/>
                <w:b w:val="1"/>
                <w:bCs w:val="1"/>
                <w:color w:val="auto"/>
              </w:rPr>
              <w:t>31,</w:t>
            </w:r>
          </w:p>
        </w:tc>
        <w:tc>
          <w:tcPr>
            <w:tcW w:w="1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45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2021</w:t>
            </w:r>
          </w:p>
        </w:tc>
        <w:tc>
          <w:tcPr>
            <w:tcW w:w="13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2020</w:t>
            </w:r>
          </w:p>
        </w:tc>
        <w:tc>
          <w:tcPr>
            <w:tcW w:w="11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01"/>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loss and comprehensive loss before income taxes</w:t>
            </w:r>
          </w:p>
        </w:tc>
        <w:tc>
          <w:tcPr>
            <w:tcW w:w="21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(17,210)</w:t>
            </w:r>
          </w:p>
        </w:tc>
        <w:tc>
          <w:tcPr>
            <w:tcW w:w="13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(11,419)</w:t>
            </w:r>
          </w:p>
        </w:tc>
        <w:tc>
          <w:tcPr>
            <w:tcW w:w="11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(49,534)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(18,442)</w:t>
            </w:r>
          </w:p>
        </w:tc>
      </w:tr>
      <w:tr>
        <w:trPr>
          <w:trHeight w:val="375"/>
        </w:trPr>
        <w:tc>
          <w:tcPr>
            <w:tcW w:w="4560" w:type="dxa"/>
            <w:vAlign w:val="bottom"/>
          </w:tcPr>
          <w:p>
            <w:pPr>
              <w:spacing w:after="0"/>
              <w:rPr>
                <w:sz w:val="20"/>
                <w:szCs w:val="20"/>
                <w:color w:val="auto"/>
              </w:rPr>
            </w:pPr>
            <w:r>
              <w:rPr>
                <w:rFonts w:ascii="Arial" w:cs="Arial" w:eastAsia="Arial" w:hAnsi="Arial"/>
                <w:sz w:val="16"/>
                <w:szCs w:val="16"/>
                <w:color w:val="auto"/>
              </w:rPr>
              <w:t>Expected recovery at statutory rate</w:t>
            </w:r>
          </w:p>
        </w:tc>
        <w:tc>
          <w:tcPr>
            <w:tcW w:w="2120" w:type="dxa"/>
            <w:vAlign w:val="bottom"/>
          </w:tcPr>
          <w:p>
            <w:pPr>
              <w:jc w:val="right"/>
              <w:ind w:right="298"/>
              <w:spacing w:after="0"/>
              <w:rPr>
                <w:sz w:val="20"/>
                <w:szCs w:val="20"/>
                <w:color w:val="auto"/>
              </w:rPr>
            </w:pPr>
            <w:r>
              <w:rPr>
                <w:rFonts w:ascii="Arial" w:cs="Arial" w:eastAsia="Arial" w:hAnsi="Arial"/>
                <w:sz w:val="16"/>
                <w:szCs w:val="16"/>
                <w:b w:val="1"/>
                <w:bCs w:val="1"/>
                <w:color w:val="auto"/>
              </w:rPr>
              <w:t>(4,561)</w:t>
            </w:r>
          </w:p>
        </w:tc>
        <w:tc>
          <w:tcPr>
            <w:tcW w:w="1360" w:type="dxa"/>
            <w:vAlign w:val="bottom"/>
          </w:tcPr>
          <w:p>
            <w:pPr>
              <w:jc w:val="right"/>
              <w:ind w:right="298"/>
              <w:spacing w:after="0"/>
              <w:rPr>
                <w:sz w:val="20"/>
                <w:szCs w:val="20"/>
                <w:color w:val="auto"/>
              </w:rPr>
            </w:pPr>
            <w:r>
              <w:rPr>
                <w:rFonts w:ascii="Arial" w:cs="Arial" w:eastAsia="Arial" w:hAnsi="Arial"/>
                <w:sz w:val="16"/>
                <w:szCs w:val="16"/>
                <w:color w:val="auto"/>
              </w:rPr>
              <w:t>(3,026)</w:t>
            </w:r>
          </w:p>
        </w:tc>
        <w:tc>
          <w:tcPr>
            <w:tcW w:w="1140" w:type="dxa"/>
            <w:vAlign w:val="bottom"/>
          </w:tcPr>
          <w:p>
            <w:pPr>
              <w:jc w:val="right"/>
              <w:ind w:right="78"/>
              <w:spacing w:after="0"/>
              <w:rPr>
                <w:sz w:val="20"/>
                <w:szCs w:val="20"/>
                <w:color w:val="auto"/>
              </w:rPr>
            </w:pPr>
            <w:r>
              <w:rPr>
                <w:rFonts w:ascii="Arial" w:cs="Arial" w:eastAsia="Arial" w:hAnsi="Arial"/>
                <w:sz w:val="16"/>
                <w:szCs w:val="16"/>
                <w:b w:val="1"/>
                <w:bCs w:val="1"/>
                <w:color w:val="auto"/>
              </w:rPr>
              <w:t>(13,127)</w:t>
            </w:r>
          </w:p>
        </w:tc>
        <w:tc>
          <w:tcPr>
            <w:tcW w:w="1300" w:type="dxa"/>
            <w:vAlign w:val="bottom"/>
          </w:tcPr>
          <w:p>
            <w:pPr>
              <w:jc w:val="right"/>
              <w:spacing w:after="0"/>
              <w:rPr>
                <w:sz w:val="20"/>
                <w:szCs w:val="20"/>
                <w:color w:val="auto"/>
              </w:rPr>
            </w:pPr>
            <w:r>
              <w:rPr>
                <w:rFonts w:ascii="Arial" w:cs="Arial" w:eastAsia="Arial" w:hAnsi="Arial"/>
                <w:sz w:val="16"/>
                <w:szCs w:val="16"/>
                <w:color w:val="auto"/>
              </w:rPr>
              <w:t>(4,887)</w:t>
            </w:r>
          </w:p>
        </w:tc>
      </w:tr>
      <w:tr>
        <w:trPr>
          <w:trHeight w:val="208"/>
        </w:trPr>
        <w:tc>
          <w:tcPr>
            <w:tcW w:w="456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2120" w:type="dxa"/>
            <w:vAlign w:val="bottom"/>
          </w:tcPr>
          <w:p>
            <w:pPr>
              <w:jc w:val="right"/>
              <w:ind w:right="298"/>
              <w:spacing w:after="0"/>
              <w:rPr>
                <w:sz w:val="20"/>
                <w:szCs w:val="20"/>
                <w:color w:val="auto"/>
              </w:rPr>
            </w:pPr>
            <w:r>
              <w:rPr>
                <w:rFonts w:ascii="Arial" w:cs="Arial" w:eastAsia="Arial" w:hAnsi="Arial"/>
                <w:sz w:val="16"/>
                <w:szCs w:val="16"/>
                <w:b w:val="1"/>
                <w:bCs w:val="1"/>
                <w:color w:val="auto"/>
              </w:rPr>
              <w:t>1,181</w:t>
            </w:r>
          </w:p>
        </w:tc>
        <w:tc>
          <w:tcPr>
            <w:tcW w:w="1360" w:type="dxa"/>
            <w:vAlign w:val="bottom"/>
          </w:tcPr>
          <w:p>
            <w:pPr>
              <w:jc w:val="right"/>
              <w:ind w:right="298"/>
              <w:spacing w:after="0"/>
              <w:rPr>
                <w:sz w:val="20"/>
                <w:szCs w:val="20"/>
                <w:color w:val="auto"/>
              </w:rPr>
            </w:pPr>
            <w:r>
              <w:rPr>
                <w:rFonts w:ascii="Arial" w:cs="Arial" w:eastAsia="Arial" w:hAnsi="Arial"/>
                <w:sz w:val="16"/>
                <w:szCs w:val="16"/>
                <w:color w:val="auto"/>
              </w:rPr>
              <w:t>1,117</w:t>
            </w:r>
          </w:p>
        </w:tc>
        <w:tc>
          <w:tcPr>
            <w:tcW w:w="1140" w:type="dxa"/>
            <w:vAlign w:val="bottom"/>
          </w:tcPr>
          <w:p>
            <w:pPr>
              <w:jc w:val="right"/>
              <w:ind w:right="78"/>
              <w:spacing w:after="0"/>
              <w:rPr>
                <w:sz w:val="20"/>
                <w:szCs w:val="20"/>
                <w:color w:val="auto"/>
              </w:rPr>
            </w:pPr>
            <w:r>
              <w:rPr>
                <w:rFonts w:ascii="Arial" w:cs="Arial" w:eastAsia="Arial" w:hAnsi="Arial"/>
                <w:sz w:val="16"/>
                <w:szCs w:val="16"/>
                <w:b w:val="1"/>
                <w:bCs w:val="1"/>
                <w:color w:val="auto"/>
              </w:rPr>
              <w:t>3,892</w:t>
            </w:r>
          </w:p>
        </w:tc>
        <w:tc>
          <w:tcPr>
            <w:tcW w:w="1300" w:type="dxa"/>
            <w:vAlign w:val="bottom"/>
          </w:tcPr>
          <w:p>
            <w:pPr>
              <w:jc w:val="right"/>
              <w:spacing w:after="0"/>
              <w:rPr>
                <w:sz w:val="20"/>
                <w:szCs w:val="20"/>
                <w:color w:val="auto"/>
              </w:rPr>
            </w:pPr>
            <w:r>
              <w:rPr>
                <w:rFonts w:ascii="Arial" w:cs="Arial" w:eastAsia="Arial" w:hAnsi="Arial"/>
                <w:sz w:val="16"/>
                <w:szCs w:val="16"/>
                <w:color w:val="auto"/>
              </w:rPr>
              <w:t>1,984</w:t>
            </w:r>
          </w:p>
        </w:tc>
      </w:tr>
      <w:tr>
        <w:trPr>
          <w:trHeight w:val="208"/>
        </w:trPr>
        <w:tc>
          <w:tcPr>
            <w:tcW w:w="4560" w:type="dxa"/>
            <w:vAlign w:val="bottom"/>
          </w:tcPr>
          <w:p>
            <w:pPr>
              <w:spacing w:after="0"/>
              <w:rPr>
                <w:sz w:val="20"/>
                <w:szCs w:val="20"/>
                <w:color w:val="auto"/>
              </w:rPr>
            </w:pPr>
            <w:r>
              <w:rPr>
                <w:rFonts w:ascii="Arial" w:cs="Arial" w:eastAsia="Arial" w:hAnsi="Arial"/>
                <w:sz w:val="16"/>
                <w:szCs w:val="16"/>
                <w:color w:val="auto"/>
              </w:rPr>
              <w:t>Difference between Canadian and foreign tax rates</w:t>
            </w:r>
          </w:p>
        </w:tc>
        <w:tc>
          <w:tcPr>
            <w:tcW w:w="2120" w:type="dxa"/>
            <w:vAlign w:val="bottom"/>
          </w:tcPr>
          <w:p>
            <w:pPr>
              <w:jc w:val="right"/>
              <w:ind w:right="298"/>
              <w:spacing w:after="0"/>
              <w:rPr>
                <w:sz w:val="20"/>
                <w:szCs w:val="20"/>
                <w:color w:val="auto"/>
              </w:rPr>
            </w:pPr>
            <w:r>
              <w:rPr>
                <w:rFonts w:ascii="Arial" w:cs="Arial" w:eastAsia="Arial" w:hAnsi="Arial"/>
                <w:sz w:val="16"/>
                <w:szCs w:val="16"/>
                <w:b w:val="1"/>
                <w:bCs w:val="1"/>
                <w:color w:val="auto"/>
              </w:rPr>
              <w:t>351</w:t>
            </w:r>
          </w:p>
        </w:tc>
        <w:tc>
          <w:tcPr>
            <w:tcW w:w="1360" w:type="dxa"/>
            <w:vAlign w:val="bottom"/>
          </w:tcPr>
          <w:p>
            <w:pPr>
              <w:jc w:val="right"/>
              <w:ind w:right="298"/>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8"/>
              <w:spacing w:after="0"/>
              <w:rPr>
                <w:sz w:val="20"/>
                <w:szCs w:val="20"/>
                <w:color w:val="auto"/>
              </w:rPr>
            </w:pPr>
            <w:r>
              <w:rPr>
                <w:rFonts w:ascii="Arial" w:cs="Arial" w:eastAsia="Arial" w:hAnsi="Arial"/>
                <w:sz w:val="16"/>
                <w:szCs w:val="16"/>
                <w:b w:val="1"/>
                <w:bCs w:val="1"/>
                <w:color w:val="auto"/>
              </w:rPr>
              <w:t>1,004</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4560" w:type="dxa"/>
            <w:vAlign w:val="bottom"/>
          </w:tcPr>
          <w:p>
            <w:pPr>
              <w:spacing w:after="0"/>
              <w:rPr>
                <w:sz w:val="20"/>
                <w:szCs w:val="20"/>
                <w:color w:val="auto"/>
              </w:rPr>
            </w:pPr>
            <w:r>
              <w:rPr>
                <w:rFonts w:ascii="Arial" w:cs="Arial" w:eastAsia="Arial" w:hAnsi="Arial"/>
                <w:sz w:val="16"/>
                <w:szCs w:val="16"/>
                <w:color w:val="auto"/>
              </w:rPr>
              <w:t>Accretion of convertible note</w:t>
            </w:r>
          </w:p>
        </w:tc>
        <w:tc>
          <w:tcPr>
            <w:tcW w:w="2120" w:type="dxa"/>
            <w:vAlign w:val="bottom"/>
          </w:tcPr>
          <w:p>
            <w:pPr>
              <w:jc w:val="right"/>
              <w:ind w:right="298"/>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298"/>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8"/>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4560" w:type="dxa"/>
            <w:vAlign w:val="bottom"/>
          </w:tcPr>
          <w:p>
            <w:pPr>
              <w:spacing w:after="0"/>
              <w:rPr>
                <w:sz w:val="20"/>
                <w:szCs w:val="20"/>
                <w:color w:val="auto"/>
              </w:rPr>
            </w:pPr>
            <w:r>
              <w:rPr>
                <w:rFonts w:ascii="Arial" w:cs="Arial" w:eastAsia="Arial" w:hAnsi="Arial"/>
                <w:sz w:val="16"/>
                <w:szCs w:val="16"/>
                <w:color w:val="auto"/>
              </w:rPr>
              <w:t>Non-deductible expenses</w:t>
            </w:r>
          </w:p>
        </w:tc>
        <w:tc>
          <w:tcPr>
            <w:tcW w:w="2120" w:type="dxa"/>
            <w:vAlign w:val="bottom"/>
          </w:tcPr>
          <w:p>
            <w:pPr>
              <w:jc w:val="right"/>
              <w:ind w:right="298"/>
              <w:spacing w:after="0"/>
              <w:rPr>
                <w:sz w:val="20"/>
                <w:szCs w:val="20"/>
                <w:color w:val="auto"/>
              </w:rPr>
            </w:pPr>
            <w:r>
              <w:rPr>
                <w:rFonts w:ascii="Arial" w:cs="Arial" w:eastAsia="Arial" w:hAnsi="Arial"/>
                <w:sz w:val="16"/>
                <w:szCs w:val="16"/>
                <w:b w:val="1"/>
                <w:bCs w:val="1"/>
                <w:color w:val="auto"/>
              </w:rPr>
              <w:t>162</w:t>
            </w:r>
          </w:p>
        </w:tc>
        <w:tc>
          <w:tcPr>
            <w:tcW w:w="1360" w:type="dxa"/>
            <w:vAlign w:val="bottom"/>
          </w:tcPr>
          <w:p>
            <w:pPr>
              <w:jc w:val="right"/>
              <w:ind w:right="298"/>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8"/>
              <w:spacing w:after="0"/>
              <w:rPr>
                <w:sz w:val="20"/>
                <w:szCs w:val="20"/>
                <w:color w:val="auto"/>
              </w:rPr>
            </w:pPr>
            <w:r>
              <w:rPr>
                <w:rFonts w:ascii="Arial" w:cs="Arial" w:eastAsia="Arial" w:hAnsi="Arial"/>
                <w:sz w:val="16"/>
                <w:szCs w:val="16"/>
                <w:b w:val="1"/>
                <w:bCs w:val="1"/>
                <w:color w:val="auto"/>
              </w:rPr>
              <w:t>657</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Change in unrecognized deferred tax assets</w:t>
            </w:r>
          </w:p>
        </w:tc>
        <w:tc>
          <w:tcPr>
            <w:tcW w:w="21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2,867</w:t>
            </w:r>
          </w:p>
        </w:tc>
        <w:tc>
          <w:tcPr>
            <w:tcW w:w="13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1,909</w:t>
            </w:r>
          </w:p>
        </w:tc>
        <w:tc>
          <w:tcPr>
            <w:tcW w:w="11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7,574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w:t>
            </w:r>
          </w:p>
        </w:tc>
      </w:tr>
      <w:tr>
        <w:trPr>
          <w:trHeight w:val="201"/>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Income tax recovery</w:t>
            </w:r>
          </w:p>
        </w:tc>
        <w:tc>
          <w:tcPr>
            <w:tcW w:w="21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 —</w:t>
            </w:r>
          </w:p>
        </w:tc>
        <w:tc>
          <w:tcPr>
            <w:tcW w:w="13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 —</w:t>
            </w:r>
          </w:p>
        </w:tc>
        <w:tc>
          <w:tcPr>
            <w:tcW w:w="11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bl>
    <w:p>
      <w:pPr>
        <w:spacing w:after="0" w:line="244" w:lineRule="exact"/>
        <w:rPr>
          <w:sz w:val="20"/>
          <w:szCs w:val="20"/>
          <w:color w:val="auto"/>
        </w:rPr>
      </w:pPr>
    </w:p>
    <w:p>
      <w:pPr>
        <w:ind w:left="302"/>
        <w:spacing w:after="0" w:line="270" w:lineRule="auto"/>
        <w:rPr>
          <w:sz w:val="20"/>
          <w:szCs w:val="20"/>
          <w:color w:val="auto"/>
        </w:rPr>
      </w:pPr>
      <w:r>
        <w:rPr>
          <w:rFonts w:ascii="Arial" w:cs="Arial" w:eastAsia="Arial" w:hAnsi="Arial"/>
          <w:sz w:val="16"/>
          <w:szCs w:val="16"/>
          <w:color w:val="auto"/>
        </w:rPr>
        <w:t>The significant components of the Company’s deferred tax assets, resulting from temporary differences, unused tax credits and unused tax losses, that have not been included on the consolidated statements of financial position, are as follows:</w:t>
      </w:r>
    </w:p>
    <w:p>
      <w:pPr>
        <w:spacing w:after="0" w:line="153" w:lineRule="exact"/>
        <w:rPr>
          <w:sz w:val="20"/>
          <w:szCs w:val="20"/>
          <w:color w:val="auto"/>
        </w:rPr>
      </w:pPr>
    </w:p>
    <w:tbl>
      <w:tblPr>
        <w:tblLayout w:type="fixed"/>
        <w:tblInd w:w="302" w:type="dxa"/>
        <w:tblCellMar>
          <w:top w:w="0" w:type="dxa"/>
          <w:left w:w="0" w:type="dxa"/>
          <w:bottom w:w="0" w:type="dxa"/>
          <w:right w:w="0" w:type="dxa"/>
        </w:tblCellMar>
      </w:tblPr>
      <w:tr>
        <w:trPr>
          <w:trHeight w:val="216"/>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 at</w:t>
            </w:r>
          </w:p>
        </w:tc>
        <w:tc>
          <w:tcPr>
            <w:tcW w:w="42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December 31, 2021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192"/>
        </w:trPr>
        <w:tc>
          <w:tcPr>
            <w:tcW w:w="4640" w:type="dxa"/>
            <w:vAlign w:val="bottom"/>
          </w:tcPr>
          <w:p>
            <w:pPr>
              <w:spacing w:after="0"/>
              <w:rPr>
                <w:sz w:val="20"/>
                <w:szCs w:val="20"/>
                <w:color w:val="auto"/>
              </w:rPr>
            </w:pPr>
            <w:r>
              <w:rPr>
                <w:rFonts w:ascii="Arial" w:cs="Arial" w:eastAsia="Arial" w:hAnsi="Arial"/>
                <w:sz w:val="16"/>
                <w:szCs w:val="16"/>
                <w:color w:val="auto"/>
              </w:rPr>
              <w:t>Non-capital loss carryforwards</w:t>
            </w:r>
          </w:p>
        </w:tc>
        <w:tc>
          <w:tcPr>
            <w:tcW w:w="4280" w:type="dxa"/>
            <w:vAlign w:val="bottom"/>
          </w:tcPr>
          <w:p>
            <w:pPr>
              <w:jc w:val="right"/>
              <w:ind w:right="278"/>
              <w:spacing w:after="0"/>
              <w:rPr>
                <w:sz w:val="20"/>
                <w:szCs w:val="20"/>
                <w:color w:val="auto"/>
              </w:rPr>
            </w:pPr>
            <w:r>
              <w:rPr>
                <w:rFonts w:ascii="Arial" w:cs="Arial" w:eastAsia="Arial" w:hAnsi="Arial"/>
                <w:sz w:val="16"/>
                <w:szCs w:val="16"/>
                <w:b w:val="1"/>
                <w:bCs w:val="1"/>
                <w:color w:val="auto"/>
              </w:rPr>
              <w:t>13,236</w:t>
            </w:r>
          </w:p>
        </w:tc>
        <w:tc>
          <w:tcPr>
            <w:tcW w:w="1580" w:type="dxa"/>
            <w:vAlign w:val="bottom"/>
          </w:tcPr>
          <w:p>
            <w:pPr>
              <w:jc w:val="right"/>
              <w:spacing w:after="0"/>
              <w:rPr>
                <w:sz w:val="20"/>
                <w:szCs w:val="20"/>
                <w:color w:val="auto"/>
              </w:rPr>
            </w:pPr>
            <w:r>
              <w:rPr>
                <w:rFonts w:ascii="Arial" w:cs="Arial" w:eastAsia="Arial" w:hAnsi="Arial"/>
                <w:sz w:val="16"/>
                <w:szCs w:val="16"/>
                <w:color w:val="auto"/>
              </w:rPr>
              <w:t>5,660</w:t>
            </w:r>
          </w:p>
        </w:tc>
      </w:tr>
      <w:tr>
        <w:trPr>
          <w:trHeight w:val="208"/>
        </w:trPr>
        <w:tc>
          <w:tcPr>
            <w:tcW w:w="4640" w:type="dxa"/>
            <w:vAlign w:val="bottom"/>
          </w:tcPr>
          <w:p>
            <w:pPr>
              <w:spacing w:after="0"/>
              <w:rPr>
                <w:sz w:val="20"/>
                <w:szCs w:val="20"/>
                <w:color w:val="auto"/>
              </w:rPr>
            </w:pPr>
            <w:r>
              <w:rPr>
                <w:rFonts w:ascii="Arial" w:cs="Arial" w:eastAsia="Arial" w:hAnsi="Arial"/>
                <w:sz w:val="16"/>
                <w:szCs w:val="16"/>
                <w:color w:val="auto"/>
              </w:rPr>
              <w:t>Share issuance costs</w:t>
            </w:r>
          </w:p>
        </w:tc>
        <w:tc>
          <w:tcPr>
            <w:tcW w:w="4280" w:type="dxa"/>
            <w:vAlign w:val="bottom"/>
          </w:tcPr>
          <w:p>
            <w:pPr>
              <w:jc w:val="right"/>
              <w:ind w:right="278"/>
              <w:spacing w:after="0"/>
              <w:rPr>
                <w:sz w:val="20"/>
                <w:szCs w:val="20"/>
                <w:color w:val="auto"/>
              </w:rPr>
            </w:pPr>
            <w:r>
              <w:rPr>
                <w:rFonts w:ascii="Arial" w:cs="Arial" w:eastAsia="Arial" w:hAnsi="Arial"/>
                <w:sz w:val="16"/>
                <w:szCs w:val="16"/>
                <w:b w:val="1"/>
                <w:bCs w:val="1"/>
                <w:color w:val="auto"/>
              </w:rPr>
              <w:t>926</w:t>
            </w:r>
          </w:p>
        </w:tc>
        <w:tc>
          <w:tcPr>
            <w:tcW w:w="1580" w:type="dxa"/>
            <w:vAlign w:val="bottom"/>
          </w:tcPr>
          <w:p>
            <w:pPr>
              <w:jc w:val="right"/>
              <w:spacing w:after="0"/>
              <w:rPr>
                <w:sz w:val="20"/>
                <w:szCs w:val="20"/>
                <w:color w:val="auto"/>
              </w:rPr>
            </w:pPr>
            <w:r>
              <w:rPr>
                <w:rFonts w:ascii="Arial" w:cs="Arial" w:eastAsia="Arial" w:hAnsi="Arial"/>
                <w:sz w:val="16"/>
                <w:szCs w:val="16"/>
                <w:color w:val="auto"/>
              </w:rPr>
              <w:t>1,126</w:t>
            </w:r>
          </w:p>
        </w:tc>
      </w:tr>
      <w:tr>
        <w:trPr>
          <w:trHeight w:val="208"/>
        </w:trPr>
        <w:tc>
          <w:tcPr>
            <w:tcW w:w="4640" w:type="dxa"/>
            <w:vAlign w:val="bottom"/>
          </w:tcPr>
          <w:p>
            <w:pPr>
              <w:spacing w:after="0"/>
              <w:rPr>
                <w:sz w:val="20"/>
                <w:szCs w:val="20"/>
                <w:color w:val="auto"/>
              </w:rPr>
            </w:pPr>
            <w:r>
              <w:rPr>
                <w:rFonts w:ascii="Arial" w:cs="Arial" w:eastAsia="Arial" w:hAnsi="Arial"/>
                <w:sz w:val="16"/>
                <w:szCs w:val="16"/>
                <w:color w:val="auto"/>
              </w:rPr>
              <w:t>Depreciation/CCA differences</w:t>
            </w:r>
          </w:p>
        </w:tc>
        <w:tc>
          <w:tcPr>
            <w:tcW w:w="4280" w:type="dxa"/>
            <w:vAlign w:val="bottom"/>
          </w:tcPr>
          <w:p>
            <w:pPr>
              <w:jc w:val="right"/>
              <w:ind w:right="278"/>
              <w:spacing w:after="0"/>
              <w:rPr>
                <w:sz w:val="20"/>
                <w:szCs w:val="20"/>
                <w:color w:val="auto"/>
              </w:rPr>
            </w:pPr>
            <w:r>
              <w:rPr>
                <w:rFonts w:ascii="Arial" w:cs="Arial" w:eastAsia="Arial" w:hAnsi="Arial"/>
                <w:sz w:val="16"/>
                <w:szCs w:val="16"/>
                <w:b w:val="1"/>
                <w:bCs w:val="1"/>
                <w:color w:val="auto"/>
              </w:rPr>
              <w:t>233</w:t>
            </w:r>
          </w:p>
        </w:tc>
        <w:tc>
          <w:tcPr>
            <w:tcW w:w="15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42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192"/>
        </w:trPr>
        <w:tc>
          <w:tcPr>
            <w:tcW w:w="4640" w:type="dxa"/>
            <w:vAlign w:val="bottom"/>
          </w:tcPr>
          <w:p>
            <w:pPr>
              <w:spacing w:after="0"/>
              <w:rPr>
                <w:sz w:val="16"/>
                <w:szCs w:val="16"/>
                <w:color w:val="auto"/>
              </w:rPr>
            </w:pPr>
          </w:p>
        </w:tc>
        <w:tc>
          <w:tcPr>
            <w:tcW w:w="4280" w:type="dxa"/>
            <w:vAlign w:val="bottom"/>
          </w:tcPr>
          <w:p>
            <w:pPr>
              <w:jc w:val="right"/>
              <w:ind w:right="278"/>
              <w:spacing w:after="0"/>
              <w:rPr>
                <w:sz w:val="20"/>
                <w:szCs w:val="20"/>
                <w:color w:val="auto"/>
              </w:rPr>
            </w:pPr>
            <w:r>
              <w:rPr>
                <w:rFonts w:ascii="Arial" w:cs="Arial" w:eastAsia="Arial" w:hAnsi="Arial"/>
                <w:sz w:val="16"/>
                <w:szCs w:val="16"/>
                <w:b w:val="1"/>
                <w:bCs w:val="1"/>
                <w:color w:val="auto"/>
              </w:rPr>
              <w:t>14,395</w:t>
            </w:r>
          </w:p>
        </w:tc>
        <w:tc>
          <w:tcPr>
            <w:tcW w:w="1580" w:type="dxa"/>
            <w:vAlign w:val="bottom"/>
          </w:tcPr>
          <w:p>
            <w:pPr>
              <w:jc w:val="right"/>
              <w:spacing w:after="0"/>
              <w:rPr>
                <w:sz w:val="20"/>
                <w:szCs w:val="20"/>
                <w:color w:val="auto"/>
              </w:rPr>
            </w:pPr>
            <w:r>
              <w:rPr>
                <w:rFonts w:ascii="Arial" w:cs="Arial" w:eastAsia="Arial" w:hAnsi="Arial"/>
                <w:sz w:val="16"/>
                <w:szCs w:val="16"/>
                <w:color w:val="auto"/>
              </w:rPr>
              <w:t>6,821</w:t>
            </w:r>
          </w:p>
        </w:tc>
      </w:tr>
      <w:tr>
        <w:trPr>
          <w:trHeight w:val="216"/>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Valuation allowance</w:t>
            </w:r>
          </w:p>
        </w:tc>
        <w:tc>
          <w:tcPr>
            <w:tcW w:w="42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(14,395)</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(6,821)</w:t>
            </w:r>
          </w:p>
        </w:tc>
      </w:tr>
      <w:tr>
        <w:trPr>
          <w:trHeight w:val="201"/>
        </w:trPr>
        <w:tc>
          <w:tcPr>
            <w:tcW w:w="464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23 of 25</w:t>
      </w:r>
    </w:p>
    <w:p>
      <w:pPr>
        <w:sectPr>
          <w:pgSz w:w="11900" w:h="16838" w:orient="portrait"/>
          <w:cols w:equalWidth="0" w:num="1">
            <w:col w:w="11242"/>
          </w:cols>
          <w:pgMar w:left="318" w:top="171"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23495</wp:posOffset>
            </wp:positionV>
            <wp:extent cx="714502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40"/>
        <w:spacing w:after="0" w:line="270" w:lineRule="auto"/>
        <w:rPr>
          <w:sz w:val="20"/>
          <w:szCs w:val="20"/>
          <w:color w:val="auto"/>
        </w:rPr>
      </w:pPr>
      <w:r>
        <w:rPr>
          <w:rFonts w:ascii="Arial" w:cs="Arial" w:eastAsia="Arial" w:hAnsi="Arial"/>
          <w:sz w:val="16"/>
          <w:szCs w:val="16"/>
          <w:color w:val="auto"/>
        </w:rPr>
        <w:t>These deferred tax assets have not been recognized because it is not probable that future taxable profit will be available against which the Company will be able to use these potential benefits.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Non-capital loss balance</w:t>
      </w:r>
    </w:p>
    <w:p>
      <w:pPr>
        <w:spacing w:after="0" w:line="191"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As at December 31, 2021, the Company has non-capital losses in Canada, which under certain circumstances can be used to reduce the taxable income of future years. The non-capital losses expire as follows:</w:t>
      </w:r>
    </w:p>
    <w:p>
      <w:pPr>
        <w:spacing w:after="0" w:line="173"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Year of expiry</w:t>
            </w:r>
          </w:p>
        </w:tc>
        <w:tc>
          <w:tcPr>
            <w:tcW w:w="5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5480" w:type="dxa"/>
            <w:vAlign w:val="bottom"/>
          </w:tcPr>
          <w:p>
            <w:pPr>
              <w:spacing w:after="0"/>
              <w:rPr>
                <w:sz w:val="20"/>
                <w:szCs w:val="20"/>
                <w:color w:val="auto"/>
              </w:rPr>
            </w:pPr>
            <w:r>
              <w:rPr>
                <w:rFonts w:ascii="Arial" w:cs="Arial" w:eastAsia="Arial" w:hAnsi="Arial"/>
                <w:sz w:val="16"/>
                <w:szCs w:val="16"/>
                <w:color w:val="auto"/>
              </w:rPr>
              <w:t>2040</w:t>
            </w:r>
          </w:p>
        </w:tc>
        <w:tc>
          <w:tcPr>
            <w:tcW w:w="5040" w:type="dxa"/>
            <w:vAlign w:val="bottom"/>
          </w:tcPr>
          <w:p>
            <w:pPr>
              <w:jc w:val="right"/>
              <w:spacing w:after="0"/>
              <w:rPr>
                <w:sz w:val="20"/>
                <w:szCs w:val="20"/>
                <w:color w:val="auto"/>
              </w:rPr>
            </w:pPr>
            <w:r>
              <w:rPr>
                <w:rFonts w:ascii="Arial" w:cs="Arial" w:eastAsia="Arial" w:hAnsi="Arial"/>
                <w:sz w:val="16"/>
                <w:szCs w:val="16"/>
                <w:b w:val="1"/>
                <w:bCs w:val="1"/>
                <w:color w:val="auto"/>
              </w:rPr>
              <w:t>740</w:t>
            </w:r>
          </w:p>
        </w:tc>
      </w:tr>
      <w:tr>
        <w:trPr>
          <w:trHeight w:val="208"/>
        </w:trPr>
        <w:tc>
          <w:tcPr>
            <w:tcW w:w="5480" w:type="dxa"/>
            <w:vAlign w:val="bottom"/>
          </w:tcPr>
          <w:p>
            <w:pPr>
              <w:spacing w:after="0"/>
              <w:rPr>
                <w:sz w:val="20"/>
                <w:szCs w:val="20"/>
                <w:color w:val="auto"/>
              </w:rPr>
            </w:pPr>
            <w:r>
              <w:rPr>
                <w:rFonts w:ascii="Arial" w:cs="Arial" w:eastAsia="Arial" w:hAnsi="Arial"/>
                <w:sz w:val="16"/>
                <w:szCs w:val="16"/>
                <w:color w:val="auto"/>
              </w:rPr>
              <w:t>2041</w:t>
            </w:r>
          </w:p>
        </w:tc>
        <w:tc>
          <w:tcPr>
            <w:tcW w:w="5040" w:type="dxa"/>
            <w:vAlign w:val="bottom"/>
          </w:tcPr>
          <w:p>
            <w:pPr>
              <w:jc w:val="right"/>
              <w:spacing w:after="0"/>
              <w:rPr>
                <w:sz w:val="20"/>
                <w:szCs w:val="20"/>
                <w:color w:val="auto"/>
              </w:rPr>
            </w:pPr>
            <w:r>
              <w:rPr>
                <w:rFonts w:ascii="Arial" w:cs="Arial" w:eastAsia="Arial" w:hAnsi="Arial"/>
                <w:sz w:val="16"/>
                <w:szCs w:val="16"/>
                <w:b w:val="1"/>
                <w:bCs w:val="1"/>
                <w:color w:val="auto"/>
              </w:rPr>
              <w:t>19,373</w:t>
            </w:r>
          </w:p>
        </w:tc>
      </w:tr>
      <w:tr>
        <w:trPr>
          <w:trHeight w:val="216"/>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2042</w:t>
            </w:r>
          </w:p>
        </w:tc>
        <w:tc>
          <w:tcPr>
            <w:tcW w:w="5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21,996</w:t>
            </w:r>
          </w:p>
        </w:tc>
      </w:tr>
      <w:tr>
        <w:trPr>
          <w:trHeight w:val="201"/>
        </w:trPr>
        <w:tc>
          <w:tcPr>
            <w:tcW w:w="548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42,109</w:t>
            </w:r>
          </w:p>
        </w:tc>
      </w:tr>
    </w:tbl>
    <w:p>
      <w:pPr>
        <w:spacing w:after="0" w:line="244"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As at December 31, 2021, the Company has non-capital losses in the United States, which under certain circumstances can be used to reduce the taxable income of future years. The non-capital losses, stated in Canadian dollars, that will expire as follows:</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Year of expiry</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400" w:type="dxa"/>
            <w:vAlign w:val="bottom"/>
          </w:tcPr>
          <w:p>
            <w:pPr>
              <w:spacing w:after="0"/>
              <w:rPr>
                <w:sz w:val="20"/>
                <w:szCs w:val="20"/>
                <w:color w:val="auto"/>
              </w:rPr>
            </w:pPr>
            <w:r>
              <w:rPr>
                <w:rFonts w:ascii="Arial" w:cs="Arial" w:eastAsia="Arial" w:hAnsi="Arial"/>
                <w:sz w:val="16"/>
                <w:szCs w:val="16"/>
                <w:color w:val="auto"/>
              </w:rPr>
              <w:t>2041</w:t>
            </w:r>
          </w:p>
        </w:tc>
        <w:tc>
          <w:tcPr>
            <w:tcW w:w="7460" w:type="dxa"/>
            <w:vAlign w:val="bottom"/>
          </w:tcPr>
          <w:p>
            <w:pPr>
              <w:ind w:left="20"/>
              <w:spacing w:after="0"/>
              <w:rPr>
                <w:sz w:val="20"/>
                <w:szCs w:val="20"/>
                <w:color w:val="auto"/>
              </w:rPr>
            </w:pPr>
            <w:r>
              <w:rPr>
                <w:rFonts w:ascii="Arial" w:cs="Arial" w:eastAsia="Arial" w:hAnsi="Arial"/>
                <w:sz w:val="16"/>
                <w:szCs w:val="16"/>
                <w:color w:val="auto"/>
              </w:rPr>
              <w:t>- Pre-acquisition loss generated up to December 4, 2020</w:t>
            </w: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933</w:t>
            </w:r>
          </w:p>
        </w:tc>
      </w:tr>
      <w:tr>
        <w:trPr>
          <w:trHeight w:val="208"/>
        </w:trPr>
        <w:tc>
          <w:tcPr>
            <w:tcW w:w="400" w:type="dxa"/>
            <w:vAlign w:val="bottom"/>
          </w:tcPr>
          <w:p>
            <w:pPr>
              <w:spacing w:after="0"/>
              <w:rPr>
                <w:sz w:val="20"/>
                <w:szCs w:val="20"/>
                <w:color w:val="auto"/>
              </w:rPr>
            </w:pPr>
            <w:r>
              <w:rPr>
                <w:rFonts w:ascii="Arial" w:cs="Arial" w:eastAsia="Arial" w:hAnsi="Arial"/>
                <w:sz w:val="16"/>
                <w:szCs w:val="16"/>
                <w:color w:val="auto"/>
              </w:rPr>
              <w:t>2041</w:t>
            </w:r>
          </w:p>
        </w:tc>
        <w:tc>
          <w:tcPr>
            <w:tcW w:w="7460" w:type="dxa"/>
            <w:vAlign w:val="bottom"/>
          </w:tcPr>
          <w:p>
            <w:pPr>
              <w:ind w:left="20"/>
              <w:spacing w:after="0"/>
              <w:rPr>
                <w:sz w:val="20"/>
                <w:szCs w:val="20"/>
                <w:color w:val="auto"/>
              </w:rPr>
            </w:pPr>
            <w:r>
              <w:rPr>
                <w:rFonts w:ascii="Arial" w:cs="Arial" w:eastAsia="Arial" w:hAnsi="Arial"/>
                <w:sz w:val="16"/>
                <w:szCs w:val="16"/>
                <w:color w:val="auto"/>
              </w:rPr>
              <w:t>- Loss generated in the period from December 4, 2020 to March 31, 2021</w:t>
            </w: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1,241</w:t>
            </w:r>
          </w:p>
        </w:tc>
      </w:tr>
      <w:tr>
        <w:trPr>
          <w:trHeight w:val="216"/>
        </w:trPr>
        <w:tc>
          <w:tcPr>
            <w:tcW w:w="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2042</w:t>
            </w:r>
          </w:p>
        </w:tc>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Loss generated in the nine months ended December 31, 2021</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4,964</w:t>
            </w:r>
          </w:p>
        </w:tc>
      </w:tr>
      <w:tr>
        <w:trPr>
          <w:trHeight w:val="201"/>
        </w:trPr>
        <w:tc>
          <w:tcPr>
            <w:tcW w:w="400" w:type="dxa"/>
            <w:vAlign w:val="bottom"/>
            <w:tcBorders>
              <w:bottom w:val="single" w:sz="8" w:color="auto"/>
            </w:tcBorders>
          </w:tcPr>
          <w:p>
            <w:pPr>
              <w:spacing w:after="0"/>
              <w:rPr>
                <w:sz w:val="17"/>
                <w:szCs w:val="17"/>
                <w:color w:val="auto"/>
              </w:rPr>
            </w:pPr>
          </w:p>
        </w:tc>
        <w:tc>
          <w:tcPr>
            <w:tcW w:w="74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7,138</w:t>
            </w:r>
          </w:p>
        </w:tc>
      </w:tr>
    </w:tbl>
    <w:p>
      <w:pPr>
        <w:spacing w:after="0" w:line="244"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Although the US federal losses carryforward indefinitely, they are subject to restrictions on their deductibility. The deductibility of the pre-acquisition loss and the post-acquisition loss is restricted to 80% of taxable income in the year of deduction. The pre-acquisition loss is further restricted to an annual limitation under Section 382. As at December 31, 2021, the annual limitation was $136.</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Massachusetts allows for a 20-year carryforward period for restricted and unrestricted losses without limitation.</w:t>
      </w:r>
    </w:p>
    <w:p>
      <w:pPr>
        <w:spacing w:after="0" w:line="171"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6"/>
          <w:szCs w:val="16"/>
          <w:color w:val="auto"/>
        </w:rPr>
        <w:t>As at December 31, 2021, the Company has non-capital losses in Ireland, which under certain circumstances can be used to reduce the taxable income of future years. The non-capital losses, stated in Canadian dollars, expire as follows:</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208"/>
        </w:trPr>
        <w:tc>
          <w:tcPr>
            <w:tcW w:w="5580" w:type="dxa"/>
            <w:vAlign w:val="bottom"/>
          </w:tcPr>
          <w:p>
            <w:pPr>
              <w:spacing w:after="0"/>
              <w:rPr>
                <w:sz w:val="20"/>
                <w:szCs w:val="20"/>
                <w:color w:val="auto"/>
              </w:rPr>
            </w:pPr>
            <w:r>
              <w:rPr>
                <w:rFonts w:ascii="Arial" w:cs="Arial" w:eastAsia="Arial" w:hAnsi="Arial"/>
                <w:sz w:val="16"/>
                <w:szCs w:val="16"/>
                <w:color w:val="auto"/>
              </w:rPr>
              <w:t>Year of expiry</w:t>
            </w:r>
          </w:p>
        </w:tc>
        <w:tc>
          <w:tcPr>
            <w:tcW w:w="5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
        </w:trPr>
        <w:tc>
          <w:tcPr>
            <w:tcW w:w="5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11"/>
        </w:trPr>
        <w:tc>
          <w:tcPr>
            <w:tcW w:w="5580" w:type="dxa"/>
            <w:vAlign w:val="bottom"/>
          </w:tcPr>
          <w:p>
            <w:pPr>
              <w:spacing w:after="0"/>
              <w:rPr>
                <w:sz w:val="20"/>
                <w:szCs w:val="20"/>
                <w:color w:val="auto"/>
              </w:rPr>
            </w:pPr>
            <w:r>
              <w:rPr>
                <w:rFonts w:ascii="Arial" w:cs="Arial" w:eastAsia="Arial" w:hAnsi="Arial"/>
                <w:sz w:val="16"/>
                <w:szCs w:val="16"/>
                <w:color w:val="auto"/>
              </w:rPr>
              <w:t>2042</w:t>
            </w:r>
          </w:p>
        </w:tc>
        <w:tc>
          <w:tcPr>
            <w:tcW w:w="5060" w:type="dxa"/>
            <w:vAlign w:val="bottom"/>
          </w:tcPr>
          <w:p>
            <w:pPr>
              <w:jc w:val="right"/>
              <w:spacing w:after="0"/>
              <w:rPr>
                <w:sz w:val="20"/>
                <w:szCs w:val="20"/>
                <w:color w:val="auto"/>
              </w:rPr>
            </w:pPr>
            <w:r>
              <w:rPr>
                <w:rFonts w:ascii="Arial" w:cs="Arial" w:eastAsia="Arial" w:hAnsi="Arial"/>
                <w:sz w:val="16"/>
                <w:szCs w:val="16"/>
                <w:b w:val="1"/>
                <w:bCs w:val="1"/>
                <w:color w:val="auto"/>
              </w:rPr>
              <w:t>4,687</w:t>
            </w:r>
          </w:p>
        </w:tc>
      </w:tr>
      <w:tr>
        <w:trPr>
          <w:trHeight w:val="25"/>
        </w:trPr>
        <w:tc>
          <w:tcPr>
            <w:tcW w:w="55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00"/>
        </w:trPr>
        <w:tc>
          <w:tcPr>
            <w:tcW w:w="558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24 of 25</w:t>
      </w:r>
    </w:p>
    <w:p>
      <w:pPr>
        <w:sectPr>
          <w:pgSz w:w="11900" w:h="16838" w:orient="portrait"/>
          <w:cols w:equalWidth="0" w:num="1">
            <w:col w:w="11200"/>
          </w:cols>
          <w:pgMar w:left="380" w:top="171" w:right="319" w:bottom="1440" w:gutter="0" w:footer="0" w:header="0"/>
        </w:sectPr>
      </w:pPr>
    </w:p>
    <w:bookmarkStart w:id="27" w:name="page28"/>
    <w:bookmarkEnd w:id="27"/>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62"/>
        <w:spacing w:after="0" w:line="237" w:lineRule="auto"/>
        <w:rPr>
          <w:sz w:val="20"/>
          <w:szCs w:val="20"/>
          <w:color w:val="auto"/>
        </w:rPr>
      </w:pPr>
      <w:r>
        <w:rPr>
          <w:rFonts w:ascii="Arial" w:cs="Arial" w:eastAsia="Arial" w:hAnsi="Arial"/>
          <w:sz w:val="20"/>
          <w:szCs w:val="20"/>
          <w:b w:val="1"/>
          <w:bCs w:val="1"/>
          <w:color w:val="auto"/>
        </w:rPr>
        <w:t>For the three and nine months ended December 31, 2021 and December 31, 2020</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dollars, which are in thousands of US dollars)</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02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2" w:hanging="402"/>
        <w:spacing w:after="0"/>
        <w:tabs>
          <w:tab w:leader="none" w:pos="402" w:val="left"/>
        </w:tabs>
        <w:numPr>
          <w:ilvl w:val="0"/>
          <w:numId w:val="17"/>
        </w:numPr>
        <w:rPr>
          <w:rFonts w:ascii="Arial" w:cs="Arial" w:eastAsia="Arial" w:hAnsi="Arial"/>
          <w:sz w:val="16"/>
          <w:szCs w:val="16"/>
          <w:b w:val="1"/>
          <w:bCs w:val="1"/>
          <w:color w:val="2D5F91"/>
        </w:rPr>
      </w:pPr>
      <w:r>
        <w:rPr>
          <w:rFonts w:ascii="Arial" w:cs="Arial" w:eastAsia="Arial" w:hAnsi="Arial"/>
          <w:sz w:val="16"/>
          <w:szCs w:val="16"/>
          <w:b w:val="1"/>
          <w:bCs w:val="1"/>
          <w:color w:val="2D5F91"/>
        </w:rPr>
        <w:t>SUBSEQUENT EVENTS</w:t>
      </w:r>
    </w:p>
    <w:p>
      <w:pPr>
        <w:spacing w:after="0" w:line="183" w:lineRule="exact"/>
        <w:rPr>
          <w:sz w:val="20"/>
          <w:szCs w:val="20"/>
          <w:color w:val="auto"/>
        </w:rPr>
      </w:pPr>
    </w:p>
    <w:p>
      <w:pPr>
        <w:ind w:left="302"/>
        <w:spacing w:after="0"/>
        <w:rPr>
          <w:sz w:val="20"/>
          <w:szCs w:val="20"/>
          <w:color w:val="auto"/>
        </w:rPr>
      </w:pPr>
      <w:r>
        <w:rPr>
          <w:rFonts w:ascii="Arial" w:cs="Arial" w:eastAsia="Arial" w:hAnsi="Arial"/>
          <w:sz w:val="16"/>
          <w:szCs w:val="16"/>
          <w:b w:val="1"/>
          <w:bCs w:val="1"/>
          <w:color w:val="auto"/>
        </w:rPr>
        <w:t>(a) Exchange of Class B Shares</w:t>
      </w:r>
    </w:p>
    <w:p>
      <w:pPr>
        <w:spacing w:after="0" w:line="191" w:lineRule="exact"/>
        <w:rPr>
          <w:sz w:val="20"/>
          <w:szCs w:val="20"/>
          <w:color w:val="auto"/>
        </w:rPr>
      </w:pPr>
    </w:p>
    <w:p>
      <w:pPr>
        <w:ind w:left="302"/>
        <w:spacing w:after="0"/>
        <w:rPr>
          <w:sz w:val="20"/>
          <w:szCs w:val="20"/>
          <w:color w:val="auto"/>
        </w:rPr>
      </w:pPr>
      <w:r>
        <w:rPr>
          <w:rFonts w:ascii="Arial" w:cs="Arial" w:eastAsia="Arial" w:hAnsi="Arial"/>
          <w:sz w:val="16"/>
          <w:szCs w:val="16"/>
          <w:color w:val="auto"/>
        </w:rPr>
        <w:t>On January 21, 2022, certain Former Adelia Shareholders exchanged 58,680 Class B Shares for 586,800 Common Shares.</w:t>
      </w:r>
    </w:p>
    <w:p>
      <w:pPr>
        <w:spacing w:after="0" w:line="151" w:lineRule="exact"/>
        <w:rPr>
          <w:sz w:val="20"/>
          <w:szCs w:val="20"/>
          <w:color w:val="auto"/>
        </w:rPr>
      </w:pPr>
    </w:p>
    <w:p>
      <w:pPr>
        <w:ind w:left="302"/>
        <w:spacing w:after="0"/>
        <w:rPr>
          <w:sz w:val="20"/>
          <w:szCs w:val="20"/>
          <w:color w:val="auto"/>
        </w:rPr>
      </w:pPr>
      <w:r>
        <w:rPr>
          <w:rFonts w:ascii="Arial" w:cs="Arial" w:eastAsia="Arial" w:hAnsi="Arial"/>
          <w:sz w:val="16"/>
          <w:szCs w:val="16"/>
          <w:b w:val="1"/>
          <w:bCs w:val="1"/>
          <w:color w:val="auto"/>
        </w:rPr>
        <w:t>(b) Adelia Milestone</w:t>
      </w:r>
    </w:p>
    <w:p>
      <w:pPr>
        <w:spacing w:after="0" w:line="203" w:lineRule="exact"/>
        <w:rPr>
          <w:sz w:val="20"/>
          <w:szCs w:val="20"/>
          <w:color w:val="auto"/>
        </w:rPr>
      </w:pPr>
    </w:p>
    <w:p>
      <w:pPr>
        <w:jc w:val="both"/>
        <w:ind w:left="302"/>
        <w:spacing w:after="0" w:line="259" w:lineRule="auto"/>
        <w:rPr>
          <w:sz w:val="20"/>
          <w:szCs w:val="20"/>
          <w:color w:val="auto"/>
        </w:rPr>
      </w:pPr>
      <w:r>
        <w:rPr>
          <w:rFonts w:ascii="Arial" w:cs="Arial" w:eastAsia="Arial" w:hAnsi="Arial"/>
          <w:sz w:val="16"/>
          <w:szCs w:val="16"/>
          <w:color w:val="auto"/>
        </w:rPr>
        <w:t>During the period from January 1 to February 9, 2022, Adelia achieved the milestone identified as Year 2 Q1 (v), as contemplated by the terms of the Adelia contribution agreement. Accordingly, 15,611.4 Class B Shares having an aggregate value of $236 were issued to the Adelia Shareholders, at a price per share of $15.09. In addition, Adelia achieved the milestones identified as Y1, Q4 (iv), Y1, Q4 (v) and Y2, Q1 (vi), as contemplated by the terms of the Adelia contribution agreement. Accordingly, Class B Shares having an aggregate value of $551 became due to be issued to the Former Adelia Shareholders, at a price per share to be determined in accordance with the terms of the contribution agreement and applicable securities laws.</w:t>
      </w:r>
    </w:p>
    <w:p>
      <w:pPr>
        <w:spacing w:after="0" w:line="125" w:lineRule="exact"/>
        <w:rPr>
          <w:sz w:val="20"/>
          <w:szCs w:val="20"/>
          <w:color w:val="auto"/>
        </w:rPr>
      </w:pPr>
    </w:p>
    <w:p>
      <w:pPr>
        <w:ind w:left="402" w:hanging="402"/>
        <w:spacing w:after="0"/>
        <w:tabs>
          <w:tab w:leader="none" w:pos="402" w:val="left"/>
        </w:tabs>
        <w:numPr>
          <w:ilvl w:val="0"/>
          <w:numId w:val="18"/>
        </w:numPr>
        <w:rPr>
          <w:rFonts w:ascii="Arial" w:cs="Arial" w:eastAsia="Arial" w:hAnsi="Arial"/>
          <w:sz w:val="16"/>
          <w:szCs w:val="16"/>
          <w:b w:val="1"/>
          <w:bCs w:val="1"/>
          <w:color w:val="2D5F91"/>
        </w:rPr>
      </w:pPr>
      <w:r>
        <w:rPr>
          <w:rFonts w:ascii="Arial" w:cs="Arial" w:eastAsia="Arial" w:hAnsi="Arial"/>
          <w:sz w:val="16"/>
          <w:szCs w:val="16"/>
          <w:b w:val="1"/>
          <w:bCs w:val="1"/>
          <w:color w:val="2D5F91"/>
        </w:rPr>
        <w:t>RECLASSIFICATION OF COMPARATIVE FIGURES</w:t>
      </w:r>
    </w:p>
    <w:p>
      <w:pPr>
        <w:spacing w:after="0" w:line="191" w:lineRule="exact"/>
        <w:rPr>
          <w:sz w:val="20"/>
          <w:szCs w:val="20"/>
          <w:color w:val="auto"/>
        </w:rPr>
      </w:pPr>
    </w:p>
    <w:p>
      <w:pPr>
        <w:jc w:val="both"/>
        <w:ind w:left="302"/>
        <w:spacing w:after="0" w:line="262" w:lineRule="auto"/>
        <w:rPr>
          <w:sz w:val="20"/>
          <w:szCs w:val="20"/>
          <w:color w:val="auto"/>
        </w:rPr>
      </w:pPr>
      <w:r>
        <w:rPr>
          <w:rFonts w:ascii="Arial" w:cs="Arial" w:eastAsia="Arial" w:hAnsi="Arial"/>
          <w:sz w:val="16"/>
          <w:szCs w:val="16"/>
          <w:color w:val="auto"/>
        </w:rPr>
        <w:t>For comparative purposes, certain comparative amounts in these condensed interim consolidated financial statements have been reclassified to conform to the presentation adopted in the current period. The reclassifications were made to better reflect the nature of the respective items in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25 of 25</w:t>
      </w:r>
    </w:p>
    <w:p>
      <w:pPr>
        <w:sectPr>
          <w:pgSz w:w="11900" w:h="16838" w:orient="portrait"/>
          <w:cols w:equalWidth="0" w:num="1">
            <w:col w:w="11242"/>
          </w:cols>
          <w:pgMar w:left="318" w:top="171"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3153410</wp:posOffset>
            </wp:positionH>
            <wp:positionV relativeFrom="page">
              <wp:posOffset>2581910</wp:posOffset>
            </wp:positionV>
            <wp:extent cx="1250315" cy="792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50315" cy="79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Cybin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(formerly Clarmin Explorations Inc.)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Financial Condition and Operating Performance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For the three and nine months ended December 31, 2021</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February 9, 2022</w:t>
      </w:r>
    </w:p>
    <w:p>
      <w:pPr>
        <w:sectPr>
          <w:pgSz w:w="11900" w:h="16838" w:orient="portrait"/>
          <w:cols w:equalWidth="0" w:num="1">
            <w:col w:w="9019"/>
          </w:cols>
          <w:pgMar w:left="1440" w:top="1440" w:right="1440"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CYBIN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This Management’s Discussion and Analysis (“</w:t>
      </w:r>
      <w:r>
        <w:rPr>
          <w:rFonts w:ascii="Arial" w:cs="Arial" w:eastAsia="Arial" w:hAnsi="Arial"/>
          <w:sz w:val="17"/>
          <w:szCs w:val="17"/>
          <w:b w:val="1"/>
          <w:bCs w:val="1"/>
          <w:color w:val="auto"/>
        </w:rPr>
        <w:t>MD&amp;A</w:t>
      </w:r>
      <w:r>
        <w:rPr>
          <w:rFonts w:ascii="Arial" w:cs="Arial" w:eastAsia="Arial" w:hAnsi="Arial"/>
          <w:sz w:val="17"/>
          <w:szCs w:val="17"/>
          <w:color w:val="auto"/>
        </w:rPr>
        <w:t>”) has been prepared by management of Cybin Inc.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and should be read in conjunction with Cybin’s interim condensed consolidated financial statements and notes for the three and nine months ended December 31, 2021 (the “</w:t>
      </w:r>
      <w:r>
        <w:rPr>
          <w:rFonts w:ascii="Arial" w:cs="Arial" w:eastAsia="Arial" w:hAnsi="Arial"/>
          <w:sz w:val="17"/>
          <w:szCs w:val="17"/>
          <w:b w:val="1"/>
          <w:bCs w:val="1"/>
          <w:color w:val="auto"/>
        </w:rPr>
        <w:t>Interim Financial Statements</w:t>
      </w:r>
      <w:r>
        <w:rPr>
          <w:rFonts w:ascii="Arial" w:cs="Arial" w:eastAsia="Arial" w:hAnsi="Arial"/>
          <w:sz w:val="17"/>
          <w:szCs w:val="17"/>
          <w:color w:val="auto"/>
        </w:rPr>
        <w:t>”). This MD&amp;A does not address all of the changes to the Company and its business, such changes are addressed in the Company’s most recently filed annual information form (the “</w:t>
      </w:r>
      <w:r>
        <w:rPr>
          <w:rFonts w:ascii="Arial" w:cs="Arial" w:eastAsia="Arial" w:hAnsi="Arial"/>
          <w:sz w:val="17"/>
          <w:szCs w:val="17"/>
          <w:b w:val="1"/>
          <w:bCs w:val="1"/>
          <w:color w:val="auto"/>
        </w:rPr>
        <w:t>AIF</w:t>
      </w:r>
      <w:r>
        <w:rPr>
          <w:rFonts w:ascii="Arial" w:cs="Arial" w:eastAsia="Arial" w:hAnsi="Arial"/>
          <w:sz w:val="17"/>
          <w:szCs w:val="17"/>
          <w:color w:val="auto"/>
        </w:rPr>
        <w:t xml:space="preserve">”) on SEDAR. The Interim Financial Statements have been prepared using International Financial Reporting Standards as issued by the International Accounting Standards Board. All amounts are in Canadian dollars unless otherwise indicated. The Interim Financial Statements may be viewed on the SEDAR profile of Cybin at </w:t>
      </w:r>
      <w:r>
        <w:rPr>
          <w:rFonts w:ascii="Arial" w:cs="Arial" w:eastAsia="Arial" w:hAnsi="Arial"/>
          <w:sz w:val="17"/>
          <w:szCs w:val="17"/>
          <w:i w:val="1"/>
          <w:iCs w:val="1"/>
          <w:u w:val="single" w:color="auto"/>
          <w:color w:val="0563C1"/>
        </w:rPr>
        <w:t>www.sedar.com</w:t>
      </w:r>
      <w:r>
        <w:rPr>
          <w:rFonts w:ascii="Arial" w:cs="Arial" w:eastAsia="Arial" w:hAnsi="Arial"/>
          <w:sz w:val="17"/>
          <w:szCs w:val="17"/>
          <w:color w:val="auto"/>
        </w:rPr>
        <w:t>.</w:t>
      </w:r>
    </w:p>
    <w:p>
      <w:pPr>
        <w:spacing w:after="0" w:line="15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This MD&amp;A contains disclosure related to Cybin occurring up to and including February 9, 2022. Unless otherwise indicated, all amounts in this MD&amp;A are in thousands of Canadian dollars.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Arial" w:cs="Arial" w:eastAsia="Arial" w:hAnsi="Arial"/>
          <w:sz w:val="17"/>
          <w:szCs w:val="17"/>
          <w:b w:val="1"/>
          <w:bCs w:val="1"/>
          <w:color w:val="auto"/>
        </w:rPr>
        <w:t>SubCo</w:t>
      </w:r>
      <w:r>
        <w:rPr>
          <w:rFonts w:ascii="Arial" w:cs="Arial" w:eastAsia="Arial" w:hAnsi="Arial"/>
          <w:sz w:val="17"/>
          <w:szCs w:val="17"/>
          <w:color w:val="auto"/>
        </w:rPr>
        <w:t>”), a wholly-owned subsidiary of the Company (the “</w:t>
      </w:r>
      <w:r>
        <w:rPr>
          <w:rFonts w:ascii="Arial" w:cs="Arial" w:eastAsia="Arial" w:hAnsi="Arial"/>
          <w:sz w:val="17"/>
          <w:szCs w:val="17"/>
          <w:b w:val="1"/>
          <w:bCs w:val="1"/>
          <w:color w:val="auto"/>
        </w:rPr>
        <w:t>Reverse Takeover</w:t>
      </w:r>
      <w:r>
        <w:rPr>
          <w:rFonts w:ascii="Arial" w:cs="Arial" w:eastAsia="Arial" w:hAnsi="Arial"/>
          <w:sz w:val="17"/>
          <w:szCs w:val="17"/>
          <w:color w:val="auto"/>
        </w:rPr>
        <w:t xml:space="preserve">”). The Reverse Takeover was completed by way of a “three-cornered” amalgamation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76"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68"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Some of the risks which could affect future results and could cause results to differ materially from those expressed in the forward-looking statements contained herein include:</w:t>
      </w:r>
    </w:p>
    <w:p>
      <w:pPr>
        <w:spacing w:after="0" w:line="151" w:lineRule="exact"/>
        <w:rPr>
          <w:sz w:val="20"/>
          <w:szCs w:val="20"/>
          <w:color w:val="auto"/>
        </w:rPr>
      </w:pP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novel coronavirus “COVID-19”;</w:t>
      </w:r>
    </w:p>
    <w:p>
      <w:pPr>
        <w:spacing w:after="0" w:line="16" w:lineRule="exact"/>
        <w:rPr>
          <w:rFonts w:ascii="Arial" w:cs="Arial" w:eastAsia="Arial" w:hAnsi="Arial"/>
          <w:sz w:val="18"/>
          <w:szCs w:val="18"/>
          <w:color w:val="auto"/>
        </w:rPr>
      </w:pP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operating history;</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publicly announced milestones;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speculative nature of investment risk;</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early stage of the industry and product development;</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risks and uncertainties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for growth;</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products;</w:t>
      </w:r>
    </w:p>
    <w:p>
      <w:pPr>
        <w:ind w:left="1160" w:hanging="57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marketing and sales capabilities;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706" w:right="319" w:bottom="1440" w:gutter="0" w:footer="0" w:header="0"/>
        </w:sectPr>
      </w:pPr>
    </w:p>
    <w:bookmarkStart w:id="30" w:name="page31"/>
    <w:bookmarkEnd w:id="30"/>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assurance of commercial success;</w:t>
      </w:r>
    </w:p>
    <w:p>
      <w:pPr>
        <w:spacing w:after="0" w:line="16" w:lineRule="exact"/>
        <w:rPr>
          <w:rFonts w:ascii="Arial" w:cs="Arial" w:eastAsia="Arial" w:hAnsi="Arial"/>
          <w:sz w:val="18"/>
          <w:szCs w:val="18"/>
          <w:color w:val="auto"/>
        </w:rPr>
      </w:pP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profits or significant revenues;</w:t>
      </w:r>
    </w:p>
    <w:p>
      <w:pPr>
        <w:ind w:left="1160" w:hanging="575"/>
        <w:spacing w:after="0"/>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reliance on third parties for clinical development activities;</w:t>
      </w:r>
    </w:p>
    <w:p>
      <w:pPr>
        <w:spacing w:after="0" w:line="12" w:lineRule="exact"/>
        <w:rPr>
          <w:rFonts w:ascii="Arial" w:cs="Arial" w:eastAsia="Arial" w:hAnsi="Arial"/>
          <w:sz w:val="17"/>
          <w:szCs w:val="17"/>
          <w:color w:val="auto"/>
        </w:rPr>
      </w:pP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third party relationships;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reliance on contract manufacturers;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and efficacy of products;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testing and commercializing products;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completion of clinical trials;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grade product manufacturing;</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nature of regulatory approvals;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unfavourable publicity or consumer perception;</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social media;</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biotechnology and pharmaceutical market competition;</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reliance on key executives and scientists;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 misconduct;</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expansion and growth;</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results of external clinical trials or studies;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liability;</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enforcing contracts;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distribution and supply chain interruption;</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to forecast;</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promoting the brand;</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viability;</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 of quality control systems;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reliance on key inputs;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arising from fraudulent or illegal activity;</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risk and insurance coverage;</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operating as public company;</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of growth;</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conflicts of interest;</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operations;</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cybersecurity and privacy risk;</w:t>
      </w:r>
    </w:p>
    <w:p>
      <w:pPr>
        <w:ind w:left="1160" w:hanging="57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regulation and risks;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Intellectual Property:</w:t>
      </w:r>
    </w:p>
    <w:p>
      <w:pPr>
        <w:spacing w:after="0" w:line="17" w:lineRule="exact"/>
        <w:rPr>
          <w:sz w:val="20"/>
          <w:szCs w:val="20"/>
          <w:color w:val="auto"/>
        </w:rPr>
      </w:pP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trademark protection;</w:t>
      </w: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 secrets;</w:t>
      </w: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patent law reform;</w:t>
      </w: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patent litigation and intellectual property;</w:t>
      </w: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ind w:left="1160" w:hanging="57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licences;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Financial and Accounting Risks:</w:t>
      </w:r>
    </w:p>
    <w:p>
      <w:pPr>
        <w:spacing w:after="0" w:line="17" w:lineRule="exact"/>
        <w:rPr>
          <w:sz w:val="20"/>
          <w:szCs w:val="20"/>
          <w:color w:val="auto"/>
        </w:rPr>
      </w:pPr>
    </w:p>
    <w:p>
      <w:pPr>
        <w:ind w:left="1160" w:hanging="575"/>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substantial number of authorized but unissued common shares;</w:t>
      </w:r>
    </w:p>
    <w:p>
      <w:pPr>
        <w:spacing w:after="0" w:line="23" w:lineRule="exact"/>
        <w:rPr>
          <w:rFonts w:ascii="Arial" w:cs="Arial" w:eastAsia="Arial" w:hAnsi="Arial"/>
          <w:sz w:val="16"/>
          <w:szCs w:val="16"/>
          <w:color w:val="auto"/>
        </w:rPr>
      </w:pP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dilution;</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cash flow from operating activities;</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capital requirements;</w:t>
      </w:r>
    </w:p>
    <w:p>
      <w:pPr>
        <w:ind w:left="1160" w:hanging="57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significant product revenue;</w:t>
      </w:r>
    </w:p>
    <w:p>
      <w:pPr>
        <w:ind w:left="1160" w:hanging="575"/>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estimates or judgments relating to critical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the Common Shares (as defined below):</w:t>
      </w:r>
    </w:p>
    <w:p>
      <w:pPr>
        <w:spacing w:after="0" w:line="17" w:lineRule="exact"/>
        <w:rPr>
          <w:sz w:val="20"/>
          <w:szCs w:val="20"/>
          <w:color w:val="auto"/>
        </w:rPr>
      </w:pPr>
    </w:p>
    <w:p>
      <w:pPr>
        <w:ind w:left="1160" w:hanging="575"/>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for the Common Shares;</w:t>
      </w:r>
    </w:p>
    <w:p>
      <w:pPr>
        <w:ind w:left="1160" w:hanging="575"/>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sales of Common Shares;</w:t>
      </w:r>
    </w:p>
    <w:p>
      <w:pPr>
        <w:ind w:left="1160" w:hanging="575"/>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volatile market price for the Common Shares;</w:t>
      </w:r>
    </w:p>
    <w:p>
      <w:pPr>
        <w:ind w:left="1160" w:hanging="575"/>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issues;</w:t>
      </w:r>
    </w:p>
    <w:p>
      <w:pPr>
        <w:ind w:left="1160" w:hanging="575"/>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dividends;</w:t>
      </w:r>
    </w:p>
    <w:p>
      <w:pPr>
        <w:spacing w:after="0" w:line="200" w:lineRule="exact"/>
        <w:rPr>
          <w:sz w:val="20"/>
          <w:szCs w:val="20"/>
          <w:color w:val="auto"/>
        </w:rPr>
      </w:pP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139"/>
          </w:cols>
          <w:pgMar w:left="320" w:top="710"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Risks related to the Company:</w:t>
      </w:r>
    </w:p>
    <w:p>
      <w:pPr>
        <w:spacing w:after="0" w:line="17" w:lineRule="exact"/>
        <w:rPr>
          <w:sz w:val="20"/>
          <w:szCs w:val="20"/>
          <w:color w:val="auto"/>
        </w:rPr>
      </w:pPr>
    </w:p>
    <w:p>
      <w:pPr>
        <w:ind w:left="1160" w:hanging="575"/>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forward-looking statements may prove to be inaccurate;</w:t>
      </w:r>
    </w:p>
    <w:p>
      <w:pPr>
        <w:ind w:left="1160" w:hanging="575"/>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dilution;</w:t>
      </w:r>
    </w:p>
    <w:p>
      <w:pPr>
        <w:ind w:left="1160" w:hanging="575"/>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need for additional financing;</w:t>
      </w:r>
    </w:p>
    <w:p>
      <w:pPr>
        <w:ind w:left="1160" w:hanging="575"/>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operating cash flow and going concern;</w:t>
      </w:r>
    </w:p>
    <w:p>
      <w:pPr>
        <w:ind w:left="1160" w:hanging="575"/>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discretion over the use of proceeds;</w:t>
      </w:r>
    </w:p>
    <w:p>
      <w:pPr>
        <w:ind w:left="1160" w:hanging="575"/>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of growth;</w:t>
      </w:r>
    </w:p>
    <w:p>
      <w:pPr>
        <w:ind w:left="1160" w:hanging="575"/>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Common Shares are subject to market price volatility;</w:t>
      </w:r>
    </w:p>
    <w:p>
      <w:pPr>
        <w:ind w:left="1160" w:hanging="575"/>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history of payment of cash dividends;</w:t>
      </w:r>
    </w:p>
    <w:p>
      <w:pPr>
        <w:ind w:left="1160" w:hanging="575"/>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operating history as a public company; and</w:t>
      </w:r>
    </w:p>
    <w:p>
      <w:pPr>
        <w:ind w:left="1160" w:hanging="575"/>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relating to research and development milestones.</w:t>
      </w:r>
    </w:p>
    <w:p>
      <w:pPr>
        <w:spacing w:after="0" w:line="20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62" w:lineRule="exact"/>
        <w:rPr>
          <w:sz w:val="20"/>
          <w:szCs w:val="20"/>
          <w:color w:val="auto"/>
        </w:rPr>
      </w:pPr>
    </w:p>
    <w:p>
      <w:pPr>
        <w:ind w:left="580" w:right="20" w:hanging="291"/>
        <w:spacing w:after="0" w:line="250" w:lineRule="auto"/>
        <w:tabs>
          <w:tab w:leader="none" w:pos="5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fluctuation of losses from quarter to quarter and year to year due to numerous external risk factors, and anticipation that we will continue to incur significant losses in the future;</w:t>
      </w:r>
    </w:p>
    <w:p>
      <w:pPr>
        <w:ind w:left="540" w:hanging="25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uncertainty as to the Company’s ability to raise additional funding to support operations;</w:t>
      </w:r>
    </w:p>
    <w:p>
      <w:pPr>
        <w:ind w:left="540" w:hanging="25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ability to access additional funding;</w:t>
      </w:r>
    </w:p>
    <w:p>
      <w:pPr>
        <w:ind w:left="540" w:hanging="25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fluctuation of foreign exchange rates;</w:t>
      </w:r>
    </w:p>
    <w:p>
      <w:pPr>
        <w:ind w:left="540" w:hanging="25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duration of COVID-19 and the extent of its economic and social impact;</w:t>
      </w:r>
    </w:p>
    <w:p>
      <w:pPr>
        <w:ind w:left="540" w:hanging="25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risks associated with the development of the Company’s product candidates which are at early stages of development;</w:t>
      </w:r>
    </w:p>
    <w:p>
      <w:pPr>
        <w:ind w:left="540" w:hanging="25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reliance upon industry publications as the Company’s primary sources for third-party industry data and forecasts;</w:t>
      </w:r>
    </w:p>
    <w:p>
      <w:pPr>
        <w:ind w:left="540" w:hanging="25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reliance on third parties to plan, conduct and monitor the Company’s preclinical studies and clinical trials;</w:t>
      </w:r>
    </w:p>
    <w:p>
      <w:pPr>
        <w:ind w:left="540" w:hanging="25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reliance on third party contract manufacturers to deliver quality clinical and preclinical materials;</w:t>
      </w:r>
    </w:p>
    <w:p>
      <w:pPr>
        <w:ind w:left="580" w:right="20" w:hanging="291"/>
        <w:spacing w:after="0" w:line="241" w:lineRule="auto"/>
        <w:tabs>
          <w:tab w:leader="none" w:pos="5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product candidates may fail to demonstrate safety and efficacy to the satisfaction of regulatory authorities or may not otherwise produce positive results;</w:t>
      </w:r>
    </w:p>
    <w:p>
      <w:pPr>
        <w:ind w:left="540" w:hanging="25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related to filing investigational new drug applications to commence clinical trials and to continue clinical trials if approved;</w:t>
      </w:r>
    </w:p>
    <w:p>
      <w:pPr>
        <w:ind w:left="540" w:hanging="25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risks of delays and inability to complete clinical trials due to difficulties enrolling patients;</w:t>
      </w:r>
    </w:p>
    <w:p>
      <w:pPr>
        <w:ind w:left="540" w:hanging="25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from other biotechnology and pharmaceutical companies;</w:t>
      </w:r>
    </w:p>
    <w:p>
      <w:pPr>
        <w:ind w:left="580" w:right="20" w:hanging="291"/>
        <w:spacing w:after="0" w:line="241" w:lineRule="auto"/>
        <w:tabs>
          <w:tab w:leader="none" w:pos="5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reliance on the capabilities and experience of the Company’s key executives and scientists and the resulting loss of any of these individuals;</w:t>
      </w:r>
    </w:p>
    <w:p>
      <w:pPr>
        <w:ind w:left="540" w:hanging="25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ability to fully realize the benefits of acquisitions;</w:t>
      </w:r>
    </w:p>
    <w:p>
      <w:pPr>
        <w:ind w:left="540" w:hanging="25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ability to adequately protect the Company’s intellectual property and trade secrets;</w:t>
      </w:r>
    </w:p>
    <w:p>
      <w:pPr>
        <w:ind w:left="540" w:hanging="25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of patent-related or other litigation; and</w:t>
      </w:r>
    </w:p>
    <w:p>
      <w:pPr>
        <w:ind w:left="580" w:right="20" w:hanging="291"/>
        <w:spacing w:after="0" w:line="248" w:lineRule="auto"/>
        <w:tabs>
          <w:tab w:leader="none" w:pos="5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of unforeseen changes to the laws or regulations in the United States, the United Kingdom, and Canada and other jurisdictions in which the Company operates.</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68"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In addition to the factors set out above and those identified in this MD&amp;A under “Risk Factors”, other factors not currently viewed as material could cause actual results to differ materially from those described in the forward-looking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930" w:right="319" w:bottom="1440" w:gutter="0" w:footer="0" w:header="0"/>
        </w:sectPr>
      </w:pPr>
    </w:p>
    <w:bookmarkStart w:id="32" w:name="page33"/>
    <w:bookmarkEnd w:id="32"/>
    <w:p>
      <w:pPr>
        <w:jc w:val="both"/>
        <w:spacing w:after="0" w:line="254" w:lineRule="auto"/>
        <w:rPr>
          <w:sz w:val="20"/>
          <w:szCs w:val="20"/>
          <w:color w:val="auto"/>
        </w:rPr>
      </w:pPr>
      <w:r>
        <w:rPr>
          <w:rFonts w:ascii="Arial" w:cs="Arial" w:eastAsia="Arial" w:hAnsi="Arial"/>
          <w:sz w:val="18"/>
          <w:szCs w:val="18"/>
          <w:color w:val="auto"/>
        </w:rPr>
        <w:t>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Overview</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is a biotechnology company focused on advancing pharmaceutical therapies, delivery mechanisms, novel compounds and protocols as potential therapies for various psychiatric and neurological conditions. The Company is developing technologies and delivery systems aiming to improve the pharmacokinetics of its psychedelic molecules while retaining the therapeutics benefit. The new molecules and delivery systems are expected to be studied through clinical trials to confirm safety and efficacy.</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whereby Cybin Corp. amalgamated with SubCo to form an amalgamated corporation and a wholly owned subsidiary of the Company.</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Immediately prior to the completion of the Reverse Takeover, the Company completed a common share consolidation on the basis of 6.672 old common shares into one new share. All shares and per share amounts expressed herein reflect the post-consolidation Common Shares.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connection with the Reverse Takeover, Clarmin changed its name to “Cybin Inc.” and the common shares in the capital of the Company (the “</w:t>
      </w:r>
      <w:r>
        <w:rPr>
          <w:rFonts w:ascii="Arial" w:cs="Arial" w:eastAsia="Arial" w:hAnsi="Arial"/>
          <w:sz w:val="17"/>
          <w:szCs w:val="17"/>
          <w:b w:val="1"/>
          <w:b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became listed for trading on the Neo Exchange Inc. (the “</w:t>
      </w:r>
      <w:r>
        <w:rPr>
          <w:rFonts w:ascii="Arial" w:cs="Arial" w:eastAsia="Arial" w:hAnsi="Arial"/>
          <w:sz w:val="17"/>
          <w:szCs w:val="17"/>
          <w:b w:val="1"/>
          <w:bCs w:val="1"/>
          <w:color w:val="auto"/>
        </w:rPr>
        <w:t>Exchange</w:t>
      </w:r>
      <w:r>
        <w:rPr>
          <w:rFonts w:ascii="Arial" w:cs="Arial" w:eastAsia="Arial" w:hAnsi="Arial"/>
          <w:sz w:val="17"/>
          <w:szCs w:val="17"/>
          <w:color w:val="auto"/>
        </w:rPr>
        <w:t>”) under the trading symbol CYBN. In accordance with IFRS 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the substance of the Reverse Takeover was a reverse takeover of a non-operating company. The Reverse Takeover does not constitute a</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 as Clarmin did not meet the definition of a business under IFRS 3. As a result, the Reverse Takeover is accounted for as a capital transaction with Cybin being identified as the acquirer and the equity consideration being measured at fair value. The resulting unaudited condensed interim consolidated statement of financial position is presented as a continuation of Cybin Corp. and comparative figures presented in the condensed interim consolidated financial statements after the Reverse Takeover are those of Cybin Corp.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Prior to complete the Reverse Takeover, and during fiscal 2020, the Company was inactive and evaluating business opportunities.</w:t>
      </w:r>
    </w:p>
    <w:p>
      <w:pPr>
        <w:spacing w:after="0" w:line="221"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On July 8, 2021, the Company announced the scaling up of its European operations and research activities with various academic and clinical research organizations, including the transfer of its intellectual property assets to its wholly owned Ireland subsidiary, Cybin IRL Limited ("Cybin Ireland").</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5, 2021, the Common Shares commenced trading on the NYSE American LLC stock exchange (the “</w:t>
      </w:r>
      <w:r>
        <w:rPr>
          <w:rFonts w:ascii="Arial" w:cs="Arial" w:eastAsia="Arial" w:hAnsi="Arial"/>
          <w:sz w:val="18"/>
          <w:szCs w:val="18"/>
          <w:b w:val="1"/>
          <w:bCs w:val="1"/>
          <w:color w:val="auto"/>
        </w:rPr>
        <w:t>NYSE American</w:t>
      </w:r>
      <w:r>
        <w:rPr>
          <w:rFonts w:ascii="Arial" w:cs="Arial" w:eastAsia="Arial" w:hAnsi="Arial"/>
          <w:sz w:val="18"/>
          <w:szCs w:val="18"/>
          <w:color w:val="auto"/>
        </w:rPr>
        <w:t>”) under the symbol “CYBN”. Concurrent with the commencement of trading on the NYSE American, the Common Shares ceased to be quoted on the OTCQB® Venture Market.</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Please refer to “General Development of the Business” in the AIF for additional information on the background and operational highlights of Cybin. The AIF may be viewed under the SEDAR profile of Cybin at </w:t>
      </w:r>
      <w:r>
        <w:rPr>
          <w:rFonts w:ascii="Arial" w:cs="Arial" w:eastAsia="Arial" w:hAnsi="Arial"/>
          <w:sz w:val="18"/>
          <w:szCs w:val="18"/>
          <w:i w:val="1"/>
          <w:iCs w:val="1"/>
          <w:u w:val="single" w:color="auto"/>
          <w:color w:val="0563C1"/>
        </w:rPr>
        <w:t>www.sedar.com</w:t>
      </w:r>
      <w:r>
        <w:rPr>
          <w:rFonts w:ascii="Arial" w:cs="Arial" w:eastAsia="Arial" w:hAnsi="Arial"/>
          <w:sz w:val="18"/>
          <w:szCs w:val="18"/>
          <w:color w:val="auto"/>
        </w:rPr>
        <w: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1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has historically had two business segment (a) Serenity Life Sciences Inc. and Cybin US Holdings Inc. ("</w:t>
      </w:r>
      <w:r>
        <w:rPr>
          <w:rFonts w:ascii="Arial" w:cs="Arial" w:eastAsia="Arial" w:hAnsi="Arial"/>
          <w:sz w:val="16"/>
          <w:szCs w:val="16"/>
          <w:b w:val="1"/>
          <w:bCs w:val="1"/>
          <w:color w:val="auto"/>
        </w:rPr>
        <w:t>Cybin U.S.</w:t>
      </w:r>
      <w:r>
        <w:rPr>
          <w:rFonts w:ascii="Arial" w:cs="Arial" w:eastAsia="Arial" w:hAnsi="Arial"/>
          <w:sz w:val="16"/>
          <w:szCs w:val="16"/>
          <w:color w:val="auto"/>
        </w:rPr>
        <w:t>") that focus on the research and development of psychedelic pharmaceutical products; and (b) Natures Journey Inc. ("</w:t>
      </w:r>
      <w:r>
        <w:rPr>
          <w:rFonts w:ascii="Arial" w:cs="Arial" w:eastAsia="Arial" w:hAnsi="Arial"/>
          <w:sz w:val="16"/>
          <w:szCs w:val="16"/>
          <w:b w:val="1"/>
          <w:bCs w:val="1"/>
          <w:color w:val="auto"/>
        </w:rPr>
        <w:t>Natures Journey</w:t>
      </w:r>
      <w:r>
        <w:rPr>
          <w:rFonts w:ascii="Arial" w:cs="Arial" w:eastAsia="Arial" w:hAnsi="Arial"/>
          <w:sz w:val="16"/>
          <w:szCs w:val="16"/>
          <w:color w:val="auto"/>
        </w:rPr>
        <w:t>") that focused on consumer mental wellness, including non-psychedelic nutraceutical products (the “</w:t>
      </w:r>
      <w:r>
        <w:rPr>
          <w:rFonts w:ascii="Arial" w:cs="Arial" w:eastAsia="Arial" w:hAnsi="Arial"/>
          <w:sz w:val="16"/>
          <w:szCs w:val="16"/>
          <w:b w:val="1"/>
          <w:bCs w:val="1"/>
          <w:color w:val="auto"/>
        </w:rPr>
        <w:t>Product Line</w:t>
      </w:r>
      <w:r>
        <w:rPr>
          <w:rFonts w:ascii="Arial" w:cs="Arial" w:eastAsia="Arial" w:hAnsi="Arial"/>
          <w:sz w:val="16"/>
          <w:szCs w:val="16"/>
          <w:color w:val="auto"/>
        </w:rPr>
        <w:t>”) and consumer mental wellness. In November 2021, the Company decided to not proceed with the Natures Journey business segment in order to prioritize its research and development of psychedelic pharmaceutical products.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10" w:right="339" w:bottom="1440" w:gutter="0" w:footer="0" w:header="0"/>
        </w:sectPr>
      </w:pPr>
    </w:p>
    <w:bookmarkStart w:id="33" w:name="page34"/>
    <w:bookmarkEnd w:id="33"/>
    <w:p>
      <w:pPr>
        <w:ind w:left="2"/>
        <w:spacing w:after="0"/>
        <w:rPr>
          <w:sz w:val="20"/>
          <w:szCs w:val="20"/>
          <w:color w:val="auto"/>
        </w:rPr>
      </w:pPr>
      <w:r>
        <w:rPr>
          <w:rFonts w:ascii="Arial" w:cs="Arial" w:eastAsia="Arial" w:hAnsi="Arial"/>
          <w:sz w:val="18"/>
          <w:szCs w:val="18"/>
          <w:i w:val="1"/>
          <w:iCs w:val="1"/>
          <w:color w:val="auto"/>
        </w:rPr>
        <w:t>Psychedelics</w:t>
      </w:r>
    </w:p>
    <w:p>
      <w:pPr>
        <w:spacing w:after="0" w:line="197" w:lineRule="exact"/>
        <w:rPr>
          <w:sz w:val="20"/>
          <w:szCs w:val="20"/>
          <w:color w:val="auto"/>
        </w:rPr>
      </w:pPr>
    </w:p>
    <w:p>
      <w:pPr>
        <w:jc w:val="both"/>
        <w:ind w:left="2"/>
        <w:spacing w:after="0" w:line="249" w:lineRule="auto"/>
        <w:rPr>
          <w:sz w:val="20"/>
          <w:szCs w:val="20"/>
          <w:color w:val="auto"/>
        </w:rPr>
      </w:pPr>
      <w:r>
        <w:rPr>
          <w:rFonts w:ascii="Arial" w:cs="Arial" w:eastAsia="Arial" w:hAnsi="Arial"/>
          <w:sz w:val="18"/>
          <w:szCs w:val="18"/>
          <w:color w:val="auto"/>
        </w:rPr>
        <w:t>The Company is conducting research and development of psychedelic therapeutics that aim to address unmet mental health conditions by leveraging proprietary drug discovery platforms, novel formulation approaches, innovative drug delivery systems, and optimized treatment regimens. This comprehensive strategy is predicated on structural modifications of known and well understood tryptamine derivatives to improve their pharmacokinetic properties without altering their respective pharmacology.</w:t>
      </w:r>
    </w:p>
    <w:p>
      <w:pPr>
        <w:spacing w:after="0" w:line="168" w:lineRule="exact"/>
        <w:rPr>
          <w:sz w:val="20"/>
          <w:szCs w:val="20"/>
          <w:color w:val="auto"/>
        </w:rPr>
      </w:pPr>
    </w:p>
    <w:p>
      <w:pPr>
        <w:jc w:val="both"/>
        <w:ind w:left="2"/>
        <w:spacing w:after="0" w:line="261" w:lineRule="auto"/>
        <w:rPr>
          <w:sz w:val="20"/>
          <w:szCs w:val="20"/>
          <w:color w:val="auto"/>
        </w:rPr>
      </w:pPr>
      <w:r>
        <w:rPr>
          <w:rFonts w:ascii="Arial" w:cs="Arial" w:eastAsia="Arial" w:hAnsi="Arial"/>
          <w:sz w:val="18"/>
          <w:szCs w:val="18"/>
          <w:color w:val="auto"/>
        </w:rPr>
        <w:t>Across the various research and development programs, the Company is researching and developing a wide array of novel, synthetic psychedelic active pharmaceutical ingredients (“</w:t>
      </w:r>
      <w:r>
        <w:rPr>
          <w:rFonts w:ascii="Arial" w:cs="Arial" w:eastAsia="Arial" w:hAnsi="Arial"/>
          <w:sz w:val="18"/>
          <w:szCs w:val="18"/>
          <w:b w:val="1"/>
          <w:bCs w:val="1"/>
          <w:color w:val="auto"/>
        </w:rPr>
        <w:t>API</w:t>
      </w:r>
      <w:r>
        <w:rPr>
          <w:rFonts w:ascii="Arial" w:cs="Arial" w:eastAsia="Arial" w:hAnsi="Arial"/>
          <w:sz w:val="18"/>
          <w:szCs w:val="18"/>
          <w:color w:val="auto"/>
        </w:rPr>
        <w:t>”) intended to be delivered through innovative drug delivery systems including sublingual films</w:t>
      </w:r>
      <w:r>
        <w:rPr>
          <w:rFonts w:ascii="Arial" w:cs="Arial" w:eastAsia="Arial" w:hAnsi="Arial"/>
          <w:sz w:val="23"/>
          <w:szCs w:val="23"/>
          <w:color w:val="auto"/>
          <w:vertAlign w:val="superscript"/>
        </w:rPr>
        <w:t>1</w:t>
      </w:r>
      <w:r>
        <w:rPr>
          <w:rFonts w:ascii="Arial" w:cs="Arial" w:eastAsia="Arial" w:hAnsi="Arial"/>
          <w:sz w:val="18"/>
          <w:szCs w:val="18"/>
          <w:color w:val="auto"/>
        </w:rPr>
        <w:t>, orally disintegrating tablets (“</w:t>
      </w:r>
      <w:r>
        <w:rPr>
          <w:rFonts w:ascii="Arial" w:cs="Arial" w:eastAsia="Arial" w:hAnsi="Arial"/>
          <w:sz w:val="18"/>
          <w:szCs w:val="18"/>
          <w:b w:val="1"/>
          <w:bCs w:val="1"/>
          <w:color w:val="auto"/>
        </w:rPr>
        <w:t>ODT</w:t>
      </w:r>
      <w:r>
        <w:rPr>
          <w:rFonts w:ascii="Arial" w:cs="Arial" w:eastAsia="Arial" w:hAnsi="Arial"/>
          <w:sz w:val="18"/>
          <w:szCs w:val="18"/>
          <w:color w:val="auto"/>
        </w:rPr>
        <w: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via inhalation.</w:t>
      </w:r>
    </w:p>
    <w:p>
      <w:pPr>
        <w:spacing w:after="0" w:line="78" w:lineRule="exact"/>
        <w:rPr>
          <w:sz w:val="20"/>
          <w:szCs w:val="20"/>
          <w:color w:val="auto"/>
        </w:rPr>
      </w:pPr>
    </w:p>
    <w:p>
      <w:pPr>
        <w:jc w:val="both"/>
        <w:ind w:left="2" w:right="20"/>
        <w:spacing w:after="0" w:line="304" w:lineRule="auto"/>
        <w:rPr>
          <w:sz w:val="20"/>
          <w:szCs w:val="20"/>
          <w:color w:val="auto"/>
        </w:rPr>
      </w:pPr>
      <w:r>
        <w:rPr>
          <w:rFonts w:ascii="Arial" w:cs="Arial" w:eastAsia="Arial" w:hAnsi="Arial"/>
          <w:sz w:val="17"/>
          <w:szCs w:val="17"/>
          <w:color w:val="auto"/>
        </w:rPr>
        <w:t>The Company intends to apply for regulatory approval for products targeting major depressive disorder (“</w:t>
      </w:r>
      <w:r>
        <w:rPr>
          <w:rFonts w:ascii="Arial" w:cs="Arial" w:eastAsia="Arial" w:hAnsi="Arial"/>
          <w:sz w:val="17"/>
          <w:szCs w:val="17"/>
          <w:b w:val="1"/>
          <w:bCs w:val="1"/>
          <w:color w:val="auto"/>
        </w:rPr>
        <w:t>MDD</w:t>
      </w:r>
      <w:r>
        <w:rPr>
          <w:rFonts w:ascii="Arial" w:cs="Arial" w:eastAsia="Arial" w:hAnsi="Arial"/>
          <w:sz w:val="17"/>
          <w:szCs w:val="17"/>
          <w:color w:val="auto"/>
        </w:rPr>
        <w:t>”), alcohol use disorder ("</w:t>
      </w:r>
      <w:r>
        <w:rPr>
          <w:rFonts w:ascii="Arial" w:cs="Arial" w:eastAsia="Arial" w:hAnsi="Arial"/>
          <w:sz w:val="17"/>
          <w:szCs w:val="17"/>
          <w:b w:val="1"/>
          <w:bCs w:val="1"/>
          <w:color w:val="auto"/>
        </w:rPr>
        <w:t>AUD</w:t>
      </w:r>
      <w:r>
        <w:rPr>
          <w:rFonts w:ascii="Arial" w:cs="Arial" w:eastAsia="Arial" w:hAnsi="Arial"/>
          <w:sz w:val="17"/>
          <w:szCs w:val="17"/>
          <w:color w:val="auto"/>
        </w:rPr>
        <w:t>") and various anxiety disorders</w:t>
      </w:r>
      <w:r>
        <w:rPr>
          <w:rFonts w:ascii="Arial" w:cs="Arial" w:eastAsia="Arial" w:hAnsi="Arial"/>
          <w:sz w:val="22"/>
          <w:szCs w:val="22"/>
          <w:color w:val="auto"/>
          <w:vertAlign w:val="superscript"/>
        </w:rPr>
        <w:t>3</w:t>
      </w:r>
      <w:r>
        <w:rPr>
          <w:rFonts w:ascii="Arial" w:cs="Arial" w:eastAsia="Arial" w:hAnsi="Arial"/>
          <w:sz w:val="17"/>
          <w:szCs w:val="17"/>
          <w:color w:val="auto"/>
        </w:rPr>
        <w:t>. The Company is also developing products that may have the potential to address neuroinflammation</w:t>
      </w:r>
      <w:r>
        <w:rPr>
          <w:rFonts w:ascii="Arial" w:cs="Arial" w:eastAsia="Arial" w:hAnsi="Arial"/>
          <w:sz w:val="22"/>
          <w:szCs w:val="22"/>
          <w:color w:val="auto"/>
          <w:vertAlign w:val="superscript"/>
        </w:rPr>
        <w:t>4</w:t>
      </w:r>
      <w:r>
        <w:rPr>
          <w:rFonts w:ascii="Arial" w:cs="Arial" w:eastAsia="Arial" w:hAnsi="Arial"/>
          <w:sz w:val="17"/>
          <w:szCs w:val="17"/>
          <w:color w:val="auto"/>
        </w:rPr>
        <w:t>.</w:t>
      </w:r>
    </w:p>
    <w:p>
      <w:pPr>
        <w:spacing w:after="0" w:line="48" w:lineRule="exact"/>
        <w:rPr>
          <w:sz w:val="20"/>
          <w:szCs w:val="20"/>
          <w:color w:val="auto"/>
        </w:rPr>
      </w:pPr>
    </w:p>
    <w:p>
      <w:pPr>
        <w:jc w:val="both"/>
        <w:ind w:left="2" w:right="20"/>
        <w:spacing w:after="0" w:line="250" w:lineRule="auto"/>
        <w:rPr>
          <w:sz w:val="20"/>
          <w:szCs w:val="20"/>
          <w:color w:val="auto"/>
        </w:rPr>
      </w:pPr>
      <w:r>
        <w:rPr>
          <w:rFonts w:ascii="Arial" w:cs="Arial" w:eastAsia="Arial" w:hAnsi="Arial"/>
          <w:sz w:val="17"/>
          <w:szCs w:val="17"/>
          <w:color w:val="auto"/>
        </w:rPr>
        <w:t>Further, over the next 12-month period, the Company will continue to seek to establish strategic partnerships that advance the Company’s scientific research and intellectual property for new psychedelic compounds and novel delivery mechanisms</w:t>
      </w:r>
      <w:r>
        <w:rPr>
          <w:rFonts w:ascii="Arial" w:cs="Arial" w:eastAsia="Arial" w:hAnsi="Arial"/>
          <w:sz w:val="22"/>
          <w:szCs w:val="22"/>
          <w:color w:val="auto"/>
          <w:vertAlign w:val="superscript"/>
        </w:rPr>
        <w:t>5</w:t>
      </w:r>
      <w:r>
        <w:rPr>
          <w:rFonts w:ascii="Arial" w:cs="Arial" w:eastAsia="Arial" w:hAnsi="Arial"/>
          <w:sz w:val="17"/>
          <w:szCs w:val="17"/>
          <w:color w:val="auto"/>
        </w:rPr>
        <w:t>. The Company will also continue to sponsor select clinical trials that advance the safety and efficacy understanding of various psychedelic agents that target mental health</w:t>
      </w:r>
      <w:r>
        <w:rPr>
          <w:rFonts w:ascii="Arial" w:cs="Arial" w:eastAsia="Arial" w:hAnsi="Arial"/>
          <w:sz w:val="22"/>
          <w:szCs w:val="22"/>
          <w:color w:val="auto"/>
          <w:vertAlign w:val="superscript"/>
        </w:rPr>
        <w:t>6</w:t>
      </w:r>
      <w:r>
        <w:rPr>
          <w:rFonts w:ascii="Arial" w:cs="Arial" w:eastAsia="Arial" w:hAnsi="Arial"/>
          <w:sz w:val="17"/>
          <w:szCs w:val="17"/>
          <w:color w:val="auto"/>
        </w:rPr>
        <w:t>.</w:t>
      </w:r>
    </w:p>
    <w:p>
      <w:pPr>
        <w:spacing w:after="0" w:line="89"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Non-Psychedelics</w:t>
      </w:r>
    </w:p>
    <w:p>
      <w:pPr>
        <w:spacing w:after="0" w:line="197" w:lineRule="exact"/>
        <w:rPr>
          <w:sz w:val="20"/>
          <w:szCs w:val="20"/>
          <w:color w:val="auto"/>
        </w:rPr>
      </w:pPr>
    </w:p>
    <w:p>
      <w:pPr>
        <w:jc w:val="both"/>
        <w:ind w:left="2" w:right="20"/>
        <w:spacing w:after="0"/>
        <w:rPr>
          <w:sz w:val="20"/>
          <w:szCs w:val="20"/>
          <w:color w:val="auto"/>
        </w:rPr>
      </w:pPr>
      <w:r>
        <w:rPr>
          <w:rFonts w:ascii="Arial" w:cs="Arial" w:eastAsia="Arial" w:hAnsi="Arial"/>
          <w:sz w:val="18"/>
          <w:szCs w:val="18"/>
          <w:color w:val="auto"/>
        </w:rPr>
        <w:t>In November 2021, the Company decided to not proceed with the Natures Journey business segment, including the Product Line in order to prioritize its progression of its research and development of psychedelic pharmaceutical products. As of the date of this MD&amp;A, the Company has not begun operations nor generated any revenue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5532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199" w:lineRule="exact"/>
        <w:rPr>
          <w:sz w:val="20"/>
          <w:szCs w:val="20"/>
          <w:color w:val="auto"/>
        </w:rPr>
      </w:pPr>
    </w:p>
    <w:p>
      <w:pPr>
        <w:jc w:val="both"/>
        <w:ind w:left="2" w:firstLine="4"/>
        <w:spacing w:after="0" w:line="234" w:lineRule="auto"/>
        <w:tabs>
          <w:tab w:leader="none" w:pos="114"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w:t>
      </w:r>
      <w:r>
        <w:rPr>
          <w:rFonts w:ascii="Arial" w:cs="Arial" w:eastAsia="Arial" w:hAnsi="Arial"/>
          <w:sz w:val="12"/>
          <w:szCs w:val="12"/>
          <w:color w:val="auto"/>
        </w:rPr>
        <w:t>.</w:t>
      </w:r>
      <w:r>
        <w:rPr>
          <w:rFonts w:ascii="Arial" w:cs="Arial" w:eastAsia="Arial" w:hAnsi="Arial"/>
          <w:sz w:val="14"/>
          <w:szCs w:val="14"/>
          <w:color w:val="auto"/>
        </w:rPr>
        <w:t xml:space="preserve"> On November 8, 2021, the Company announced that its research into its Deuterated Psilocybin Analog program has identified a putative orally deliverable drug product that appears to have more desirable characteristics than psilocybin delivered by sublingual film. Although the Company is still evaluating the sublingual film technology, it has prioritized the Deuterated Psilocybin Analog program over the sublingual film technology as a result of the Company’s positive view of the Deuterated Psilocybin Analog program research data.</w:t>
      </w:r>
    </w:p>
    <w:p>
      <w:pPr>
        <w:spacing w:after="0" w:line="1" w:lineRule="exact"/>
        <w:rPr>
          <w:rFonts w:ascii="Arial" w:cs="Arial" w:eastAsia="Arial" w:hAnsi="Arial"/>
          <w:sz w:val="18"/>
          <w:szCs w:val="18"/>
          <w:color w:val="auto"/>
          <w:vertAlign w:val="superscript"/>
        </w:rPr>
      </w:pPr>
    </w:p>
    <w:p>
      <w:pPr>
        <w:jc w:val="both"/>
        <w:ind w:left="2" w:right="20"/>
        <w:spacing w:after="0" w:line="263"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3"/>
          <w:szCs w:val="13"/>
          <w:color w:val="auto"/>
        </w:rPr>
        <w:t xml:space="preserve"> The Company is currently applying Catalent’s proprietary Zydis® ODT technology as a delivery method during the development of our novel deuterated tryptamine. Zydis technology creates a freeze-dried tablet that disperses almost instantly in the mouth without water and is recognized as one of the world’s best-performing ODTs. 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 w:lineRule="exact"/>
        <w:rPr>
          <w:rFonts w:ascii="Arial" w:cs="Arial" w:eastAsia="Arial" w:hAnsi="Arial"/>
          <w:sz w:val="18"/>
          <w:szCs w:val="18"/>
          <w:color w:val="auto"/>
          <w:vertAlign w:val="superscript"/>
        </w:rPr>
      </w:pPr>
    </w:p>
    <w:p>
      <w:pPr>
        <w:jc w:val="both"/>
        <w:ind w:left="2" w:right="20"/>
        <w:spacing w:after="0" w:line="218" w:lineRule="auto"/>
        <w:rPr>
          <w:rFonts w:ascii="Arial" w:cs="Arial" w:eastAsia="Arial" w:hAnsi="Arial"/>
          <w:sz w:val="18"/>
          <w:szCs w:val="18"/>
          <w:color w:val="auto"/>
          <w:vertAlign w:val="superscript"/>
        </w:rPr>
      </w:pPr>
      <w:r>
        <w:rPr>
          <w:rFonts w:ascii="Arial" w:cs="Arial" w:eastAsia="Arial" w:hAnsi="Arial"/>
          <w:sz w:val="21"/>
          <w:szCs w:val="21"/>
          <w:color w:val="auto"/>
          <w:vertAlign w:val="superscript"/>
        </w:rPr>
        <w:t>3</w:t>
      </w:r>
      <w:r>
        <w:rPr>
          <w:rFonts w:ascii="Arial" w:cs="Arial" w:eastAsia="Arial" w:hAnsi="Arial"/>
          <w:sz w:val="15"/>
          <w:szCs w:val="15"/>
          <w:color w:val="auto"/>
        </w:rPr>
        <w:t xml:space="preserve"> The material factors and assumption underlying this forward-looking statement is that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47" w:lineRule="exact"/>
        <w:rPr>
          <w:sz w:val="20"/>
          <w:szCs w:val="20"/>
          <w:color w:val="auto"/>
        </w:rPr>
      </w:pPr>
    </w:p>
    <w:p>
      <w:pPr>
        <w:jc w:val="both"/>
        <w:ind w:left="2" w:right="20" w:hanging="2"/>
        <w:spacing w:after="0" w:line="216" w:lineRule="auto"/>
        <w:tabs>
          <w:tab w:leader="none" w:pos="127"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The material factors and assumption underlying this forward-looking statement is that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ind w:left="2"/>
        <w:spacing w:after="0" w:line="188" w:lineRule="auto"/>
        <w:rPr>
          <w:rFonts w:ascii="Arial" w:cs="Arial" w:eastAsia="Arial" w:hAnsi="Arial"/>
          <w:sz w:val="25"/>
          <w:szCs w:val="25"/>
          <w:color w:val="auto"/>
          <w:vertAlign w:val="superscript"/>
        </w:rPr>
      </w:pPr>
      <w:r>
        <w:rPr>
          <w:rFonts w:ascii="Arial" w:cs="Arial" w:eastAsia="Arial" w:hAnsi="Arial"/>
          <w:sz w:val="19"/>
          <w:szCs w:val="19"/>
          <w:color w:val="auto"/>
          <w:vertAlign w:val="superscript"/>
        </w:rPr>
        <w:t>5</w:t>
      </w:r>
      <w:r>
        <w:rPr>
          <w:rFonts w:ascii="Arial" w:cs="Arial" w:eastAsia="Arial" w:hAnsi="Arial"/>
          <w:sz w:val="13"/>
          <w:szCs w:val="13"/>
          <w:color w:val="auto"/>
        </w:rPr>
        <w:t xml:space="preserve"> The material factors and assumption underlying this forward-looking statement is that the Company will be able to successfully negotiate strategic partnerships.</w:t>
      </w:r>
    </w:p>
    <w:p>
      <w:pPr>
        <w:jc w:val="both"/>
        <w:ind w:left="2" w:right="20"/>
        <w:spacing w:after="0" w:line="211" w:lineRule="auto"/>
        <w:rPr>
          <w:rFonts w:ascii="Arial" w:cs="Arial" w:eastAsia="Arial" w:hAnsi="Arial"/>
          <w:sz w:val="25"/>
          <w:szCs w:val="25"/>
          <w:color w:val="auto"/>
          <w:vertAlign w:val="superscript"/>
        </w:rPr>
      </w:pPr>
      <w:r>
        <w:rPr>
          <w:rFonts w:ascii="Arial" w:cs="Arial" w:eastAsia="Arial" w:hAnsi="Arial"/>
          <w:sz w:val="21"/>
          <w:szCs w:val="21"/>
          <w:color w:val="auto"/>
          <w:vertAlign w:val="superscript"/>
        </w:rPr>
        <w:t>6</w:t>
      </w:r>
      <w:r>
        <w:rPr>
          <w:rFonts w:ascii="Arial" w:cs="Arial" w:eastAsia="Arial" w:hAnsi="Arial"/>
          <w:sz w:val="15"/>
          <w:szCs w:val="15"/>
          <w:color w:val="auto"/>
        </w:rPr>
        <w:t xml:space="preserve"> 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spacing w:after="0" w:line="200" w:lineRule="exact"/>
        <w:rPr>
          <w:sz w:val="20"/>
          <w:szCs w:val="20"/>
          <w:color w:val="auto"/>
        </w:rPr>
      </w:pPr>
    </w:p>
    <w:p>
      <w:pPr>
        <w:spacing w:after="0" w:line="35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2"/>
          </w:cols>
          <w:pgMar w:left="318" w:top="710" w:right="319" w:bottom="1440" w:gutter="0" w:footer="0" w:header="0"/>
        </w:sectPr>
      </w:pPr>
    </w:p>
    <w:bookmarkStart w:id="34" w:name="page35"/>
    <w:bookmarkEnd w:id="34"/>
    <w:p>
      <w:pPr>
        <w:jc w:val="both"/>
        <w:ind w:left="2"/>
        <w:spacing w:after="0" w:line="253" w:lineRule="auto"/>
        <w:rPr>
          <w:sz w:val="20"/>
          <w:szCs w:val="20"/>
          <w:color w:val="auto"/>
        </w:rPr>
      </w:pPr>
      <w:r>
        <w:rPr>
          <w:rFonts w:ascii="Arial" w:cs="Arial" w:eastAsia="Arial" w:hAnsi="Arial"/>
          <w:sz w:val="18"/>
          <w:szCs w:val="18"/>
          <w:color w:val="auto"/>
        </w:rPr>
        <w:t>sale of the Product Line and it does not expect any revenues from the Product Line going forward. The Company’s revenues reflected in its 2021 annual consolidated financial statements are from non-recurring opportunist sales of non-core products sold in the United States.</w:t>
      </w:r>
    </w:p>
    <w:p>
      <w:pPr>
        <w:spacing w:after="0" w:line="187"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Stage of Development</w:t>
      </w:r>
    </w:p>
    <w:p>
      <w:pPr>
        <w:spacing w:after="0" w:line="135"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Like most life sciences and pharmaceutical companies, the Company's psychedelic business is focused on research and development and any future revenue will be dependent on a number of factors, including the outcome of the Company’s sponsored clinical trials and the receipt of all necessary regulatory approvals.</w:t>
      </w:r>
    </w:p>
    <w:p>
      <w:pPr>
        <w:spacing w:after="0" w:line="162" w:lineRule="exact"/>
        <w:rPr>
          <w:sz w:val="20"/>
          <w:szCs w:val="20"/>
          <w:color w:val="auto"/>
        </w:rPr>
      </w:pPr>
    </w:p>
    <w:p>
      <w:pPr>
        <w:jc w:val="both"/>
        <w:ind w:left="2"/>
        <w:spacing w:after="0" w:line="249" w:lineRule="auto"/>
        <w:rPr>
          <w:sz w:val="20"/>
          <w:szCs w:val="20"/>
          <w:color w:val="auto"/>
        </w:rPr>
      </w:pPr>
      <w:r>
        <w:rPr>
          <w:rFonts w:ascii="Arial" w:cs="Arial" w:eastAsia="Arial" w:hAnsi="Arial"/>
          <w:sz w:val="18"/>
          <w:szCs w:val="18"/>
          <w:color w:val="auto"/>
        </w:rPr>
        <w:t>The Company’s revenues reflected in the Interim Financial Statements originated from non-core, nutraceutical formulation which was purchased and formulated into finished goods and sold in the United States to one purchaser. The products will not be re-generated in the future and do not represent core sales of the Company and/or core products of the Company. The Company has discontinued its sales of such products as it is not in line with the Company’s core sales model.</w:t>
      </w:r>
    </w:p>
    <w:p>
      <w:pPr>
        <w:spacing w:after="0" w:line="168" w:lineRule="exact"/>
        <w:rPr>
          <w:sz w:val="20"/>
          <w:szCs w:val="20"/>
          <w:color w:val="auto"/>
        </w:rPr>
      </w:pPr>
    </w:p>
    <w:p>
      <w:pPr>
        <w:jc w:val="both"/>
        <w:ind w:left="2"/>
        <w:spacing w:after="0" w:line="255" w:lineRule="auto"/>
        <w:rPr>
          <w:sz w:val="20"/>
          <w:szCs w:val="20"/>
          <w:color w:val="auto"/>
        </w:rPr>
      </w:pPr>
      <w:r>
        <w:rPr>
          <w:rFonts w:ascii="Arial" w:cs="Arial" w:eastAsia="Arial" w:hAnsi="Arial"/>
          <w:sz w:val="18"/>
          <w:szCs w:val="18"/>
          <w:color w:val="auto"/>
        </w:rPr>
        <w:t>In order to establish its business operations, the Company intends to leverage the extensive professional network of its management to build working partnerships with (i) existing producers of psychedelic products based in Canada, the United States, and the United Kingdom to source the psychedelic pharmaceutical products the Company intends to develop and distribute under its specific brand, and (ii) to explore options to facilitate the development and distribution and sale of its specific brand of psychedelic pharmaceutical products.</w:t>
      </w:r>
      <w:r>
        <w:rPr>
          <w:rFonts w:ascii="Arial" w:cs="Arial" w:eastAsia="Arial" w:hAnsi="Arial"/>
          <w:sz w:val="23"/>
          <w:szCs w:val="23"/>
          <w:color w:val="auto"/>
          <w:vertAlign w:val="superscript"/>
        </w:rPr>
        <w:t>7</w:t>
      </w:r>
    </w:p>
    <w:p>
      <w:pPr>
        <w:spacing w:after="0" w:line="87" w:lineRule="exact"/>
        <w:rPr>
          <w:sz w:val="20"/>
          <w:szCs w:val="20"/>
          <w:color w:val="auto"/>
        </w:rPr>
      </w:pPr>
    </w:p>
    <w:p>
      <w:pPr>
        <w:jc w:val="both"/>
        <w:ind w:left="2"/>
        <w:spacing w:after="0" w:line="249" w:lineRule="auto"/>
        <w:rPr>
          <w:sz w:val="20"/>
          <w:szCs w:val="20"/>
          <w:color w:val="auto"/>
        </w:rPr>
      </w:pPr>
      <w:r>
        <w:rPr>
          <w:rFonts w:ascii="Arial" w:cs="Arial" w:eastAsia="Arial" w:hAnsi="Arial"/>
          <w:sz w:val="18"/>
          <w:szCs w:val="18"/>
          <w:color w:val="auto"/>
        </w:rPr>
        <w:t xml:space="preserve">The Company’s marketing and brand development will be driven through a digital marketing strategy composed of digital advertising and influencer marketing. Prescription drugs are classified and regulated under the federal </w:t>
      </w:r>
      <w:r>
        <w:rPr>
          <w:rFonts w:ascii="Arial" w:cs="Arial" w:eastAsia="Arial" w:hAnsi="Arial"/>
          <w:sz w:val="18"/>
          <w:szCs w:val="18"/>
          <w:i w:val="1"/>
          <w:iCs w:val="1"/>
          <w:color w:val="auto"/>
        </w:rPr>
        <w:t>Food and Drugs Act</w:t>
      </w:r>
      <w:r>
        <w:rPr>
          <w:rFonts w:ascii="Arial" w:cs="Arial" w:eastAsia="Arial" w:hAnsi="Arial"/>
          <w:sz w:val="18"/>
          <w:szCs w:val="18"/>
          <w:color w:val="auto"/>
        </w:rPr>
        <w:t xml:space="preserve"> (Canada) (the “</w:t>
      </w:r>
      <w:r>
        <w:rPr>
          <w:rFonts w:ascii="Arial" w:cs="Arial" w:eastAsia="Arial" w:hAnsi="Arial"/>
          <w:sz w:val="18"/>
          <w:szCs w:val="18"/>
          <w:b w:val="1"/>
          <w:bCs w:val="1"/>
          <w:color w:val="auto"/>
        </w:rPr>
        <w:t>Canadian FDA</w:t>
      </w:r>
      <w:r>
        <w:rPr>
          <w:rFonts w:ascii="Arial" w:cs="Arial" w:eastAsia="Arial" w:hAnsi="Arial"/>
          <w:sz w:val="18"/>
          <w:szCs w:val="18"/>
          <w:color w:val="auto"/>
        </w:rPr>
        <w:t>”). Labelling, marketing and selling of any prescription drug must comply with the Canadian FDA, including by ensuring that the Company’s products are not packaged or marketed in a manner that is misleading or deceptive to a consumer.</w:t>
      </w:r>
    </w:p>
    <w:p>
      <w:pPr>
        <w:spacing w:after="0" w:line="164" w:lineRule="exact"/>
        <w:rPr>
          <w:sz w:val="20"/>
          <w:szCs w:val="20"/>
          <w:color w:val="auto"/>
        </w:rPr>
      </w:pPr>
    </w:p>
    <w:p>
      <w:pPr>
        <w:jc w:val="both"/>
        <w:ind w:left="2"/>
        <w:spacing w:after="0" w:line="267" w:lineRule="auto"/>
        <w:rPr>
          <w:sz w:val="20"/>
          <w:szCs w:val="20"/>
          <w:color w:val="auto"/>
        </w:rPr>
      </w:pPr>
      <w:r>
        <w:rPr>
          <w:rFonts w:ascii="Arial" w:cs="Arial" w:eastAsia="Arial" w:hAnsi="Arial"/>
          <w:sz w:val="17"/>
          <w:szCs w:val="17"/>
          <w:color w:val="auto"/>
        </w:rPr>
        <w:t xml:space="preserve">In the United States, foods, drugs and dietary supplements are subject to extensive regulation. The </w:t>
      </w:r>
      <w:r>
        <w:rPr>
          <w:rFonts w:ascii="Arial" w:cs="Arial" w:eastAsia="Arial" w:hAnsi="Arial"/>
          <w:sz w:val="17"/>
          <w:szCs w:val="17"/>
          <w:i w:val="1"/>
          <w:iCs w:val="1"/>
          <w:color w:val="auto"/>
        </w:rPr>
        <w:t>Federal Food, Drug, and Cosmetic Act</w:t>
      </w:r>
      <w:r>
        <w:rPr>
          <w:rFonts w:ascii="Arial" w:cs="Arial" w:eastAsia="Arial" w:hAnsi="Arial"/>
          <w:sz w:val="17"/>
          <w:szCs w:val="17"/>
          <w:color w:val="auto"/>
        </w:rPr>
        <w:t xml:space="preserve"> (the “</w:t>
      </w:r>
      <w:r>
        <w:rPr>
          <w:rFonts w:ascii="Arial" w:cs="Arial" w:eastAsia="Arial" w:hAnsi="Arial"/>
          <w:sz w:val="17"/>
          <w:szCs w:val="17"/>
          <w:b w:val="1"/>
          <w:bCs w:val="1"/>
          <w:color w:val="auto"/>
        </w:rPr>
        <w:t>FFDCA</w:t>
      </w:r>
      <w:r>
        <w:rPr>
          <w:rFonts w:ascii="Arial" w:cs="Arial" w:eastAsia="Arial" w:hAnsi="Arial"/>
          <w:sz w:val="17"/>
          <w:szCs w:val="17"/>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w:t>
      </w:r>
    </w:p>
    <w:p>
      <w:pPr>
        <w:spacing w:after="0" w:line="152" w:lineRule="exact"/>
        <w:rPr>
          <w:sz w:val="20"/>
          <w:szCs w:val="20"/>
          <w:color w:val="auto"/>
        </w:rPr>
      </w:pPr>
    </w:p>
    <w:p>
      <w:pPr>
        <w:jc w:val="both"/>
        <w:ind w:left="2"/>
        <w:spacing w:after="0" w:line="247" w:lineRule="auto"/>
        <w:rPr>
          <w:sz w:val="20"/>
          <w:szCs w:val="20"/>
          <w:color w:val="auto"/>
        </w:rPr>
      </w:pPr>
      <w:r>
        <w:rPr>
          <w:rFonts w:ascii="Arial" w:cs="Arial" w:eastAsia="Arial" w:hAnsi="Arial"/>
          <w:sz w:val="18"/>
          <w:szCs w:val="18"/>
          <w:color w:val="auto"/>
        </w:rPr>
        <w:t>On November 4, 2021, the Company announced that it has been granted a Schedule I manufacturing license from the DEA. The DEA license is for the Company’s research lab in the Boston area. The license will allow the Company to further become a hub for innovation and drug discovery. Previously, the Company conducted much of its research and development work through globally licensed research organizations in the U.S., Canada, and the UK, and through certain in-house capabilities. With the DEA license, the Company expects to be able to expand its internal R&amp;D capabilities to support innovative drug discovery and delivery involving Schedule I compounds.</w:t>
      </w:r>
    </w:p>
    <w:p>
      <w:pPr>
        <w:spacing w:after="0" w:line="195"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Non-Revenue Generating Projects</w:t>
      </w:r>
      <w:r>
        <w:rPr>
          <w:rFonts w:ascii="Arial" w:cs="Arial" w:eastAsia="Arial" w:hAnsi="Arial"/>
          <w:sz w:val="23"/>
          <w:szCs w:val="23"/>
          <w:b w:val="1"/>
          <w:bCs w:val="1"/>
          <w:i w:val="1"/>
          <w:iCs w:val="1"/>
          <w:color w:val="auto"/>
          <w:vertAlign w:val="superscript"/>
        </w:rPr>
        <w:t>8</w:t>
      </w:r>
    </w:p>
    <w:p>
      <w:pPr>
        <w:spacing w:after="0" w:line="139"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Company currently has four significant projects, which have not yet generated revenue:</w:t>
      </w:r>
    </w:p>
    <w:p>
      <w:pPr>
        <w:spacing w:after="0" w:line="197" w:lineRule="exact"/>
        <w:rPr>
          <w:sz w:val="20"/>
          <w:szCs w:val="20"/>
          <w:color w:val="auto"/>
        </w:rPr>
      </w:pPr>
    </w:p>
    <w:p>
      <w:pPr>
        <w:ind w:left="602" w:hanging="309"/>
        <w:spacing w:after="0"/>
        <w:tabs>
          <w:tab w:leader="none" w:pos="6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Deuterated Psilocybin Analog Program</w:t>
      </w:r>
    </w:p>
    <w:p>
      <w:pPr>
        <w:spacing w:after="0" w:line="16" w:lineRule="exact"/>
        <w:rPr>
          <w:rFonts w:ascii="Arial" w:cs="Arial" w:eastAsia="Arial" w:hAnsi="Arial"/>
          <w:sz w:val="18"/>
          <w:szCs w:val="18"/>
          <w:color w:val="auto"/>
        </w:rPr>
      </w:pPr>
    </w:p>
    <w:p>
      <w:pPr>
        <w:ind w:left="582" w:hanging="289"/>
        <w:spacing w:after="0"/>
        <w:tabs>
          <w:tab w:leader="none" w:pos="5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Deuterated Tryptamines Preclinical Programs</w:t>
      </w:r>
    </w:p>
    <w:p>
      <w:pPr>
        <w:ind w:left="602" w:hanging="309"/>
        <w:spacing w:after="0"/>
        <w:tabs>
          <w:tab w:leader="none" w:pos="6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Phenethylamine Preclinical Program</w:t>
      </w:r>
    </w:p>
    <w:p>
      <w:pPr>
        <w:ind w:left="582" w:hanging="289"/>
        <w:spacing w:after="0"/>
        <w:tabs>
          <w:tab w:leader="none" w:pos="5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Technology Programs</w:t>
      </w:r>
    </w:p>
    <w:p>
      <w:pPr>
        <w:spacing w:after="0" w:line="181" w:lineRule="exact"/>
        <w:rPr>
          <w:sz w:val="20"/>
          <w:szCs w:val="20"/>
          <w:color w:val="auto"/>
        </w:rPr>
      </w:pPr>
    </w:p>
    <w:p>
      <w:pPr>
        <w:ind w:left="2"/>
        <w:spacing w:after="0" w:line="267" w:lineRule="auto"/>
        <w:rPr>
          <w:sz w:val="20"/>
          <w:szCs w:val="20"/>
          <w:color w:val="auto"/>
        </w:rPr>
      </w:pPr>
      <w:r>
        <w:rPr>
          <w:rFonts w:ascii="Arial" w:cs="Arial" w:eastAsia="Arial" w:hAnsi="Arial"/>
          <w:sz w:val="18"/>
          <w:szCs w:val="18"/>
          <w:color w:val="auto"/>
        </w:rPr>
        <w:t>The Company was previously exploring a fifth program, the Nutraceutical Product Program; however, in November 2021, the Company concluded that it would no longer be progressing with this program in order to prioritize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15532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13" w:lineRule="exact"/>
        <w:rPr>
          <w:sz w:val="20"/>
          <w:szCs w:val="20"/>
          <w:color w:val="auto"/>
        </w:rPr>
      </w:pPr>
    </w:p>
    <w:p>
      <w:pPr>
        <w:ind w:left="2" w:hanging="2"/>
        <w:spacing w:after="0" w:line="214" w:lineRule="auto"/>
        <w:tabs>
          <w:tab w:leader="none" w:pos="96"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1" w:lineRule="exact"/>
        <w:rPr>
          <w:rFonts w:ascii="Arial" w:cs="Arial" w:eastAsia="Arial" w:hAnsi="Arial"/>
          <w:sz w:val="21"/>
          <w:szCs w:val="21"/>
          <w:color w:val="auto"/>
          <w:vertAlign w:val="superscript"/>
        </w:rPr>
      </w:pPr>
    </w:p>
    <w:p>
      <w:pPr>
        <w:ind w:left="2"/>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8</w:t>
      </w:r>
      <w:r>
        <w:rPr>
          <w:rFonts w:ascii="Arial" w:cs="Arial" w:eastAsia="Arial" w:hAnsi="Arial"/>
          <w:sz w:val="15"/>
          <w:szCs w:val="15"/>
          <w:color w:val="auto"/>
        </w:rPr>
        <w:t xml:space="preserve"> All quarter references in this section are based on calendar year-end.</w:t>
      </w:r>
    </w:p>
    <w:p>
      <w:pPr>
        <w:spacing w:after="0" w:line="200" w:lineRule="exact"/>
        <w:rPr>
          <w:sz w:val="20"/>
          <w:szCs w:val="20"/>
          <w:color w:val="auto"/>
        </w:rPr>
      </w:pPr>
    </w:p>
    <w:p>
      <w:pPr>
        <w:spacing w:after="0" w:line="31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2"/>
          </w:cols>
          <w:pgMar w:left="318" w:top="710" w:right="339" w:bottom="1440" w:gutter="0" w:footer="0" w:header="0"/>
        </w:sectPr>
      </w:pPr>
    </w:p>
    <w:bookmarkStart w:id="35" w:name="page36"/>
    <w:bookmarkEnd w:id="35"/>
    <w:p>
      <w:pPr>
        <w:jc w:val="both"/>
        <w:ind w:right="20"/>
        <w:spacing w:after="0" w:line="254" w:lineRule="auto"/>
        <w:rPr>
          <w:sz w:val="20"/>
          <w:szCs w:val="20"/>
          <w:color w:val="auto"/>
        </w:rPr>
      </w:pPr>
      <w:r>
        <w:rPr>
          <w:rFonts w:ascii="Arial" w:cs="Arial" w:eastAsia="Arial" w:hAnsi="Arial"/>
          <w:sz w:val="18"/>
          <w:szCs w:val="18"/>
          <w:color w:val="auto"/>
        </w:rPr>
        <w:t>progression of psychedelic molecules. In addition, the Company has merged its Psilocybin Program with its CYB003 Deuterated Tryptamine Pre-clinical Program and will be prioritizing the progression of the Deuterated Psilocybin Analog Program going forward, as it has been identified as a potentially superior molecule.</w:t>
      </w:r>
    </w:p>
    <w:p>
      <w:pPr>
        <w:spacing w:after="0" w:line="178"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To support the programs listed above, the Company developed EMBARK</w:t>
      </w:r>
      <w:r>
        <w:rPr>
          <w:rFonts w:ascii="Arial" w:cs="Arial" w:eastAsia="Arial" w:hAnsi="Arial"/>
          <w:sz w:val="24"/>
          <w:szCs w:val="24"/>
          <w:color w:val="auto"/>
          <w:vertAlign w:val="superscript"/>
        </w:rPr>
        <w:t>TM</w:t>
      </w:r>
      <w:r>
        <w:rPr>
          <w:rFonts w:ascii="Arial" w:cs="Arial" w:eastAsia="Arial" w:hAnsi="Arial"/>
          <w:sz w:val="17"/>
          <w:szCs w:val="17"/>
          <w:color w:val="auto"/>
        </w:rPr>
        <w:t>, a psychotherapy model that integrates leading clinical approaches to promote supportive healing with psychedelic medicine. EMBARK</w:t>
      </w:r>
      <w:r>
        <w:rPr>
          <w:rFonts w:ascii="Arial" w:cs="Arial" w:eastAsia="Arial" w:hAnsi="Arial"/>
          <w:sz w:val="24"/>
          <w:szCs w:val="24"/>
          <w:color w:val="auto"/>
          <w:vertAlign w:val="superscript"/>
        </w:rPr>
        <w:t>TM</w:t>
      </w:r>
      <w:r>
        <w:rPr>
          <w:rFonts w:ascii="Arial" w:cs="Arial" w:eastAsia="Arial" w:hAnsi="Arial"/>
          <w:sz w:val="17"/>
          <w:szCs w:val="17"/>
          <w:color w:val="auto"/>
        </w:rPr>
        <w:t>’s six clinical domains (</w:t>
      </w:r>
      <w:r>
        <w:rPr>
          <w:rFonts w:ascii="Arial" w:cs="Arial" w:eastAsia="Arial" w:hAnsi="Arial"/>
          <w:sz w:val="17"/>
          <w:szCs w:val="17"/>
          <w:b w:val="1"/>
          <w:bCs w:val="1"/>
          <w:color w:val="auto"/>
        </w:rPr>
        <w:t>E</w:t>
      </w:r>
      <w:r>
        <w:rPr>
          <w:rFonts w:ascii="Arial" w:cs="Arial" w:eastAsia="Arial" w:hAnsi="Arial"/>
          <w:sz w:val="17"/>
          <w:szCs w:val="17"/>
          <w:color w:val="auto"/>
        </w:rPr>
        <w:t xml:space="preserve">xistential-Spiritual, </w:t>
      </w:r>
      <w:r>
        <w:rPr>
          <w:rFonts w:ascii="Arial" w:cs="Arial" w:eastAsia="Arial" w:hAnsi="Arial"/>
          <w:sz w:val="17"/>
          <w:szCs w:val="17"/>
          <w:b w:val="1"/>
          <w:bCs w:val="1"/>
          <w:color w:val="auto"/>
        </w:rPr>
        <w:t>M</w:t>
      </w:r>
      <w:r>
        <w:rPr>
          <w:rFonts w:ascii="Arial" w:cs="Arial" w:eastAsia="Arial" w:hAnsi="Arial"/>
          <w:sz w:val="17"/>
          <w:szCs w:val="17"/>
          <w:color w:val="auto"/>
        </w:rPr>
        <w:t xml:space="preserve">indfulness, </w:t>
      </w:r>
      <w:r>
        <w:rPr>
          <w:rFonts w:ascii="Arial" w:cs="Arial" w:eastAsia="Arial" w:hAnsi="Arial"/>
          <w:sz w:val="17"/>
          <w:szCs w:val="17"/>
          <w:b w:val="1"/>
          <w:bCs w:val="1"/>
          <w:color w:val="auto"/>
        </w:rPr>
        <w:t>B</w:t>
      </w:r>
      <w:r>
        <w:rPr>
          <w:rFonts w:ascii="Arial" w:cs="Arial" w:eastAsia="Arial" w:hAnsi="Arial"/>
          <w:sz w:val="17"/>
          <w:szCs w:val="17"/>
          <w:color w:val="auto"/>
        </w:rPr>
        <w:t xml:space="preserve">ody Aware, </w:t>
      </w:r>
      <w:r>
        <w:rPr>
          <w:rFonts w:ascii="Arial" w:cs="Arial" w:eastAsia="Arial" w:hAnsi="Arial"/>
          <w:sz w:val="17"/>
          <w:szCs w:val="17"/>
          <w:b w:val="1"/>
          <w:bCs w:val="1"/>
          <w:color w:val="auto"/>
        </w:rPr>
        <w:t>A</w:t>
      </w:r>
      <w:r>
        <w:rPr>
          <w:rFonts w:ascii="Arial" w:cs="Arial" w:eastAsia="Arial" w:hAnsi="Arial"/>
          <w:sz w:val="17"/>
          <w:szCs w:val="17"/>
          <w:color w:val="auto"/>
        </w:rPr>
        <w:t xml:space="preserve">ffective-Cognitive, </w:t>
      </w:r>
      <w:r>
        <w:rPr>
          <w:rFonts w:ascii="Arial" w:cs="Arial" w:eastAsia="Arial" w:hAnsi="Arial"/>
          <w:sz w:val="17"/>
          <w:szCs w:val="17"/>
          <w:b w:val="1"/>
          <w:bCs w:val="1"/>
          <w:color w:val="auto"/>
        </w:rPr>
        <w:t>R</w:t>
      </w:r>
      <w:r>
        <w:rPr>
          <w:rFonts w:ascii="Arial" w:cs="Arial" w:eastAsia="Arial" w:hAnsi="Arial"/>
          <w:sz w:val="17"/>
          <w:szCs w:val="17"/>
          <w:color w:val="auto"/>
        </w:rPr>
        <w:t>elational,</w:t>
      </w:r>
      <w:r>
        <w:rPr>
          <w:rFonts w:ascii="Arial" w:cs="Arial" w:eastAsia="Arial" w:hAnsi="Arial"/>
          <w:sz w:val="17"/>
          <w:szCs w:val="17"/>
          <w:b w:val="1"/>
          <w:bCs w:val="1"/>
          <w:color w:val="auto"/>
        </w:rPr>
        <w:t xml:space="preserve"> K</w:t>
      </w:r>
      <w:r>
        <w:rPr>
          <w:rFonts w:ascii="Arial" w:cs="Arial" w:eastAsia="Arial" w:hAnsi="Arial"/>
          <w:sz w:val="17"/>
          <w:szCs w:val="17"/>
          <w:color w:val="auto"/>
        </w:rPr>
        <w:t>eeping Momentum) represent the broad spectrum of ways in which therapeutic benefits may arise in psychedelic treatment and the equally</w:t>
      </w:r>
      <w:r>
        <w:rPr>
          <w:rFonts w:ascii="Arial" w:cs="Arial" w:eastAsia="Arial" w:hAnsi="Arial"/>
          <w:sz w:val="17"/>
          <w:szCs w:val="17"/>
          <w:b w:val="1"/>
          <w:bCs w:val="1"/>
          <w:color w:val="auto"/>
        </w:rPr>
        <w:t xml:space="preserve"> </w:t>
      </w:r>
      <w:r>
        <w:rPr>
          <w:rFonts w:ascii="Arial" w:cs="Arial" w:eastAsia="Arial" w:hAnsi="Arial"/>
          <w:sz w:val="17"/>
          <w:szCs w:val="17"/>
          <w:color w:val="auto"/>
        </w:rPr>
        <w:t>broad training needed to prepare therapists to support them all. The Company has launched its EMBARK training program,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Deuterated Psilocybin Analog Program (formerly the Psilocybin Program)</w:t>
      </w:r>
    </w:p>
    <w:p>
      <w:pPr>
        <w:spacing w:after="0" w:line="22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Psilocybin was the Company's first drug program in development. The Company’s sublingual film formulation of psilocybin is a synthetic psychedelic molecular formulation, the activity for which is in part based upon classical serotonin 2A psychedelic activity.</w:t>
      </w:r>
    </w:p>
    <w:p>
      <w:pPr>
        <w:spacing w:after="0" w:line="151"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Studies of psilocybin efficacy in depressive states published by Johns Hopkins University demonstrate promising potential efficacy of psilocybin and, therefore, of the Company’s novel formulation. The Company has contracted with IntelGenx Corp. ("</w:t>
      </w:r>
      <w:r>
        <w:rPr>
          <w:rFonts w:ascii="Arial" w:cs="Arial" w:eastAsia="Arial" w:hAnsi="Arial"/>
          <w:sz w:val="17"/>
          <w:szCs w:val="17"/>
          <w:b w:val="1"/>
          <w:bCs w:val="1"/>
          <w:color w:val="auto"/>
        </w:rPr>
        <w:t>IntelGenx</w:t>
      </w:r>
      <w:r>
        <w:rPr>
          <w:rFonts w:ascii="Arial" w:cs="Arial" w:eastAsia="Arial" w:hAnsi="Arial"/>
          <w:sz w:val="17"/>
          <w:szCs w:val="17"/>
          <w:color w:val="auto"/>
        </w:rPr>
        <w:t>") to undertake the development of a sublingual film formulation of psilocybin. To date, an array of drug formulation candidates have been created and the Company continues to pursue the optimization of certain characteristics of these formulations including, but not limited to, composition, membrane permeation and stability. On November 8, 2021, the Company announced that its research into its novel oral psilocybin analog molecule (CYB003) has identified a putative orally deliverable drug product that appears to have more desirable characteristics than psilocybin delivered by sublingual film. Although the Company is still evaluating the sublingual film technology, it has prioritized the new Deuterated Psilocybin Analog Program over the sublingual film technology as a result of the Company’s positive view of the research data on the Company’s novel oral psilocybin analog molecule.</w:t>
      </w:r>
    </w:p>
    <w:p>
      <w:pPr>
        <w:spacing w:after="0" w:line="183"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While oral psilocybin has been demonstrated to be efficacious, the Company did recognize the challenges and limitations of the molecule and worked on ways to address them by simultaneously looking at the formulation in two programs and then the molecule itself in another. In light of compelling data regarding the Company’s novel oral psilocybin analog molecule (CYB003), the Company has determined that it would be leveraging the data obtained through the Psilocybin Program to advance its newly defined Deuterated Psilocybin Analog Program. The Deuterated Psilocybin Analog Program will merge both the MDD and AUD indication into a single program. The Company has determined that this merger of programs would be the most efficient and cost-effective way for the Company to move forward. The Company will be prioritizing the progression of the Deuterated Psilocybin Analog Program, as this has been demonstrated to be the potentially superior molecule. The Company will continue to advance on the previous disclosed psilocybin milestones, in the U.S. and the UK, as it deems them necessary to bring psychedelics to therapeutics.</w:t>
      </w:r>
    </w:p>
    <w:p>
      <w:pPr>
        <w:spacing w:after="0" w:line="5"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color w:val="auto"/>
        </w:rPr>
        <w:t>The Company intends to complete the Investigational New Drug ("</w:t>
      </w:r>
      <w:r>
        <w:rPr>
          <w:rFonts w:ascii="Arial" w:cs="Arial" w:eastAsia="Arial" w:hAnsi="Arial"/>
          <w:sz w:val="17"/>
          <w:szCs w:val="17"/>
          <w:b w:val="1"/>
          <w:bCs w:val="1"/>
          <w:color w:val="auto"/>
        </w:rPr>
        <w:t>IND</w:t>
      </w:r>
      <w:r>
        <w:rPr>
          <w:rFonts w:ascii="Arial" w:cs="Arial" w:eastAsia="Arial" w:hAnsi="Arial"/>
          <w:sz w:val="17"/>
          <w:szCs w:val="17"/>
          <w:color w:val="auto"/>
        </w:rPr>
        <w:t>") enabling pre-clinical studies and the Chemistry, Manufacturing and Control ("CMC") development required to commence clinical trials, including the production of clinical materials, in Q1 2022. Subsequent to the completion of the IND enabling pre-clinical studies and the CMC development, the Company intends to complete clinical trial application filings in Q2 2022 and plans to conduct its first in human trial, in patients with MDD, subject to receiving the necessary approvals. The Company intends to continue its progression of post IND enabling pre-clinical studies and CMC development progression throughout calendar year 2022. There is no assurance that these timelines will be met or that these preclinical drug candidates will advance to clinical trials at all.</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320" w:top="710" w:right="319" w:bottom="1440" w:gutter="0" w:footer="0" w:header="0"/>
        </w:sectPr>
      </w:pPr>
    </w:p>
    <w:bookmarkStart w:id="36" w:name="page37"/>
    <w:bookmarkEnd w:id="36"/>
    <w:p>
      <w:pPr>
        <w:ind w:left="2"/>
        <w:spacing w:after="0"/>
        <w:rPr>
          <w:sz w:val="20"/>
          <w:szCs w:val="20"/>
          <w:color w:val="auto"/>
        </w:rPr>
      </w:pPr>
      <w:r>
        <w:rPr>
          <w:rFonts w:ascii="Arial" w:cs="Arial" w:eastAsia="Arial" w:hAnsi="Arial"/>
          <w:sz w:val="18"/>
          <w:szCs w:val="18"/>
          <w:color w:val="auto"/>
        </w:rPr>
        <w:t>As at December 31, 2021, the Company has spent approximately $3,676 on the Deuterated Psilocybin Analog Program</w:t>
      </w:r>
      <w:r>
        <w:rPr>
          <w:rFonts w:ascii="Arial" w:cs="Arial" w:eastAsia="Arial" w:hAnsi="Arial"/>
          <w:sz w:val="23"/>
          <w:szCs w:val="23"/>
          <w:color w:val="auto"/>
          <w:vertAlign w:val="superscript"/>
        </w:rPr>
        <w:t>9</w:t>
      </w:r>
      <w:r>
        <w:rPr>
          <w:rFonts w:ascii="Arial" w:cs="Arial" w:eastAsia="Arial" w:hAnsi="Arial"/>
          <w:sz w:val="18"/>
          <w:szCs w:val="18"/>
          <w:color w:val="auto"/>
        </w:rPr>
        <w:t>.</w:t>
      </w:r>
    </w:p>
    <w:p>
      <w:pPr>
        <w:spacing w:after="0" w:line="164"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On December 8, 2021, the Company announced that it has confirmed a scientific advice meeting with the UK Medical and Healthcare Products Regulatory Agency (“</w:t>
      </w:r>
      <w:r>
        <w:rPr>
          <w:rFonts w:ascii="Arial" w:cs="Arial" w:eastAsia="Arial" w:hAnsi="Arial"/>
          <w:sz w:val="18"/>
          <w:szCs w:val="18"/>
          <w:b w:val="1"/>
          <w:bCs w:val="1"/>
          <w:color w:val="auto"/>
        </w:rPr>
        <w:t>MHRA</w:t>
      </w:r>
      <w:r>
        <w:rPr>
          <w:rFonts w:ascii="Arial" w:cs="Arial" w:eastAsia="Arial" w:hAnsi="Arial"/>
          <w:sz w:val="18"/>
          <w:szCs w:val="18"/>
          <w:color w:val="auto"/>
        </w:rPr>
        <w:t>”) for Q1 2022. This program milestone brings the Company closer toward advancing into clinical development for the treatment of MDD and AUD.</w:t>
      </w:r>
    </w:p>
    <w:p>
      <w:pPr>
        <w:spacing w:after="0" w:line="199"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Due to the new Deuterated Psilocybin Analog Program, the Company no longer anticipates conducting any business activities in Jamaica. The Company intends to complete future clinical trials in the U.S. and the UK.</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Deuterated Tryptamines Preclinical Programs</w:t>
      </w:r>
    </w:p>
    <w:p>
      <w:pPr>
        <w:spacing w:after="0" w:line="197" w:lineRule="exact"/>
        <w:rPr>
          <w:sz w:val="20"/>
          <w:szCs w:val="20"/>
          <w:color w:val="auto"/>
        </w:rPr>
      </w:pPr>
    </w:p>
    <w:p>
      <w:pPr>
        <w:jc w:val="both"/>
        <w:ind w:left="2" w:right="20"/>
        <w:spacing w:after="0" w:line="249" w:lineRule="auto"/>
        <w:rPr>
          <w:sz w:val="20"/>
          <w:szCs w:val="20"/>
          <w:color w:val="auto"/>
        </w:rPr>
      </w:pPr>
      <w:r>
        <w:rPr>
          <w:rFonts w:ascii="Arial" w:cs="Arial" w:eastAsia="Arial" w:hAnsi="Arial"/>
          <w:sz w:val="18"/>
          <w:szCs w:val="18"/>
          <w:color w:val="auto"/>
        </w:rPr>
        <w:t>Pursuant to the acquisition of Adelia, the Company acquired preclinical deuterated tryptamines programs. To date, the Company has undertaken sufficient work to enable selection of two deuterated tryptamine candidates and has scaled up production processes to optimize and maximize yields and ensure the drug candidates meet the required purity levels. In vitro proof of principal in models has been completed to ensure selection of molecules with optimal anticipated pharmacokinetics best suited for future clinical trials.</w:t>
      </w:r>
    </w:p>
    <w:p>
      <w:pPr>
        <w:spacing w:after="0" w:line="168" w:lineRule="exact"/>
        <w:rPr>
          <w:sz w:val="20"/>
          <w:szCs w:val="20"/>
          <w:color w:val="auto"/>
        </w:rPr>
      </w:pPr>
    </w:p>
    <w:p>
      <w:pPr>
        <w:jc w:val="both"/>
        <w:ind w:left="2"/>
        <w:spacing w:after="0" w:line="249" w:lineRule="auto"/>
        <w:rPr>
          <w:sz w:val="20"/>
          <w:szCs w:val="20"/>
          <w:color w:val="auto"/>
        </w:rPr>
      </w:pPr>
      <w:r>
        <w:rPr>
          <w:rFonts w:ascii="Arial" w:cs="Arial" w:eastAsia="Arial" w:hAnsi="Arial"/>
          <w:sz w:val="18"/>
          <w:szCs w:val="18"/>
          <w:color w:val="auto"/>
        </w:rPr>
        <w:t>The Company's deuterated tryptamine program is primarily focused on a lead candidate, CYB004, a deuterated version of N, N-dimethyltryptamine ("DMT"). The Company has a newly defined program, the Deuterated Psilocybin Analog Program, which merges the initiatives of the Psilocybin Program and the CYB003 program into one single program (Deuterated Psilocybin Analog Program). The work performed to date related to CYB003 in this program has been instrumental in defining the new program, as described above.</w:t>
      </w:r>
    </w:p>
    <w:p>
      <w:pPr>
        <w:spacing w:after="0" w:line="193" w:lineRule="exact"/>
        <w:rPr>
          <w:sz w:val="20"/>
          <w:szCs w:val="20"/>
          <w:color w:val="auto"/>
        </w:rPr>
      </w:pPr>
    </w:p>
    <w:p>
      <w:pPr>
        <w:jc w:val="both"/>
        <w:ind w:left="2" w:right="20"/>
        <w:spacing w:after="0" w:line="255" w:lineRule="auto"/>
        <w:rPr>
          <w:sz w:val="20"/>
          <w:szCs w:val="20"/>
          <w:color w:val="auto"/>
        </w:rPr>
      </w:pPr>
      <w:r>
        <w:rPr>
          <w:rFonts w:ascii="Arial" w:cs="Arial" w:eastAsia="Arial" w:hAnsi="Arial"/>
          <w:sz w:val="18"/>
          <w:szCs w:val="18"/>
          <w:color w:val="auto"/>
        </w:rPr>
        <w:t>The Company anticipates that it plans to file a clinical trial application for a pilot study for the CYB004 candidate by the end of Q2 2022, updated from the prior estimate of Q1 2022, and may enter clinical trials thereafter subject to receiving the necessary approvals. The Company intends to continue its progression of this program throughout calendar year 2022. There is no assurance that these timelines will be met or that these preclinical drug candidates will advance to clinical trials at all.</w:t>
      </w:r>
      <w:r>
        <w:rPr>
          <w:rFonts w:ascii="Arial" w:cs="Arial" w:eastAsia="Arial" w:hAnsi="Arial"/>
          <w:sz w:val="23"/>
          <w:szCs w:val="23"/>
          <w:color w:val="auto"/>
          <w:vertAlign w:val="superscript"/>
        </w:rPr>
        <w:t>10</w:t>
      </w:r>
    </w:p>
    <w:p>
      <w:pPr>
        <w:spacing w:after="0" w:line="111" w:lineRule="exact"/>
        <w:rPr>
          <w:sz w:val="20"/>
          <w:szCs w:val="20"/>
          <w:color w:val="auto"/>
        </w:rPr>
      </w:pPr>
    </w:p>
    <w:p>
      <w:pPr>
        <w:jc w:val="both"/>
        <w:ind w:left="2" w:right="20"/>
        <w:spacing w:after="0" w:line="277" w:lineRule="auto"/>
        <w:rPr>
          <w:sz w:val="20"/>
          <w:szCs w:val="20"/>
          <w:color w:val="auto"/>
        </w:rPr>
      </w:pPr>
      <w:r>
        <w:rPr>
          <w:rFonts w:ascii="Arial" w:cs="Arial" w:eastAsia="Arial" w:hAnsi="Arial"/>
          <w:sz w:val="18"/>
          <w:szCs w:val="18"/>
          <w:color w:val="auto"/>
        </w:rPr>
        <w:t>As at December 31, 2021, the Company has spent approximately $3,260 on deuterated tryptamines, of which $1,808 was related to the progression of CYB003</w:t>
      </w:r>
      <w:r>
        <w:rPr>
          <w:rFonts w:ascii="Arial" w:cs="Arial" w:eastAsia="Arial" w:hAnsi="Arial"/>
          <w:sz w:val="23"/>
          <w:szCs w:val="23"/>
          <w:color w:val="auto"/>
          <w:vertAlign w:val="superscript"/>
        </w:rPr>
        <w:t>11</w:t>
      </w:r>
      <w:r>
        <w:rPr>
          <w:rFonts w:ascii="Arial" w:cs="Arial" w:eastAsia="Arial" w:hAnsi="Arial"/>
          <w:sz w:val="18"/>
          <w:szCs w:val="18"/>
          <w:color w:val="auto"/>
        </w:rPr>
        <w:t>.</w:t>
      </w:r>
    </w:p>
    <w:p>
      <w:pPr>
        <w:spacing w:after="0" w:line="67"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Since the date of the AIF, the Company continued to advance its deuterated tryptamine preclinical program as described herein, including with the following progress:</w:t>
      </w:r>
    </w:p>
    <w:p>
      <w:pPr>
        <w:spacing w:after="0" w:line="151" w:lineRule="exact"/>
        <w:rPr>
          <w:sz w:val="20"/>
          <w:szCs w:val="20"/>
          <w:color w:val="auto"/>
        </w:rPr>
      </w:pPr>
    </w:p>
    <w:p>
      <w:pPr>
        <w:ind w:left="582" w:hanging="289"/>
        <w:spacing w:after="0"/>
        <w:tabs>
          <w:tab w:leader="none" w:pos="5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completed additional pre-clinical studies on its CYB003 and CYB004 proprietary psychedelic molecules;</w:t>
      </w:r>
    </w:p>
    <w:p>
      <w:pPr>
        <w:spacing w:after="0" w:line="16" w:lineRule="exact"/>
        <w:rPr>
          <w:rFonts w:ascii="Arial" w:cs="Arial" w:eastAsia="Arial" w:hAnsi="Arial"/>
          <w:sz w:val="18"/>
          <w:szCs w:val="18"/>
          <w:color w:val="auto"/>
        </w:rPr>
      </w:pPr>
    </w:p>
    <w:p>
      <w:pPr>
        <w:ind w:left="582" w:hanging="289"/>
        <w:spacing w:after="0"/>
        <w:tabs>
          <w:tab w:leader="none" w:pos="582"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completed Zydis feasibility studies with Catalent, Inc. (“Catalent”) for its fast-dissolve formulation of novel deuterated tryptamine (CYB003);</w:t>
      </w:r>
    </w:p>
    <w:p>
      <w:pPr>
        <w:spacing w:after="0" w:line="12" w:lineRule="exact"/>
        <w:rPr>
          <w:rFonts w:ascii="Arial" w:cs="Arial" w:eastAsia="Arial" w:hAnsi="Arial"/>
          <w:sz w:val="17"/>
          <w:szCs w:val="17"/>
          <w:color w:val="auto"/>
        </w:rPr>
      </w:pPr>
    </w:p>
    <w:p>
      <w:pPr>
        <w:ind w:left="582" w:right="20" w:hanging="289"/>
        <w:spacing w:after="0" w:line="244" w:lineRule="auto"/>
        <w:tabs>
          <w:tab w:leader="none" w:pos="5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transitioned its work on CYB003 into a new program; the Deuterated Psilocybin Analog Program, which has the potential to address both the AUD and MDD indications (refer to Deuterated Psilocybin Analog Program section above for further details);</w:t>
      </w:r>
    </w:p>
    <w:p>
      <w:pPr>
        <w:jc w:val="both"/>
        <w:ind w:left="582" w:right="20" w:hanging="289"/>
        <w:spacing w:after="0" w:line="248" w:lineRule="auto"/>
        <w:tabs>
          <w:tab w:leader="none" w:pos="5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awarded a Notice of Allowance from the U.S. Patent and Trademark Office for patent application No. 17/394,038 related to CYB004, the Company’s investigational deuterated psychedelic tryptamine compound for the potential treatment of anxiety disorders. The allowed claims include other forms of deuterated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15532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170" w:lineRule="exact"/>
        <w:rPr>
          <w:sz w:val="20"/>
          <w:szCs w:val="20"/>
          <w:color w:val="auto"/>
        </w:rPr>
      </w:pPr>
    </w:p>
    <w:p>
      <w:pPr>
        <w:ind w:left="82" w:hanging="82"/>
        <w:spacing w:after="0"/>
        <w:tabs>
          <w:tab w:leader="none" w:pos="82"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Dollar amount calculated since the date of the Filing Statement.</w:t>
      </w:r>
    </w:p>
    <w:p>
      <w:pPr>
        <w:spacing w:after="0" w:line="13" w:lineRule="exact"/>
        <w:rPr>
          <w:sz w:val="20"/>
          <w:szCs w:val="20"/>
          <w:color w:val="auto"/>
        </w:rPr>
      </w:pPr>
    </w:p>
    <w:p>
      <w:pPr>
        <w:jc w:val="both"/>
        <w:ind w:left="2" w:right="20" w:hanging="2"/>
        <w:spacing w:after="0" w:line="265" w:lineRule="auto"/>
        <w:tabs>
          <w:tab w:leader="none" w:pos="149" w:val="left"/>
        </w:tabs>
        <w:numPr>
          <w:ilvl w:val="0"/>
          <w:numId w:val="32"/>
        </w:numPr>
        <w:rPr>
          <w:rFonts w:ascii="Arial" w:cs="Arial" w:eastAsia="Arial" w:hAnsi="Arial"/>
          <w:sz w:val="19"/>
          <w:szCs w:val="19"/>
          <w:color w:val="auto"/>
          <w:vertAlign w:val="superscript"/>
        </w:rPr>
      </w:pPr>
      <w:r>
        <w:rPr>
          <w:rFonts w:ascii="Arial" w:cs="Arial" w:eastAsia="Arial" w:hAnsi="Arial"/>
          <w:sz w:val="13"/>
          <w:szCs w:val="13"/>
          <w:color w:val="auto"/>
        </w:rPr>
        <w:t>This statement is based on the following material factors and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(b) the Company assumes it will enter into agreements with certain third party vendors to complete a range of additional preclinical programs before the final selection of drug candidates for entry into human trials; and (c) obtain an IND and/or a CTA to enter into clinical trials.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ind w:left="162" w:hanging="162"/>
        <w:spacing w:after="0" w:line="218" w:lineRule="auto"/>
        <w:tabs>
          <w:tab w:leader="none" w:pos="162" w:val="left"/>
        </w:tabs>
        <w:numPr>
          <w:ilvl w:val="0"/>
          <w:numId w:val="32"/>
        </w:numPr>
        <w:rPr>
          <w:rFonts w:ascii="Arial" w:cs="Arial" w:eastAsia="Arial" w:hAnsi="Arial"/>
          <w:sz w:val="21"/>
          <w:szCs w:val="21"/>
          <w:color w:val="auto"/>
          <w:vertAlign w:val="superscript"/>
        </w:rPr>
      </w:pPr>
      <w:r>
        <w:rPr>
          <w:rFonts w:ascii="Arial" w:cs="Arial" w:eastAsia="Arial" w:hAnsi="Arial"/>
          <w:sz w:val="13"/>
          <w:szCs w:val="13"/>
          <w:color w:val="auto"/>
        </w:rPr>
        <w:t>Dollar amount calculated since the date of the Filing Statement.</w:t>
      </w:r>
    </w:p>
    <w:p>
      <w:pPr>
        <w:spacing w:after="0" w:line="200" w:lineRule="exact"/>
        <w:rPr>
          <w:sz w:val="20"/>
          <w:szCs w:val="20"/>
          <w:color w:val="auto"/>
        </w:rPr>
      </w:pPr>
    </w:p>
    <w:p>
      <w:pPr>
        <w:spacing w:after="0" w:line="364"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2"/>
          </w:cols>
          <w:pgMar w:left="318" w:top="710" w:right="319" w:bottom="1440" w:gutter="0" w:footer="0" w:header="0"/>
        </w:sectPr>
      </w:pPr>
    </w:p>
    <w:bookmarkStart w:id="37" w:name="page38"/>
    <w:bookmarkEnd w:id="37"/>
    <w:p>
      <w:pPr>
        <w:ind w:left="582" w:right="20"/>
        <w:spacing w:after="0" w:line="280" w:lineRule="auto"/>
        <w:rPr>
          <w:sz w:val="20"/>
          <w:szCs w:val="20"/>
          <w:color w:val="auto"/>
        </w:rPr>
      </w:pPr>
      <w:r>
        <w:rPr>
          <w:rFonts w:ascii="Arial" w:cs="Arial" w:eastAsia="Arial" w:hAnsi="Arial"/>
          <w:sz w:val="16"/>
          <w:szCs w:val="16"/>
          <w:color w:val="auto"/>
        </w:rPr>
        <w:t>psychedelic tryptamine, notably certain deuterated forms of DMT and 5-MeO-DMT. The patent, which is expected to expire in 2041 before consideration of any patent term extensions, covers composition of matter for the CYB004 drug substance as a putative new chemical entity; and</w:t>
      </w:r>
    </w:p>
    <w:p>
      <w:pPr>
        <w:ind w:left="2" w:right="320" w:firstLine="291"/>
        <w:spacing w:after="0" w:line="426" w:lineRule="auto"/>
        <w:tabs>
          <w:tab w:leader="none" w:pos="554" w:val="left"/>
        </w:tabs>
        <w:numPr>
          <w:ilvl w:val="0"/>
          <w:numId w:val="33"/>
        </w:numPr>
        <w:rPr>
          <w:rFonts w:ascii="Arial" w:cs="Arial" w:eastAsia="Arial" w:hAnsi="Arial"/>
          <w:sz w:val="18"/>
          <w:szCs w:val="18"/>
          <w:color w:val="auto"/>
        </w:rPr>
      </w:pPr>
      <w:r>
        <w:rPr>
          <w:rFonts w:ascii="Arial" w:cs="Arial" w:eastAsia="Arial" w:hAnsi="Arial"/>
          <w:sz w:val="20"/>
          <w:szCs w:val="20"/>
          <w:color w:val="auto"/>
        </w:rPr>
        <w:t xml:space="preserve">granted U.S. patent from </w:t>
      </w:r>
      <w:r>
        <w:rPr>
          <w:rFonts w:ascii="Arial" w:cs="Arial" w:eastAsia="Arial" w:hAnsi="Arial"/>
          <w:sz w:val="17"/>
          <w:szCs w:val="17"/>
          <w:color w:val="auto"/>
        </w:rPr>
        <w:t>the U.S. Patent and Trademark Office related to the Company’s investigational deuterated DMT compound CYB004.</w:t>
      </w:r>
      <w:r>
        <w:rPr>
          <w:rFonts w:ascii="Arial" w:cs="Arial" w:eastAsia="Arial" w:hAnsi="Arial"/>
          <w:sz w:val="20"/>
          <w:szCs w:val="20"/>
          <w:color w:val="auto"/>
        </w:rPr>
        <w:t xml:space="preserve"> </w:t>
      </w:r>
      <w:r>
        <w:rPr>
          <w:rFonts w:ascii="Arial" w:cs="Arial" w:eastAsia="Arial" w:hAnsi="Arial"/>
          <w:sz w:val="17"/>
          <w:szCs w:val="17"/>
          <w:u w:val="single" w:color="auto"/>
          <w:color w:val="auto"/>
        </w:rPr>
        <w:t>Phenethylamine Preclinical Program</w:t>
      </w:r>
    </w:p>
    <w:p>
      <w:pPr>
        <w:spacing w:after="0" w:line="2" w:lineRule="exact"/>
        <w:rPr>
          <w:sz w:val="20"/>
          <w:szCs w:val="20"/>
          <w:color w:val="auto"/>
        </w:rPr>
      </w:pPr>
    </w:p>
    <w:p>
      <w:pPr>
        <w:jc w:val="both"/>
        <w:ind w:left="2" w:right="20"/>
        <w:spacing w:after="0" w:line="251" w:lineRule="auto"/>
        <w:rPr>
          <w:sz w:val="20"/>
          <w:szCs w:val="20"/>
          <w:color w:val="auto"/>
        </w:rPr>
      </w:pPr>
      <w:r>
        <w:rPr>
          <w:rFonts w:ascii="Arial" w:cs="Arial" w:eastAsia="Arial" w:hAnsi="Arial"/>
          <w:sz w:val="18"/>
          <w:szCs w:val="18"/>
          <w:color w:val="auto"/>
        </w:rPr>
        <w:t>Pursuant to the acquisition of Adelia, the Company acquired a preclinical phenethylamine program. Work on the synthesis and optimization of these molecules has only recently begun at a third-party vendor. The Company anticipates that its phenethylamine program may deliver a drug candidate suitable for entry into clinical studies by the end of calendar 2022 or early calendar 2023, updated from the prior estimate of late calendar 2021 to early calendar 2022 due to certain research and development delays, but there is no assurance that these timelines will be met or that a preclinical drug candidate will advance to clinical trials at all.</w:t>
      </w:r>
      <w:r>
        <w:rPr>
          <w:rFonts w:ascii="Arial" w:cs="Arial" w:eastAsia="Arial" w:hAnsi="Arial"/>
          <w:sz w:val="23"/>
          <w:szCs w:val="23"/>
          <w:color w:val="auto"/>
          <w:vertAlign w:val="superscript"/>
        </w:rPr>
        <w:t>12</w:t>
      </w:r>
    </w:p>
    <w:p>
      <w:pPr>
        <w:spacing w:after="0" w:line="93" w:lineRule="exact"/>
        <w:rPr>
          <w:sz w:val="20"/>
          <w:szCs w:val="20"/>
          <w:color w:val="auto"/>
        </w:rPr>
      </w:pPr>
    </w:p>
    <w:p>
      <w:pPr>
        <w:ind w:left="2"/>
        <w:spacing w:after="0"/>
        <w:rPr>
          <w:sz w:val="20"/>
          <w:szCs w:val="20"/>
          <w:color w:val="auto"/>
        </w:rPr>
      </w:pPr>
      <w:r>
        <w:rPr>
          <w:rFonts w:ascii="Arial" w:cs="Arial" w:eastAsia="Arial" w:hAnsi="Arial"/>
          <w:sz w:val="18"/>
          <w:szCs w:val="18"/>
          <w:color w:val="auto"/>
        </w:rPr>
        <w:t>As at December 31, 2021, the Company has spent approximately $823 on preclinical phenethylamines</w:t>
      </w:r>
      <w:r>
        <w:rPr>
          <w:rFonts w:ascii="Arial" w:cs="Arial" w:eastAsia="Arial" w:hAnsi="Arial"/>
          <w:sz w:val="23"/>
          <w:szCs w:val="23"/>
          <w:color w:val="auto"/>
          <w:vertAlign w:val="superscript"/>
        </w:rPr>
        <w:t>13</w:t>
      </w:r>
      <w:r>
        <w:rPr>
          <w:rFonts w:ascii="Arial" w:cs="Arial" w:eastAsia="Arial" w:hAnsi="Arial"/>
          <w:sz w:val="18"/>
          <w:szCs w:val="18"/>
          <w:color w:val="auto"/>
        </w:rPr>
        <w:t>.</w:t>
      </w:r>
    </w:p>
    <w:p>
      <w:pPr>
        <w:spacing w:after="0" w:line="139" w:lineRule="exact"/>
        <w:rPr>
          <w:sz w:val="20"/>
          <w:szCs w:val="20"/>
          <w:color w:val="auto"/>
        </w:rPr>
      </w:pPr>
    </w:p>
    <w:p>
      <w:pPr>
        <w:jc w:val="both"/>
        <w:ind w:left="2" w:right="20"/>
        <w:spacing w:after="0" w:line="262" w:lineRule="auto"/>
        <w:rPr>
          <w:sz w:val="20"/>
          <w:szCs w:val="20"/>
          <w:color w:val="auto"/>
        </w:rPr>
      </w:pPr>
      <w:r>
        <w:rPr>
          <w:rFonts w:ascii="Arial" w:cs="Arial" w:eastAsia="Arial" w:hAnsi="Arial"/>
          <w:sz w:val="17"/>
          <w:szCs w:val="17"/>
          <w:color w:val="auto"/>
        </w:rPr>
        <w:t>Since the date of the AIF, the Company has continued its work on its synthesis and optimization of phenethylamines. Multiple phenethylamines have been shown to have psychedelic properties and several such as MDMA have shown great promise as therapeutics. Cybin’s proprietary approach to phenethylamines modification with deuterium substitution, proprietary formulations and directed delivery systems has yielded a number of novel leads with significant therapeutic potential. Several compounds are now being further studied both in vitro and in vivo for selection of the best development candidates. Subsequent to the quarter end, the Company has identified a potential candidate from its phenethylamine program that demonstrates 5HT2A receptor agonism. Currently, the Company is assessing the potential path forward for this candidate both internally and by way of potential third party partners; as of the date hereof, there is no assurance that this candidate will advance to clinical trials at all.</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Technology Programs</w:t>
      </w:r>
    </w:p>
    <w:p>
      <w:pPr>
        <w:spacing w:after="0" w:line="197"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The Company was previously working on a number of fronts to establish an e-Commerce platform to support the education, sales and marketing of potential consumer and prescription mental wellness products, including but not limited to its line of nutraceutical products. However, due to the fact that the Company has made the decision to no longer pursue the Product Line, this initiative has been cancelled.</w:t>
      </w:r>
    </w:p>
    <w:p>
      <w:pPr>
        <w:spacing w:after="0" w:line="158" w:lineRule="exact"/>
        <w:rPr>
          <w:sz w:val="20"/>
          <w:szCs w:val="20"/>
          <w:color w:val="auto"/>
        </w:rPr>
      </w:pPr>
    </w:p>
    <w:p>
      <w:pPr>
        <w:jc w:val="both"/>
        <w:ind w:left="2"/>
        <w:spacing w:after="0" w:line="251" w:lineRule="auto"/>
        <w:rPr>
          <w:sz w:val="20"/>
          <w:szCs w:val="20"/>
          <w:color w:val="auto"/>
        </w:rPr>
      </w:pPr>
      <w:r>
        <w:rPr>
          <w:rFonts w:ascii="Arial" w:cs="Arial" w:eastAsia="Arial" w:hAnsi="Arial"/>
          <w:sz w:val="18"/>
          <w:szCs w:val="18"/>
          <w:color w:val="auto"/>
        </w:rPr>
        <w:t>The Company has begun work on the creation of a patient digital therapy platform (the “</w:t>
      </w:r>
      <w:r>
        <w:rPr>
          <w:rFonts w:ascii="Arial" w:cs="Arial" w:eastAsia="Arial" w:hAnsi="Arial"/>
          <w:sz w:val="18"/>
          <w:szCs w:val="18"/>
          <w:b w:val="1"/>
          <w:bCs w:val="1"/>
          <w:color w:val="auto"/>
        </w:rPr>
        <w:t>Digital Platform</w:t>
      </w:r>
      <w:r>
        <w:rPr>
          <w:rFonts w:ascii="Arial" w:cs="Arial" w:eastAsia="Arial" w:hAnsi="Arial"/>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 Activities have been undertaken to establish the design of a proof of concept and to identify the necessary key modules and components.</w:t>
      </w:r>
    </w:p>
    <w:p>
      <w:pPr>
        <w:spacing w:after="0" w:line="162" w:lineRule="exact"/>
        <w:rPr>
          <w:sz w:val="20"/>
          <w:szCs w:val="20"/>
          <w:color w:val="auto"/>
        </w:rPr>
      </w:pPr>
    </w:p>
    <w:p>
      <w:pPr>
        <w:jc w:val="both"/>
        <w:ind w:left="2" w:right="20"/>
        <w:spacing w:after="0" w:line="272" w:lineRule="auto"/>
        <w:rPr>
          <w:sz w:val="20"/>
          <w:szCs w:val="20"/>
          <w:color w:val="auto"/>
        </w:rPr>
      </w:pPr>
      <w:r>
        <w:rPr>
          <w:rFonts w:ascii="Arial" w:cs="Arial" w:eastAsia="Arial" w:hAnsi="Arial"/>
          <w:sz w:val="18"/>
          <w:szCs w:val="18"/>
          <w:color w:val="auto"/>
        </w:rPr>
        <w:t>On January 11, 2021, the Company announced that it has entered into an agreement with HI, LLC dba Kernel (“</w:t>
      </w:r>
      <w:r>
        <w:rPr>
          <w:rFonts w:ascii="Arial" w:cs="Arial" w:eastAsia="Arial" w:hAnsi="Arial"/>
          <w:sz w:val="18"/>
          <w:szCs w:val="18"/>
          <w:b w:val="1"/>
          <w:bCs w:val="1"/>
          <w:color w:val="auto"/>
        </w:rPr>
        <w:t>Kernel</w:t>
      </w:r>
      <w:r>
        <w:rPr>
          <w:rFonts w:ascii="Arial" w:cs="Arial" w:eastAsia="Arial" w:hAnsi="Arial"/>
          <w:sz w:val="18"/>
          <w:szCs w:val="18"/>
          <w:color w:val="auto"/>
        </w:rPr>
        <w:t>”) that will enable the Company to use Kernel Flow devices to potentially measure neural activity during psychedelic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15532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45" w:lineRule="exact"/>
        <w:rPr>
          <w:sz w:val="20"/>
          <w:szCs w:val="20"/>
          <w:color w:val="auto"/>
        </w:rPr>
      </w:pPr>
    </w:p>
    <w:p>
      <w:pPr>
        <w:jc w:val="both"/>
        <w:ind w:left="2" w:hanging="2"/>
        <w:spacing w:after="0" w:line="247" w:lineRule="auto"/>
        <w:tabs>
          <w:tab w:leader="none" w:pos="149"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Absorption, Distribution, Metabolism, and Excretion (“</w:t>
      </w:r>
      <w:r>
        <w:rPr>
          <w:rFonts w:ascii="Arial" w:cs="Arial" w:eastAsia="Arial" w:hAnsi="Arial"/>
          <w:sz w:val="14"/>
          <w:szCs w:val="14"/>
          <w:b w:val="1"/>
          <w:bCs w:val="1"/>
          <w:color w:val="auto"/>
        </w:rPr>
        <w:t>ADME</w:t>
      </w:r>
      <w:r>
        <w:rPr>
          <w:rFonts w:ascii="Arial" w:cs="Arial" w:eastAsia="Arial" w:hAnsi="Arial"/>
          <w:sz w:val="14"/>
          <w:szCs w:val="14"/>
          <w:color w:val="auto"/>
        </w:rPr>
        <w:t>”)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 w:lineRule="exact"/>
        <w:rPr>
          <w:rFonts w:ascii="Arial" w:cs="Arial" w:eastAsia="Arial" w:hAnsi="Arial"/>
          <w:sz w:val="20"/>
          <w:szCs w:val="20"/>
          <w:color w:val="auto"/>
          <w:vertAlign w:val="superscript"/>
        </w:rPr>
      </w:pPr>
    </w:p>
    <w:p>
      <w:pPr>
        <w:ind w:left="182" w:hanging="182"/>
        <w:spacing w:after="0" w:line="191" w:lineRule="auto"/>
        <w:tabs>
          <w:tab w:leader="none" w:pos="182" w:val="left"/>
        </w:tabs>
        <w:numPr>
          <w:ilvl w:val="0"/>
          <w:numId w:val="34"/>
        </w:numPr>
        <w:rPr>
          <w:rFonts w:ascii="Arial" w:cs="Arial" w:eastAsia="Arial" w:hAnsi="Arial"/>
          <w:sz w:val="24"/>
          <w:szCs w:val="24"/>
          <w:color w:val="auto"/>
          <w:vertAlign w:val="superscript"/>
        </w:rPr>
      </w:pPr>
      <w:r>
        <w:rPr>
          <w:rFonts w:ascii="Arial" w:cs="Arial" w:eastAsia="Arial" w:hAnsi="Arial"/>
          <w:sz w:val="14"/>
          <w:szCs w:val="14"/>
          <w:color w:val="auto"/>
        </w:rPr>
        <w:t>Dollar amount calculated since the date of the Filing Statement.</w:t>
      </w:r>
    </w:p>
    <w:p>
      <w:pPr>
        <w:spacing w:after="0" w:line="200" w:lineRule="exact"/>
        <w:rPr>
          <w:sz w:val="20"/>
          <w:szCs w:val="20"/>
          <w:color w:val="auto"/>
        </w:rPr>
      </w:pPr>
    </w:p>
    <w:p>
      <w:pPr>
        <w:spacing w:after="0" w:line="364"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2"/>
          </w:cols>
          <w:pgMar w:left="318" w:top="710" w:right="319" w:bottom="1440" w:gutter="0" w:footer="0" w:header="0"/>
        </w:sectPr>
      </w:pPr>
    </w:p>
    <w:bookmarkStart w:id="38" w:name="page39"/>
    <w:bookmarkEnd w:id="38"/>
    <w:p>
      <w:pPr>
        <w:jc w:val="both"/>
        <w:ind w:left="2"/>
        <w:spacing w:after="0" w:line="263" w:lineRule="auto"/>
        <w:rPr>
          <w:sz w:val="20"/>
          <w:szCs w:val="20"/>
          <w:color w:val="auto"/>
        </w:rPr>
      </w:pPr>
      <w:r>
        <w:rPr>
          <w:rFonts w:ascii="Arial" w:cs="Arial" w:eastAsia="Arial" w:hAnsi="Arial"/>
          <w:sz w:val="16"/>
          <w:szCs w:val="16"/>
          <w:color w:val="auto"/>
        </w:rPr>
        <w:t>On June 1, 2021, the Company announced its sponsorship of Kernel’s feasibility study of its Kernel Flow technology to measure ketamine’s psychedelic effect on cerebral cortex hemodynamics.</w:t>
      </w:r>
      <w:r>
        <w:rPr>
          <w:rFonts w:ascii="Arial" w:cs="Arial" w:eastAsia="Arial" w:hAnsi="Arial"/>
          <w:sz w:val="21"/>
          <w:szCs w:val="21"/>
          <w:color w:val="auto"/>
          <w:vertAlign w:val="superscript"/>
        </w:rPr>
        <w:t>14</w:t>
      </w:r>
      <w:r>
        <w:rPr>
          <w:rFonts w:ascii="Arial" w:cs="Arial" w:eastAsia="Arial" w:hAnsi="Arial"/>
          <w:sz w:val="16"/>
          <w:szCs w:val="16"/>
          <w:color w:val="auto"/>
        </w:rPr>
        <w:t xml:space="preserve"> While the Company previously announced that delivery was expected in Q2 2021 and studies would commence in the second half of 2021, the Company has since decided to focus on sponsoring 3rd-party studies using the Kernel Flow technology in the near term.</w:t>
      </w:r>
    </w:p>
    <w:p>
      <w:pPr>
        <w:spacing w:after="0" w:line="152" w:lineRule="exact"/>
        <w:rPr>
          <w:sz w:val="20"/>
          <w:szCs w:val="20"/>
          <w:color w:val="auto"/>
        </w:rPr>
      </w:pPr>
    </w:p>
    <w:p>
      <w:pPr>
        <w:jc w:val="both"/>
        <w:ind w:left="2"/>
        <w:spacing w:after="0" w:line="236" w:lineRule="auto"/>
        <w:rPr>
          <w:sz w:val="20"/>
          <w:szCs w:val="20"/>
          <w:color w:val="auto"/>
        </w:rPr>
      </w:pPr>
      <w:r>
        <w:rPr>
          <w:rFonts w:ascii="Arial" w:cs="Arial" w:eastAsia="Arial" w:hAnsi="Arial"/>
          <w:sz w:val="18"/>
          <w:szCs w:val="18"/>
          <w:color w:val="auto"/>
        </w:rPr>
        <w:t>On July 13, 2021, the Company announced that it has commenced the next phase of the Company’s digital therapeutics platform which will better enable the evaluation of patient outcomes through a highly secure, patient-centered data analytics platform for better pre- and post-psychedelic treatments</w:t>
      </w:r>
      <w:r>
        <w:rPr>
          <w:rFonts w:ascii="Arial" w:cs="Arial" w:eastAsia="Arial" w:hAnsi="Arial"/>
          <w:sz w:val="23"/>
          <w:szCs w:val="23"/>
          <w:color w:val="auto"/>
          <w:vertAlign w:val="superscript"/>
        </w:rPr>
        <w:t>15</w:t>
      </w:r>
      <w:r>
        <w:rPr>
          <w:rFonts w:ascii="Arial" w:cs="Arial" w:eastAsia="Arial" w:hAnsi="Arial"/>
          <w:sz w:val="18"/>
          <w:szCs w:val="18"/>
          <w:color w:val="auto"/>
        </w:rPr>
        <w:t>. The digital therapeutics platform, which is proprietary to Cybin and the subject of one of the Company’s patent applications, adds another dimension to the Company’s development programs</w:t>
      </w:r>
      <w:r>
        <w:rPr>
          <w:rFonts w:ascii="Arial" w:cs="Arial" w:eastAsia="Arial" w:hAnsi="Arial"/>
          <w:sz w:val="23"/>
          <w:szCs w:val="23"/>
          <w:color w:val="auto"/>
          <w:vertAlign w:val="superscript"/>
        </w:rPr>
        <w:t>16</w:t>
      </w:r>
      <w:r>
        <w:rPr>
          <w:rFonts w:ascii="Arial" w:cs="Arial" w:eastAsia="Arial" w:hAnsi="Arial"/>
          <w:sz w:val="18"/>
          <w:szCs w:val="18"/>
          <w:color w:val="auto"/>
        </w:rPr>
        <w:t>.</w:t>
      </w:r>
    </w:p>
    <w:p>
      <w:pPr>
        <w:spacing w:after="0" w:line="100"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On October 26, 2021, the Company announced that the FDA has authorized an IND application to proceed with the Company’s sponsored feasibility study using Kernel’s Flow technology to measure ketamine’s psychedelic effect on cerebral cortex hemodynamics. On January 11, 2022, the Company announced that the FDA Institutional Review Board (the "</w:t>
      </w:r>
      <w:r>
        <w:rPr>
          <w:rFonts w:ascii="Arial" w:cs="Arial" w:eastAsia="Arial" w:hAnsi="Arial"/>
          <w:sz w:val="18"/>
          <w:szCs w:val="18"/>
          <w:b w:val="1"/>
          <w:bCs w:val="1"/>
          <w:color w:val="auto"/>
        </w:rPr>
        <w:t>IRB</w:t>
      </w:r>
      <w:r>
        <w:rPr>
          <w:rFonts w:ascii="Arial" w:cs="Arial" w:eastAsia="Arial" w:hAnsi="Arial"/>
          <w:sz w:val="18"/>
          <w:szCs w:val="18"/>
          <w:color w:val="auto"/>
        </w:rPr>
        <w:t>") has approved the Company's sponsored feasibility study.</w:t>
      </w:r>
    </w:p>
    <w:p>
      <w:pPr>
        <w:spacing w:after="0" w:line="187" w:lineRule="exact"/>
        <w:rPr>
          <w:sz w:val="20"/>
          <w:szCs w:val="20"/>
          <w:color w:val="auto"/>
        </w:rPr>
      </w:pPr>
    </w:p>
    <w:p>
      <w:pPr>
        <w:jc w:val="both"/>
        <w:ind w:left="2"/>
        <w:spacing w:after="0" w:line="267" w:lineRule="auto"/>
        <w:rPr>
          <w:sz w:val="20"/>
          <w:szCs w:val="20"/>
          <w:color w:val="auto"/>
        </w:rPr>
      </w:pPr>
      <w:r>
        <w:rPr>
          <w:rFonts w:ascii="Arial" w:cs="Arial" w:eastAsia="Arial" w:hAnsi="Arial"/>
          <w:sz w:val="18"/>
          <w:szCs w:val="18"/>
          <w:color w:val="auto"/>
        </w:rPr>
        <w:t>Timelines for progression of the above technology programs, along with anticipated future spending are detailed in “Use of Proceeds” but there is no assurance that these timelines will be met or that these programs will become commercially viable.</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18"/>
          <w:szCs w:val="18"/>
          <w:color w:val="auto"/>
        </w:rPr>
        <w:t>As at December 31, 2021, the Company has spent approximately $972 on its technology programs</w:t>
      </w:r>
      <w:r>
        <w:rPr>
          <w:rFonts w:ascii="Arial" w:cs="Arial" w:eastAsia="Arial" w:hAnsi="Arial"/>
          <w:sz w:val="23"/>
          <w:szCs w:val="23"/>
          <w:color w:val="auto"/>
          <w:vertAlign w:val="superscript"/>
        </w:rPr>
        <w:t>17</w:t>
      </w:r>
      <w:r>
        <w:rPr>
          <w:rFonts w:ascii="Arial" w:cs="Arial" w:eastAsia="Arial" w:hAnsi="Arial"/>
          <w:sz w:val="18"/>
          <w:szCs w:val="18"/>
          <w:color w:val="auto"/>
        </w:rPr>
        <w:t>.</w:t>
      </w:r>
    </w:p>
    <w:p>
      <w:pPr>
        <w:spacing w:after="0" w:line="139"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Nutraceutical Products</w:t>
      </w:r>
    </w:p>
    <w:p>
      <w:pPr>
        <w:spacing w:after="0" w:line="197" w:lineRule="exact"/>
        <w:rPr>
          <w:sz w:val="20"/>
          <w:szCs w:val="20"/>
          <w:color w:val="auto"/>
        </w:rPr>
      </w:pPr>
    </w:p>
    <w:p>
      <w:pPr>
        <w:jc w:val="both"/>
        <w:ind w:left="2"/>
        <w:spacing w:after="0" w:line="285" w:lineRule="auto"/>
        <w:rPr>
          <w:sz w:val="20"/>
          <w:szCs w:val="20"/>
          <w:color w:val="auto"/>
        </w:rPr>
      </w:pPr>
      <w:r>
        <w:rPr>
          <w:rFonts w:ascii="Arial" w:cs="Arial" w:eastAsia="Arial" w:hAnsi="Arial"/>
          <w:sz w:val="16"/>
          <w:szCs w:val="16"/>
          <w:color w:val="auto"/>
        </w:rPr>
        <w:t>In November 2021, the Company determined that it would not proceed with the Product Line in order to focus its efforts on the research and development progression of psychedelic molecules. The Company had previously indicated that it the timeline for the Product Line was updated from Q4 2021 to Q1 2022, however this business segment will not be pursued. The Company has spent approximately $nil on the Product Line since the Listing Statement.</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Relationships with Third Parties</w:t>
      </w:r>
    </w:p>
    <w:p>
      <w:pPr>
        <w:spacing w:after="0" w:line="209" w:lineRule="exact"/>
        <w:rPr>
          <w:sz w:val="20"/>
          <w:szCs w:val="20"/>
          <w:color w:val="auto"/>
        </w:rPr>
      </w:pPr>
    </w:p>
    <w:p>
      <w:pPr>
        <w:jc w:val="both"/>
        <w:ind w:left="2"/>
        <w:spacing w:after="0" w:line="236" w:lineRule="auto"/>
        <w:rPr>
          <w:sz w:val="20"/>
          <w:szCs w:val="20"/>
          <w:color w:val="auto"/>
        </w:rPr>
      </w:pPr>
      <w:r>
        <w:rPr>
          <w:rFonts w:ascii="Arial" w:cs="Arial" w:eastAsia="Arial" w:hAnsi="Arial"/>
          <w:sz w:val="18"/>
          <w:szCs w:val="18"/>
          <w:color w:val="auto"/>
        </w:rPr>
        <w:t>The Company’s research and development on its psychedelic pharmaceutical products is conducted by way of licensed partners. The Company also intends to sponsor clinical and other studies at various clinical trial sites. As of the date of this MD&amp;A, the Company and the University of Washington are co-sponsoring a randomized, placebo-controlled clinical trial of psychedelic-assisted psychotherapy with psilocybin for frontline clinicians experiencing COVID-19 related distress.</w:t>
      </w:r>
    </w:p>
    <w:p>
      <w:pPr>
        <w:spacing w:after="0" w:line="189" w:lineRule="exact"/>
        <w:rPr>
          <w:sz w:val="20"/>
          <w:szCs w:val="20"/>
          <w:color w:val="auto"/>
        </w:rPr>
      </w:pPr>
    </w:p>
    <w:p>
      <w:pPr>
        <w:jc w:val="both"/>
        <w:ind w:left="2"/>
        <w:spacing w:after="0" w:line="297" w:lineRule="auto"/>
        <w:rPr>
          <w:sz w:val="20"/>
          <w:szCs w:val="20"/>
          <w:color w:val="auto"/>
        </w:rPr>
      </w:pPr>
      <w:r>
        <w:rPr>
          <w:rFonts w:ascii="Arial" w:cs="Arial" w:eastAsia="Arial" w:hAnsi="Arial"/>
          <w:sz w:val="17"/>
          <w:szCs w:val="17"/>
          <w:color w:val="auto"/>
        </w:rPr>
        <w:t>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15532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26" w:lineRule="exact"/>
        <w:rPr>
          <w:sz w:val="20"/>
          <w:szCs w:val="20"/>
          <w:color w:val="auto"/>
        </w:rPr>
      </w:pPr>
    </w:p>
    <w:p>
      <w:pPr>
        <w:jc w:val="both"/>
        <w:ind w:left="2" w:hanging="2"/>
        <w:spacing w:after="0" w:line="241" w:lineRule="auto"/>
        <w:tabs>
          <w:tab w:leader="none" w:pos="149" w:val="left"/>
        </w:tabs>
        <w:numPr>
          <w:ilvl w:val="0"/>
          <w:numId w:val="35"/>
        </w:numPr>
        <w:rPr>
          <w:rFonts w:ascii="Arial" w:cs="Arial" w:eastAsia="Arial" w:hAnsi="Arial"/>
          <w:sz w:val="20"/>
          <w:szCs w:val="20"/>
          <w:color w:val="auto"/>
          <w:vertAlign w:val="superscript"/>
        </w:rPr>
      </w:pPr>
      <w:r>
        <w:rPr>
          <w:rFonts w:ascii="Arial" w:cs="Arial" w:eastAsia="Arial" w:hAnsi="Arial"/>
          <w:sz w:val="14"/>
          <w:szCs w:val="14"/>
          <w:color w:val="auto"/>
        </w:rPr>
        <w:t>The Company assumes timely delivery of the these devices, entering into contracts with selected academic research institutions and the approval of the final research study protocols.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 w:lineRule="exact"/>
        <w:rPr>
          <w:rFonts w:ascii="Arial" w:cs="Arial" w:eastAsia="Arial" w:hAnsi="Arial"/>
          <w:sz w:val="20"/>
          <w:szCs w:val="20"/>
          <w:color w:val="auto"/>
          <w:vertAlign w:val="superscript"/>
        </w:rPr>
      </w:pPr>
    </w:p>
    <w:p>
      <w:pPr>
        <w:jc w:val="both"/>
        <w:ind w:left="2" w:hanging="2"/>
        <w:spacing w:after="0" w:line="249" w:lineRule="auto"/>
        <w:tabs>
          <w:tab w:leader="none" w:pos="148" w:val="left"/>
        </w:tabs>
        <w:numPr>
          <w:ilvl w:val="0"/>
          <w:numId w:val="35"/>
        </w:numPr>
        <w:rPr>
          <w:rFonts w:ascii="Arial" w:cs="Arial" w:eastAsia="Arial" w:hAnsi="Arial"/>
          <w:sz w:val="19"/>
          <w:szCs w:val="19"/>
          <w:color w:val="auto"/>
          <w:vertAlign w:val="superscript"/>
        </w:rPr>
      </w:pPr>
      <w:r>
        <w:rPr>
          <w:rFonts w:ascii="Arial" w:cs="Arial" w:eastAsia="Arial" w:hAnsi="Arial"/>
          <w:sz w:val="12"/>
          <w:szCs w:val="12"/>
          <w:color w:val="auto"/>
        </w:rPr>
        <w:t>The material factors or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jc w:val="both"/>
        <w:ind w:left="2" w:hanging="2"/>
        <w:spacing w:after="0" w:line="233" w:lineRule="auto"/>
        <w:tabs>
          <w:tab w:leader="none" w:pos="160" w:val="left"/>
        </w:tabs>
        <w:numPr>
          <w:ilvl w:val="0"/>
          <w:numId w:val="35"/>
        </w:numPr>
        <w:rPr>
          <w:rFonts w:ascii="Arial" w:cs="Arial" w:eastAsia="Arial" w:hAnsi="Arial"/>
          <w:sz w:val="21"/>
          <w:szCs w:val="21"/>
          <w:color w:val="auto"/>
          <w:vertAlign w:val="superscript"/>
        </w:rPr>
      </w:pPr>
      <w:r>
        <w:rPr>
          <w:rFonts w:ascii="Arial" w:cs="Arial" w:eastAsia="Arial" w:hAnsi="Arial"/>
          <w:sz w:val="14"/>
          <w:szCs w:val="14"/>
          <w:color w:val="auto"/>
        </w:rPr>
        <w:t>Significant events that must occur to move forward with the proposed business objective include identifying the intended consumer, entering into third party agreements to develop the platform, and identifying and retaining qualified individuals to support the ongoing development and operation of the digital therapy platform. The material factors and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ind w:left="182" w:hanging="182"/>
        <w:spacing w:after="0" w:line="191" w:lineRule="auto"/>
        <w:tabs>
          <w:tab w:leader="none" w:pos="182"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Dollar amount calculated since the date of the Filing Statement.</w:t>
      </w:r>
    </w:p>
    <w:p>
      <w:pPr>
        <w:spacing w:after="0" w:line="200" w:lineRule="exact"/>
        <w:rPr>
          <w:sz w:val="20"/>
          <w:szCs w:val="20"/>
          <w:color w:val="auto"/>
        </w:rPr>
      </w:pPr>
    </w:p>
    <w:p>
      <w:pPr>
        <w:spacing w:after="0" w:line="376"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2"/>
          </w:cols>
          <w:pgMar w:left="318" w:top="710" w:right="339" w:bottom="1440" w:gutter="0" w:footer="0" w:header="0"/>
        </w:sectPr>
      </w:pPr>
    </w:p>
    <w:bookmarkStart w:id="39" w:name="page40"/>
    <w:bookmarkEnd w:id="39"/>
    <w:p>
      <w:pPr>
        <w:jc w:val="both"/>
        <w:ind w:left="2"/>
        <w:spacing w:after="0" w:line="249" w:lineRule="auto"/>
        <w:rPr>
          <w:sz w:val="20"/>
          <w:szCs w:val="20"/>
          <w:color w:val="auto"/>
        </w:rPr>
      </w:pPr>
      <w:r>
        <w:rPr>
          <w:rFonts w:ascii="Arial" w:cs="Arial" w:eastAsia="Arial" w:hAnsi="Arial"/>
          <w:sz w:val="17"/>
          <w:szCs w:val="17"/>
          <w:color w:val="auto"/>
        </w:rPr>
        <w:t>The Company has established contractual sources of synthetic GMP (as defined below) and non-GMP raw materials to support its development operations through licensed third-party suppliers located in Canada, the United States and the United Kingdom. Such raw materials are expected to be, in general, readily available and in adequate supply to meet the Company’s need for development quantities, or custom manufactured on the Company's behalf.</w:t>
      </w:r>
      <w:r>
        <w:rPr>
          <w:rFonts w:ascii="Arial" w:cs="Arial" w:eastAsia="Arial" w:hAnsi="Arial"/>
          <w:sz w:val="22"/>
          <w:szCs w:val="22"/>
          <w:color w:val="auto"/>
          <w:vertAlign w:val="superscript"/>
        </w:rPr>
        <w:t>18</w:t>
      </w:r>
      <w:r>
        <w:rPr>
          <w:rFonts w:ascii="Arial" w:cs="Arial" w:eastAsia="Arial" w:hAnsi="Arial"/>
          <w:sz w:val="17"/>
          <w:szCs w:val="17"/>
          <w:color w:val="auto"/>
        </w:rPr>
        <w:t xml:space="preserve">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167"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371"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Update on Use of Proceeds</w:t>
      </w:r>
    </w:p>
    <w:p>
      <w:pPr>
        <w:spacing w:after="0" w:line="197"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The Company has committed the following capital expenditures to meet its planned growth and fund development activities and, as of December 31, 2021, there have not been, and the Company does not anticipate, any changes to its previously made disclosure about the Company’s intended use of proceeds except as described below.</w:t>
      </w:r>
    </w:p>
    <w:p>
      <w:pPr>
        <w:spacing w:after="0" w:line="162"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The below table describes the differences between the Company’s anticipated use of proceeds from private placements as disclosed in the Listing Statement, and the Company’s actual use of proceeds from those financings as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15532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 w:right="20" w:hanging="2"/>
        <w:spacing w:after="0" w:line="203" w:lineRule="auto"/>
        <w:tabs>
          <w:tab w:leader="none" w:pos="180" w:val="left"/>
        </w:tabs>
        <w:numPr>
          <w:ilvl w:val="0"/>
          <w:numId w:val="36"/>
        </w:numPr>
        <w:rPr>
          <w:rFonts w:ascii="Arial" w:cs="Arial" w:eastAsia="Arial" w:hAnsi="Arial"/>
          <w:sz w:val="23"/>
          <w:szCs w:val="23"/>
          <w:color w:val="auto"/>
          <w:vertAlign w:val="superscript"/>
        </w:rPr>
      </w:pPr>
      <w:r>
        <w:rPr>
          <w:rFonts w:ascii="Arial" w:cs="Arial" w:eastAsia="Arial" w:hAnsi="Arial"/>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364"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2"/>
          </w:cols>
          <w:pgMar w:left="318" w:top="710" w:right="319" w:bottom="1440" w:gutter="0" w:footer="0" w:header="0"/>
        </w:sectPr>
      </w:pPr>
    </w:p>
    <w:bookmarkStart w:id="40" w:name="page41"/>
    <w:bookmarkEnd w:id="40"/>
    <w:tbl>
      <w:tblPr>
        <w:tblLayout w:type="fixed"/>
        <w:tblInd w:w="12" w:type="dxa"/>
        <w:tblCellMar>
          <w:top w:w="0" w:type="dxa"/>
          <w:left w:w="0" w:type="dxa"/>
          <w:bottom w:w="0" w:type="dxa"/>
          <w:right w:w="0" w:type="dxa"/>
        </w:tblCellMar>
      </w:tblPr>
      <w:tr>
        <w:trPr>
          <w:trHeight w:val="351"/>
        </w:trPr>
        <w:tc>
          <w:tcPr>
            <w:tcW w:w="100" w:type="dxa"/>
            <w:vAlign w:val="bottom"/>
            <w:tcBorders>
              <w:top w:val="single" w:sz="8" w:color="auto"/>
              <w:left w:val="single" w:sz="8" w:color="auto"/>
              <w:right w:val="single" w:sz="8" w:color="D9D9D9"/>
            </w:tcBorders>
            <w:shd w:val="clear" w:color="auto" w:fill="D9D9D9"/>
          </w:tcPr>
          <w:p>
            <w:pPr>
              <w:spacing w:after="0"/>
              <w:rPr>
                <w:sz w:val="24"/>
                <w:szCs w:val="24"/>
                <w:color w:val="auto"/>
              </w:rPr>
            </w:pPr>
          </w:p>
        </w:tc>
        <w:tc>
          <w:tcPr>
            <w:tcW w:w="5940" w:type="dxa"/>
            <w:vAlign w:val="bottom"/>
            <w:tcBorders>
              <w:top w:val="single" w:sz="8" w:color="auto"/>
              <w:right w:val="single" w:sz="8" w:color="auto"/>
            </w:tcBorders>
            <w:shd w:val="clear" w:color="auto" w:fill="D9D9D9"/>
          </w:tcPr>
          <w:p>
            <w:pPr>
              <w:ind w:left="1880"/>
              <w:spacing w:after="0"/>
              <w:rPr>
                <w:sz w:val="20"/>
                <w:szCs w:val="20"/>
                <w:color w:val="auto"/>
              </w:rPr>
            </w:pPr>
            <w:r>
              <w:rPr>
                <w:rFonts w:ascii="Arial" w:cs="Arial" w:eastAsia="Arial" w:hAnsi="Arial"/>
                <w:sz w:val="15"/>
                <w:szCs w:val="15"/>
                <w:b w:val="1"/>
                <w:bCs w:val="1"/>
                <w:color w:val="auto"/>
              </w:rPr>
              <w:t>Use of Available Funds ($000’s)</w:t>
            </w:r>
            <w:r>
              <w:rPr>
                <w:rFonts w:ascii="Arial" w:cs="Arial" w:eastAsia="Arial" w:hAnsi="Arial"/>
                <w:sz w:val="19"/>
                <w:szCs w:val="19"/>
                <w:b w:val="1"/>
                <w:bCs w:val="1"/>
                <w:color w:val="auto"/>
                <w:vertAlign w:val="superscript"/>
              </w:rPr>
              <w:t>(1)</w:t>
            </w:r>
          </w:p>
        </w:tc>
        <w:tc>
          <w:tcPr>
            <w:tcW w:w="15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4"/>
              </w:rPr>
              <w:t>Previous Disclosure</w:t>
            </w:r>
          </w:p>
        </w:tc>
        <w:tc>
          <w:tcPr>
            <w:tcW w:w="15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Actual Use of Proceeds</w:t>
            </w:r>
          </w:p>
        </w:tc>
        <w:tc>
          <w:tcPr>
            <w:tcW w:w="1980" w:type="dxa"/>
            <w:vAlign w:val="bottom"/>
            <w:tcBorders>
              <w:top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5940" w:type="dxa"/>
            <w:vAlign w:val="bottom"/>
            <w:tcBorders>
              <w:right w:val="single" w:sz="8" w:color="auto"/>
            </w:tcBorders>
            <w:shd w:val="clear" w:color="auto" w:fill="D9D9D9"/>
          </w:tcPr>
          <w:p>
            <w:pPr>
              <w:spacing w:after="0"/>
              <w:rPr>
                <w:sz w:val="7"/>
                <w:szCs w:val="7"/>
                <w:color w:val="auto"/>
              </w:rPr>
            </w:pPr>
          </w:p>
        </w:tc>
        <w:tc>
          <w:tcPr>
            <w:tcW w:w="1560" w:type="dxa"/>
            <w:vAlign w:val="bottom"/>
            <w:tcBorders>
              <w:right w:val="single" w:sz="8" w:color="auto"/>
            </w:tcBorders>
            <w:vMerge w:val="continue"/>
            <w:shd w:val="clear" w:color="auto" w:fill="D9D9D9"/>
          </w:tcPr>
          <w:p>
            <w:pPr>
              <w:spacing w:after="0"/>
              <w:rPr>
                <w:sz w:val="7"/>
                <w:szCs w:val="7"/>
                <w:color w:val="auto"/>
              </w:rPr>
            </w:pPr>
          </w:p>
        </w:tc>
        <w:tc>
          <w:tcPr>
            <w:tcW w:w="1540" w:type="dxa"/>
            <w:vAlign w:val="bottom"/>
            <w:tcBorders>
              <w:right w:val="single" w:sz="8" w:color="auto"/>
            </w:tcBorders>
            <w:vMerge w:val="continue"/>
            <w:shd w:val="clear" w:color="auto" w:fill="D9D9D9"/>
          </w:tcPr>
          <w:p>
            <w:pPr>
              <w:spacing w:after="0"/>
              <w:rPr>
                <w:sz w:val="7"/>
                <w:szCs w:val="7"/>
                <w:color w:val="auto"/>
              </w:rPr>
            </w:pPr>
          </w:p>
        </w:tc>
        <w:tc>
          <w:tcPr>
            <w:tcW w:w="198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00" w:type="dxa"/>
            <w:vAlign w:val="bottom"/>
            <w:tcBorders>
              <w:left w:val="single" w:sz="8" w:color="auto"/>
              <w:right w:val="single" w:sz="8" w:color="D9D9D9"/>
            </w:tcBorders>
            <w:shd w:val="clear" w:color="auto" w:fill="D9D9D9"/>
          </w:tcPr>
          <w:p>
            <w:pPr>
              <w:spacing w:after="0"/>
              <w:rPr>
                <w:sz w:val="15"/>
                <w:szCs w:val="15"/>
                <w:color w:val="auto"/>
              </w:rPr>
            </w:pPr>
          </w:p>
        </w:tc>
        <w:tc>
          <w:tcPr>
            <w:tcW w:w="5940" w:type="dxa"/>
            <w:vAlign w:val="bottom"/>
            <w:tcBorders>
              <w:right w:val="single" w:sz="8" w:color="auto"/>
            </w:tcBorders>
            <w:shd w:val="clear" w:color="auto" w:fill="D9D9D9"/>
          </w:tcPr>
          <w:p>
            <w:pPr>
              <w:spacing w:after="0"/>
              <w:rPr>
                <w:sz w:val="15"/>
                <w:szCs w:val="15"/>
                <w:color w:val="auto"/>
              </w:rPr>
            </w:pPr>
          </w:p>
        </w:tc>
        <w:tc>
          <w:tcPr>
            <w:tcW w:w="1560" w:type="dxa"/>
            <w:vAlign w:val="bottom"/>
            <w:tcBorders>
              <w:right w:val="single" w:sz="8" w:color="auto"/>
            </w:tcBorders>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86"/>
              </w:rPr>
              <w:t>Regarding Use</w:t>
            </w:r>
          </w:p>
        </w:tc>
        <w:tc>
          <w:tcPr>
            <w:tcW w:w="15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7"/>
              </w:rPr>
              <w:t>as at November 30,</w:t>
            </w:r>
          </w:p>
        </w:tc>
        <w:tc>
          <w:tcPr>
            <w:tcW w:w="19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9"/>
              </w:rPr>
              <w:t>Variance</w:t>
            </w:r>
          </w:p>
        </w:tc>
        <w:tc>
          <w:tcPr>
            <w:tcW w:w="0" w:type="dxa"/>
            <w:vAlign w:val="bottom"/>
          </w:tcPr>
          <w:p>
            <w:pPr>
              <w:spacing w:after="0"/>
              <w:rPr>
                <w:sz w:val="1"/>
                <w:szCs w:val="1"/>
                <w:color w:val="auto"/>
              </w:rPr>
            </w:pPr>
          </w:p>
        </w:tc>
      </w:tr>
      <w:tr>
        <w:trPr>
          <w:trHeight w:val="105"/>
        </w:trPr>
        <w:tc>
          <w:tcPr>
            <w:tcW w:w="100" w:type="dxa"/>
            <w:vAlign w:val="bottom"/>
            <w:tcBorders>
              <w:left w:val="single" w:sz="8" w:color="auto"/>
              <w:right w:val="single" w:sz="8" w:color="D9D9D9"/>
            </w:tcBorders>
            <w:shd w:val="clear" w:color="auto" w:fill="D9D9D9"/>
          </w:tcPr>
          <w:p>
            <w:pPr>
              <w:spacing w:after="0"/>
              <w:rPr>
                <w:sz w:val="9"/>
                <w:szCs w:val="9"/>
                <w:color w:val="auto"/>
              </w:rPr>
            </w:pPr>
          </w:p>
        </w:tc>
        <w:tc>
          <w:tcPr>
            <w:tcW w:w="5940" w:type="dxa"/>
            <w:vAlign w:val="bottom"/>
            <w:tcBorders>
              <w:right w:val="single" w:sz="8" w:color="auto"/>
            </w:tcBorders>
            <w:shd w:val="clear" w:color="auto" w:fill="D9D9D9"/>
          </w:tcPr>
          <w:p>
            <w:pPr>
              <w:spacing w:after="0"/>
              <w:rPr>
                <w:sz w:val="9"/>
                <w:szCs w:val="9"/>
                <w:color w:val="auto"/>
              </w:rPr>
            </w:pP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of Proceeds in Listing</w:t>
            </w:r>
          </w:p>
        </w:tc>
        <w:tc>
          <w:tcPr>
            <w:tcW w:w="15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7"/>
              </w:rPr>
              <w:t>2021 (December 1, 2020</w:t>
            </w:r>
          </w:p>
        </w:tc>
        <w:tc>
          <w:tcPr>
            <w:tcW w:w="198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00" w:type="dxa"/>
            <w:vAlign w:val="bottom"/>
            <w:tcBorders>
              <w:left w:val="single" w:sz="8" w:color="auto"/>
              <w:right w:val="single" w:sz="8" w:color="D9D9D9"/>
            </w:tcBorders>
            <w:shd w:val="clear" w:color="auto" w:fill="D9D9D9"/>
          </w:tcPr>
          <w:p>
            <w:pPr>
              <w:spacing w:after="0"/>
              <w:rPr>
                <w:sz w:val="6"/>
                <w:szCs w:val="6"/>
                <w:color w:val="auto"/>
              </w:rPr>
            </w:pPr>
          </w:p>
        </w:tc>
        <w:tc>
          <w:tcPr>
            <w:tcW w:w="5940" w:type="dxa"/>
            <w:vAlign w:val="bottom"/>
            <w:tcBorders>
              <w:right w:val="single" w:sz="8" w:color="auto"/>
            </w:tcBorders>
            <w:shd w:val="clear" w:color="auto" w:fill="D9D9D9"/>
          </w:tcPr>
          <w:p>
            <w:pPr>
              <w:spacing w:after="0"/>
              <w:rPr>
                <w:sz w:val="6"/>
                <w:szCs w:val="6"/>
                <w:color w:val="auto"/>
              </w:rPr>
            </w:pPr>
          </w:p>
        </w:tc>
        <w:tc>
          <w:tcPr>
            <w:tcW w:w="1560" w:type="dxa"/>
            <w:vAlign w:val="bottom"/>
            <w:tcBorders>
              <w:right w:val="single" w:sz="8" w:color="auto"/>
            </w:tcBorders>
            <w:vMerge w:val="continue"/>
            <w:shd w:val="clear" w:color="auto" w:fill="D9D9D9"/>
          </w:tcPr>
          <w:p>
            <w:pPr>
              <w:spacing w:after="0"/>
              <w:rPr>
                <w:sz w:val="6"/>
                <w:szCs w:val="6"/>
                <w:color w:val="auto"/>
              </w:rPr>
            </w:pPr>
          </w:p>
        </w:tc>
        <w:tc>
          <w:tcPr>
            <w:tcW w:w="1540" w:type="dxa"/>
            <w:vAlign w:val="bottom"/>
            <w:tcBorders>
              <w:right w:val="single" w:sz="8" w:color="auto"/>
            </w:tcBorders>
            <w:vMerge w:val="continue"/>
            <w:shd w:val="clear" w:color="auto" w:fill="D9D9D9"/>
          </w:tcPr>
          <w:p>
            <w:pPr>
              <w:spacing w:after="0"/>
              <w:rPr>
                <w:sz w:val="6"/>
                <w:szCs w:val="6"/>
                <w:color w:val="auto"/>
              </w:rPr>
            </w:pPr>
          </w:p>
        </w:tc>
        <w:tc>
          <w:tcPr>
            <w:tcW w:w="1980" w:type="dxa"/>
            <w:vAlign w:val="bottom"/>
            <w:tcBorders>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auto"/>
              <w:right w:val="single" w:sz="8" w:color="D9D9D9"/>
            </w:tcBorders>
            <w:shd w:val="clear" w:color="auto" w:fill="D9D9D9"/>
          </w:tcPr>
          <w:p>
            <w:pPr>
              <w:spacing w:after="0"/>
              <w:rPr>
                <w:sz w:val="16"/>
                <w:szCs w:val="16"/>
                <w:color w:val="auto"/>
              </w:rPr>
            </w:pPr>
          </w:p>
        </w:tc>
        <w:tc>
          <w:tcPr>
            <w:tcW w:w="5940" w:type="dxa"/>
            <w:vAlign w:val="bottom"/>
            <w:tcBorders>
              <w:right w:val="single" w:sz="8" w:color="auto"/>
            </w:tcBorders>
            <w:shd w:val="clear" w:color="auto" w:fill="D9D9D9"/>
          </w:tcPr>
          <w:p>
            <w:pPr>
              <w:spacing w:after="0"/>
              <w:rPr>
                <w:sz w:val="16"/>
                <w:szCs w:val="16"/>
                <w:color w:val="auto"/>
              </w:rPr>
            </w:pPr>
          </w:p>
        </w:tc>
        <w:tc>
          <w:tcPr>
            <w:tcW w:w="1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Statement</w:t>
            </w:r>
          </w:p>
        </w:tc>
        <w:tc>
          <w:tcPr>
            <w:tcW w:w="1540" w:type="dxa"/>
            <w:vAlign w:val="bottom"/>
            <w:tcBorders>
              <w:right w:val="single" w:sz="8" w:color="auto"/>
            </w:tcBorders>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89"/>
              </w:rPr>
              <w:t>to November 30, 2021)</w:t>
            </w:r>
          </w:p>
        </w:tc>
        <w:tc>
          <w:tcPr>
            <w:tcW w:w="198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100" w:type="dxa"/>
            <w:vAlign w:val="bottom"/>
            <w:tcBorders>
              <w:left w:val="single" w:sz="8" w:color="auto"/>
              <w:bottom w:val="single" w:sz="8" w:color="auto"/>
              <w:right w:val="single" w:sz="8" w:color="D9D9D9"/>
            </w:tcBorders>
            <w:shd w:val="clear" w:color="auto" w:fill="D9D9D9"/>
          </w:tcPr>
          <w:p>
            <w:pPr>
              <w:spacing w:after="0"/>
              <w:rPr>
                <w:sz w:val="23"/>
                <w:szCs w:val="23"/>
                <w:color w:val="auto"/>
              </w:rPr>
            </w:pPr>
          </w:p>
        </w:tc>
        <w:tc>
          <w:tcPr>
            <w:tcW w:w="5940" w:type="dxa"/>
            <w:vAlign w:val="bottom"/>
            <w:tcBorders>
              <w:bottom w:val="single" w:sz="8" w:color="auto"/>
              <w:right w:val="single" w:sz="8" w:color="auto"/>
            </w:tcBorders>
            <w:shd w:val="clear" w:color="auto" w:fill="D9D9D9"/>
          </w:tcPr>
          <w:p>
            <w:pPr>
              <w:spacing w:after="0"/>
              <w:rPr>
                <w:sz w:val="23"/>
                <w:szCs w:val="23"/>
                <w:color w:val="auto"/>
              </w:rPr>
            </w:pPr>
          </w:p>
        </w:tc>
        <w:tc>
          <w:tcPr>
            <w:tcW w:w="1560" w:type="dxa"/>
            <w:vAlign w:val="bottom"/>
            <w:tcBorders>
              <w:bottom w:val="single" w:sz="8" w:color="auto"/>
              <w:right w:val="single" w:sz="8" w:color="auto"/>
            </w:tcBorders>
            <w:shd w:val="clear" w:color="auto" w:fill="D9D9D9"/>
          </w:tcPr>
          <w:p>
            <w:pPr>
              <w:spacing w:after="0"/>
              <w:rPr>
                <w:sz w:val="23"/>
                <w:szCs w:val="23"/>
                <w:color w:val="auto"/>
              </w:rPr>
            </w:pPr>
          </w:p>
        </w:tc>
        <w:tc>
          <w:tcPr>
            <w:tcW w:w="1540" w:type="dxa"/>
            <w:vAlign w:val="bottom"/>
            <w:tcBorders>
              <w:bottom w:val="single" w:sz="8" w:color="auto"/>
              <w:right w:val="single" w:sz="8" w:color="auto"/>
            </w:tcBorders>
            <w:shd w:val="clear" w:color="auto" w:fill="D9D9D9"/>
          </w:tcPr>
          <w:p>
            <w:pPr>
              <w:spacing w:after="0"/>
              <w:rPr>
                <w:sz w:val="23"/>
                <w:szCs w:val="23"/>
                <w:color w:val="auto"/>
              </w:rPr>
            </w:pPr>
          </w:p>
        </w:tc>
        <w:tc>
          <w:tcPr>
            <w:tcW w:w="1980" w:type="dxa"/>
            <w:vAlign w:val="bottom"/>
            <w:tcBorders>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5940" w:type="dxa"/>
            <w:vAlign w:val="bottom"/>
            <w:tcBorders>
              <w:bottom w:val="single" w:sz="8" w:color="auto"/>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Deuterated Psilocybin Analog Program (formerly the Psilocybin Program)</w:t>
            </w:r>
            <w:r>
              <w:rPr>
                <w:rFonts w:ascii="Arial" w:cs="Arial" w:eastAsia="Arial" w:hAnsi="Arial"/>
                <w:sz w:val="19"/>
                <w:szCs w:val="19"/>
                <w:b w:val="1"/>
                <w:bCs w:val="1"/>
                <w:color w:val="auto"/>
                <w:vertAlign w:val="superscript"/>
              </w:rPr>
              <w:t>(2)</w:t>
            </w:r>
          </w:p>
        </w:tc>
        <w:tc>
          <w:tcPr>
            <w:tcW w:w="1560" w:type="dxa"/>
            <w:vAlign w:val="bottom"/>
            <w:tcBorders>
              <w:bottom w:val="single" w:sz="8" w:color="auto"/>
              <w:right w:val="single" w:sz="8" w:color="D9D9D9"/>
            </w:tcBorders>
            <w:shd w:val="clear" w:color="auto" w:fill="D9D9D9"/>
          </w:tcPr>
          <w:p>
            <w:pPr>
              <w:spacing w:after="0"/>
              <w:rPr>
                <w:sz w:val="19"/>
                <w:szCs w:val="19"/>
                <w:color w:val="auto"/>
              </w:rPr>
            </w:pPr>
          </w:p>
        </w:tc>
        <w:tc>
          <w:tcPr>
            <w:tcW w:w="1540" w:type="dxa"/>
            <w:vAlign w:val="bottom"/>
            <w:tcBorders>
              <w:bottom w:val="single" w:sz="8" w:color="auto"/>
              <w:right w:val="single" w:sz="8" w:color="D9D9D9"/>
            </w:tcBorders>
            <w:shd w:val="clear" w:color="auto" w:fill="D9D9D9"/>
          </w:tcPr>
          <w:p>
            <w:pPr>
              <w:spacing w:after="0"/>
              <w:rPr>
                <w:sz w:val="19"/>
                <w:szCs w:val="19"/>
                <w:color w:val="auto"/>
              </w:rPr>
            </w:pPr>
          </w:p>
        </w:tc>
        <w:tc>
          <w:tcPr>
            <w:tcW w:w="198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Chemically develop and synthesize psychedelic API</w:t>
            </w:r>
            <w:r>
              <w:rPr>
                <w:rFonts w:ascii="Arial" w:cs="Arial" w:eastAsia="Arial" w:hAnsi="Arial"/>
                <w:sz w:val="19"/>
                <w:szCs w:val="19"/>
                <w:color w:val="auto"/>
                <w:vertAlign w:val="superscript"/>
              </w:rPr>
              <w:t>(3)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$432</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7"/>
              </w:rPr>
              <w:t>$23</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3"/>
              </w:rPr>
              <w:t>$409</w:t>
            </w:r>
          </w:p>
        </w:tc>
        <w:tc>
          <w:tcPr>
            <w:tcW w:w="0" w:type="dxa"/>
            <w:vAlign w:val="bottom"/>
          </w:tcPr>
          <w:p>
            <w:pPr>
              <w:spacing w:after="0"/>
              <w:rPr>
                <w:sz w:val="1"/>
                <w:szCs w:val="1"/>
                <w:color w:val="auto"/>
              </w:rPr>
            </w:pPr>
          </w:p>
        </w:tc>
      </w:tr>
      <w:tr>
        <w:trPr>
          <w:trHeight w:val="225"/>
        </w:trPr>
        <w:tc>
          <w:tcPr>
            <w:tcW w:w="60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Development of psilocybin Sublingual Film</w:t>
            </w:r>
            <w:r>
              <w:rPr>
                <w:rFonts w:ascii="Arial" w:cs="Arial" w:eastAsia="Arial" w:hAnsi="Arial"/>
                <w:sz w:val="19"/>
                <w:szCs w:val="19"/>
                <w:color w:val="auto"/>
                <w:vertAlign w:val="superscript"/>
              </w:rPr>
              <w:t>(9)</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$238</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$145</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$93</w:t>
            </w:r>
          </w:p>
        </w:tc>
        <w:tc>
          <w:tcPr>
            <w:tcW w:w="0" w:type="dxa"/>
            <w:vAlign w:val="bottom"/>
          </w:tcPr>
          <w:p>
            <w:pPr>
              <w:spacing w:after="0"/>
              <w:rPr>
                <w:sz w:val="1"/>
                <w:szCs w:val="1"/>
                <w:color w:val="auto"/>
              </w:rPr>
            </w:pPr>
          </w:p>
        </w:tc>
      </w:tr>
      <w:tr>
        <w:trPr>
          <w:trHeight w:val="225"/>
        </w:trPr>
        <w:tc>
          <w:tcPr>
            <w:tcW w:w="60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Phase IIa MDD study completed with data</w:t>
            </w:r>
            <w:r>
              <w:rPr>
                <w:rFonts w:ascii="Arial" w:cs="Arial" w:eastAsia="Arial" w:hAnsi="Arial"/>
                <w:sz w:val="19"/>
                <w:szCs w:val="19"/>
                <w:color w:val="auto"/>
                <w:vertAlign w:val="superscript"/>
              </w:rPr>
              <w:t>(10)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$600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$1,028</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$(428)</w:t>
            </w: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Phase IIb MDD study completed with data</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$1,000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$1,000</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Support of additional phase IIb study sites in Canada and the United States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$521</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$(521)</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 xml:space="preserve">Commence microdose study with the Canadian Centre for Psychedelic Science </w:t>
            </w:r>
            <w:r>
              <w:rPr>
                <w:rFonts w:ascii="Arial" w:cs="Arial" w:eastAsia="Arial" w:hAnsi="Arial"/>
                <w:sz w:val="19"/>
                <w:szCs w:val="19"/>
                <w:color w:val="auto"/>
                <w:vertAlign w:val="superscript"/>
              </w:rPr>
              <w:t>(4)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$50</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$50</w:t>
            </w:r>
          </w:p>
        </w:tc>
        <w:tc>
          <w:tcPr>
            <w:tcW w:w="0" w:type="dxa"/>
            <w:vAlign w:val="bottom"/>
          </w:tcPr>
          <w:p>
            <w:pPr>
              <w:spacing w:after="0"/>
              <w:rPr>
                <w:sz w:val="1"/>
                <w:szCs w:val="1"/>
                <w:color w:val="auto"/>
              </w:rPr>
            </w:pPr>
          </w:p>
        </w:tc>
      </w:tr>
      <w:tr>
        <w:trPr>
          <w:trHeight w:val="225"/>
        </w:trPr>
        <w:tc>
          <w:tcPr>
            <w:tcW w:w="60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 xml:space="preserve">Commence safety and efficacy clinical study with the University of the West Indies </w:t>
            </w:r>
            <w:r>
              <w:rPr>
                <w:rFonts w:ascii="Arial" w:cs="Arial" w:eastAsia="Arial" w:hAnsi="Arial"/>
                <w:sz w:val="19"/>
                <w:szCs w:val="19"/>
                <w:color w:val="auto"/>
                <w:vertAlign w:val="superscript"/>
              </w:rPr>
              <w:t>(5)</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$750</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3"/>
              </w:rPr>
              <w:t>$750</w:t>
            </w: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Completion of IND enabling pre-clinical studies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$848</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$(848)</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w w:val="90"/>
              </w:rPr>
              <w:t>Completion of chemistry, manufacturing and control development for pre-clinical and clinical studies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$529</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$(529)</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Clinical trial filings and conduct for first in human trial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7"/>
              </w:rPr>
              <w:t>$25</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$(25)</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4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Deuterated Tryptamines Preclinical Programs</w:t>
            </w: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w w:val="96"/>
              </w:rPr>
              <w:t>Progression of CYB003 for phase I studies readiness and utilization of the associated delivery</w:t>
            </w:r>
          </w:p>
        </w:tc>
        <w:tc>
          <w:tcPr>
            <w:tcW w:w="1560" w:type="dxa"/>
            <w:vAlign w:val="bottom"/>
            <w:tcBorders>
              <w:top w:val="single" w:sz="8" w:color="auto"/>
              <w:right w:val="single" w:sz="8" w:color="auto"/>
            </w:tcBorders>
          </w:tcPr>
          <w:p>
            <w:pPr>
              <w:spacing w:after="0"/>
              <w:rPr>
                <w:sz w:val="16"/>
                <w:szCs w:val="16"/>
                <w:color w:val="auto"/>
              </w:rPr>
            </w:pPr>
          </w:p>
        </w:tc>
        <w:tc>
          <w:tcPr>
            <w:tcW w:w="1540" w:type="dxa"/>
            <w:vAlign w:val="bottom"/>
            <w:tcBorders>
              <w:top w:val="single" w:sz="8" w:color="auto"/>
              <w:right w:val="single" w:sz="8" w:color="auto"/>
            </w:tcBorders>
          </w:tcPr>
          <w:p>
            <w:pPr>
              <w:spacing w:after="0"/>
              <w:rPr>
                <w:sz w:val="16"/>
                <w:szCs w:val="16"/>
                <w:color w:val="auto"/>
              </w:rPr>
            </w:pPr>
          </w:p>
        </w:tc>
        <w:tc>
          <w:tcPr>
            <w:tcW w:w="19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platform</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$1,808</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$(1,808)</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Progression of CYB004 for phase I studies readiness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$1,435</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$(1,435)</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4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Phenethylamine Preclinical Development Program</w:t>
            </w: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Phenethylamine preclinical development program</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top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$650</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$(650)</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9"/>
        </w:trPr>
        <w:tc>
          <w:tcPr>
            <w:tcW w:w="10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594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Nutraceutical Products</w:t>
            </w:r>
            <w:r>
              <w:rPr>
                <w:rFonts w:ascii="Arial" w:cs="Arial" w:eastAsia="Arial" w:hAnsi="Arial"/>
                <w:sz w:val="19"/>
                <w:szCs w:val="19"/>
                <w:b w:val="1"/>
                <w:bCs w:val="1"/>
                <w:color w:val="auto"/>
                <w:vertAlign w:val="superscript"/>
              </w:rPr>
              <w:t>(6)</w:t>
            </w:r>
          </w:p>
        </w:tc>
        <w:tc>
          <w:tcPr>
            <w:tcW w:w="1560" w:type="dxa"/>
            <w:vAlign w:val="bottom"/>
            <w:tcBorders>
              <w:bottom w:val="single" w:sz="8" w:color="D9D9D9"/>
              <w:right w:val="single" w:sz="8" w:color="D9D9D9"/>
            </w:tcBorders>
            <w:shd w:val="clear" w:color="auto" w:fill="D9D9D9"/>
          </w:tcPr>
          <w:p>
            <w:pPr>
              <w:spacing w:after="0"/>
              <w:rPr>
                <w:sz w:val="24"/>
                <w:szCs w:val="24"/>
                <w:color w:val="auto"/>
              </w:rPr>
            </w:pPr>
          </w:p>
        </w:tc>
        <w:tc>
          <w:tcPr>
            <w:tcW w:w="1540" w:type="dxa"/>
            <w:vAlign w:val="bottom"/>
            <w:tcBorders>
              <w:bottom w:val="single" w:sz="8" w:color="D9D9D9"/>
              <w:right w:val="single" w:sz="8" w:color="D9D9D9"/>
            </w:tcBorders>
            <w:shd w:val="clear" w:color="auto" w:fill="D9D9D9"/>
          </w:tcPr>
          <w:p>
            <w:pPr>
              <w:spacing w:after="0"/>
              <w:rPr>
                <w:sz w:val="24"/>
                <w:szCs w:val="24"/>
                <w:color w:val="auto"/>
              </w:rPr>
            </w:pPr>
          </w:p>
        </w:tc>
        <w:tc>
          <w:tcPr>
            <w:tcW w:w="1980" w:type="dxa"/>
            <w:vAlign w:val="bottom"/>
            <w:tcBorders>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Inventory fulfilment</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540" w:type="dxa"/>
            <w:vAlign w:val="bottom"/>
            <w:tcBorders>
              <w:top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3"/>
              </w:rPr>
              <w:t>$200</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Product deployment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$200</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Nutraceutical marketing</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$100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$100</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4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Technology</w:t>
            </w: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Marketing</w:t>
            </w:r>
            <w:r>
              <w:rPr>
                <w:rFonts w:ascii="Arial" w:cs="Arial" w:eastAsia="Arial" w:hAnsi="Arial"/>
                <w:sz w:val="19"/>
                <w:szCs w:val="19"/>
                <w:color w:val="auto"/>
                <w:vertAlign w:val="superscript"/>
              </w:rPr>
              <w:t>(6)</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$2,000</w:t>
            </w:r>
          </w:p>
        </w:tc>
        <w:tc>
          <w:tcPr>
            <w:tcW w:w="1540" w:type="dxa"/>
            <w:vAlign w:val="bottom"/>
            <w:tcBorders>
              <w:top w:val="single" w:sz="8" w:color="auto"/>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$2,000</w:t>
            </w: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Development of patient digital therapy platform</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$666</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$(666)</w:t>
            </w:r>
          </w:p>
        </w:tc>
        <w:tc>
          <w:tcPr>
            <w:tcW w:w="0" w:type="dxa"/>
            <w:vAlign w:val="bottom"/>
          </w:tcPr>
          <w:p>
            <w:pPr>
              <w:spacing w:after="0"/>
              <w:rPr>
                <w:sz w:val="1"/>
                <w:szCs w:val="1"/>
                <w:color w:val="auto"/>
              </w:rPr>
            </w:pPr>
          </w:p>
        </w:tc>
      </w:tr>
      <w:tr>
        <w:trPr>
          <w:trHeight w:val="29"/>
        </w:trPr>
        <w:tc>
          <w:tcPr>
            <w:tcW w:w="60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Commence study utilizing Kernel Flow technology</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$209</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$(209)</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40" w:type="dxa"/>
            <w:vAlign w:val="bottom"/>
            <w:tcBorders>
              <w:bottom w:val="single" w:sz="8" w:color="D9D9D9"/>
              <w:right w:val="single" w:sz="8" w:color="D9D9D9"/>
            </w:tcBorders>
            <w:shd w:val="clear" w:color="auto" w:fill="D9D9D9"/>
          </w:tcPr>
          <w:p>
            <w:pPr>
              <w:ind w:left="80"/>
              <w:spacing w:after="0"/>
              <w:rPr>
                <w:sz w:val="20"/>
                <w:szCs w:val="20"/>
                <w:color w:val="auto"/>
              </w:rPr>
            </w:pPr>
            <w:r>
              <w:rPr>
                <w:rFonts w:ascii="Arial" w:cs="Arial" w:eastAsia="Arial" w:hAnsi="Arial"/>
                <w:sz w:val="15"/>
                <w:szCs w:val="15"/>
                <w:b w:val="1"/>
                <w:bCs w:val="1"/>
                <w:color w:val="auto"/>
              </w:rPr>
              <w:t>Other</w:t>
            </w: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Transaction costs (legal fees, audit fees, transfer agent fees and other expenses)</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$575</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$4,586</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5"/>
              </w:rPr>
              <w:t>$(4,011)</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 xml:space="preserve">General and administrative </w:t>
            </w:r>
            <w:r>
              <w:rPr>
                <w:rFonts w:ascii="Arial" w:cs="Arial" w:eastAsia="Arial" w:hAnsi="Arial"/>
                <w:sz w:val="19"/>
                <w:szCs w:val="19"/>
                <w:color w:val="auto"/>
                <w:vertAlign w:val="superscript"/>
              </w:rPr>
              <w:t>(7)</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$4,800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$29,470</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$(24,670)</w:t>
            </w: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Total use of funds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$10,945</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$41,943</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$(30,998)</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60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Unallocated working capital</w:t>
            </w:r>
            <w:r>
              <w:rPr>
                <w:rFonts w:ascii="Arial" w:cs="Arial" w:eastAsia="Arial" w:hAnsi="Arial"/>
                <w:sz w:val="19"/>
                <w:szCs w:val="19"/>
                <w:b w:val="1"/>
                <w:bCs w:val="1"/>
                <w:color w:val="auto"/>
                <w:vertAlign w:val="superscript"/>
              </w:rPr>
              <w:t>(8)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$38,722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$7,724</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$30,998</w:t>
            </w:r>
          </w:p>
        </w:tc>
        <w:tc>
          <w:tcPr>
            <w:tcW w:w="0" w:type="dxa"/>
            <w:vAlign w:val="bottom"/>
          </w:tcPr>
          <w:p>
            <w:pPr>
              <w:spacing w:after="0"/>
              <w:rPr>
                <w:sz w:val="1"/>
                <w:szCs w:val="1"/>
                <w:color w:val="auto"/>
              </w:rPr>
            </w:pPr>
          </w:p>
        </w:tc>
      </w:tr>
      <w:tr>
        <w:trPr>
          <w:trHeight w:val="195"/>
        </w:trPr>
        <w:tc>
          <w:tcPr>
            <w:tcW w:w="60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$49,667</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$49,667</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
        <w:spacing w:after="0"/>
        <w:rPr>
          <w:sz w:val="20"/>
          <w:szCs w:val="20"/>
          <w:color w:val="auto"/>
        </w:rPr>
      </w:pPr>
      <w:r>
        <w:rPr>
          <w:rFonts w:ascii="Arial" w:cs="Arial" w:eastAsia="Arial" w:hAnsi="Arial"/>
          <w:sz w:val="15"/>
          <w:szCs w:val="15"/>
          <w:b w:val="1"/>
          <w:bCs w:val="1"/>
          <w:u w:val="single" w:color="auto"/>
          <w:color w:val="auto"/>
        </w:rPr>
        <w:t>Notes:</w:t>
      </w:r>
    </w:p>
    <w:p>
      <w:pPr>
        <w:ind w:left="402" w:hanging="402"/>
        <w:spacing w:after="0" w:line="187" w:lineRule="auto"/>
        <w:tabs>
          <w:tab w:leader="none" w:pos="402" w:val="left"/>
        </w:tabs>
        <w:numPr>
          <w:ilvl w:val="0"/>
          <w:numId w:val="37"/>
        </w:numPr>
        <w:rPr>
          <w:rFonts w:ascii="Arial" w:cs="Arial" w:eastAsia="Arial" w:hAnsi="Arial"/>
          <w:sz w:val="15"/>
          <w:szCs w:val="15"/>
          <w:color w:val="auto"/>
        </w:rPr>
      </w:pPr>
      <w:r>
        <w:rPr>
          <w:rFonts w:ascii="Arial" w:cs="Arial" w:eastAsia="Arial" w:hAnsi="Arial"/>
          <w:sz w:val="15"/>
          <w:szCs w:val="15"/>
          <w:color w:val="auto"/>
        </w:rPr>
        <w:t>Certain amounts have been converted from USD to CAD at an exchange rate of 1.26:1.</w:t>
      </w:r>
    </w:p>
    <w:p>
      <w:pPr>
        <w:jc w:val="both"/>
        <w:ind w:left="402" w:hanging="402"/>
        <w:spacing w:after="0" w:line="187" w:lineRule="auto"/>
        <w:tabs>
          <w:tab w:leader="none" w:pos="395"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 light of compelling data related to CYB003, the Company has merged its Psilocybin Program with its deuterated tryptamine CYB003 preclinical program. The Company was previously running the programs in parallel in order to determine the molecules and methods of actions with the most benefits and least amount of drawbacks. This has now evolved into a single program, focusing on both the MDD and AUD indication in the U.S. and UK, to prioritize the advancement of the potentially superior molecule in the most cost-effective manner.</w:t>
      </w:r>
    </w:p>
    <w:p>
      <w:pPr>
        <w:ind w:left="402" w:hanging="402"/>
        <w:spacing w:after="0" w:line="218" w:lineRule="auto"/>
        <w:tabs>
          <w:tab w:leader="none" w:pos="395"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actual cost is lower than previously anticipated, and as previously disclosed in the Listing Statement, as a result of the termination of the professional services agreement dated June 24, 2020 between Cybin Corp. and Smart Medicines GMP Inc. Prior to the date of the Listing Statement, the Company spent $1,500 on this milestone.</w:t>
      </w:r>
    </w:p>
    <w:p>
      <w:pPr>
        <w:spacing w:after="0" w:line="1" w:lineRule="exact"/>
        <w:rPr>
          <w:rFonts w:ascii="Arial" w:cs="Arial" w:eastAsia="Arial" w:hAnsi="Arial"/>
          <w:sz w:val="14"/>
          <w:szCs w:val="14"/>
          <w:color w:val="auto"/>
        </w:rPr>
      </w:pPr>
    </w:p>
    <w:p>
      <w:pPr>
        <w:ind w:left="402" w:hanging="402"/>
        <w:spacing w:after="0" w:line="221" w:lineRule="auto"/>
        <w:tabs>
          <w:tab w:leader="none" w:pos="402" w:val="left"/>
        </w:tabs>
        <w:numPr>
          <w:ilvl w:val="0"/>
          <w:numId w:val="37"/>
        </w:numPr>
        <w:rPr>
          <w:rFonts w:ascii="Arial" w:cs="Arial" w:eastAsia="Arial" w:hAnsi="Arial"/>
          <w:sz w:val="15"/>
          <w:szCs w:val="15"/>
          <w:color w:val="auto"/>
        </w:rPr>
      </w:pPr>
      <w:r>
        <w:rPr>
          <w:rFonts w:ascii="Arial" w:cs="Arial" w:eastAsia="Arial" w:hAnsi="Arial"/>
          <w:sz w:val="15"/>
          <w:szCs w:val="15"/>
          <w:color w:val="auto"/>
        </w:rPr>
        <w:t>On April 6 2021, the Company provided notice to the Canadian Centre for Psychedelic Science (the “</w:t>
      </w:r>
      <w:r>
        <w:rPr>
          <w:rFonts w:ascii="Arial" w:cs="Arial" w:eastAsia="Arial" w:hAnsi="Arial"/>
          <w:sz w:val="15"/>
          <w:szCs w:val="15"/>
          <w:b w:val="1"/>
          <w:bCs w:val="1"/>
          <w:color w:val="auto"/>
        </w:rPr>
        <w:t>CCPS</w:t>
      </w:r>
      <w:r>
        <w:rPr>
          <w:rFonts w:ascii="Arial" w:cs="Arial" w:eastAsia="Arial" w:hAnsi="Arial"/>
          <w:sz w:val="15"/>
          <w:szCs w:val="15"/>
          <w:color w:val="auto"/>
        </w:rPr>
        <w:t>”) of its decision to terminate this arrangement.</w:t>
      </w:r>
    </w:p>
    <w:p>
      <w:pPr>
        <w:ind w:left="402" w:right="180" w:hanging="402"/>
        <w:spacing w:after="0" w:line="229" w:lineRule="auto"/>
        <w:tabs>
          <w:tab w:leader="none" w:pos="395"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Listing Statement inadvertently duplicated this milestone, which forms part of the estimated cost of the phase IIa and phase IIb MDD study listed below.The Company no longer anticipates to conduct any business activities in Jamaica. The Company intends to complete future clinical trials in the U.S. and the UK.</w:t>
      </w:r>
    </w:p>
    <w:p>
      <w:pPr>
        <w:spacing w:after="0" w:line="1" w:lineRule="exact"/>
        <w:rPr>
          <w:rFonts w:ascii="Arial" w:cs="Arial" w:eastAsia="Arial" w:hAnsi="Arial"/>
          <w:sz w:val="15"/>
          <w:szCs w:val="15"/>
          <w:color w:val="auto"/>
        </w:rPr>
      </w:pPr>
    </w:p>
    <w:p>
      <w:pPr>
        <w:ind w:left="402" w:hanging="402"/>
        <w:spacing w:after="0"/>
        <w:tabs>
          <w:tab w:leader="none" w:pos="395"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Company concluded its evaluation of the Product Line and its related marketing platform and concluded that it would not proceed with this program in order to prioritize the research and development progression of psychedelic molecules.</w:t>
      </w:r>
    </w:p>
    <w:p>
      <w:pPr>
        <w:spacing w:after="0" w:line="1" w:lineRule="exact"/>
        <w:rPr>
          <w:rFonts w:ascii="Arial" w:cs="Arial" w:eastAsia="Arial" w:hAnsi="Arial"/>
          <w:sz w:val="15"/>
          <w:szCs w:val="15"/>
          <w:color w:val="auto"/>
        </w:rPr>
      </w:pPr>
    </w:p>
    <w:p>
      <w:pPr>
        <w:ind w:left="402" w:hanging="402"/>
        <w:spacing w:after="0" w:line="227" w:lineRule="auto"/>
        <w:tabs>
          <w:tab w:leader="none" w:pos="395" w:val="left"/>
        </w:tabs>
        <w:numPr>
          <w:ilvl w:val="0"/>
          <w:numId w:val="37"/>
        </w:numPr>
        <w:rPr>
          <w:rFonts w:ascii="Arial" w:cs="Arial" w:eastAsia="Arial" w:hAnsi="Arial"/>
          <w:sz w:val="15"/>
          <w:szCs w:val="15"/>
          <w:color w:val="auto"/>
        </w:rPr>
      </w:pPr>
      <w:r>
        <w:rPr>
          <w:rFonts w:ascii="Arial" w:cs="Arial" w:eastAsia="Arial" w:hAnsi="Arial"/>
          <w:sz w:val="15"/>
          <w:szCs w:val="15"/>
          <w:color w:val="auto"/>
        </w:rPr>
        <w:t>General and administrative expenses are comprised of payroll consulting and benefits $6,882, office and administrative $8,908, capital market $7,419, business development $2,864, investor relations $2,160 and marketing media $1,237.</w:t>
      </w:r>
    </w:p>
    <w:p>
      <w:pPr>
        <w:ind w:left="402" w:hanging="402"/>
        <w:spacing w:after="0" w:line="215" w:lineRule="auto"/>
        <w:tabs>
          <w:tab w:leader="none" w:pos="402"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unallocated working balance will be held in short-term, investment grade, interest-bearing securities, in government securities or in bank accounts at the discretion of management.</w:t>
      </w:r>
    </w:p>
    <w:p>
      <w:pPr>
        <w:ind w:left="402" w:hanging="402"/>
        <w:spacing w:after="0" w:line="230" w:lineRule="auto"/>
        <w:tabs>
          <w:tab w:leader="none" w:pos="395"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actual cost is lower than previously anticipated, and as previously disclosed in the Listing Statement, as a result of the prioritization of the new Deuterated Psilocybin Analog Program over the sublingual film technology as a result of the Company’s positive view of the research data on the Company’s novel oral psilocybin analog molecule.</w:t>
      </w:r>
    </w:p>
    <w:p>
      <w:pPr>
        <w:spacing w:after="0" w:line="200" w:lineRule="exact"/>
        <w:rPr>
          <w:sz w:val="20"/>
          <w:szCs w:val="20"/>
          <w:color w:val="auto"/>
        </w:rPr>
      </w:pPr>
    </w:p>
    <w:p>
      <w:pPr>
        <w:spacing w:after="0" w:line="33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2"/>
          </w:cols>
          <w:pgMar w:left="318" w:top="731" w:right="339" w:bottom="1440" w:gutter="0" w:footer="0" w:header="0"/>
        </w:sectPr>
      </w:pPr>
    </w:p>
    <w:bookmarkStart w:id="41" w:name="page42"/>
    <w:bookmarkEnd w:id="41"/>
    <w:p>
      <w:pPr>
        <w:ind w:left="402" w:hanging="402"/>
        <w:spacing w:after="0" w:line="223" w:lineRule="auto"/>
        <w:tabs>
          <w:tab w:leader="none" w:pos="395" w:val="left"/>
        </w:tabs>
        <w:numPr>
          <w:ilvl w:val="0"/>
          <w:numId w:val="38"/>
        </w:numPr>
        <w:rPr>
          <w:rFonts w:ascii="Arial" w:cs="Arial" w:eastAsia="Arial" w:hAnsi="Arial"/>
          <w:sz w:val="15"/>
          <w:szCs w:val="15"/>
          <w:color w:val="auto"/>
        </w:rPr>
      </w:pPr>
      <w:r>
        <w:rPr>
          <w:rFonts w:ascii="Arial" w:cs="Arial" w:eastAsia="Arial" w:hAnsi="Arial"/>
          <w:sz w:val="15"/>
          <w:szCs w:val="15"/>
          <w:color w:val="auto"/>
        </w:rPr>
        <w:t>Drug development involves long lead times, is very expensive and involves many variables of uncertainty and as a result the actual cost is higher than previously anticipated, and as previously disclosed in the Listing Statement.</w:t>
      </w:r>
    </w:p>
    <w:p>
      <w:pPr>
        <w:spacing w:after="0" w:line="185"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The below table describes the differences between the Company’s anticipated use of proceeds as disclosed in the Company’s public offering completed on February 4, 2021 as described in its final prospectus dated February 1, 2021 (the “</w:t>
      </w:r>
      <w:r>
        <w:rPr>
          <w:rFonts w:ascii="Arial" w:cs="Arial" w:eastAsia="Arial" w:hAnsi="Arial"/>
          <w:sz w:val="18"/>
          <w:szCs w:val="18"/>
          <w:b w:val="1"/>
          <w:bCs w:val="1"/>
          <w:color w:val="auto"/>
        </w:rPr>
        <w:t>February 2021 Prospectus</w:t>
      </w:r>
      <w:r>
        <w:rPr>
          <w:rFonts w:ascii="Arial" w:cs="Arial" w:eastAsia="Arial" w:hAnsi="Arial"/>
          <w:sz w:val="18"/>
          <w:szCs w:val="18"/>
          <w:color w:val="auto"/>
        </w:rPr>
        <w:t>”), and the Company’s actual use of proceeds from that offering as at December 31, 2021.</w:t>
      </w:r>
    </w:p>
    <w:p>
      <w:pPr>
        <w:spacing w:after="0" w:line="220" w:lineRule="exact"/>
        <w:rPr>
          <w:sz w:val="20"/>
          <w:szCs w:val="20"/>
          <w:color w:val="auto"/>
        </w:rPr>
      </w:pPr>
    </w:p>
    <w:tbl>
      <w:tblPr>
        <w:tblLayout w:type="fixed"/>
        <w:tblInd w:w="12" w:type="dxa"/>
        <w:tblCellMar>
          <w:top w:w="0" w:type="dxa"/>
          <w:left w:w="0" w:type="dxa"/>
          <w:bottom w:w="0" w:type="dxa"/>
          <w:right w:w="0" w:type="dxa"/>
        </w:tblCellMar>
      </w:tblPr>
      <w:tr>
        <w:trPr>
          <w:trHeight w:val="318"/>
        </w:trPr>
        <w:tc>
          <w:tcPr>
            <w:tcW w:w="100" w:type="dxa"/>
            <w:vAlign w:val="bottom"/>
            <w:tcBorders>
              <w:top w:val="single" w:sz="8" w:color="auto"/>
              <w:left w:val="single" w:sz="8" w:color="auto"/>
              <w:right w:val="single" w:sz="8" w:color="D9D9D9"/>
            </w:tcBorders>
            <w:shd w:val="clear" w:color="auto" w:fill="D9D9D9"/>
          </w:tcPr>
          <w:p>
            <w:pPr>
              <w:spacing w:after="0"/>
              <w:rPr>
                <w:sz w:val="24"/>
                <w:szCs w:val="24"/>
                <w:color w:val="auto"/>
              </w:rPr>
            </w:pPr>
          </w:p>
        </w:tc>
        <w:tc>
          <w:tcPr>
            <w:tcW w:w="5960" w:type="dxa"/>
            <w:vAlign w:val="bottom"/>
            <w:tcBorders>
              <w:top w:val="single" w:sz="8" w:color="auto"/>
              <w:right w:val="single" w:sz="8" w:color="auto"/>
            </w:tcBorders>
            <w:shd w:val="clear" w:color="auto" w:fill="D9D9D9"/>
          </w:tcPr>
          <w:p>
            <w:pPr>
              <w:ind w:left="1880"/>
              <w:spacing w:after="0"/>
              <w:rPr>
                <w:sz w:val="20"/>
                <w:szCs w:val="20"/>
                <w:color w:val="auto"/>
              </w:rPr>
            </w:pPr>
            <w:r>
              <w:rPr>
                <w:rFonts w:ascii="Arial" w:cs="Arial" w:eastAsia="Arial" w:hAnsi="Arial"/>
                <w:sz w:val="15"/>
                <w:szCs w:val="15"/>
                <w:b w:val="1"/>
                <w:bCs w:val="1"/>
                <w:color w:val="auto"/>
              </w:rPr>
              <w:t>Use of Available Funds ($000’s)</w:t>
            </w:r>
            <w:r>
              <w:rPr>
                <w:rFonts w:ascii="Arial" w:cs="Arial" w:eastAsia="Arial" w:hAnsi="Arial"/>
                <w:sz w:val="19"/>
                <w:szCs w:val="19"/>
                <w:b w:val="1"/>
                <w:bCs w:val="1"/>
                <w:color w:val="auto"/>
                <w:vertAlign w:val="superscript"/>
              </w:rPr>
              <w:t>(1)</w:t>
            </w:r>
          </w:p>
        </w:tc>
        <w:tc>
          <w:tcPr>
            <w:tcW w:w="1540" w:type="dxa"/>
            <w:vAlign w:val="bottom"/>
            <w:tcBorders>
              <w:top w:val="single" w:sz="8" w:color="auto"/>
              <w:right w:val="single" w:sz="8" w:color="auto"/>
            </w:tcBorders>
            <w:vMerge w:val="restart"/>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84"/>
              </w:rPr>
              <w:t>Previous Disclosure</w:t>
            </w:r>
          </w:p>
        </w:tc>
        <w:tc>
          <w:tcPr>
            <w:tcW w:w="15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Actual Use of Proceeds</w:t>
            </w:r>
          </w:p>
        </w:tc>
        <w:tc>
          <w:tcPr>
            <w:tcW w:w="1980" w:type="dxa"/>
            <w:vAlign w:val="bottom"/>
            <w:tcBorders>
              <w:top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00" w:type="dxa"/>
            <w:vAlign w:val="bottom"/>
            <w:tcBorders>
              <w:left w:val="single" w:sz="8" w:color="auto"/>
              <w:right w:val="single" w:sz="8" w:color="D9D9D9"/>
            </w:tcBorders>
            <w:shd w:val="clear" w:color="auto" w:fill="D9D9D9"/>
          </w:tcPr>
          <w:p>
            <w:pPr>
              <w:spacing w:after="0"/>
              <w:rPr>
                <w:sz w:val="3"/>
                <w:szCs w:val="3"/>
                <w:color w:val="auto"/>
              </w:rPr>
            </w:pPr>
          </w:p>
        </w:tc>
        <w:tc>
          <w:tcPr>
            <w:tcW w:w="5960" w:type="dxa"/>
            <w:vAlign w:val="bottom"/>
            <w:tcBorders>
              <w:right w:val="single" w:sz="8" w:color="auto"/>
            </w:tcBorders>
            <w:shd w:val="clear" w:color="auto" w:fill="D9D9D9"/>
          </w:tcPr>
          <w:p>
            <w:pPr>
              <w:spacing w:after="0"/>
              <w:rPr>
                <w:sz w:val="3"/>
                <w:szCs w:val="3"/>
                <w:color w:val="auto"/>
              </w:rPr>
            </w:pPr>
          </w:p>
        </w:tc>
        <w:tc>
          <w:tcPr>
            <w:tcW w:w="1540" w:type="dxa"/>
            <w:vAlign w:val="bottom"/>
            <w:tcBorders>
              <w:right w:val="single" w:sz="8" w:color="auto"/>
            </w:tcBorders>
            <w:vMerge w:val="continue"/>
            <w:shd w:val="clear" w:color="auto" w:fill="D9D9D9"/>
          </w:tcPr>
          <w:p>
            <w:pPr>
              <w:spacing w:after="0"/>
              <w:rPr>
                <w:sz w:val="3"/>
                <w:szCs w:val="3"/>
                <w:color w:val="auto"/>
              </w:rPr>
            </w:pPr>
          </w:p>
        </w:tc>
        <w:tc>
          <w:tcPr>
            <w:tcW w:w="1540" w:type="dxa"/>
            <w:vAlign w:val="bottom"/>
            <w:tcBorders>
              <w:right w:val="single" w:sz="8" w:color="auto"/>
            </w:tcBorders>
            <w:vMerge w:val="continue"/>
            <w:shd w:val="clear" w:color="auto" w:fill="D9D9D9"/>
          </w:tcPr>
          <w:p>
            <w:pPr>
              <w:spacing w:after="0"/>
              <w:rPr>
                <w:sz w:val="3"/>
                <w:szCs w:val="3"/>
                <w:color w:val="auto"/>
              </w:rPr>
            </w:pPr>
          </w:p>
        </w:tc>
        <w:tc>
          <w:tcPr>
            <w:tcW w:w="1980" w:type="dxa"/>
            <w:vAlign w:val="bottom"/>
            <w:tcBorders>
              <w:right w:val="single" w:sz="8" w:color="auto"/>
            </w:tcBorders>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5960" w:type="dxa"/>
            <w:vAlign w:val="bottom"/>
            <w:tcBorders>
              <w:right w:val="single" w:sz="8" w:color="auto"/>
            </w:tcBorders>
            <w:shd w:val="clear" w:color="auto" w:fill="D9D9D9"/>
          </w:tcPr>
          <w:p>
            <w:pPr>
              <w:spacing w:after="0"/>
              <w:rPr>
                <w:sz w:val="7"/>
                <w:szCs w:val="7"/>
                <w:color w:val="auto"/>
              </w:rPr>
            </w:pPr>
          </w:p>
        </w:tc>
        <w:tc>
          <w:tcPr>
            <w:tcW w:w="1540" w:type="dxa"/>
            <w:vAlign w:val="bottom"/>
            <w:tcBorders>
              <w:right w:val="single" w:sz="8" w:color="auto"/>
            </w:tcBorders>
            <w:vMerge w:val="restart"/>
            <w:shd w:val="clear" w:color="auto" w:fill="D9D9D9"/>
          </w:tcPr>
          <w:p>
            <w:pPr>
              <w:jc w:val="center"/>
              <w:ind w:right="27"/>
              <w:spacing w:after="0"/>
              <w:rPr>
                <w:sz w:val="20"/>
                <w:szCs w:val="20"/>
                <w:color w:val="auto"/>
              </w:rPr>
            </w:pPr>
            <w:r>
              <w:rPr>
                <w:rFonts w:ascii="Arial" w:cs="Arial" w:eastAsia="Arial" w:hAnsi="Arial"/>
                <w:sz w:val="15"/>
                <w:szCs w:val="15"/>
                <w:b w:val="1"/>
                <w:bCs w:val="1"/>
                <w:color w:val="auto"/>
                <w:w w:val="86"/>
              </w:rPr>
              <w:t>Regarding Use</w:t>
            </w:r>
          </w:p>
        </w:tc>
        <w:tc>
          <w:tcPr>
            <w:tcW w:w="1540" w:type="dxa"/>
            <w:vAlign w:val="bottom"/>
            <w:tcBorders>
              <w:right w:val="single" w:sz="8" w:color="auto"/>
            </w:tcBorders>
            <w:vMerge w:val="continue"/>
            <w:shd w:val="clear" w:color="auto" w:fill="D9D9D9"/>
          </w:tcPr>
          <w:p>
            <w:pPr>
              <w:spacing w:after="0"/>
              <w:rPr>
                <w:sz w:val="7"/>
                <w:szCs w:val="7"/>
                <w:color w:val="auto"/>
              </w:rPr>
            </w:pPr>
          </w:p>
        </w:tc>
        <w:tc>
          <w:tcPr>
            <w:tcW w:w="198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5960" w:type="dxa"/>
            <w:vAlign w:val="bottom"/>
            <w:tcBorders>
              <w:right w:val="single" w:sz="8" w:color="auto"/>
            </w:tcBorders>
            <w:shd w:val="clear" w:color="auto" w:fill="D9D9D9"/>
          </w:tcPr>
          <w:p>
            <w:pPr>
              <w:spacing w:after="0"/>
              <w:rPr>
                <w:sz w:val="8"/>
                <w:szCs w:val="8"/>
                <w:color w:val="auto"/>
              </w:rPr>
            </w:pPr>
          </w:p>
        </w:tc>
        <w:tc>
          <w:tcPr>
            <w:tcW w:w="1540" w:type="dxa"/>
            <w:vAlign w:val="bottom"/>
            <w:tcBorders>
              <w:right w:val="single" w:sz="8" w:color="auto"/>
            </w:tcBorders>
            <w:vMerge w:val="continue"/>
            <w:shd w:val="clear" w:color="auto" w:fill="D9D9D9"/>
          </w:tcPr>
          <w:p>
            <w:pPr>
              <w:spacing w:after="0"/>
              <w:rPr>
                <w:sz w:val="8"/>
                <w:szCs w:val="8"/>
                <w:color w:val="auto"/>
              </w:rPr>
            </w:pPr>
          </w:p>
        </w:tc>
        <w:tc>
          <w:tcPr>
            <w:tcW w:w="1540" w:type="dxa"/>
            <w:vAlign w:val="bottom"/>
            <w:tcBorders>
              <w:right w:val="single" w:sz="8" w:color="auto"/>
            </w:tcBorders>
            <w:vMerge w:val="restart"/>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86"/>
              </w:rPr>
              <w:t>as at December 31,</w:t>
            </w:r>
          </w:p>
        </w:tc>
        <w:tc>
          <w:tcPr>
            <w:tcW w:w="198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5960" w:type="dxa"/>
            <w:vAlign w:val="bottom"/>
            <w:tcBorders>
              <w:right w:val="single" w:sz="8" w:color="auto"/>
            </w:tcBorders>
            <w:shd w:val="clear" w:color="auto" w:fill="D9D9D9"/>
          </w:tcPr>
          <w:p>
            <w:pPr>
              <w:spacing w:after="0"/>
              <w:rPr>
                <w:sz w:val="7"/>
                <w:szCs w:val="7"/>
                <w:color w:val="auto"/>
              </w:rPr>
            </w:pPr>
          </w:p>
        </w:tc>
        <w:tc>
          <w:tcPr>
            <w:tcW w:w="1540" w:type="dxa"/>
            <w:vAlign w:val="bottom"/>
            <w:tcBorders>
              <w:right w:val="single" w:sz="8" w:color="auto"/>
            </w:tcBorders>
            <w:vMerge w:val="restart"/>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84"/>
              </w:rPr>
              <w:t>of Proceeds in the</w:t>
            </w:r>
          </w:p>
        </w:tc>
        <w:tc>
          <w:tcPr>
            <w:tcW w:w="1540" w:type="dxa"/>
            <w:vAlign w:val="bottom"/>
            <w:tcBorders>
              <w:right w:val="single" w:sz="8" w:color="auto"/>
            </w:tcBorders>
            <w:vMerge w:val="continue"/>
            <w:shd w:val="clear" w:color="auto" w:fill="D9D9D9"/>
          </w:tcPr>
          <w:p>
            <w:pPr>
              <w:spacing w:after="0"/>
              <w:rPr>
                <w:sz w:val="7"/>
                <w:szCs w:val="7"/>
                <w:color w:val="auto"/>
              </w:rPr>
            </w:pPr>
          </w:p>
        </w:tc>
        <w:tc>
          <w:tcPr>
            <w:tcW w:w="19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9"/>
              </w:rPr>
              <w:t>Variance</w:t>
            </w: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5960" w:type="dxa"/>
            <w:vAlign w:val="bottom"/>
            <w:tcBorders>
              <w:right w:val="single" w:sz="8" w:color="auto"/>
            </w:tcBorders>
            <w:shd w:val="clear" w:color="auto" w:fill="D9D9D9"/>
          </w:tcPr>
          <w:p>
            <w:pPr>
              <w:spacing w:after="0"/>
              <w:rPr>
                <w:sz w:val="8"/>
                <w:szCs w:val="8"/>
                <w:color w:val="auto"/>
              </w:rPr>
            </w:pPr>
          </w:p>
        </w:tc>
        <w:tc>
          <w:tcPr>
            <w:tcW w:w="1540" w:type="dxa"/>
            <w:vAlign w:val="bottom"/>
            <w:tcBorders>
              <w:right w:val="single" w:sz="8" w:color="auto"/>
            </w:tcBorders>
            <w:vMerge w:val="continue"/>
            <w:shd w:val="clear" w:color="auto" w:fill="D9D9D9"/>
          </w:tcPr>
          <w:p>
            <w:pPr>
              <w:spacing w:after="0"/>
              <w:rPr>
                <w:sz w:val="8"/>
                <w:szCs w:val="8"/>
                <w:color w:val="auto"/>
              </w:rPr>
            </w:pPr>
          </w:p>
        </w:tc>
        <w:tc>
          <w:tcPr>
            <w:tcW w:w="1540" w:type="dxa"/>
            <w:vAlign w:val="bottom"/>
            <w:tcBorders>
              <w:right w:val="single" w:sz="8" w:color="auto"/>
            </w:tcBorders>
            <w:vMerge w:val="restart"/>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90"/>
              </w:rPr>
              <w:t>2021 (January 1 to</w:t>
            </w:r>
          </w:p>
        </w:tc>
        <w:tc>
          <w:tcPr>
            <w:tcW w:w="198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5960" w:type="dxa"/>
            <w:vAlign w:val="bottom"/>
            <w:tcBorders>
              <w:right w:val="single" w:sz="8" w:color="auto"/>
            </w:tcBorders>
            <w:shd w:val="clear" w:color="auto" w:fill="D9D9D9"/>
          </w:tcPr>
          <w:p>
            <w:pPr>
              <w:spacing w:after="0"/>
              <w:rPr>
                <w:sz w:val="7"/>
                <w:szCs w:val="7"/>
                <w:color w:val="auto"/>
              </w:rPr>
            </w:pPr>
          </w:p>
        </w:tc>
        <w:tc>
          <w:tcPr>
            <w:tcW w:w="1540" w:type="dxa"/>
            <w:vAlign w:val="bottom"/>
            <w:tcBorders>
              <w:right w:val="single" w:sz="8" w:color="auto"/>
            </w:tcBorders>
            <w:vMerge w:val="restart"/>
            <w:shd w:val="clear" w:color="auto" w:fill="D9D9D9"/>
          </w:tcPr>
          <w:p>
            <w:pPr>
              <w:jc w:val="center"/>
              <w:ind w:right="7"/>
              <w:spacing w:after="0"/>
              <w:rPr>
                <w:sz w:val="20"/>
                <w:szCs w:val="20"/>
                <w:color w:val="auto"/>
              </w:rPr>
            </w:pPr>
            <w:r>
              <w:rPr>
                <w:rFonts w:ascii="Arial" w:cs="Arial" w:eastAsia="Arial" w:hAnsi="Arial"/>
                <w:sz w:val="15"/>
                <w:szCs w:val="15"/>
                <w:b w:val="1"/>
                <w:bCs w:val="1"/>
                <w:color w:val="auto"/>
                <w:w w:val="92"/>
              </w:rPr>
              <w:t>February 2021</w:t>
            </w:r>
          </w:p>
        </w:tc>
        <w:tc>
          <w:tcPr>
            <w:tcW w:w="1540" w:type="dxa"/>
            <w:vAlign w:val="bottom"/>
            <w:tcBorders>
              <w:right w:val="single" w:sz="8" w:color="auto"/>
            </w:tcBorders>
            <w:vMerge w:val="continue"/>
            <w:shd w:val="clear" w:color="auto" w:fill="D9D9D9"/>
          </w:tcPr>
          <w:p>
            <w:pPr>
              <w:spacing w:after="0"/>
              <w:rPr>
                <w:sz w:val="7"/>
                <w:szCs w:val="7"/>
                <w:color w:val="auto"/>
              </w:rPr>
            </w:pPr>
          </w:p>
        </w:tc>
        <w:tc>
          <w:tcPr>
            <w:tcW w:w="198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5960" w:type="dxa"/>
            <w:vAlign w:val="bottom"/>
            <w:tcBorders>
              <w:right w:val="single" w:sz="8" w:color="auto"/>
            </w:tcBorders>
            <w:shd w:val="clear" w:color="auto" w:fill="D9D9D9"/>
          </w:tcPr>
          <w:p>
            <w:pPr>
              <w:spacing w:after="0"/>
              <w:rPr>
                <w:sz w:val="8"/>
                <w:szCs w:val="8"/>
                <w:color w:val="auto"/>
              </w:rPr>
            </w:pPr>
          </w:p>
        </w:tc>
        <w:tc>
          <w:tcPr>
            <w:tcW w:w="1540" w:type="dxa"/>
            <w:vAlign w:val="bottom"/>
            <w:tcBorders>
              <w:right w:val="single" w:sz="8" w:color="auto"/>
            </w:tcBorders>
            <w:vMerge w:val="continue"/>
            <w:shd w:val="clear" w:color="auto" w:fill="D9D9D9"/>
          </w:tcPr>
          <w:p>
            <w:pPr>
              <w:spacing w:after="0"/>
              <w:rPr>
                <w:sz w:val="8"/>
                <w:szCs w:val="8"/>
                <w:color w:val="auto"/>
              </w:rPr>
            </w:pPr>
          </w:p>
        </w:tc>
        <w:tc>
          <w:tcPr>
            <w:tcW w:w="15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8"/>
              </w:rPr>
              <w:t>December 31, 2021)</w:t>
            </w:r>
          </w:p>
        </w:tc>
        <w:tc>
          <w:tcPr>
            <w:tcW w:w="198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5960" w:type="dxa"/>
            <w:vAlign w:val="bottom"/>
            <w:tcBorders>
              <w:right w:val="single" w:sz="8" w:color="auto"/>
            </w:tcBorders>
            <w:shd w:val="clear" w:color="auto" w:fill="D9D9D9"/>
          </w:tcPr>
          <w:p>
            <w:pPr>
              <w:spacing w:after="0"/>
              <w:rPr>
                <w:sz w:val="8"/>
                <w:szCs w:val="8"/>
                <w:color w:val="auto"/>
              </w:rPr>
            </w:pPr>
          </w:p>
        </w:tc>
        <w:tc>
          <w:tcPr>
            <w:tcW w:w="15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3"/>
              </w:rPr>
              <w:t>Prospectus</w:t>
            </w:r>
          </w:p>
        </w:tc>
        <w:tc>
          <w:tcPr>
            <w:tcW w:w="1540" w:type="dxa"/>
            <w:vAlign w:val="bottom"/>
            <w:tcBorders>
              <w:right w:val="single" w:sz="8" w:color="auto"/>
            </w:tcBorders>
            <w:vMerge w:val="continue"/>
            <w:shd w:val="clear" w:color="auto" w:fill="D9D9D9"/>
          </w:tcPr>
          <w:p>
            <w:pPr>
              <w:spacing w:after="0"/>
              <w:rPr>
                <w:sz w:val="8"/>
                <w:szCs w:val="8"/>
                <w:color w:val="auto"/>
              </w:rPr>
            </w:pPr>
          </w:p>
        </w:tc>
        <w:tc>
          <w:tcPr>
            <w:tcW w:w="198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5960" w:type="dxa"/>
            <w:vAlign w:val="bottom"/>
            <w:tcBorders>
              <w:right w:val="single" w:sz="8" w:color="auto"/>
            </w:tcBorders>
            <w:shd w:val="clear" w:color="auto" w:fill="D9D9D9"/>
          </w:tcPr>
          <w:p>
            <w:pPr>
              <w:spacing w:after="0"/>
              <w:rPr>
                <w:sz w:val="8"/>
                <w:szCs w:val="8"/>
                <w:color w:val="auto"/>
              </w:rPr>
            </w:pPr>
          </w:p>
        </w:tc>
        <w:tc>
          <w:tcPr>
            <w:tcW w:w="1540" w:type="dxa"/>
            <w:vAlign w:val="bottom"/>
            <w:tcBorders>
              <w:right w:val="single" w:sz="8" w:color="auto"/>
            </w:tcBorders>
            <w:vMerge w:val="continue"/>
            <w:shd w:val="clear" w:color="auto" w:fill="D9D9D9"/>
          </w:tcPr>
          <w:p>
            <w:pPr>
              <w:spacing w:after="0"/>
              <w:rPr>
                <w:sz w:val="8"/>
                <w:szCs w:val="8"/>
                <w:color w:val="auto"/>
              </w:rPr>
            </w:pPr>
          </w:p>
        </w:tc>
        <w:tc>
          <w:tcPr>
            <w:tcW w:w="1540" w:type="dxa"/>
            <w:vAlign w:val="bottom"/>
            <w:tcBorders>
              <w:right w:val="single" w:sz="8" w:color="auto"/>
            </w:tcBorders>
            <w:shd w:val="clear" w:color="auto" w:fill="D9D9D9"/>
          </w:tcPr>
          <w:p>
            <w:pPr>
              <w:spacing w:after="0"/>
              <w:rPr>
                <w:sz w:val="8"/>
                <w:szCs w:val="8"/>
                <w:color w:val="auto"/>
              </w:rPr>
            </w:pPr>
          </w:p>
        </w:tc>
        <w:tc>
          <w:tcPr>
            <w:tcW w:w="198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 w:type="dxa"/>
            <w:vAlign w:val="bottom"/>
            <w:tcBorders>
              <w:left w:val="single" w:sz="8" w:color="auto"/>
              <w:bottom w:val="single" w:sz="8" w:color="auto"/>
              <w:right w:val="single" w:sz="8" w:color="D9D9D9"/>
            </w:tcBorders>
            <w:shd w:val="clear" w:color="auto" w:fill="D9D9D9"/>
          </w:tcPr>
          <w:p>
            <w:pPr>
              <w:spacing w:after="0"/>
              <w:rPr>
                <w:sz w:val="15"/>
                <w:szCs w:val="15"/>
                <w:color w:val="auto"/>
              </w:rPr>
            </w:pPr>
          </w:p>
        </w:tc>
        <w:tc>
          <w:tcPr>
            <w:tcW w:w="5960" w:type="dxa"/>
            <w:vAlign w:val="bottom"/>
            <w:tcBorders>
              <w:bottom w:val="single" w:sz="8" w:color="auto"/>
              <w:right w:val="single" w:sz="8" w:color="auto"/>
            </w:tcBorders>
            <w:shd w:val="clear" w:color="auto" w:fill="D9D9D9"/>
          </w:tcPr>
          <w:p>
            <w:pPr>
              <w:spacing w:after="0"/>
              <w:rPr>
                <w:sz w:val="15"/>
                <w:szCs w:val="15"/>
                <w:color w:val="auto"/>
              </w:rPr>
            </w:pPr>
          </w:p>
        </w:tc>
        <w:tc>
          <w:tcPr>
            <w:tcW w:w="1540" w:type="dxa"/>
            <w:vAlign w:val="bottom"/>
            <w:tcBorders>
              <w:bottom w:val="single" w:sz="8" w:color="auto"/>
              <w:right w:val="single" w:sz="8" w:color="auto"/>
            </w:tcBorders>
            <w:shd w:val="clear" w:color="auto" w:fill="D9D9D9"/>
          </w:tcPr>
          <w:p>
            <w:pPr>
              <w:spacing w:after="0"/>
              <w:rPr>
                <w:sz w:val="15"/>
                <w:szCs w:val="15"/>
                <w:color w:val="auto"/>
              </w:rPr>
            </w:pPr>
          </w:p>
        </w:tc>
        <w:tc>
          <w:tcPr>
            <w:tcW w:w="1540" w:type="dxa"/>
            <w:vAlign w:val="bottom"/>
            <w:tcBorders>
              <w:bottom w:val="single" w:sz="8" w:color="auto"/>
              <w:right w:val="single" w:sz="8" w:color="auto"/>
            </w:tcBorders>
            <w:shd w:val="clear" w:color="auto" w:fill="D9D9D9"/>
          </w:tcPr>
          <w:p>
            <w:pPr>
              <w:spacing w:after="0"/>
              <w:rPr>
                <w:sz w:val="15"/>
                <w:szCs w:val="15"/>
                <w:color w:val="auto"/>
              </w:rPr>
            </w:pPr>
          </w:p>
        </w:tc>
        <w:tc>
          <w:tcPr>
            <w:tcW w:w="198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5960" w:type="dxa"/>
            <w:vAlign w:val="bottom"/>
            <w:tcBorders>
              <w:bottom w:val="single" w:sz="8" w:color="auto"/>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Deuterated Psilocybin Analog Program (formerly the Psilocybin Program)</w:t>
            </w:r>
            <w:r>
              <w:rPr>
                <w:rFonts w:ascii="Arial" w:cs="Arial" w:eastAsia="Arial" w:hAnsi="Arial"/>
                <w:sz w:val="19"/>
                <w:szCs w:val="19"/>
                <w:b w:val="1"/>
                <w:bCs w:val="1"/>
                <w:color w:val="auto"/>
                <w:vertAlign w:val="superscript"/>
              </w:rPr>
              <w:t>(2)</w:t>
            </w:r>
          </w:p>
        </w:tc>
        <w:tc>
          <w:tcPr>
            <w:tcW w:w="1540" w:type="dxa"/>
            <w:vAlign w:val="bottom"/>
            <w:tcBorders>
              <w:bottom w:val="single" w:sz="8" w:color="auto"/>
              <w:right w:val="single" w:sz="8" w:color="D9D9D9"/>
            </w:tcBorders>
            <w:shd w:val="clear" w:color="auto" w:fill="D9D9D9"/>
          </w:tcPr>
          <w:p>
            <w:pPr>
              <w:spacing w:after="0"/>
              <w:rPr>
                <w:sz w:val="19"/>
                <w:szCs w:val="19"/>
                <w:color w:val="auto"/>
              </w:rPr>
            </w:pPr>
          </w:p>
        </w:tc>
        <w:tc>
          <w:tcPr>
            <w:tcW w:w="1540" w:type="dxa"/>
            <w:vAlign w:val="bottom"/>
            <w:tcBorders>
              <w:bottom w:val="single" w:sz="8" w:color="auto"/>
              <w:right w:val="single" w:sz="8" w:color="D9D9D9"/>
            </w:tcBorders>
            <w:shd w:val="clear" w:color="auto" w:fill="D9D9D9"/>
          </w:tcPr>
          <w:p>
            <w:pPr>
              <w:spacing w:after="0"/>
              <w:rPr>
                <w:sz w:val="19"/>
                <w:szCs w:val="19"/>
                <w:color w:val="auto"/>
              </w:rPr>
            </w:pPr>
          </w:p>
        </w:tc>
        <w:tc>
          <w:tcPr>
            <w:tcW w:w="198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Chemically develop and synthesize psychedelic API</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7"/>
              </w:rPr>
              <w:t>$21</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$(21)</w:t>
            </w:r>
          </w:p>
        </w:tc>
        <w:tc>
          <w:tcPr>
            <w:tcW w:w="0" w:type="dxa"/>
            <w:vAlign w:val="bottom"/>
          </w:tcPr>
          <w:p>
            <w:pPr>
              <w:spacing w:after="0"/>
              <w:rPr>
                <w:sz w:val="1"/>
                <w:szCs w:val="1"/>
                <w:color w:val="auto"/>
              </w:rPr>
            </w:pPr>
          </w:p>
        </w:tc>
      </w:tr>
      <w:tr>
        <w:trPr>
          <w:trHeight w:val="29"/>
        </w:trPr>
        <w:tc>
          <w:tcPr>
            <w:tcW w:w="6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Development of psilocybin Sublingual Film</w:t>
            </w:r>
            <w:r>
              <w:rPr>
                <w:rFonts w:ascii="Arial" w:cs="Arial" w:eastAsia="Arial" w:hAnsi="Arial"/>
                <w:sz w:val="19"/>
                <w:szCs w:val="19"/>
                <w:color w:val="auto"/>
                <w:vertAlign w:val="superscript"/>
              </w:rPr>
              <w:t>(8)</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$238</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$145</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$93</w:t>
            </w:r>
          </w:p>
        </w:tc>
        <w:tc>
          <w:tcPr>
            <w:tcW w:w="0" w:type="dxa"/>
            <w:vAlign w:val="bottom"/>
          </w:tcPr>
          <w:p>
            <w:pPr>
              <w:spacing w:after="0"/>
              <w:rPr>
                <w:sz w:val="1"/>
                <w:szCs w:val="1"/>
                <w:color w:val="auto"/>
              </w:rPr>
            </w:pPr>
          </w:p>
        </w:tc>
      </w:tr>
      <w:tr>
        <w:trPr>
          <w:trHeight w:val="217"/>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Phase IIa MDD study completed with data</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$600</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$595</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$5</w:t>
            </w:r>
          </w:p>
        </w:tc>
        <w:tc>
          <w:tcPr>
            <w:tcW w:w="0" w:type="dxa"/>
            <w:vAlign w:val="bottom"/>
          </w:tcPr>
          <w:p>
            <w:pPr>
              <w:spacing w:after="0"/>
              <w:rPr>
                <w:sz w:val="1"/>
                <w:szCs w:val="1"/>
                <w:color w:val="auto"/>
              </w:rPr>
            </w:pPr>
          </w:p>
        </w:tc>
      </w:tr>
      <w:tr>
        <w:trPr>
          <w:trHeight w:val="225"/>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Phase IIb MDD study completed with data</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$1,000</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$1,000</w:t>
            </w:r>
          </w:p>
        </w:tc>
        <w:tc>
          <w:tcPr>
            <w:tcW w:w="0" w:type="dxa"/>
            <w:vAlign w:val="bottom"/>
          </w:tcPr>
          <w:p>
            <w:pPr>
              <w:spacing w:after="0"/>
              <w:rPr>
                <w:sz w:val="1"/>
                <w:szCs w:val="1"/>
                <w:color w:val="auto"/>
              </w:rPr>
            </w:pPr>
          </w:p>
        </w:tc>
      </w:tr>
      <w:tr>
        <w:trPr>
          <w:trHeight w:val="203"/>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Support of additional phase IIb study sites in Canada and the United States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$1,950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$512</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$1,438</w:t>
            </w:r>
          </w:p>
        </w:tc>
        <w:tc>
          <w:tcPr>
            <w:tcW w:w="0" w:type="dxa"/>
            <w:vAlign w:val="bottom"/>
          </w:tcPr>
          <w:p>
            <w:pPr>
              <w:spacing w:after="0"/>
              <w:rPr>
                <w:sz w:val="1"/>
                <w:szCs w:val="1"/>
                <w:color w:val="auto"/>
              </w:rPr>
            </w:pPr>
          </w:p>
        </w:tc>
      </w:tr>
      <w:tr>
        <w:trPr>
          <w:trHeight w:val="29"/>
        </w:trPr>
        <w:tc>
          <w:tcPr>
            <w:tcW w:w="6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Commence microdose study with the Canadian Centre for Psychedelic Science</w:t>
            </w:r>
            <w:r>
              <w:rPr>
                <w:rFonts w:ascii="Arial" w:cs="Arial" w:eastAsia="Arial" w:hAnsi="Arial"/>
                <w:sz w:val="19"/>
                <w:szCs w:val="19"/>
                <w:color w:val="auto"/>
                <w:vertAlign w:val="superscript"/>
              </w:rPr>
              <w:t>(3)</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7"/>
              </w:rPr>
              <w:t>$50</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$50</w:t>
            </w:r>
          </w:p>
        </w:tc>
        <w:tc>
          <w:tcPr>
            <w:tcW w:w="0" w:type="dxa"/>
            <w:vAlign w:val="bottom"/>
          </w:tcPr>
          <w:p>
            <w:pPr>
              <w:spacing w:after="0"/>
              <w:rPr>
                <w:sz w:val="1"/>
                <w:szCs w:val="1"/>
                <w:color w:val="auto"/>
              </w:rPr>
            </w:pPr>
          </w:p>
        </w:tc>
      </w:tr>
      <w:tr>
        <w:trPr>
          <w:trHeight w:val="225"/>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Commence safety and efficacy clinical study with the University of the West Indies</w:t>
            </w:r>
            <w:r>
              <w:rPr>
                <w:rFonts w:ascii="Arial" w:cs="Arial" w:eastAsia="Arial" w:hAnsi="Arial"/>
                <w:sz w:val="19"/>
                <w:szCs w:val="19"/>
                <w:color w:val="auto"/>
                <w:vertAlign w:val="superscript"/>
              </w:rPr>
              <w:t>(4)</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N/A</w:t>
            </w:r>
          </w:p>
        </w:tc>
        <w:tc>
          <w:tcPr>
            <w:tcW w:w="1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Completion of IND enabling pre-clinical studies</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$1,273</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$(1,273)</w:t>
            </w:r>
          </w:p>
        </w:tc>
        <w:tc>
          <w:tcPr>
            <w:tcW w:w="0" w:type="dxa"/>
            <w:vAlign w:val="bottom"/>
          </w:tcPr>
          <w:p>
            <w:pPr>
              <w:spacing w:after="0"/>
              <w:rPr>
                <w:sz w:val="1"/>
                <w:szCs w:val="1"/>
                <w:color w:val="auto"/>
              </w:rPr>
            </w:pPr>
          </w:p>
        </w:tc>
      </w:tr>
      <w:tr>
        <w:trPr>
          <w:trHeight w:val="29"/>
        </w:trPr>
        <w:tc>
          <w:tcPr>
            <w:tcW w:w="6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w w:val="90"/>
              </w:rPr>
              <w:t>Completion of chemistry, manufacturing and control development for pre-clinical and clinical studies</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$610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$(610)</w:t>
            </w:r>
          </w:p>
        </w:tc>
        <w:tc>
          <w:tcPr>
            <w:tcW w:w="0" w:type="dxa"/>
            <w:vAlign w:val="bottom"/>
          </w:tcPr>
          <w:p>
            <w:pPr>
              <w:spacing w:after="0"/>
              <w:rPr>
                <w:sz w:val="1"/>
                <w:szCs w:val="1"/>
                <w:color w:val="auto"/>
              </w:rPr>
            </w:pPr>
          </w:p>
        </w:tc>
      </w:tr>
      <w:tr>
        <w:trPr>
          <w:trHeight w:val="29"/>
        </w:trPr>
        <w:tc>
          <w:tcPr>
            <w:tcW w:w="6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Clinical trial filings and conduct for first in human trial</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7"/>
              </w:rPr>
              <w:t>$76</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$(76)</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Deuterated Tryptamines Preclinical Programs</w:t>
            </w: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60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w w:val="96"/>
              </w:rPr>
              <w:t>Progression of CYB003 for phase I studies readiness and utilization of the associated delivery</w:t>
            </w:r>
          </w:p>
        </w:tc>
        <w:tc>
          <w:tcPr>
            <w:tcW w:w="1540" w:type="dxa"/>
            <w:vAlign w:val="bottom"/>
            <w:tcBorders>
              <w:top w:val="single" w:sz="8" w:color="auto"/>
              <w:right w:val="single" w:sz="8" w:color="auto"/>
            </w:tcBorders>
          </w:tcPr>
          <w:p>
            <w:pPr>
              <w:spacing w:after="0"/>
              <w:rPr>
                <w:sz w:val="15"/>
                <w:szCs w:val="15"/>
                <w:color w:val="auto"/>
              </w:rPr>
            </w:pPr>
          </w:p>
        </w:tc>
        <w:tc>
          <w:tcPr>
            <w:tcW w:w="1540" w:type="dxa"/>
            <w:vAlign w:val="bottom"/>
            <w:tcBorders>
              <w:top w:val="single" w:sz="8" w:color="auto"/>
              <w:right w:val="single" w:sz="8" w:color="auto"/>
            </w:tcBorders>
          </w:tcPr>
          <w:p>
            <w:pPr>
              <w:spacing w:after="0"/>
              <w:rPr>
                <w:sz w:val="15"/>
                <w:szCs w:val="15"/>
                <w:color w:val="auto"/>
              </w:rPr>
            </w:pPr>
          </w:p>
        </w:tc>
        <w:tc>
          <w:tcPr>
            <w:tcW w:w="19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platform</w:t>
            </w:r>
            <w:r>
              <w:rPr>
                <w:rFonts w:ascii="Arial" w:cs="Arial" w:eastAsia="Arial" w:hAnsi="Arial"/>
                <w:sz w:val="19"/>
                <w:szCs w:val="19"/>
                <w:color w:val="auto"/>
                <w:vertAlign w:val="superscript"/>
              </w:rPr>
              <w:t>(9)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$5,720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$1,748</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$3,972</w:t>
            </w:r>
          </w:p>
        </w:tc>
        <w:tc>
          <w:tcPr>
            <w:tcW w:w="0" w:type="dxa"/>
            <w:vAlign w:val="bottom"/>
          </w:tcPr>
          <w:p>
            <w:pPr>
              <w:spacing w:after="0"/>
              <w:rPr>
                <w:sz w:val="1"/>
                <w:szCs w:val="1"/>
                <w:color w:val="auto"/>
              </w:rPr>
            </w:pPr>
          </w:p>
        </w:tc>
      </w:tr>
      <w:tr>
        <w:trPr>
          <w:trHeight w:val="225"/>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Progression of CYB004 for phase I studies readiness</w:t>
            </w:r>
            <w:r>
              <w:rPr>
                <w:rFonts w:ascii="Arial" w:cs="Arial" w:eastAsia="Arial" w:hAnsi="Arial"/>
                <w:sz w:val="19"/>
                <w:szCs w:val="19"/>
                <w:color w:val="auto"/>
                <w:vertAlign w:val="superscript"/>
              </w:rPr>
              <w:t>(10)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$6,200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$1,422</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$4,778</w:t>
            </w: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Phenethylamine Preclinical Development Program</w:t>
            </w: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Phenethylamine preclinical development program</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$2,600</w:t>
            </w:r>
          </w:p>
        </w:tc>
        <w:tc>
          <w:tcPr>
            <w:tcW w:w="1540" w:type="dxa"/>
            <w:vAlign w:val="bottom"/>
            <w:tcBorders>
              <w:top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$760</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$1,840</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9"/>
        </w:trPr>
        <w:tc>
          <w:tcPr>
            <w:tcW w:w="10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59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Nutraceutical Products</w:t>
            </w:r>
            <w:r>
              <w:rPr>
                <w:rFonts w:ascii="Arial" w:cs="Arial" w:eastAsia="Arial" w:hAnsi="Arial"/>
                <w:sz w:val="19"/>
                <w:szCs w:val="19"/>
                <w:b w:val="1"/>
                <w:bCs w:val="1"/>
                <w:color w:val="auto"/>
                <w:vertAlign w:val="superscript"/>
              </w:rPr>
              <w:t>(5)</w:t>
            </w:r>
          </w:p>
        </w:tc>
        <w:tc>
          <w:tcPr>
            <w:tcW w:w="1540" w:type="dxa"/>
            <w:vAlign w:val="bottom"/>
            <w:tcBorders>
              <w:bottom w:val="single" w:sz="8" w:color="D9D9D9"/>
              <w:right w:val="single" w:sz="8" w:color="D9D9D9"/>
            </w:tcBorders>
            <w:shd w:val="clear" w:color="auto" w:fill="D9D9D9"/>
          </w:tcPr>
          <w:p>
            <w:pPr>
              <w:spacing w:after="0"/>
              <w:rPr>
                <w:sz w:val="24"/>
                <w:szCs w:val="24"/>
                <w:color w:val="auto"/>
              </w:rPr>
            </w:pPr>
          </w:p>
        </w:tc>
        <w:tc>
          <w:tcPr>
            <w:tcW w:w="1540" w:type="dxa"/>
            <w:vAlign w:val="bottom"/>
            <w:tcBorders>
              <w:bottom w:val="single" w:sz="8" w:color="D9D9D9"/>
              <w:right w:val="single" w:sz="8" w:color="D9D9D9"/>
            </w:tcBorders>
            <w:shd w:val="clear" w:color="auto" w:fill="D9D9D9"/>
          </w:tcPr>
          <w:p>
            <w:pPr>
              <w:spacing w:after="0"/>
              <w:rPr>
                <w:sz w:val="24"/>
                <w:szCs w:val="24"/>
                <w:color w:val="auto"/>
              </w:rPr>
            </w:pPr>
          </w:p>
        </w:tc>
        <w:tc>
          <w:tcPr>
            <w:tcW w:w="1980" w:type="dxa"/>
            <w:vAlign w:val="bottom"/>
            <w:tcBorders>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Inventory fulfilment</w:t>
            </w:r>
          </w:p>
        </w:tc>
        <w:tc>
          <w:tcPr>
            <w:tcW w:w="1540" w:type="dxa"/>
            <w:vAlign w:val="bottom"/>
            <w:tcBorders>
              <w:top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$200</w:t>
            </w:r>
          </w:p>
        </w:tc>
        <w:tc>
          <w:tcPr>
            <w:tcW w:w="1540" w:type="dxa"/>
            <w:vAlign w:val="bottom"/>
            <w:tcBorders>
              <w:top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3"/>
              </w:rPr>
              <w:t>$200</w:t>
            </w:r>
          </w:p>
        </w:tc>
        <w:tc>
          <w:tcPr>
            <w:tcW w:w="0" w:type="dxa"/>
            <w:vAlign w:val="bottom"/>
          </w:tcPr>
          <w:p>
            <w:pPr>
              <w:spacing w:after="0"/>
              <w:rPr>
                <w:sz w:val="1"/>
                <w:szCs w:val="1"/>
                <w:color w:val="auto"/>
              </w:rPr>
            </w:pPr>
          </w:p>
        </w:tc>
      </w:tr>
      <w:tr>
        <w:trPr>
          <w:trHeight w:val="29"/>
        </w:trPr>
        <w:tc>
          <w:tcPr>
            <w:tcW w:w="6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Product deployment</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$200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$200</w:t>
            </w:r>
          </w:p>
        </w:tc>
        <w:tc>
          <w:tcPr>
            <w:tcW w:w="0" w:type="dxa"/>
            <w:vAlign w:val="bottom"/>
          </w:tcPr>
          <w:p>
            <w:pPr>
              <w:spacing w:after="0"/>
              <w:rPr>
                <w:sz w:val="1"/>
                <w:szCs w:val="1"/>
                <w:color w:val="auto"/>
              </w:rPr>
            </w:pPr>
          </w:p>
        </w:tc>
      </w:tr>
      <w:tr>
        <w:trPr>
          <w:trHeight w:val="29"/>
        </w:trPr>
        <w:tc>
          <w:tcPr>
            <w:tcW w:w="6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Nutraceutical marketing</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$100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$100</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Technology</w:t>
            </w: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Marketing</w:t>
            </w:r>
            <w:r>
              <w:rPr>
                <w:rFonts w:ascii="Arial" w:cs="Arial" w:eastAsia="Arial" w:hAnsi="Arial"/>
                <w:sz w:val="19"/>
                <w:szCs w:val="19"/>
                <w:color w:val="auto"/>
                <w:vertAlign w:val="superscript"/>
              </w:rPr>
              <w:t>(5)</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$2,000</w:t>
            </w:r>
          </w:p>
        </w:tc>
        <w:tc>
          <w:tcPr>
            <w:tcW w:w="1540" w:type="dxa"/>
            <w:vAlign w:val="bottom"/>
            <w:tcBorders>
              <w:top w:val="single" w:sz="8" w:color="auto"/>
              <w:bottom w:val="single" w:sz="8" w:color="auto"/>
              <w:right w:val="single" w:sz="8" w:color="auto"/>
            </w:tcBorders>
          </w:tcPr>
          <w:p>
            <w:pPr>
              <w:jc w:val="center"/>
              <w:ind w:right="7"/>
              <w:spacing w:after="0"/>
              <w:rPr>
                <w:sz w:val="20"/>
                <w:szCs w:val="20"/>
                <w:color w:val="auto"/>
              </w:rPr>
            </w:pPr>
            <w:r>
              <w:rPr>
                <w:rFonts w:ascii="Arial" w:cs="Arial" w:eastAsia="Arial" w:hAnsi="Arial"/>
                <w:sz w:val="15"/>
                <w:szCs w:val="15"/>
                <w:color w:val="auto"/>
              </w:rPr>
              <w:t>Nil</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$2,000</w:t>
            </w: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Development of patient digital therapy platform</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$2,600</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$691</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$1,909</w:t>
            </w:r>
          </w:p>
        </w:tc>
        <w:tc>
          <w:tcPr>
            <w:tcW w:w="0" w:type="dxa"/>
            <w:vAlign w:val="bottom"/>
          </w:tcPr>
          <w:p>
            <w:pPr>
              <w:spacing w:after="0"/>
              <w:rPr>
                <w:sz w:val="1"/>
                <w:szCs w:val="1"/>
                <w:color w:val="auto"/>
              </w:rPr>
            </w:pPr>
          </w:p>
        </w:tc>
      </w:tr>
      <w:tr>
        <w:trPr>
          <w:trHeight w:val="29"/>
        </w:trPr>
        <w:tc>
          <w:tcPr>
            <w:tcW w:w="6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Commence study utilizing Kernel Flow technology</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$1,825</w:t>
            </w:r>
          </w:p>
        </w:tc>
        <w:tc>
          <w:tcPr>
            <w:tcW w:w="154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$251</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$1,574</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5960" w:type="dxa"/>
            <w:vAlign w:val="bottom"/>
            <w:tcBorders>
              <w:bottom w:val="single" w:sz="8" w:color="D9D9D9"/>
              <w:right w:val="single" w:sz="8" w:color="D9D9D9"/>
            </w:tcBorders>
            <w:shd w:val="clear" w:color="auto" w:fill="D9D9D9"/>
          </w:tcPr>
          <w:p>
            <w:pPr>
              <w:ind w:left="80"/>
              <w:spacing w:after="0"/>
              <w:rPr>
                <w:sz w:val="20"/>
                <w:szCs w:val="20"/>
                <w:color w:val="auto"/>
              </w:rPr>
            </w:pPr>
            <w:r>
              <w:rPr>
                <w:rFonts w:ascii="Arial" w:cs="Arial" w:eastAsia="Arial" w:hAnsi="Arial"/>
                <w:sz w:val="15"/>
                <w:szCs w:val="15"/>
                <w:b w:val="1"/>
                <w:bCs w:val="1"/>
                <w:color w:val="auto"/>
              </w:rPr>
              <w:t>Other</w:t>
            </w: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540" w:type="dxa"/>
            <w:vAlign w:val="bottom"/>
            <w:tcBorders>
              <w:bottom w:val="single" w:sz="8" w:color="D9D9D9"/>
              <w:right w:val="single" w:sz="8" w:color="D9D9D9"/>
            </w:tcBorders>
            <w:shd w:val="clear" w:color="auto" w:fill="D9D9D9"/>
          </w:tcPr>
          <w:p>
            <w:pPr>
              <w:spacing w:after="0"/>
              <w:rPr>
                <w:sz w:val="19"/>
                <w:szCs w:val="19"/>
                <w:color w:val="auto"/>
              </w:rPr>
            </w:pPr>
          </w:p>
        </w:tc>
        <w:tc>
          <w:tcPr>
            <w:tcW w:w="198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Transaction costs (legal fees, audit fees, transfer agent fees and other expenses)</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$1,678</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$3,995</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$(2,317)</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General and administrative</w:t>
            </w:r>
            <w:r>
              <w:rPr>
                <w:rFonts w:ascii="Arial" w:cs="Arial" w:eastAsia="Arial" w:hAnsi="Arial"/>
                <w:sz w:val="19"/>
                <w:szCs w:val="19"/>
                <w:color w:val="auto"/>
                <w:vertAlign w:val="superscript"/>
              </w:rPr>
              <w:t>(6)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$9,100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$28,861</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$(19,761)</w:t>
            </w: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Total use of funds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$36,061</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$40,960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$(4,899)</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6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Unallocated working capital</w:t>
            </w:r>
            <w:r>
              <w:rPr>
                <w:rFonts w:ascii="Arial" w:cs="Arial" w:eastAsia="Arial" w:hAnsi="Arial"/>
                <w:sz w:val="19"/>
                <w:szCs w:val="19"/>
                <w:b w:val="1"/>
                <w:bCs w:val="1"/>
                <w:color w:val="auto"/>
                <w:vertAlign w:val="superscript"/>
              </w:rPr>
              <w:t>(7)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$13,606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$8,707</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$4,899</w:t>
            </w:r>
          </w:p>
        </w:tc>
        <w:tc>
          <w:tcPr>
            <w:tcW w:w="0" w:type="dxa"/>
            <w:vAlign w:val="bottom"/>
          </w:tcPr>
          <w:p>
            <w:pPr>
              <w:spacing w:after="0"/>
              <w:rPr>
                <w:sz w:val="1"/>
                <w:szCs w:val="1"/>
                <w:color w:val="auto"/>
              </w:rPr>
            </w:pPr>
          </w:p>
        </w:tc>
      </w:tr>
      <w:tr>
        <w:trPr>
          <w:trHeight w:val="195"/>
        </w:trPr>
        <w:tc>
          <w:tcPr>
            <w:tcW w:w="60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$49,667</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$49,667</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
        <w:spacing w:after="0"/>
        <w:rPr>
          <w:sz w:val="20"/>
          <w:szCs w:val="20"/>
          <w:color w:val="auto"/>
        </w:rPr>
      </w:pPr>
      <w:r>
        <w:rPr>
          <w:rFonts w:ascii="Arial" w:cs="Arial" w:eastAsia="Arial" w:hAnsi="Arial"/>
          <w:sz w:val="15"/>
          <w:szCs w:val="15"/>
          <w:b w:val="1"/>
          <w:bCs w:val="1"/>
          <w:u w:val="single" w:color="auto"/>
          <w:color w:val="auto"/>
        </w:rPr>
        <w:t>Notes:</w:t>
      </w:r>
    </w:p>
    <w:p>
      <w:pPr>
        <w:ind w:left="402" w:hanging="402"/>
        <w:spacing w:after="0" w:line="221" w:lineRule="auto"/>
        <w:tabs>
          <w:tab w:leader="none" w:pos="4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Certain amounts have been converted from USD to CAD at an exchange rate of 1.26:1.</w:t>
      </w:r>
    </w:p>
    <w:p>
      <w:pPr>
        <w:ind w:left="402" w:hanging="402"/>
        <w:spacing w:after="0" w:line="241" w:lineRule="auto"/>
        <w:tabs>
          <w:tab w:leader="none" w:pos="395"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light of compelling data related to CYB003, the Company has merged its Psilocybin Program with its deuterated tryptamine CYB003 preclinical program. The Company was previously running the programs in parallel in order to determine the molecules and methods of</w:t>
      </w: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2"/>
          </w:cols>
          <w:pgMar w:left="318" w:top="694" w:right="339" w:bottom="1440" w:gutter="0" w:footer="0" w:header="0"/>
        </w:sectPr>
      </w:pPr>
    </w:p>
    <w:bookmarkStart w:id="42" w:name="page43"/>
    <w:bookmarkEnd w:id="42"/>
    <w:p>
      <w:pPr>
        <w:ind w:left="402"/>
        <w:spacing w:after="0" w:line="246" w:lineRule="auto"/>
        <w:rPr>
          <w:sz w:val="20"/>
          <w:szCs w:val="20"/>
          <w:color w:val="auto"/>
        </w:rPr>
      </w:pPr>
      <w:r>
        <w:rPr>
          <w:rFonts w:ascii="Arial" w:cs="Arial" w:eastAsia="Arial" w:hAnsi="Arial"/>
          <w:sz w:val="15"/>
          <w:szCs w:val="15"/>
          <w:color w:val="auto"/>
        </w:rPr>
        <w:t>actions with the most benefits and least amount of drawbacks. This has now evolved into a single program, including both the MDD and AUD indication in the U.S. and UK, to prioritize the advancement of the potentially superior molecule in the most cost effective manner.</w:t>
      </w:r>
    </w:p>
    <w:p>
      <w:pPr>
        <w:ind w:left="402" w:hanging="402"/>
        <w:spacing w:after="0"/>
        <w:tabs>
          <w:tab w:leader="none" w:pos="402" w:val="left"/>
        </w:tabs>
        <w:numPr>
          <w:ilvl w:val="0"/>
          <w:numId w:val="40"/>
        </w:numPr>
        <w:rPr>
          <w:rFonts w:ascii="Arial" w:cs="Arial" w:eastAsia="Arial" w:hAnsi="Arial"/>
          <w:sz w:val="15"/>
          <w:szCs w:val="15"/>
          <w:color w:val="auto"/>
        </w:rPr>
      </w:pPr>
      <w:r>
        <w:rPr>
          <w:rFonts w:ascii="Arial" w:cs="Arial" w:eastAsia="Arial" w:hAnsi="Arial"/>
          <w:sz w:val="15"/>
          <w:szCs w:val="15"/>
          <w:color w:val="auto"/>
        </w:rPr>
        <w:t>On April 6 2021, the Company provided notice to the CCPS of its decision to terminate this arrangement.</w:t>
      </w:r>
    </w:p>
    <w:p>
      <w:pPr>
        <w:ind w:left="402" w:hanging="402"/>
        <w:spacing w:after="0"/>
        <w:tabs>
          <w:tab w:leader="none" w:pos="402"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Company no longer anticipates to conduct any business activities in Jamaica. The Company intends to complete future clinical trials in the U.S. and the UK.</w:t>
      </w:r>
    </w:p>
    <w:p>
      <w:pPr>
        <w:spacing w:after="0" w:line="2" w:lineRule="exact"/>
        <w:rPr>
          <w:rFonts w:ascii="Arial" w:cs="Arial" w:eastAsia="Arial" w:hAnsi="Arial"/>
          <w:sz w:val="15"/>
          <w:szCs w:val="15"/>
          <w:color w:val="auto"/>
        </w:rPr>
      </w:pPr>
    </w:p>
    <w:p>
      <w:pPr>
        <w:ind w:left="402" w:hanging="402"/>
        <w:spacing w:after="0" w:line="244" w:lineRule="auto"/>
        <w:tabs>
          <w:tab w:leader="none" w:pos="395"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Company concluded its evaluation of the Product Line and its marketing platform and concluded that it would not proceed with this program in order to prioritize the research and development progression of psychedelic molecules.</w:t>
      </w:r>
    </w:p>
    <w:p>
      <w:pPr>
        <w:ind w:left="402" w:hanging="402"/>
        <w:spacing w:after="0" w:line="221" w:lineRule="auto"/>
        <w:tabs>
          <w:tab w:leader="none" w:pos="395" w:val="left"/>
        </w:tabs>
        <w:numPr>
          <w:ilvl w:val="0"/>
          <w:numId w:val="40"/>
        </w:numPr>
        <w:rPr>
          <w:rFonts w:ascii="Arial" w:cs="Arial" w:eastAsia="Arial" w:hAnsi="Arial"/>
          <w:sz w:val="15"/>
          <w:szCs w:val="15"/>
          <w:color w:val="auto"/>
        </w:rPr>
      </w:pPr>
      <w:r>
        <w:rPr>
          <w:rFonts w:ascii="Arial" w:cs="Arial" w:eastAsia="Arial" w:hAnsi="Arial"/>
          <w:sz w:val="15"/>
          <w:szCs w:val="15"/>
          <w:color w:val="auto"/>
        </w:rPr>
        <w:t>General and administrative expenses are comprised of payroll consulting and benefits $6,855, office and administrative $8,636, capital market $7,047, business development $2,948, investor relations $2,097 and marketing media $1,278.</w:t>
      </w:r>
    </w:p>
    <w:p>
      <w:pPr>
        <w:ind w:left="402" w:hanging="402"/>
        <w:spacing w:after="0" w:line="215" w:lineRule="auto"/>
        <w:tabs>
          <w:tab w:leader="none" w:pos="402"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unallocated working balance will be held in short-term, investment grade, interest-bearing securities, in government securities or in bank accounts at the discretion of management.</w:t>
      </w:r>
    </w:p>
    <w:p>
      <w:pPr>
        <w:ind w:left="402" w:hanging="402"/>
        <w:spacing w:after="0" w:line="215" w:lineRule="auto"/>
        <w:tabs>
          <w:tab w:leader="none" w:pos="395"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actual cost is lower than previously anticipated, and as previously disclosed in the February 2021 Prospectus, as a result of the prioritization of the new Deuterated Psilocybin Analog Program over the sublingual film technology as a result of the Company’s positive view of the research data on the Company’s novel oral psilocybin analog molecule.</w:t>
      </w:r>
    </w:p>
    <w:p>
      <w:pPr>
        <w:spacing w:after="0" w:line="1" w:lineRule="exact"/>
        <w:rPr>
          <w:rFonts w:ascii="Arial" w:cs="Arial" w:eastAsia="Arial" w:hAnsi="Arial"/>
          <w:sz w:val="13"/>
          <w:szCs w:val="13"/>
          <w:color w:val="auto"/>
        </w:rPr>
      </w:pPr>
    </w:p>
    <w:p>
      <w:pPr>
        <w:jc w:val="both"/>
        <w:ind w:left="402" w:hanging="402"/>
        <w:spacing w:after="0" w:line="200" w:lineRule="auto"/>
        <w:tabs>
          <w:tab w:leader="none" w:pos="395"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 light of compelling data related to CYB003, the Company has merged its Psilocybin Program with its deuterated tryptamine CYB003 preclinical program. The Company was previously running the programs in parallel in order to determine the molecules and the methods of action with the most benefits and least amount of drawbacks. This has now evolved into a single program, focusing on both the MDD and AUD indication in the U.S. and the UK, to prioritize the advancement of the potentially superior molecule in the most cost effective manner. As a result, the actual cost is lower than previously anticipated, and as previously disclosed in the February 2021 Prospectus.</w:t>
      </w:r>
    </w:p>
    <w:p>
      <w:pPr>
        <w:spacing w:after="0" w:line="1" w:lineRule="exact"/>
        <w:rPr>
          <w:rFonts w:ascii="Arial" w:cs="Arial" w:eastAsia="Arial" w:hAnsi="Arial"/>
          <w:sz w:val="14"/>
          <w:szCs w:val="14"/>
          <w:color w:val="auto"/>
        </w:rPr>
      </w:pPr>
    </w:p>
    <w:p>
      <w:pPr>
        <w:ind w:left="402" w:hanging="402"/>
        <w:spacing w:after="0" w:line="230" w:lineRule="auto"/>
        <w:tabs>
          <w:tab w:leader="none" w:pos="395"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actual cost is lower than previously anticipated, and as previously disclosed in the February 2021 Prospectus, as a result of a shift in timing of originally expected work. Drug development involves long lead times, is very expensive and involves many variables of uncertainty and as a result the actual cost is higher than previously anticipated.</w:t>
      </w:r>
    </w:p>
    <w:p>
      <w:pPr>
        <w:spacing w:after="0" w:line="185" w:lineRule="exact"/>
        <w:rPr>
          <w:sz w:val="20"/>
          <w:szCs w:val="20"/>
          <w:color w:val="auto"/>
        </w:rPr>
      </w:pPr>
    </w:p>
    <w:p>
      <w:pPr>
        <w:jc w:val="both"/>
        <w:ind w:left="2"/>
        <w:spacing w:after="0" w:line="276" w:lineRule="auto"/>
        <w:rPr>
          <w:sz w:val="20"/>
          <w:szCs w:val="20"/>
          <w:color w:val="auto"/>
        </w:rPr>
      </w:pPr>
      <w:r>
        <w:rPr>
          <w:rFonts w:ascii="Arial" w:cs="Arial" w:eastAsia="Arial" w:hAnsi="Arial"/>
          <w:sz w:val="17"/>
          <w:szCs w:val="17"/>
          <w:color w:val="auto"/>
        </w:rPr>
        <w:t>The below table describes the differences between the Company’s anticipated use of proceeds from the Company’s public offering completed on August 3, 2021 as described in its prospectus supplement dated July 28, 2021 to the Company’s short form base shelf prospectus dated July 5, 2021 (the “</w:t>
      </w:r>
      <w:r>
        <w:rPr>
          <w:rFonts w:ascii="Arial" w:cs="Arial" w:eastAsia="Arial" w:hAnsi="Arial"/>
          <w:sz w:val="17"/>
          <w:szCs w:val="17"/>
          <w:b w:val="1"/>
          <w:bCs w:val="1"/>
          <w:color w:val="auto"/>
        </w:rPr>
        <w:t>July 2021</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and the Company’s actual use of proceeds from the offering as at December 31, 2021.</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2"/>
          </w:cols>
          <w:pgMar w:left="318" w:top="718" w:right="339" w:bottom="1440" w:gutter="0" w:footer="0" w:header="0"/>
        </w:sectPr>
      </w:pPr>
    </w:p>
    <w:bookmarkStart w:id="43" w:name="page44"/>
    <w:bookmarkEnd w:id="43"/>
    <w:tbl>
      <w:tblPr>
        <w:tblLayout w:type="fixed"/>
        <w:tblInd w:w="32" w:type="dxa"/>
        <w:tblCellMar>
          <w:top w:w="0" w:type="dxa"/>
          <w:left w:w="0" w:type="dxa"/>
          <w:bottom w:w="0" w:type="dxa"/>
          <w:right w:w="0" w:type="dxa"/>
        </w:tblCellMar>
      </w:tblPr>
      <w:tr>
        <w:trPr>
          <w:trHeight w:val="318"/>
        </w:trPr>
        <w:tc>
          <w:tcPr>
            <w:tcW w:w="100" w:type="dxa"/>
            <w:vAlign w:val="bottom"/>
            <w:tcBorders>
              <w:top w:val="single" w:sz="8" w:color="auto"/>
              <w:left w:val="single" w:sz="8" w:color="auto"/>
              <w:right w:val="single" w:sz="8" w:color="D9D9D9"/>
            </w:tcBorders>
            <w:shd w:val="clear" w:color="auto" w:fill="D9D9D9"/>
          </w:tcPr>
          <w:p>
            <w:pPr>
              <w:spacing w:after="0"/>
              <w:rPr>
                <w:sz w:val="24"/>
                <w:szCs w:val="24"/>
                <w:color w:val="auto"/>
              </w:rPr>
            </w:pPr>
          </w:p>
        </w:tc>
        <w:tc>
          <w:tcPr>
            <w:tcW w:w="4460" w:type="dxa"/>
            <w:vAlign w:val="bottom"/>
            <w:tcBorders>
              <w:top w:val="single" w:sz="8" w:color="auto"/>
              <w:right w:val="single" w:sz="8" w:color="auto"/>
            </w:tcBorders>
            <w:shd w:val="clear" w:color="auto" w:fill="D9D9D9"/>
          </w:tcPr>
          <w:p>
            <w:pPr>
              <w:ind w:left="1140"/>
              <w:spacing w:after="0"/>
              <w:rPr>
                <w:sz w:val="20"/>
                <w:szCs w:val="20"/>
                <w:color w:val="auto"/>
              </w:rPr>
            </w:pPr>
            <w:r>
              <w:rPr>
                <w:rFonts w:ascii="Arial" w:cs="Arial" w:eastAsia="Arial" w:hAnsi="Arial"/>
                <w:sz w:val="15"/>
                <w:szCs w:val="15"/>
                <w:b w:val="1"/>
                <w:bCs w:val="1"/>
                <w:color w:val="auto"/>
              </w:rPr>
              <w:t>Use of Available Funds ($000’s)</w:t>
            </w:r>
            <w:r>
              <w:rPr>
                <w:rFonts w:ascii="Arial" w:cs="Arial" w:eastAsia="Arial" w:hAnsi="Arial"/>
                <w:sz w:val="19"/>
                <w:szCs w:val="19"/>
                <w:b w:val="1"/>
                <w:bCs w:val="1"/>
                <w:color w:val="auto"/>
                <w:vertAlign w:val="superscript"/>
              </w:rPr>
              <w:t>(1)</w:t>
            </w:r>
          </w:p>
        </w:tc>
        <w:tc>
          <w:tcPr>
            <w:tcW w:w="16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4"/>
              </w:rPr>
              <w:t>Previous Disclosure</w:t>
            </w:r>
          </w:p>
        </w:tc>
        <w:tc>
          <w:tcPr>
            <w:tcW w:w="15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Actual Use of Proceeds</w:t>
            </w:r>
          </w:p>
        </w:tc>
        <w:tc>
          <w:tcPr>
            <w:tcW w:w="1700" w:type="dxa"/>
            <w:vAlign w:val="bottom"/>
            <w:tcBorders>
              <w:top w:val="single" w:sz="8" w:color="auto"/>
              <w:right w:val="single" w:sz="8" w:color="auto"/>
            </w:tcBorders>
            <w:shd w:val="clear" w:color="auto" w:fill="D9D9D9"/>
          </w:tcPr>
          <w:p>
            <w:pPr>
              <w:spacing w:after="0"/>
              <w:rPr>
                <w:sz w:val="24"/>
                <w:szCs w:val="24"/>
                <w:color w:val="auto"/>
              </w:rPr>
            </w:pPr>
          </w:p>
        </w:tc>
        <w:tc>
          <w:tcPr>
            <w:tcW w:w="1800" w:type="dxa"/>
            <w:vAlign w:val="bottom"/>
            <w:tcBorders>
              <w:top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00" w:type="dxa"/>
            <w:vAlign w:val="bottom"/>
            <w:tcBorders>
              <w:left w:val="single" w:sz="8" w:color="auto"/>
              <w:right w:val="single" w:sz="8" w:color="D9D9D9"/>
            </w:tcBorders>
            <w:shd w:val="clear" w:color="auto" w:fill="D9D9D9"/>
          </w:tcPr>
          <w:p>
            <w:pPr>
              <w:spacing w:after="0"/>
              <w:rPr>
                <w:sz w:val="3"/>
                <w:szCs w:val="3"/>
                <w:color w:val="auto"/>
              </w:rPr>
            </w:pPr>
          </w:p>
        </w:tc>
        <w:tc>
          <w:tcPr>
            <w:tcW w:w="4460" w:type="dxa"/>
            <w:vAlign w:val="bottom"/>
            <w:tcBorders>
              <w:right w:val="single" w:sz="8" w:color="auto"/>
            </w:tcBorders>
            <w:shd w:val="clear" w:color="auto" w:fill="D9D9D9"/>
          </w:tcPr>
          <w:p>
            <w:pPr>
              <w:spacing w:after="0"/>
              <w:rPr>
                <w:sz w:val="3"/>
                <w:szCs w:val="3"/>
                <w:color w:val="auto"/>
              </w:rPr>
            </w:pPr>
          </w:p>
        </w:tc>
        <w:tc>
          <w:tcPr>
            <w:tcW w:w="1600" w:type="dxa"/>
            <w:vAlign w:val="bottom"/>
            <w:tcBorders>
              <w:right w:val="single" w:sz="8" w:color="auto"/>
            </w:tcBorders>
            <w:vMerge w:val="continue"/>
            <w:shd w:val="clear" w:color="auto" w:fill="D9D9D9"/>
          </w:tcPr>
          <w:p>
            <w:pPr>
              <w:spacing w:after="0"/>
              <w:rPr>
                <w:sz w:val="3"/>
                <w:szCs w:val="3"/>
                <w:color w:val="auto"/>
              </w:rPr>
            </w:pPr>
          </w:p>
        </w:tc>
        <w:tc>
          <w:tcPr>
            <w:tcW w:w="1560" w:type="dxa"/>
            <w:vAlign w:val="bottom"/>
            <w:tcBorders>
              <w:right w:val="single" w:sz="8" w:color="auto"/>
            </w:tcBorders>
            <w:vMerge w:val="continue"/>
            <w:shd w:val="clear" w:color="auto" w:fill="D9D9D9"/>
          </w:tcPr>
          <w:p>
            <w:pPr>
              <w:spacing w:after="0"/>
              <w:rPr>
                <w:sz w:val="3"/>
                <w:szCs w:val="3"/>
                <w:color w:val="auto"/>
              </w:rPr>
            </w:pPr>
          </w:p>
        </w:tc>
        <w:tc>
          <w:tcPr>
            <w:tcW w:w="1700" w:type="dxa"/>
            <w:vAlign w:val="bottom"/>
            <w:tcBorders>
              <w:right w:val="single" w:sz="8" w:color="auto"/>
            </w:tcBorders>
            <w:shd w:val="clear" w:color="auto" w:fill="D9D9D9"/>
          </w:tcPr>
          <w:p>
            <w:pPr>
              <w:spacing w:after="0"/>
              <w:rPr>
                <w:sz w:val="3"/>
                <w:szCs w:val="3"/>
                <w:color w:val="auto"/>
              </w:rPr>
            </w:pPr>
          </w:p>
        </w:tc>
        <w:tc>
          <w:tcPr>
            <w:tcW w:w="1800" w:type="dxa"/>
            <w:vAlign w:val="bottom"/>
            <w:tcBorders>
              <w:right w:val="single" w:sz="8" w:color="auto"/>
            </w:tcBorders>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4460" w:type="dxa"/>
            <w:vAlign w:val="bottom"/>
            <w:tcBorders>
              <w:right w:val="single" w:sz="8" w:color="auto"/>
            </w:tcBorders>
            <w:shd w:val="clear" w:color="auto" w:fill="D9D9D9"/>
          </w:tcPr>
          <w:p>
            <w:pPr>
              <w:spacing w:after="0"/>
              <w:rPr>
                <w:sz w:val="7"/>
                <w:szCs w:val="7"/>
                <w:color w:val="auto"/>
              </w:rPr>
            </w:pPr>
          </w:p>
        </w:tc>
        <w:tc>
          <w:tcPr>
            <w:tcW w:w="1600" w:type="dxa"/>
            <w:vAlign w:val="bottom"/>
            <w:tcBorders>
              <w:right w:val="single" w:sz="8" w:color="auto"/>
            </w:tcBorders>
            <w:vMerge w:val="continue"/>
            <w:shd w:val="clear" w:color="auto" w:fill="D9D9D9"/>
          </w:tcPr>
          <w:p>
            <w:pPr>
              <w:spacing w:after="0"/>
              <w:rPr>
                <w:sz w:val="7"/>
                <w:szCs w:val="7"/>
                <w:color w:val="auto"/>
              </w:rPr>
            </w:pP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6"/>
              </w:rPr>
              <w:t>as at December 31,</w:t>
            </w:r>
          </w:p>
        </w:tc>
        <w:tc>
          <w:tcPr>
            <w:tcW w:w="17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9"/>
              </w:rPr>
              <w:t>Additional Amounts</w:t>
            </w:r>
          </w:p>
        </w:tc>
        <w:tc>
          <w:tcPr>
            <w:tcW w:w="18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7"/>
              </w:rPr>
              <w:t>Current Use of Proceeds</w:t>
            </w: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4460" w:type="dxa"/>
            <w:vAlign w:val="bottom"/>
            <w:tcBorders>
              <w:right w:val="single" w:sz="8" w:color="auto"/>
            </w:tcBorders>
            <w:shd w:val="clear" w:color="auto" w:fill="D9D9D9"/>
          </w:tcPr>
          <w:p>
            <w:pPr>
              <w:spacing w:after="0"/>
              <w:rPr>
                <w:sz w:val="8"/>
                <w:szCs w:val="8"/>
                <w:color w:val="auto"/>
              </w:rPr>
            </w:pPr>
          </w:p>
        </w:tc>
        <w:tc>
          <w:tcPr>
            <w:tcW w:w="1600" w:type="dxa"/>
            <w:vAlign w:val="bottom"/>
            <w:tcBorders>
              <w:right w:val="single" w:sz="8" w:color="auto"/>
            </w:tcBorders>
            <w:vMerge w:val="restart"/>
            <w:shd w:val="clear" w:color="auto" w:fill="D9D9D9"/>
          </w:tcPr>
          <w:p>
            <w:pPr>
              <w:ind w:left="320"/>
              <w:spacing w:after="0"/>
              <w:rPr>
                <w:sz w:val="20"/>
                <w:szCs w:val="20"/>
                <w:color w:val="auto"/>
              </w:rPr>
            </w:pPr>
            <w:r>
              <w:rPr>
                <w:rFonts w:ascii="Arial" w:cs="Arial" w:eastAsia="Arial" w:hAnsi="Arial"/>
                <w:sz w:val="15"/>
                <w:szCs w:val="15"/>
                <w:b w:val="1"/>
                <w:bCs w:val="1"/>
                <w:color w:val="auto"/>
              </w:rPr>
              <w:t>Regarding Use</w:t>
            </w:r>
          </w:p>
        </w:tc>
        <w:tc>
          <w:tcPr>
            <w:tcW w:w="1560" w:type="dxa"/>
            <w:vAlign w:val="bottom"/>
            <w:tcBorders>
              <w:right w:val="single" w:sz="8" w:color="auto"/>
            </w:tcBorders>
            <w:vMerge w:val="continue"/>
            <w:shd w:val="clear" w:color="auto" w:fill="D9D9D9"/>
          </w:tcPr>
          <w:p>
            <w:pPr>
              <w:spacing w:after="0"/>
              <w:rPr>
                <w:sz w:val="8"/>
                <w:szCs w:val="8"/>
                <w:color w:val="auto"/>
              </w:rPr>
            </w:pPr>
          </w:p>
        </w:tc>
        <w:tc>
          <w:tcPr>
            <w:tcW w:w="1700" w:type="dxa"/>
            <w:vAlign w:val="bottom"/>
            <w:tcBorders>
              <w:right w:val="single" w:sz="8" w:color="auto"/>
            </w:tcBorders>
            <w:vMerge w:val="continue"/>
            <w:shd w:val="clear" w:color="auto" w:fill="D9D9D9"/>
          </w:tcPr>
          <w:p>
            <w:pPr>
              <w:spacing w:after="0"/>
              <w:rPr>
                <w:sz w:val="8"/>
                <w:szCs w:val="8"/>
                <w:color w:val="auto"/>
              </w:rPr>
            </w:pPr>
          </w:p>
        </w:tc>
        <w:tc>
          <w:tcPr>
            <w:tcW w:w="180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4460" w:type="dxa"/>
            <w:vAlign w:val="bottom"/>
            <w:tcBorders>
              <w:right w:val="single" w:sz="8" w:color="auto"/>
            </w:tcBorders>
            <w:shd w:val="clear" w:color="auto" w:fill="D9D9D9"/>
          </w:tcPr>
          <w:p>
            <w:pPr>
              <w:spacing w:after="0"/>
              <w:rPr>
                <w:sz w:val="7"/>
                <w:szCs w:val="7"/>
                <w:color w:val="auto"/>
              </w:rPr>
            </w:pPr>
          </w:p>
        </w:tc>
        <w:tc>
          <w:tcPr>
            <w:tcW w:w="1600" w:type="dxa"/>
            <w:vAlign w:val="bottom"/>
            <w:tcBorders>
              <w:right w:val="single" w:sz="8" w:color="auto"/>
            </w:tcBorders>
            <w:vMerge w:val="continue"/>
            <w:shd w:val="clear" w:color="auto" w:fill="D9D9D9"/>
          </w:tcPr>
          <w:p>
            <w:pPr>
              <w:spacing w:after="0"/>
              <w:rPr>
                <w:sz w:val="7"/>
                <w:szCs w:val="7"/>
                <w:color w:val="auto"/>
              </w:rPr>
            </w:pPr>
          </w:p>
        </w:tc>
        <w:tc>
          <w:tcPr>
            <w:tcW w:w="1560" w:type="dxa"/>
            <w:vAlign w:val="bottom"/>
            <w:tcBorders>
              <w:right w:val="single" w:sz="8" w:color="auto"/>
            </w:tcBorders>
            <w:vMerge w:val="restart"/>
            <w:shd w:val="clear" w:color="auto" w:fill="D9D9D9"/>
          </w:tcPr>
          <w:p>
            <w:pPr>
              <w:jc w:val="right"/>
              <w:ind w:right="607"/>
              <w:spacing w:after="0"/>
              <w:rPr>
                <w:sz w:val="20"/>
                <w:szCs w:val="20"/>
                <w:color w:val="auto"/>
              </w:rPr>
            </w:pPr>
            <w:r>
              <w:rPr>
                <w:rFonts w:ascii="Arial" w:cs="Arial" w:eastAsia="Arial" w:hAnsi="Arial"/>
                <w:sz w:val="15"/>
                <w:szCs w:val="15"/>
                <w:b w:val="1"/>
                <w:bCs w:val="1"/>
                <w:color w:val="auto"/>
              </w:rPr>
              <w:t>2021</w:t>
            </w:r>
          </w:p>
        </w:tc>
        <w:tc>
          <w:tcPr>
            <w:tcW w:w="17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7"/>
              </w:rPr>
              <w:t>Allocated at December 31,</w:t>
            </w:r>
          </w:p>
        </w:tc>
        <w:tc>
          <w:tcPr>
            <w:tcW w:w="1800" w:type="dxa"/>
            <w:vAlign w:val="bottom"/>
            <w:tcBorders>
              <w:right w:val="single" w:sz="8" w:color="auto"/>
            </w:tcBorders>
            <w:vMerge w:val="restart"/>
            <w:shd w:val="clear" w:color="auto" w:fill="D9D9D9"/>
          </w:tcPr>
          <w:p>
            <w:pPr>
              <w:ind w:left="20"/>
              <w:spacing w:after="0"/>
              <w:rPr>
                <w:sz w:val="20"/>
                <w:szCs w:val="20"/>
                <w:color w:val="auto"/>
              </w:rPr>
            </w:pPr>
            <w:r>
              <w:rPr>
                <w:rFonts w:ascii="Arial" w:cs="Arial" w:eastAsia="Arial" w:hAnsi="Arial"/>
                <w:sz w:val="15"/>
                <w:szCs w:val="15"/>
                <w:b w:val="1"/>
                <w:bCs w:val="1"/>
                <w:color w:val="auto"/>
                <w:w w:val="89"/>
              </w:rPr>
              <w:t>(January 1 to December 31,</w:t>
            </w: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4460" w:type="dxa"/>
            <w:vAlign w:val="bottom"/>
            <w:tcBorders>
              <w:right w:val="single" w:sz="8" w:color="auto"/>
            </w:tcBorders>
            <w:shd w:val="clear" w:color="auto" w:fill="D9D9D9"/>
          </w:tcPr>
          <w:p>
            <w:pPr>
              <w:spacing w:after="0"/>
              <w:rPr>
                <w:sz w:val="8"/>
                <w:szCs w:val="8"/>
                <w:color w:val="auto"/>
              </w:rPr>
            </w:pPr>
          </w:p>
        </w:tc>
        <w:tc>
          <w:tcPr>
            <w:tcW w:w="16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6"/>
              </w:rPr>
              <w:t>of Proceeds in the July</w:t>
            </w:r>
          </w:p>
        </w:tc>
        <w:tc>
          <w:tcPr>
            <w:tcW w:w="1560" w:type="dxa"/>
            <w:vAlign w:val="bottom"/>
            <w:tcBorders>
              <w:right w:val="single" w:sz="8" w:color="auto"/>
            </w:tcBorders>
            <w:vMerge w:val="continue"/>
            <w:shd w:val="clear" w:color="auto" w:fill="D9D9D9"/>
          </w:tcPr>
          <w:p>
            <w:pPr>
              <w:spacing w:after="0"/>
              <w:rPr>
                <w:sz w:val="8"/>
                <w:szCs w:val="8"/>
                <w:color w:val="auto"/>
              </w:rPr>
            </w:pPr>
          </w:p>
        </w:tc>
        <w:tc>
          <w:tcPr>
            <w:tcW w:w="1700" w:type="dxa"/>
            <w:vAlign w:val="bottom"/>
            <w:tcBorders>
              <w:right w:val="single" w:sz="8" w:color="auto"/>
            </w:tcBorders>
            <w:vMerge w:val="continue"/>
            <w:shd w:val="clear" w:color="auto" w:fill="D9D9D9"/>
          </w:tcPr>
          <w:p>
            <w:pPr>
              <w:spacing w:after="0"/>
              <w:rPr>
                <w:sz w:val="8"/>
                <w:szCs w:val="8"/>
                <w:color w:val="auto"/>
              </w:rPr>
            </w:pPr>
          </w:p>
        </w:tc>
        <w:tc>
          <w:tcPr>
            <w:tcW w:w="180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4460" w:type="dxa"/>
            <w:vAlign w:val="bottom"/>
            <w:tcBorders>
              <w:right w:val="single" w:sz="8" w:color="auto"/>
            </w:tcBorders>
            <w:shd w:val="clear" w:color="auto" w:fill="D9D9D9"/>
          </w:tcPr>
          <w:p>
            <w:pPr>
              <w:spacing w:after="0"/>
              <w:rPr>
                <w:sz w:val="7"/>
                <w:szCs w:val="7"/>
                <w:color w:val="auto"/>
              </w:rPr>
            </w:pPr>
          </w:p>
        </w:tc>
        <w:tc>
          <w:tcPr>
            <w:tcW w:w="1600" w:type="dxa"/>
            <w:vAlign w:val="bottom"/>
            <w:tcBorders>
              <w:right w:val="single" w:sz="8" w:color="auto"/>
            </w:tcBorders>
            <w:vMerge w:val="continue"/>
            <w:shd w:val="clear" w:color="auto" w:fill="D9D9D9"/>
          </w:tcPr>
          <w:p>
            <w:pPr>
              <w:spacing w:after="0"/>
              <w:rPr>
                <w:sz w:val="7"/>
                <w:szCs w:val="7"/>
                <w:color w:val="auto"/>
              </w:rPr>
            </w:pP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6"/>
              </w:rPr>
              <w:t>(June 1 to December</w:t>
            </w:r>
          </w:p>
        </w:tc>
        <w:tc>
          <w:tcPr>
            <w:tcW w:w="17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3"/>
              </w:rPr>
              <w:t>2021</w:t>
            </w:r>
          </w:p>
        </w:tc>
        <w:tc>
          <w:tcPr>
            <w:tcW w:w="18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8"/>
              </w:rPr>
              <w:t>2022)</w:t>
            </w: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4460" w:type="dxa"/>
            <w:vAlign w:val="bottom"/>
            <w:tcBorders>
              <w:right w:val="single" w:sz="8" w:color="auto"/>
            </w:tcBorders>
            <w:shd w:val="clear" w:color="auto" w:fill="D9D9D9"/>
          </w:tcPr>
          <w:p>
            <w:pPr>
              <w:spacing w:after="0"/>
              <w:rPr>
                <w:sz w:val="8"/>
                <w:szCs w:val="8"/>
                <w:color w:val="auto"/>
              </w:rPr>
            </w:pPr>
          </w:p>
        </w:tc>
        <w:tc>
          <w:tcPr>
            <w:tcW w:w="16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2021 Prospectus</w:t>
            </w:r>
          </w:p>
        </w:tc>
        <w:tc>
          <w:tcPr>
            <w:tcW w:w="1560" w:type="dxa"/>
            <w:vAlign w:val="bottom"/>
            <w:tcBorders>
              <w:right w:val="single" w:sz="8" w:color="auto"/>
            </w:tcBorders>
            <w:vMerge w:val="continue"/>
            <w:shd w:val="clear" w:color="auto" w:fill="D9D9D9"/>
          </w:tcPr>
          <w:p>
            <w:pPr>
              <w:spacing w:after="0"/>
              <w:rPr>
                <w:sz w:val="8"/>
                <w:szCs w:val="8"/>
                <w:color w:val="auto"/>
              </w:rPr>
            </w:pPr>
          </w:p>
        </w:tc>
        <w:tc>
          <w:tcPr>
            <w:tcW w:w="1700" w:type="dxa"/>
            <w:vAlign w:val="bottom"/>
            <w:tcBorders>
              <w:right w:val="single" w:sz="8" w:color="auto"/>
            </w:tcBorders>
            <w:vMerge w:val="continue"/>
            <w:shd w:val="clear" w:color="auto" w:fill="D9D9D9"/>
          </w:tcPr>
          <w:p>
            <w:pPr>
              <w:spacing w:after="0"/>
              <w:rPr>
                <w:sz w:val="8"/>
                <w:szCs w:val="8"/>
                <w:color w:val="auto"/>
              </w:rPr>
            </w:pPr>
          </w:p>
        </w:tc>
        <w:tc>
          <w:tcPr>
            <w:tcW w:w="180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4460" w:type="dxa"/>
            <w:vAlign w:val="bottom"/>
            <w:tcBorders>
              <w:right w:val="single" w:sz="8" w:color="auto"/>
            </w:tcBorders>
            <w:shd w:val="clear" w:color="auto" w:fill="D9D9D9"/>
          </w:tcPr>
          <w:p>
            <w:pPr>
              <w:spacing w:after="0"/>
              <w:rPr>
                <w:sz w:val="8"/>
                <w:szCs w:val="8"/>
                <w:color w:val="auto"/>
              </w:rPr>
            </w:pPr>
          </w:p>
        </w:tc>
        <w:tc>
          <w:tcPr>
            <w:tcW w:w="1600" w:type="dxa"/>
            <w:vAlign w:val="bottom"/>
            <w:tcBorders>
              <w:right w:val="single" w:sz="8" w:color="auto"/>
            </w:tcBorders>
            <w:vMerge w:val="continue"/>
            <w:shd w:val="clear" w:color="auto" w:fill="D9D9D9"/>
          </w:tcPr>
          <w:p>
            <w:pPr>
              <w:spacing w:after="0"/>
              <w:rPr>
                <w:sz w:val="8"/>
                <w:szCs w:val="8"/>
                <w:color w:val="auto"/>
              </w:rPr>
            </w:pP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8"/>
              </w:rPr>
              <w:t>31, 2021)</w:t>
            </w:r>
          </w:p>
        </w:tc>
        <w:tc>
          <w:tcPr>
            <w:tcW w:w="1700" w:type="dxa"/>
            <w:vAlign w:val="bottom"/>
            <w:tcBorders>
              <w:right w:val="single" w:sz="8" w:color="auto"/>
            </w:tcBorders>
            <w:shd w:val="clear" w:color="auto" w:fill="D9D9D9"/>
          </w:tcPr>
          <w:p>
            <w:pPr>
              <w:spacing w:after="0"/>
              <w:rPr>
                <w:sz w:val="8"/>
                <w:szCs w:val="8"/>
                <w:color w:val="auto"/>
              </w:rPr>
            </w:pPr>
          </w:p>
        </w:tc>
        <w:tc>
          <w:tcPr>
            <w:tcW w:w="180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4460" w:type="dxa"/>
            <w:vAlign w:val="bottom"/>
            <w:tcBorders>
              <w:right w:val="single" w:sz="8" w:color="auto"/>
            </w:tcBorders>
            <w:shd w:val="clear" w:color="auto" w:fill="D9D9D9"/>
          </w:tcPr>
          <w:p>
            <w:pPr>
              <w:spacing w:after="0"/>
              <w:rPr>
                <w:sz w:val="8"/>
                <w:szCs w:val="8"/>
                <w:color w:val="auto"/>
              </w:rPr>
            </w:pPr>
          </w:p>
        </w:tc>
        <w:tc>
          <w:tcPr>
            <w:tcW w:w="1600" w:type="dxa"/>
            <w:vAlign w:val="bottom"/>
            <w:tcBorders>
              <w:right w:val="single" w:sz="8" w:color="auto"/>
            </w:tcBorders>
            <w:shd w:val="clear" w:color="auto" w:fill="D9D9D9"/>
          </w:tcPr>
          <w:p>
            <w:pPr>
              <w:spacing w:after="0"/>
              <w:rPr>
                <w:sz w:val="8"/>
                <w:szCs w:val="8"/>
                <w:color w:val="auto"/>
              </w:rPr>
            </w:pPr>
          </w:p>
        </w:tc>
        <w:tc>
          <w:tcPr>
            <w:tcW w:w="1560" w:type="dxa"/>
            <w:vAlign w:val="bottom"/>
            <w:tcBorders>
              <w:right w:val="single" w:sz="8" w:color="auto"/>
            </w:tcBorders>
            <w:vMerge w:val="continue"/>
            <w:shd w:val="clear" w:color="auto" w:fill="D9D9D9"/>
          </w:tcPr>
          <w:p>
            <w:pPr>
              <w:spacing w:after="0"/>
              <w:rPr>
                <w:sz w:val="8"/>
                <w:szCs w:val="8"/>
                <w:color w:val="auto"/>
              </w:rPr>
            </w:pPr>
          </w:p>
        </w:tc>
        <w:tc>
          <w:tcPr>
            <w:tcW w:w="1700" w:type="dxa"/>
            <w:vAlign w:val="bottom"/>
            <w:tcBorders>
              <w:right w:val="single" w:sz="8" w:color="auto"/>
            </w:tcBorders>
            <w:shd w:val="clear" w:color="auto" w:fill="D9D9D9"/>
          </w:tcPr>
          <w:p>
            <w:pPr>
              <w:spacing w:after="0"/>
              <w:rPr>
                <w:sz w:val="8"/>
                <w:szCs w:val="8"/>
                <w:color w:val="auto"/>
              </w:rPr>
            </w:pPr>
          </w:p>
        </w:tc>
        <w:tc>
          <w:tcPr>
            <w:tcW w:w="180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 w:type="dxa"/>
            <w:vAlign w:val="bottom"/>
            <w:tcBorders>
              <w:left w:val="single" w:sz="8" w:color="auto"/>
              <w:bottom w:val="single" w:sz="8" w:color="auto"/>
              <w:right w:val="single" w:sz="8" w:color="D9D9D9"/>
            </w:tcBorders>
            <w:shd w:val="clear" w:color="auto" w:fill="D9D9D9"/>
          </w:tcPr>
          <w:p>
            <w:pPr>
              <w:spacing w:after="0"/>
              <w:rPr>
                <w:sz w:val="15"/>
                <w:szCs w:val="15"/>
                <w:color w:val="auto"/>
              </w:rPr>
            </w:pPr>
          </w:p>
        </w:tc>
        <w:tc>
          <w:tcPr>
            <w:tcW w:w="4460" w:type="dxa"/>
            <w:vAlign w:val="bottom"/>
            <w:tcBorders>
              <w:bottom w:val="single" w:sz="8" w:color="auto"/>
              <w:right w:val="single" w:sz="8" w:color="auto"/>
            </w:tcBorders>
            <w:shd w:val="clear" w:color="auto" w:fill="D9D9D9"/>
          </w:tcPr>
          <w:p>
            <w:pPr>
              <w:spacing w:after="0"/>
              <w:rPr>
                <w:sz w:val="15"/>
                <w:szCs w:val="15"/>
                <w:color w:val="auto"/>
              </w:rPr>
            </w:pPr>
          </w:p>
        </w:tc>
        <w:tc>
          <w:tcPr>
            <w:tcW w:w="1600" w:type="dxa"/>
            <w:vAlign w:val="bottom"/>
            <w:tcBorders>
              <w:bottom w:val="single" w:sz="8" w:color="auto"/>
              <w:right w:val="single" w:sz="8" w:color="auto"/>
            </w:tcBorders>
            <w:shd w:val="clear" w:color="auto" w:fill="D9D9D9"/>
          </w:tcPr>
          <w:p>
            <w:pPr>
              <w:spacing w:after="0"/>
              <w:rPr>
                <w:sz w:val="15"/>
                <w:szCs w:val="15"/>
                <w:color w:val="auto"/>
              </w:rPr>
            </w:pPr>
          </w:p>
        </w:tc>
        <w:tc>
          <w:tcPr>
            <w:tcW w:w="1560" w:type="dxa"/>
            <w:vAlign w:val="bottom"/>
            <w:tcBorders>
              <w:bottom w:val="single" w:sz="8" w:color="auto"/>
              <w:right w:val="single" w:sz="8" w:color="auto"/>
            </w:tcBorders>
            <w:shd w:val="clear" w:color="auto" w:fill="D9D9D9"/>
          </w:tcPr>
          <w:p>
            <w:pPr>
              <w:spacing w:after="0"/>
              <w:rPr>
                <w:sz w:val="15"/>
                <w:szCs w:val="15"/>
                <w:color w:val="auto"/>
              </w:rPr>
            </w:pPr>
          </w:p>
        </w:tc>
        <w:tc>
          <w:tcPr>
            <w:tcW w:w="1700" w:type="dxa"/>
            <w:vAlign w:val="bottom"/>
            <w:tcBorders>
              <w:bottom w:val="single" w:sz="8" w:color="auto"/>
              <w:right w:val="single" w:sz="8" w:color="auto"/>
            </w:tcBorders>
            <w:shd w:val="clear" w:color="auto" w:fill="D9D9D9"/>
          </w:tcPr>
          <w:p>
            <w:pPr>
              <w:spacing w:after="0"/>
              <w:rPr>
                <w:sz w:val="15"/>
                <w:szCs w:val="15"/>
                <w:color w:val="auto"/>
              </w:rPr>
            </w:pPr>
          </w:p>
        </w:tc>
        <w:tc>
          <w:tcPr>
            <w:tcW w:w="180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6060" w:type="dxa"/>
            <w:vAlign w:val="bottom"/>
            <w:tcBorders>
              <w:bottom w:val="single" w:sz="8" w:color="auto"/>
              <w:right w:val="single" w:sz="8" w:color="D9D9D9"/>
            </w:tcBorders>
            <w:gridSpan w:val="2"/>
            <w:shd w:val="clear" w:color="auto" w:fill="D9D9D9"/>
          </w:tcPr>
          <w:p>
            <w:pPr>
              <w:spacing w:after="0"/>
              <w:rPr>
                <w:sz w:val="20"/>
                <w:szCs w:val="20"/>
                <w:color w:val="auto"/>
              </w:rPr>
            </w:pPr>
            <w:r>
              <w:rPr>
                <w:rFonts w:ascii="Arial" w:cs="Arial" w:eastAsia="Arial" w:hAnsi="Arial"/>
                <w:sz w:val="15"/>
                <w:szCs w:val="15"/>
                <w:b w:val="1"/>
                <w:bCs w:val="1"/>
                <w:color w:val="auto"/>
              </w:rPr>
              <w:t>Deuterated Psilocybin Analog Program (formerly the Psilocybin Program)</w:t>
            </w:r>
            <w:r>
              <w:rPr>
                <w:rFonts w:ascii="Arial" w:cs="Arial" w:eastAsia="Arial" w:hAnsi="Arial"/>
                <w:sz w:val="19"/>
                <w:szCs w:val="19"/>
                <w:b w:val="1"/>
                <w:bCs w:val="1"/>
                <w:color w:val="auto"/>
                <w:vertAlign w:val="superscript"/>
              </w:rPr>
              <w:t>(2)</w:t>
            </w:r>
          </w:p>
        </w:tc>
        <w:tc>
          <w:tcPr>
            <w:tcW w:w="1560" w:type="dxa"/>
            <w:vAlign w:val="bottom"/>
            <w:tcBorders>
              <w:bottom w:val="single" w:sz="8" w:color="auto"/>
              <w:right w:val="single" w:sz="8" w:color="D9D9D9"/>
            </w:tcBorders>
            <w:shd w:val="clear" w:color="auto" w:fill="D9D9D9"/>
          </w:tcPr>
          <w:p>
            <w:pPr>
              <w:spacing w:after="0"/>
              <w:rPr>
                <w:sz w:val="19"/>
                <w:szCs w:val="19"/>
                <w:color w:val="auto"/>
              </w:rPr>
            </w:pPr>
          </w:p>
        </w:tc>
        <w:tc>
          <w:tcPr>
            <w:tcW w:w="1700" w:type="dxa"/>
            <w:vAlign w:val="bottom"/>
            <w:tcBorders>
              <w:bottom w:val="single" w:sz="8" w:color="auto"/>
              <w:right w:val="single" w:sz="8" w:color="D9D9D9"/>
            </w:tcBorders>
            <w:shd w:val="clear" w:color="auto" w:fill="D9D9D9"/>
          </w:tcPr>
          <w:p>
            <w:pPr>
              <w:spacing w:after="0"/>
              <w:rPr>
                <w:sz w:val="19"/>
                <w:szCs w:val="19"/>
                <w:color w:val="auto"/>
              </w:rPr>
            </w:pPr>
          </w:p>
        </w:tc>
        <w:tc>
          <w:tcPr>
            <w:tcW w:w="180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Development of psilocybin Sublingual Film</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$210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$97</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$113</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Phase IIa MDD study completed with data</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$772</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$242</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$530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Phase IIb MDD study completed with data</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$1,000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70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$(1,000)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w w:val="89"/>
              </w:rPr>
              <w:t>Support of additional phase IIb study sites in Canada and the United States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$1,810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$379</w:t>
            </w:r>
          </w:p>
        </w:tc>
        <w:tc>
          <w:tcPr>
            <w:tcW w:w="170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$(1,431)</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Completion of IND enabling pre-clinical studies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$1,273</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$3,127</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$1,854</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Progression of post IND enabling pre-clinical studies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$2,071</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$2,071</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w w:val="92"/>
              </w:rPr>
              <w:t>Completion of chemistry, manufacturing and control development for pre-</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3"/>
              </w:rPr>
              <w:t>$610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$1,693</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$1,083</w:t>
            </w:r>
          </w:p>
        </w:tc>
        <w:tc>
          <w:tcPr>
            <w:tcW w:w="0" w:type="dxa"/>
            <w:vAlign w:val="bottom"/>
          </w:tcPr>
          <w:p>
            <w:pPr>
              <w:spacing w:after="0"/>
              <w:rPr>
                <w:sz w:val="1"/>
                <w:szCs w:val="1"/>
                <w:color w:val="auto"/>
              </w:rPr>
            </w:pPr>
          </w:p>
        </w:tc>
      </w:tr>
      <w:tr>
        <w:trPr>
          <w:trHeight w:val="89"/>
        </w:trPr>
        <w:tc>
          <w:tcPr>
            <w:tcW w:w="456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clinical and clinical studies</w:t>
            </w:r>
          </w:p>
        </w:tc>
        <w:tc>
          <w:tcPr>
            <w:tcW w:w="160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560" w:type="dxa"/>
            <w:vAlign w:val="bottom"/>
            <w:tcBorders>
              <w:left w:val="single" w:sz="8" w:color="auto"/>
              <w:right w:val="single" w:sz="8" w:color="auto"/>
            </w:tcBorders>
            <w:gridSpan w:val="2"/>
            <w:vMerge w:val="continue"/>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Chemistry, manufacturing and control development progression</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$1,326</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$1,326</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Clinical trial filings and conduct for first in human trial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$76</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$3,345</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$3,269</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44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Deuterated Tryptamines Preclinical Programs</w:t>
            </w:r>
          </w:p>
        </w:tc>
        <w:tc>
          <w:tcPr>
            <w:tcW w:w="1600" w:type="dxa"/>
            <w:vAlign w:val="bottom"/>
            <w:tcBorders>
              <w:bottom w:val="single" w:sz="8" w:color="D9D9D9"/>
              <w:right w:val="single" w:sz="8" w:color="D9D9D9"/>
            </w:tcBorders>
            <w:shd w:val="clear" w:color="auto" w:fill="D9D9D9"/>
          </w:tcPr>
          <w:p>
            <w:pPr>
              <w:spacing w:after="0"/>
              <w:rPr>
                <w:sz w:val="19"/>
                <w:szCs w:val="19"/>
                <w:color w:val="auto"/>
              </w:rPr>
            </w:pP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700" w:type="dxa"/>
            <w:vAlign w:val="bottom"/>
            <w:tcBorders>
              <w:bottom w:val="single" w:sz="8" w:color="D9D9D9"/>
              <w:right w:val="single" w:sz="8" w:color="D9D9D9"/>
            </w:tcBorders>
            <w:shd w:val="clear" w:color="auto" w:fill="D9D9D9"/>
          </w:tcPr>
          <w:p>
            <w:pPr>
              <w:spacing w:after="0"/>
              <w:rPr>
                <w:sz w:val="19"/>
                <w:szCs w:val="19"/>
                <w:color w:val="auto"/>
              </w:rPr>
            </w:pPr>
          </w:p>
        </w:tc>
        <w:tc>
          <w:tcPr>
            <w:tcW w:w="180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56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w w:val="91"/>
              </w:rPr>
              <w:t>Progression of CYB003 for phase I studies readiness and utilization of the</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$2,886</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$1,198</w:t>
            </w:r>
          </w:p>
        </w:tc>
        <w:tc>
          <w:tcPr>
            <w:tcW w:w="1700" w:type="dxa"/>
            <w:vAlign w:val="bottom"/>
            <w:tcBorders>
              <w:top w:val="single" w:sz="8" w:color="auto"/>
              <w:right w:val="single" w:sz="8" w:color="auto"/>
            </w:tcBorders>
            <w:vMerge w:val="restart"/>
          </w:tcPr>
          <w:p>
            <w:pPr>
              <w:jc w:val="center"/>
              <w:ind w:right="7"/>
              <w:spacing w:after="0"/>
              <w:rPr>
                <w:sz w:val="20"/>
                <w:szCs w:val="20"/>
                <w:color w:val="auto"/>
              </w:rPr>
            </w:pPr>
            <w:r>
              <w:rPr>
                <w:rFonts w:ascii="Arial" w:cs="Arial" w:eastAsia="Arial" w:hAnsi="Arial"/>
                <w:sz w:val="15"/>
                <w:szCs w:val="15"/>
                <w:color w:val="auto"/>
                <w:w w:val="89"/>
              </w:rPr>
              <w:t>$(1,688)</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89"/>
        </w:trPr>
        <w:tc>
          <w:tcPr>
            <w:tcW w:w="4560" w:type="dxa"/>
            <w:vAlign w:val="bottom"/>
            <w:tcBorders>
              <w:left w:val="single" w:sz="8" w:color="auto"/>
              <w:right w:val="single" w:sz="8" w:color="auto"/>
            </w:tcBorders>
            <w:gridSpan w:val="2"/>
            <w:vMerge w:val="restart"/>
          </w:tcPr>
          <w:p>
            <w:pPr>
              <w:ind w:left="40"/>
              <w:spacing w:after="0" w:line="216" w:lineRule="exact"/>
              <w:rPr>
                <w:sz w:val="20"/>
                <w:szCs w:val="20"/>
                <w:color w:val="auto"/>
              </w:rPr>
            </w:pPr>
            <w:r>
              <w:rPr>
                <w:rFonts w:ascii="Arial" w:cs="Arial" w:eastAsia="Arial" w:hAnsi="Arial"/>
                <w:sz w:val="15"/>
                <w:szCs w:val="15"/>
                <w:color w:val="auto"/>
              </w:rPr>
              <w:t>associated delivery platform</w:t>
            </w:r>
            <w:r>
              <w:rPr>
                <w:rFonts w:ascii="Arial" w:cs="Arial" w:eastAsia="Arial" w:hAnsi="Arial"/>
                <w:sz w:val="19"/>
                <w:szCs w:val="19"/>
                <w:color w:val="auto"/>
                <w:vertAlign w:val="superscript"/>
              </w:rPr>
              <w:t>(2)</w:t>
            </w:r>
          </w:p>
        </w:tc>
        <w:tc>
          <w:tcPr>
            <w:tcW w:w="160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560" w:type="dxa"/>
            <w:vAlign w:val="bottom"/>
            <w:tcBorders>
              <w:left w:val="single" w:sz="8" w:color="auto"/>
              <w:bottom w:val="single" w:sz="8" w:color="auto"/>
              <w:right w:val="single" w:sz="8" w:color="auto"/>
            </w:tcBorders>
            <w:gridSpan w:val="2"/>
            <w:vMerge w:val="continue"/>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Progression of CYB004 for phase I studies readiness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$2,777</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$976</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$6,211</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$8,012</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44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Phenethylamine Preclinical Development Program</w:t>
            </w:r>
          </w:p>
        </w:tc>
        <w:tc>
          <w:tcPr>
            <w:tcW w:w="1600" w:type="dxa"/>
            <w:vAlign w:val="bottom"/>
            <w:tcBorders>
              <w:bottom w:val="single" w:sz="8" w:color="D9D9D9"/>
              <w:right w:val="single" w:sz="8" w:color="D9D9D9"/>
            </w:tcBorders>
            <w:shd w:val="clear" w:color="auto" w:fill="D9D9D9"/>
          </w:tcPr>
          <w:p>
            <w:pPr>
              <w:spacing w:after="0"/>
              <w:rPr>
                <w:sz w:val="19"/>
                <w:szCs w:val="19"/>
                <w:color w:val="auto"/>
              </w:rPr>
            </w:pP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700" w:type="dxa"/>
            <w:vAlign w:val="bottom"/>
            <w:tcBorders>
              <w:bottom w:val="single" w:sz="8" w:color="D9D9D9"/>
              <w:right w:val="single" w:sz="8" w:color="D9D9D9"/>
            </w:tcBorders>
            <w:shd w:val="clear" w:color="auto" w:fill="D9D9D9"/>
          </w:tcPr>
          <w:p>
            <w:pPr>
              <w:spacing w:after="0"/>
              <w:rPr>
                <w:sz w:val="19"/>
                <w:szCs w:val="19"/>
                <w:color w:val="auto"/>
              </w:rPr>
            </w:pPr>
          </w:p>
        </w:tc>
        <w:tc>
          <w:tcPr>
            <w:tcW w:w="180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6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Phenethylamine preclinical development program</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$2,375</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3"/>
              </w:rPr>
              <w:t>$599</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$(285)</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$1,491</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9"/>
        </w:trPr>
        <w:tc>
          <w:tcPr>
            <w:tcW w:w="10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44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Nutraceutical Products</w:t>
            </w:r>
            <w:r>
              <w:rPr>
                <w:rFonts w:ascii="Arial" w:cs="Arial" w:eastAsia="Arial" w:hAnsi="Arial"/>
                <w:sz w:val="19"/>
                <w:szCs w:val="19"/>
                <w:b w:val="1"/>
                <w:bCs w:val="1"/>
                <w:color w:val="auto"/>
                <w:vertAlign w:val="superscript"/>
              </w:rPr>
              <w:t>(4)</w:t>
            </w:r>
          </w:p>
        </w:tc>
        <w:tc>
          <w:tcPr>
            <w:tcW w:w="1600" w:type="dxa"/>
            <w:vAlign w:val="bottom"/>
            <w:tcBorders>
              <w:bottom w:val="single" w:sz="8" w:color="D9D9D9"/>
              <w:right w:val="single" w:sz="8" w:color="D9D9D9"/>
            </w:tcBorders>
            <w:shd w:val="clear" w:color="auto" w:fill="D9D9D9"/>
          </w:tcPr>
          <w:p>
            <w:pPr>
              <w:spacing w:after="0"/>
              <w:rPr>
                <w:sz w:val="24"/>
                <w:szCs w:val="24"/>
                <w:color w:val="auto"/>
              </w:rPr>
            </w:pPr>
          </w:p>
        </w:tc>
        <w:tc>
          <w:tcPr>
            <w:tcW w:w="1560" w:type="dxa"/>
            <w:vAlign w:val="bottom"/>
            <w:tcBorders>
              <w:bottom w:val="single" w:sz="8" w:color="D9D9D9"/>
              <w:right w:val="single" w:sz="8" w:color="D9D9D9"/>
            </w:tcBorders>
            <w:shd w:val="clear" w:color="auto" w:fill="D9D9D9"/>
          </w:tcPr>
          <w:p>
            <w:pPr>
              <w:spacing w:after="0"/>
              <w:rPr>
                <w:sz w:val="24"/>
                <w:szCs w:val="24"/>
                <w:color w:val="auto"/>
              </w:rPr>
            </w:pPr>
          </w:p>
        </w:tc>
        <w:tc>
          <w:tcPr>
            <w:tcW w:w="1700" w:type="dxa"/>
            <w:vAlign w:val="bottom"/>
            <w:tcBorders>
              <w:bottom w:val="single" w:sz="8" w:color="D9D9D9"/>
              <w:right w:val="single" w:sz="8" w:color="D9D9D9"/>
            </w:tcBorders>
            <w:shd w:val="clear" w:color="auto" w:fill="D9D9D9"/>
          </w:tcPr>
          <w:p>
            <w:pPr>
              <w:spacing w:after="0"/>
              <w:rPr>
                <w:sz w:val="24"/>
                <w:szCs w:val="24"/>
                <w:color w:val="auto"/>
              </w:rPr>
            </w:pPr>
          </w:p>
        </w:tc>
        <w:tc>
          <w:tcPr>
            <w:tcW w:w="1800" w:type="dxa"/>
            <w:vAlign w:val="bottom"/>
            <w:tcBorders>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56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Inventory fulfilment</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$(200)</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Product deployment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$(200)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Nutraceutical marketing</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44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Technology</w:t>
            </w:r>
          </w:p>
        </w:tc>
        <w:tc>
          <w:tcPr>
            <w:tcW w:w="1600" w:type="dxa"/>
            <w:vAlign w:val="bottom"/>
            <w:tcBorders>
              <w:bottom w:val="single" w:sz="8" w:color="D9D9D9"/>
              <w:right w:val="single" w:sz="8" w:color="D9D9D9"/>
            </w:tcBorders>
            <w:shd w:val="clear" w:color="auto" w:fill="D9D9D9"/>
          </w:tcPr>
          <w:p>
            <w:pPr>
              <w:spacing w:after="0"/>
              <w:rPr>
                <w:sz w:val="19"/>
                <w:szCs w:val="19"/>
                <w:color w:val="auto"/>
              </w:rPr>
            </w:pP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700" w:type="dxa"/>
            <w:vAlign w:val="bottom"/>
            <w:tcBorders>
              <w:bottom w:val="single" w:sz="8" w:color="D9D9D9"/>
              <w:right w:val="single" w:sz="8" w:color="D9D9D9"/>
            </w:tcBorders>
            <w:shd w:val="clear" w:color="auto" w:fill="D9D9D9"/>
          </w:tcPr>
          <w:p>
            <w:pPr>
              <w:spacing w:after="0"/>
              <w:rPr>
                <w:sz w:val="19"/>
                <w:szCs w:val="19"/>
                <w:color w:val="auto"/>
              </w:rPr>
            </w:pPr>
          </w:p>
        </w:tc>
        <w:tc>
          <w:tcPr>
            <w:tcW w:w="180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Marketing</w:t>
            </w:r>
            <w:r>
              <w:rPr>
                <w:rFonts w:ascii="Arial" w:cs="Arial" w:eastAsia="Arial" w:hAnsi="Arial"/>
                <w:sz w:val="19"/>
                <w:szCs w:val="19"/>
                <w:color w:val="auto"/>
                <w:vertAlign w:val="superscript"/>
              </w:rPr>
              <w:t>(3)</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Development of patient digital therapy platform</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$2,363</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$481</w:t>
            </w:r>
          </w:p>
        </w:tc>
        <w:tc>
          <w:tcPr>
            <w:tcW w:w="170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$(1,455)</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$427</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Commence study utilizing Kernel Flow technology</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$1,825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$251</w:t>
            </w:r>
          </w:p>
        </w:tc>
        <w:tc>
          <w:tcPr>
            <w:tcW w:w="170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9"/>
              </w:rPr>
              <w:t>$(1,574)</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4460" w:type="dxa"/>
            <w:vAlign w:val="bottom"/>
            <w:tcBorders>
              <w:bottom w:val="single" w:sz="8" w:color="D9D9D9"/>
              <w:right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Other</w:t>
            </w:r>
          </w:p>
        </w:tc>
        <w:tc>
          <w:tcPr>
            <w:tcW w:w="1600" w:type="dxa"/>
            <w:vAlign w:val="bottom"/>
            <w:tcBorders>
              <w:bottom w:val="single" w:sz="8" w:color="D9D9D9"/>
              <w:right w:val="single" w:sz="8" w:color="D9D9D9"/>
            </w:tcBorders>
            <w:shd w:val="clear" w:color="auto" w:fill="D9D9D9"/>
          </w:tcPr>
          <w:p>
            <w:pPr>
              <w:spacing w:after="0"/>
              <w:rPr>
                <w:sz w:val="19"/>
                <w:szCs w:val="19"/>
                <w:color w:val="auto"/>
              </w:rPr>
            </w:pPr>
          </w:p>
        </w:tc>
        <w:tc>
          <w:tcPr>
            <w:tcW w:w="1560" w:type="dxa"/>
            <w:vAlign w:val="bottom"/>
            <w:tcBorders>
              <w:bottom w:val="single" w:sz="8" w:color="D9D9D9"/>
              <w:right w:val="single" w:sz="8" w:color="D9D9D9"/>
            </w:tcBorders>
            <w:shd w:val="clear" w:color="auto" w:fill="D9D9D9"/>
          </w:tcPr>
          <w:p>
            <w:pPr>
              <w:spacing w:after="0"/>
              <w:rPr>
                <w:sz w:val="19"/>
                <w:szCs w:val="19"/>
                <w:color w:val="auto"/>
              </w:rPr>
            </w:pPr>
          </w:p>
        </w:tc>
        <w:tc>
          <w:tcPr>
            <w:tcW w:w="1700" w:type="dxa"/>
            <w:vAlign w:val="bottom"/>
            <w:tcBorders>
              <w:bottom w:val="single" w:sz="8" w:color="D9D9D9"/>
              <w:right w:val="single" w:sz="8" w:color="D9D9D9"/>
            </w:tcBorders>
            <w:shd w:val="clear" w:color="auto" w:fill="D9D9D9"/>
          </w:tcPr>
          <w:p>
            <w:pPr>
              <w:spacing w:after="0"/>
              <w:rPr>
                <w:sz w:val="19"/>
                <w:szCs w:val="19"/>
                <w:color w:val="auto"/>
              </w:rPr>
            </w:pPr>
          </w:p>
        </w:tc>
        <w:tc>
          <w:tcPr>
            <w:tcW w:w="1800" w:type="dxa"/>
            <w:vAlign w:val="bottom"/>
            <w:tcBorders>
              <w:bottom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56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w w:val="96"/>
              </w:rPr>
              <w:t>Transaction costs (legal fees, audit fees, transfer agent fees and other</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$4,502</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$2,553</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$(560)</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$1,389</w:t>
            </w:r>
          </w:p>
        </w:tc>
        <w:tc>
          <w:tcPr>
            <w:tcW w:w="0" w:type="dxa"/>
            <w:vAlign w:val="bottom"/>
          </w:tcPr>
          <w:p>
            <w:pPr>
              <w:spacing w:after="0"/>
              <w:rPr>
                <w:sz w:val="1"/>
                <w:szCs w:val="1"/>
                <w:color w:val="auto"/>
              </w:rPr>
            </w:pPr>
          </w:p>
        </w:tc>
      </w:tr>
      <w:tr>
        <w:trPr>
          <w:trHeight w:val="89"/>
        </w:trPr>
        <w:tc>
          <w:tcPr>
            <w:tcW w:w="456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rPr>
              <w:t>expenses)</w:t>
            </w:r>
          </w:p>
        </w:tc>
        <w:tc>
          <w:tcPr>
            <w:tcW w:w="160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560" w:type="dxa"/>
            <w:vAlign w:val="bottom"/>
            <w:tcBorders>
              <w:left w:val="single" w:sz="8" w:color="auto"/>
              <w:right w:val="single" w:sz="8" w:color="auto"/>
            </w:tcBorders>
            <w:gridSpan w:val="2"/>
            <w:vMerge w:val="continue"/>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5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General and administrative</w:t>
            </w:r>
            <w:r>
              <w:rPr>
                <w:rFonts w:ascii="Arial" w:cs="Arial" w:eastAsia="Arial" w:hAnsi="Arial"/>
                <w:sz w:val="19"/>
                <w:szCs w:val="19"/>
                <w:color w:val="auto"/>
                <w:vertAlign w:val="superscript"/>
              </w:rPr>
              <w:t>(4)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$18,398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$18,536</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$26,113</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$25,975</w:t>
            </w: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Total use of funds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$39,418</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$27,271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$36,036</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$46,897</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45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Unallocated working capital</w:t>
            </w:r>
            <w:r>
              <w:rPr>
                <w:rFonts w:ascii="Arial" w:cs="Arial" w:eastAsia="Arial" w:hAnsi="Arial"/>
                <w:sz w:val="19"/>
                <w:szCs w:val="19"/>
                <w:b w:val="1"/>
                <w:bCs w:val="1"/>
                <w:color w:val="auto"/>
                <w:vertAlign w:val="superscript"/>
              </w:rPr>
              <w:t>(5)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$29,550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$41,697</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N/A</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$22,071</w:t>
            </w: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TOTAL: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$68,968</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$68,968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N/A</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$68,968</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
        <w:spacing w:after="0"/>
        <w:rPr>
          <w:sz w:val="20"/>
          <w:szCs w:val="20"/>
          <w:color w:val="auto"/>
        </w:rPr>
      </w:pPr>
      <w:r>
        <w:rPr>
          <w:rFonts w:ascii="Arial" w:cs="Arial" w:eastAsia="Arial" w:hAnsi="Arial"/>
          <w:sz w:val="15"/>
          <w:szCs w:val="15"/>
          <w:b w:val="1"/>
          <w:bCs w:val="1"/>
          <w:u w:val="single" w:color="auto"/>
          <w:color w:val="auto"/>
        </w:rPr>
        <w:t>Notes:</w:t>
      </w:r>
    </w:p>
    <w:p>
      <w:pPr>
        <w:spacing w:after="0" w:line="38" w:lineRule="exact"/>
        <w:rPr>
          <w:sz w:val="20"/>
          <w:szCs w:val="20"/>
          <w:color w:val="auto"/>
        </w:rPr>
      </w:pPr>
    </w:p>
    <w:p>
      <w:pPr>
        <w:ind w:left="402" w:hanging="402"/>
        <w:spacing w:after="0"/>
        <w:tabs>
          <w:tab w:leader="none" w:pos="402" w:val="left"/>
        </w:tabs>
        <w:numPr>
          <w:ilvl w:val="0"/>
          <w:numId w:val="41"/>
        </w:numPr>
        <w:rPr>
          <w:rFonts w:ascii="Arial" w:cs="Arial" w:eastAsia="Arial" w:hAnsi="Arial"/>
          <w:sz w:val="15"/>
          <w:szCs w:val="15"/>
          <w:color w:val="auto"/>
        </w:rPr>
      </w:pPr>
      <w:r>
        <w:rPr>
          <w:rFonts w:ascii="Arial" w:cs="Arial" w:eastAsia="Arial" w:hAnsi="Arial"/>
          <w:sz w:val="15"/>
          <w:szCs w:val="15"/>
          <w:color w:val="auto"/>
        </w:rPr>
        <w:t>Certain amounts have been converted from USD to CAD at an exchange rate of 1.27:1.</w:t>
      </w:r>
    </w:p>
    <w:p>
      <w:pPr>
        <w:jc w:val="both"/>
        <w:ind w:left="402" w:hanging="402"/>
        <w:spacing w:after="0" w:line="187" w:lineRule="auto"/>
        <w:tabs>
          <w:tab w:leader="none" w:pos="395"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 light of compelling data related to CYB003, the Company has merged its Psilocybin Program with its deuterated tryptamine CYB003 preclinical program. The Company was previously running the programs in parallel in order to determine the molecules and methods of actions with the most benefits and least amount of drawbacks. This has now evolved into a single program, including both the MDD and AUD indication in the U.S. and UK, to prioritize the advancement of the potentially superior molecule in the most cost effective manner.</w:t>
      </w:r>
    </w:p>
    <w:p>
      <w:pPr>
        <w:ind w:left="402" w:hanging="402"/>
        <w:spacing w:after="0" w:line="187" w:lineRule="auto"/>
        <w:tabs>
          <w:tab w:leader="none" w:pos="395"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Company completed its evaluation of the Product Line and its marketing platform and concluded that it would not proceed with this program in order to prioritize the research and development progression of psychedelic molecules.</w:t>
      </w:r>
    </w:p>
    <w:p>
      <w:pPr>
        <w:ind w:left="402" w:hanging="402"/>
        <w:spacing w:after="0" w:line="187" w:lineRule="auto"/>
        <w:tabs>
          <w:tab w:leader="none" w:pos="395" w:val="left"/>
        </w:tabs>
        <w:numPr>
          <w:ilvl w:val="0"/>
          <w:numId w:val="41"/>
        </w:numPr>
        <w:rPr>
          <w:rFonts w:ascii="Arial" w:cs="Arial" w:eastAsia="Arial" w:hAnsi="Arial"/>
          <w:sz w:val="15"/>
          <w:szCs w:val="15"/>
          <w:color w:val="auto"/>
        </w:rPr>
      </w:pPr>
      <w:r>
        <w:rPr>
          <w:rFonts w:ascii="Arial" w:cs="Arial" w:eastAsia="Arial" w:hAnsi="Arial"/>
          <w:sz w:val="15"/>
          <w:szCs w:val="15"/>
          <w:color w:val="auto"/>
        </w:rPr>
        <w:t>General and administrative expenses are comprised of payroll consulting and benefits $4,087, office and administrative $6,480, capital market $3,861, business development $1,803, investor relations $1,371 and marketing media $934.</w:t>
      </w:r>
    </w:p>
    <w:p>
      <w:pPr>
        <w:ind w:left="402" w:hanging="402"/>
        <w:spacing w:after="0"/>
        <w:tabs>
          <w:tab w:leader="none" w:pos="402"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unallocated working balance will be held in short-term, investment grade, interest-bearing securities, in government securities or in bank accounts at the discretion of management.</w:t>
      </w:r>
    </w:p>
    <w:p>
      <w:pPr>
        <w:spacing w:after="0" w:line="209" w:lineRule="exact"/>
        <w:rPr>
          <w:sz w:val="20"/>
          <w:szCs w:val="20"/>
          <w:color w:val="auto"/>
        </w:rPr>
      </w:pPr>
    </w:p>
    <w:p>
      <w:pPr>
        <w:jc w:val="both"/>
        <w:ind w:left="2"/>
        <w:spacing w:after="0" w:line="265" w:lineRule="auto"/>
        <w:rPr>
          <w:sz w:val="20"/>
          <w:szCs w:val="20"/>
          <w:color w:val="auto"/>
        </w:rPr>
      </w:pPr>
      <w:r>
        <w:rPr>
          <w:rFonts w:ascii="Arial" w:cs="Arial" w:eastAsia="Arial" w:hAnsi="Arial"/>
          <w:sz w:val="17"/>
          <w:szCs w:val="17"/>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ectPr>
          <w:pgSz w:w="11900" w:h="16838" w:orient="portrait"/>
          <w:cols w:equalWidth="0" w:num="1">
            <w:col w:w="11242"/>
          </w:cols>
          <w:pgMar w:left="318" w:top="7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2"/>
          </w:cols>
          <w:pgMar w:left="318" w:top="731" w:right="339" w:bottom="1440" w:gutter="0" w:footer="0" w:header="0"/>
          <w:type w:val="continuous"/>
        </w:sectPr>
      </w:pPr>
    </w:p>
    <w:bookmarkStart w:id="44" w:name="page45"/>
    <w:bookmarkEnd w:id="44"/>
    <w:p>
      <w:pPr>
        <w:jc w:val="both"/>
        <w:spacing w:after="0" w:line="286" w:lineRule="auto"/>
        <w:rPr>
          <w:sz w:val="20"/>
          <w:szCs w:val="20"/>
          <w:color w:val="auto"/>
        </w:rPr>
      </w:pPr>
      <w:r>
        <w:rPr>
          <w:rFonts w:ascii="Arial" w:cs="Arial" w:eastAsia="Arial" w:hAnsi="Arial"/>
          <w:sz w:val="16"/>
          <w:szCs w:val="16"/>
          <w:color w:val="auto"/>
        </w:rPr>
        <w:t>The expected use of net proceeds from the Company’s financing activities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Certain COVID-19 related risks could delay or slow the implementation of the planned objectives resulting in additional costs for the Company to achieve its business objectives. The extent to which COVID-19 may impact the Company business activities will depend on future developments, such as the ultimate geographic spread of the disease, the duration of the outbreak, travel restrictions, business disruptions, and the effectiveness of actions taken in Canada, the United States, and other countries to contain and treat the disease. As these events are highly uncertain and the Company cannot determine their potential impact on operations at this time. The COVID-19 pandemic may negatively impact the Company’s business through disruption of supply and manufacturing, which would influence the amount and timing of planned expenditure. For example, prolonged disruptions in the supply of goods and services relied on by the Company to develop its products or restrictions resulting from government regulations that impact the Company ability to conduct its studies and clinic trials, may adversely impact the Company’s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on Stated Milestones and Business Objectives</w:t>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below table is intended to provide an update, as at December 31, 2021, on the Company’s business objectives and milestones, as disclosed in the July 2021 Prospectus. The July 2021 Prospectus, which is available on SEDAR at </w:t>
      </w:r>
      <w:r>
        <w:rPr>
          <w:rFonts w:ascii="Arial" w:cs="Arial" w:eastAsia="Arial" w:hAnsi="Arial"/>
          <w:sz w:val="18"/>
          <w:szCs w:val="18"/>
          <w:i w:val="1"/>
          <w:iCs w:val="1"/>
          <w:u w:val="single" w:color="auto"/>
          <w:color w:val="0000FF"/>
        </w:rPr>
        <w:t>www.sedar.com</w:t>
      </w:r>
      <w:r>
        <w:rPr>
          <w:rFonts w:ascii="Arial" w:cs="Arial" w:eastAsia="Arial" w:hAnsi="Arial"/>
          <w:sz w:val="18"/>
          <w:szCs w:val="18"/>
          <w:color w:val="auto"/>
        </w:rPr>
        <w:t>, identified certain business milestones of the Company, which are reproduced below. As of December 31, 2021, the Company provided the status of these milestones, the actual or revised estimated costs and the revised date of expected completion thereof, if applicable. Further, the Company has included additional objectives and milestones that have been identified since the date of the July 2021 Prospectus.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are “forward-looking statements” and as such, there is no guarantee that such milestones will be achieved on the timelines indicated or at all. Forward-looking statements are based on management’s current expectations and are subject to a number of risks, uncertainties, and assumptions. See “Forward-Looking Statements” and “Risk Factors”.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710" w:right="33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196"/>
        </w:trPr>
        <w:tc>
          <w:tcPr>
            <w:tcW w:w="2000" w:type="dxa"/>
            <w:vAlign w:val="bottom"/>
            <w:tcBorders>
              <w:top w:val="single" w:sz="8" w:color="auto"/>
              <w:left w:val="single" w:sz="8" w:color="auto"/>
              <w:right w:val="single" w:sz="8" w:color="auto"/>
            </w:tcBorders>
            <w:shd w:val="clear" w:color="auto" w:fill="D9D9D9"/>
          </w:tcPr>
          <w:p>
            <w:pPr>
              <w:spacing w:after="0"/>
              <w:rPr>
                <w:sz w:val="17"/>
                <w:szCs w:val="17"/>
                <w:color w:val="auto"/>
              </w:rPr>
            </w:pPr>
          </w:p>
        </w:tc>
        <w:tc>
          <w:tcPr>
            <w:tcW w:w="800" w:type="dxa"/>
            <w:vAlign w:val="bottom"/>
            <w:tcBorders>
              <w:top w:val="single" w:sz="8" w:color="auto"/>
            </w:tcBorders>
            <w:shd w:val="clear" w:color="auto" w:fill="D9D9D9"/>
          </w:tcPr>
          <w:p>
            <w:pPr>
              <w:spacing w:after="0"/>
              <w:rPr>
                <w:sz w:val="17"/>
                <w:szCs w:val="17"/>
                <w:color w:val="auto"/>
              </w:rPr>
            </w:pPr>
          </w:p>
        </w:tc>
        <w:tc>
          <w:tcPr>
            <w:tcW w:w="600" w:type="dxa"/>
            <w:vAlign w:val="bottom"/>
            <w:tcBorders>
              <w:top w:val="single" w:sz="8" w:color="auto"/>
            </w:tcBorders>
            <w:shd w:val="clear" w:color="auto" w:fill="D9D9D9"/>
          </w:tcPr>
          <w:p>
            <w:pPr>
              <w:spacing w:after="0"/>
              <w:rPr>
                <w:sz w:val="17"/>
                <w:szCs w:val="17"/>
                <w:color w:val="auto"/>
              </w:rPr>
            </w:pPr>
          </w:p>
        </w:tc>
        <w:tc>
          <w:tcPr>
            <w:tcW w:w="460" w:type="dxa"/>
            <w:vAlign w:val="bottom"/>
            <w:tcBorders>
              <w:top w:val="single" w:sz="8" w:color="auto"/>
            </w:tcBorders>
            <w:shd w:val="clear" w:color="auto" w:fill="D9D9D9"/>
          </w:tcPr>
          <w:p>
            <w:pPr>
              <w:spacing w:after="0"/>
              <w:rPr>
                <w:sz w:val="17"/>
                <w:szCs w:val="17"/>
                <w:color w:val="auto"/>
              </w:rPr>
            </w:pPr>
          </w:p>
        </w:tc>
        <w:tc>
          <w:tcPr>
            <w:tcW w:w="220" w:type="dxa"/>
            <w:vAlign w:val="bottom"/>
            <w:tcBorders>
              <w:top w:val="single" w:sz="8" w:color="auto"/>
              <w:right w:val="single" w:sz="8" w:color="auto"/>
            </w:tcBorders>
            <w:shd w:val="clear" w:color="auto" w:fill="D9D9D9"/>
          </w:tcPr>
          <w:p>
            <w:pPr>
              <w:spacing w:after="0"/>
              <w:rPr>
                <w:sz w:val="17"/>
                <w:szCs w:val="17"/>
                <w:color w:val="auto"/>
              </w:rPr>
            </w:pPr>
          </w:p>
        </w:tc>
        <w:tc>
          <w:tcPr>
            <w:tcW w:w="1220" w:type="dxa"/>
            <w:vAlign w:val="bottom"/>
            <w:tcBorders>
              <w:top w:val="single" w:sz="8" w:color="auto"/>
              <w:right w:val="single" w:sz="8" w:color="auto"/>
            </w:tcBorders>
            <w:shd w:val="clear" w:color="auto" w:fill="D9D9D9"/>
          </w:tcPr>
          <w:p>
            <w:pPr>
              <w:spacing w:after="0"/>
              <w:rPr>
                <w:sz w:val="17"/>
                <w:szCs w:val="17"/>
                <w:color w:val="auto"/>
              </w:rPr>
            </w:pPr>
          </w:p>
        </w:tc>
        <w:tc>
          <w:tcPr>
            <w:tcW w:w="12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8"/>
              </w:rPr>
              <w:t>Actual or Revised</w:t>
            </w:r>
          </w:p>
        </w:tc>
        <w:tc>
          <w:tcPr>
            <w:tcW w:w="1540" w:type="dxa"/>
            <w:vAlign w:val="bottom"/>
            <w:tcBorders>
              <w:top w:val="single" w:sz="8" w:color="auto"/>
              <w:right w:val="single" w:sz="8" w:color="auto"/>
            </w:tcBorders>
            <w:shd w:val="clear" w:color="auto" w:fill="D9D9D9"/>
          </w:tcPr>
          <w:p>
            <w:pPr>
              <w:spacing w:after="0"/>
              <w:rPr>
                <w:sz w:val="17"/>
                <w:szCs w:val="17"/>
                <w:color w:val="auto"/>
              </w:rPr>
            </w:pPr>
          </w:p>
        </w:tc>
        <w:tc>
          <w:tcPr>
            <w:tcW w:w="1320" w:type="dxa"/>
            <w:vAlign w:val="bottom"/>
            <w:tcBorders>
              <w:top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00" w:type="dxa"/>
            <w:vAlign w:val="bottom"/>
            <w:tcBorders>
              <w:left w:val="single" w:sz="8" w:color="auto"/>
              <w:right w:val="single" w:sz="8" w:color="auto"/>
            </w:tcBorders>
            <w:vMerge w:val="restart"/>
            <w:shd w:val="clear" w:color="auto" w:fill="D9D9D9"/>
          </w:tcPr>
          <w:p>
            <w:pPr>
              <w:ind w:left="700"/>
              <w:spacing w:after="0"/>
              <w:rPr>
                <w:sz w:val="20"/>
                <w:szCs w:val="20"/>
                <w:color w:val="auto"/>
              </w:rPr>
            </w:pPr>
            <w:r>
              <w:rPr>
                <w:rFonts w:ascii="Arial" w:cs="Arial" w:eastAsia="Arial" w:hAnsi="Arial"/>
                <w:sz w:val="15"/>
                <w:szCs w:val="15"/>
                <w:b w:val="1"/>
                <w:bCs w:val="1"/>
                <w:color w:val="auto"/>
              </w:rPr>
              <w:t>Objective</w:t>
            </w:r>
          </w:p>
        </w:tc>
        <w:tc>
          <w:tcPr>
            <w:tcW w:w="800" w:type="dxa"/>
            <w:vAlign w:val="bottom"/>
            <w:shd w:val="clear" w:color="auto" w:fill="D9D9D9"/>
          </w:tcPr>
          <w:p>
            <w:pPr>
              <w:spacing w:after="0"/>
              <w:rPr>
                <w:sz w:val="14"/>
                <w:szCs w:val="14"/>
                <w:color w:val="auto"/>
              </w:rPr>
            </w:pPr>
          </w:p>
        </w:tc>
        <w:tc>
          <w:tcPr>
            <w:tcW w:w="600" w:type="dxa"/>
            <w:vAlign w:val="bottom"/>
            <w:shd w:val="clear" w:color="auto" w:fill="D9D9D9"/>
          </w:tcPr>
          <w:p>
            <w:pPr>
              <w:spacing w:after="0"/>
              <w:rPr>
                <w:sz w:val="14"/>
                <w:szCs w:val="14"/>
                <w:color w:val="auto"/>
              </w:rPr>
            </w:pPr>
          </w:p>
        </w:tc>
        <w:tc>
          <w:tcPr>
            <w:tcW w:w="460" w:type="dxa"/>
            <w:vAlign w:val="bottom"/>
            <w:shd w:val="clear" w:color="auto" w:fill="D9D9D9"/>
          </w:tcPr>
          <w:p>
            <w:pPr>
              <w:spacing w:after="0"/>
              <w:rPr>
                <w:sz w:val="14"/>
                <w:szCs w:val="14"/>
                <w:color w:val="auto"/>
              </w:rPr>
            </w:pPr>
          </w:p>
        </w:tc>
        <w:tc>
          <w:tcPr>
            <w:tcW w:w="220" w:type="dxa"/>
            <w:vAlign w:val="bottom"/>
            <w:tcBorders>
              <w:right w:val="single" w:sz="8" w:color="auto"/>
            </w:tcBorders>
            <w:shd w:val="clear" w:color="auto" w:fill="D9D9D9"/>
          </w:tcPr>
          <w:p>
            <w:pPr>
              <w:spacing w:after="0"/>
              <w:rPr>
                <w:sz w:val="14"/>
                <w:szCs w:val="14"/>
                <w:color w:val="auto"/>
              </w:rPr>
            </w:pPr>
          </w:p>
        </w:tc>
        <w:tc>
          <w:tcPr>
            <w:tcW w:w="122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91"/>
              </w:rPr>
              <w:t>Prior Estimated</w:t>
            </w:r>
          </w:p>
        </w:tc>
        <w:tc>
          <w:tcPr>
            <w:tcW w:w="120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7"/>
              </w:rPr>
              <w:t>Estimated Cost</w:t>
            </w:r>
          </w:p>
        </w:tc>
        <w:tc>
          <w:tcPr>
            <w:tcW w:w="154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90"/>
              </w:rPr>
              <w:t>Actual/Estimated</w:t>
            </w:r>
          </w:p>
        </w:tc>
        <w:tc>
          <w:tcPr>
            <w:tcW w:w="13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7"/>
              </w:rPr>
              <w:t>Status</w:t>
            </w:r>
          </w:p>
        </w:tc>
        <w:tc>
          <w:tcPr>
            <w:tcW w:w="0" w:type="dxa"/>
            <w:vAlign w:val="bottom"/>
          </w:tcPr>
          <w:p>
            <w:pPr>
              <w:spacing w:after="0"/>
              <w:rPr>
                <w:sz w:val="1"/>
                <w:szCs w:val="1"/>
                <w:color w:val="auto"/>
              </w:rPr>
            </w:pPr>
          </w:p>
        </w:tc>
      </w:tr>
      <w:tr>
        <w:trPr>
          <w:trHeight w:val="171"/>
        </w:trPr>
        <w:tc>
          <w:tcPr>
            <w:tcW w:w="2000" w:type="dxa"/>
            <w:vAlign w:val="bottom"/>
            <w:tcBorders>
              <w:left w:val="single" w:sz="8" w:color="auto"/>
              <w:right w:val="single" w:sz="8" w:color="auto"/>
            </w:tcBorders>
            <w:vMerge w:val="continue"/>
            <w:shd w:val="clear" w:color="auto" w:fill="D9D9D9"/>
          </w:tcPr>
          <w:p>
            <w:pPr>
              <w:spacing w:after="0"/>
              <w:rPr>
                <w:sz w:val="14"/>
                <w:szCs w:val="14"/>
                <w:color w:val="auto"/>
              </w:rPr>
            </w:pPr>
          </w:p>
        </w:tc>
        <w:tc>
          <w:tcPr>
            <w:tcW w:w="1860" w:type="dxa"/>
            <w:vAlign w:val="bottom"/>
            <w:gridSpan w:val="3"/>
            <w:shd w:val="clear" w:color="auto" w:fill="D9D9D9"/>
          </w:tcPr>
          <w:p>
            <w:pPr>
              <w:ind w:left="600"/>
              <w:spacing w:after="0" w:line="172" w:lineRule="exact"/>
              <w:rPr>
                <w:sz w:val="20"/>
                <w:szCs w:val="20"/>
                <w:color w:val="auto"/>
              </w:rPr>
            </w:pPr>
            <w:r>
              <w:rPr>
                <w:rFonts w:ascii="Arial" w:cs="Arial" w:eastAsia="Arial" w:hAnsi="Arial"/>
                <w:sz w:val="15"/>
                <w:szCs w:val="15"/>
                <w:b w:val="1"/>
                <w:bCs w:val="1"/>
                <w:color w:val="auto"/>
              </w:rPr>
              <w:t>Milestone</w:t>
            </w:r>
            <w:r>
              <w:rPr>
                <w:rFonts w:ascii="Arial" w:cs="Arial" w:eastAsia="Arial" w:hAnsi="Arial"/>
                <w:sz w:val="19"/>
                <w:szCs w:val="19"/>
                <w:b w:val="1"/>
                <w:bCs w:val="1"/>
                <w:color w:val="auto"/>
                <w:vertAlign w:val="superscript"/>
              </w:rPr>
              <w:t>(1)(2)</w:t>
            </w:r>
          </w:p>
        </w:tc>
        <w:tc>
          <w:tcPr>
            <w:tcW w:w="220" w:type="dxa"/>
            <w:vAlign w:val="bottom"/>
            <w:tcBorders>
              <w:right w:val="single" w:sz="8" w:color="auto"/>
            </w:tcBorders>
            <w:shd w:val="clear" w:color="auto" w:fill="D9D9D9"/>
          </w:tcPr>
          <w:p>
            <w:pPr>
              <w:spacing w:after="0"/>
              <w:rPr>
                <w:sz w:val="14"/>
                <w:szCs w:val="14"/>
                <w:color w:val="auto"/>
              </w:rPr>
            </w:pPr>
          </w:p>
        </w:tc>
        <w:tc>
          <w:tcPr>
            <w:tcW w:w="122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8"/>
              </w:rPr>
              <w:t>Cost in July 2021</w:t>
            </w:r>
          </w:p>
        </w:tc>
        <w:tc>
          <w:tcPr>
            <w:tcW w:w="120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8"/>
              </w:rPr>
              <w:t>(June 1, 2021 to</w:t>
            </w:r>
          </w:p>
        </w:tc>
        <w:tc>
          <w:tcPr>
            <w:tcW w:w="154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93"/>
              </w:rPr>
              <w:t>Timeframe for</w:t>
            </w:r>
          </w:p>
        </w:tc>
        <w:tc>
          <w:tcPr>
            <w:tcW w:w="1320" w:type="dxa"/>
            <w:vAlign w:val="bottom"/>
            <w:tcBorders>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0" w:type="dxa"/>
            <w:vAlign w:val="bottom"/>
            <w:tcBorders>
              <w:left w:val="single" w:sz="8" w:color="auto"/>
              <w:right w:val="single" w:sz="8" w:color="auto"/>
            </w:tcBorders>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600" w:type="dxa"/>
            <w:vAlign w:val="bottom"/>
            <w:shd w:val="clear" w:color="auto" w:fill="D9D9D9"/>
          </w:tcPr>
          <w:p>
            <w:pPr>
              <w:spacing w:after="0"/>
              <w:rPr>
                <w:sz w:val="14"/>
                <w:szCs w:val="14"/>
                <w:color w:val="auto"/>
              </w:rPr>
            </w:pPr>
          </w:p>
        </w:tc>
        <w:tc>
          <w:tcPr>
            <w:tcW w:w="460" w:type="dxa"/>
            <w:vAlign w:val="bottom"/>
            <w:shd w:val="clear" w:color="auto" w:fill="D9D9D9"/>
          </w:tcPr>
          <w:p>
            <w:pPr>
              <w:spacing w:after="0"/>
              <w:rPr>
                <w:sz w:val="14"/>
                <w:szCs w:val="14"/>
                <w:color w:val="auto"/>
              </w:rPr>
            </w:pPr>
          </w:p>
        </w:tc>
        <w:tc>
          <w:tcPr>
            <w:tcW w:w="220" w:type="dxa"/>
            <w:vAlign w:val="bottom"/>
            <w:tcBorders>
              <w:right w:val="single" w:sz="8" w:color="auto"/>
            </w:tcBorders>
            <w:shd w:val="clear" w:color="auto" w:fill="D9D9D9"/>
          </w:tcPr>
          <w:p>
            <w:pPr>
              <w:spacing w:after="0"/>
              <w:rPr>
                <w:sz w:val="14"/>
                <w:szCs w:val="14"/>
                <w:color w:val="auto"/>
              </w:rPr>
            </w:pPr>
          </w:p>
        </w:tc>
        <w:tc>
          <w:tcPr>
            <w:tcW w:w="122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0"/>
              </w:rPr>
              <w:t>Prospectus</w:t>
            </w:r>
            <w:r>
              <w:rPr>
                <w:rFonts w:ascii="Arial" w:cs="Arial" w:eastAsia="Arial" w:hAnsi="Arial"/>
                <w:sz w:val="19"/>
                <w:szCs w:val="19"/>
                <w:b w:val="1"/>
                <w:bCs w:val="1"/>
                <w:color w:val="auto"/>
                <w:w w:val="80"/>
                <w:vertAlign w:val="superscript"/>
              </w:rPr>
              <w:t>(3)</w:t>
            </w:r>
          </w:p>
        </w:tc>
        <w:tc>
          <w:tcPr>
            <w:tcW w:w="120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6"/>
              </w:rPr>
              <w:t>December 31,</w:t>
            </w:r>
          </w:p>
        </w:tc>
        <w:tc>
          <w:tcPr>
            <w:tcW w:w="1540" w:type="dxa"/>
            <w:vAlign w:val="bottom"/>
            <w:tcBorders>
              <w:right w:val="single" w:sz="8" w:color="auto"/>
            </w:tcBorders>
            <w:shd w:val="clear" w:color="auto" w:fill="D9D9D9"/>
          </w:tcPr>
          <w:p>
            <w:pPr>
              <w:jc w:val="center"/>
              <w:spacing w:after="0" w:line="172" w:lineRule="exact"/>
              <w:rPr>
                <w:sz w:val="20"/>
                <w:szCs w:val="20"/>
                <w:color w:val="auto"/>
              </w:rPr>
            </w:pPr>
            <w:r>
              <w:rPr>
                <w:rFonts w:ascii="Arial" w:cs="Arial" w:eastAsia="Arial" w:hAnsi="Arial"/>
                <w:sz w:val="15"/>
                <w:szCs w:val="15"/>
                <w:b w:val="1"/>
                <w:bCs w:val="1"/>
                <w:color w:val="auto"/>
                <w:w w:val="82"/>
              </w:rPr>
              <w:t>Completion</w:t>
            </w:r>
            <w:r>
              <w:rPr>
                <w:rFonts w:ascii="Arial" w:cs="Arial" w:eastAsia="Arial" w:hAnsi="Arial"/>
                <w:sz w:val="19"/>
                <w:szCs w:val="19"/>
                <w:b w:val="1"/>
                <w:bCs w:val="1"/>
                <w:color w:val="auto"/>
                <w:w w:val="82"/>
                <w:vertAlign w:val="superscript"/>
              </w:rPr>
              <w:t>(4)(5)</w:t>
            </w:r>
          </w:p>
        </w:tc>
        <w:tc>
          <w:tcPr>
            <w:tcW w:w="1320" w:type="dxa"/>
            <w:vAlign w:val="bottom"/>
            <w:tcBorders>
              <w:right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800" w:type="dxa"/>
            <w:vAlign w:val="bottom"/>
            <w:tcBorders>
              <w:bottom w:val="single" w:sz="8" w:color="auto"/>
            </w:tcBorders>
            <w:shd w:val="clear" w:color="auto" w:fill="D9D9D9"/>
          </w:tcPr>
          <w:p>
            <w:pPr>
              <w:spacing w:after="0"/>
              <w:rPr>
                <w:sz w:val="18"/>
                <w:szCs w:val="18"/>
                <w:color w:val="auto"/>
              </w:rPr>
            </w:pPr>
          </w:p>
        </w:tc>
        <w:tc>
          <w:tcPr>
            <w:tcW w:w="600" w:type="dxa"/>
            <w:vAlign w:val="bottom"/>
            <w:tcBorders>
              <w:bottom w:val="single" w:sz="8" w:color="auto"/>
            </w:tcBorders>
            <w:shd w:val="clear" w:color="auto" w:fill="D9D9D9"/>
          </w:tcPr>
          <w:p>
            <w:pPr>
              <w:spacing w:after="0"/>
              <w:rPr>
                <w:sz w:val="18"/>
                <w:szCs w:val="18"/>
                <w:color w:val="auto"/>
              </w:rPr>
            </w:pPr>
          </w:p>
        </w:tc>
        <w:tc>
          <w:tcPr>
            <w:tcW w:w="460" w:type="dxa"/>
            <w:vAlign w:val="bottom"/>
            <w:tcBorders>
              <w:bottom w:val="single" w:sz="8" w:color="auto"/>
            </w:tcBorders>
            <w:shd w:val="clear" w:color="auto" w:fill="D9D9D9"/>
          </w:tcPr>
          <w:p>
            <w:pPr>
              <w:spacing w:after="0"/>
              <w:rPr>
                <w:sz w:val="18"/>
                <w:szCs w:val="18"/>
                <w:color w:val="auto"/>
              </w:rPr>
            </w:pPr>
          </w:p>
        </w:tc>
        <w:tc>
          <w:tcPr>
            <w:tcW w:w="220" w:type="dxa"/>
            <w:vAlign w:val="bottom"/>
            <w:tcBorders>
              <w:bottom w:val="single" w:sz="8" w:color="auto"/>
              <w:right w:val="single" w:sz="8" w:color="auto"/>
            </w:tcBorders>
            <w:shd w:val="clear" w:color="auto" w:fill="D9D9D9"/>
          </w:tcPr>
          <w:p>
            <w:pPr>
              <w:spacing w:after="0"/>
              <w:rPr>
                <w:sz w:val="18"/>
                <w:szCs w:val="18"/>
                <w:color w:val="auto"/>
              </w:rPr>
            </w:pPr>
          </w:p>
        </w:tc>
        <w:tc>
          <w:tcPr>
            <w:tcW w:w="1220" w:type="dxa"/>
            <w:vAlign w:val="bottom"/>
            <w:tcBorders>
              <w:bottom w:val="single" w:sz="8" w:color="auto"/>
              <w:right w:val="single" w:sz="8" w:color="auto"/>
            </w:tcBorders>
            <w:shd w:val="clear" w:color="auto" w:fill="D9D9D9"/>
          </w:tcPr>
          <w:p>
            <w:pPr>
              <w:spacing w:after="0"/>
              <w:rPr>
                <w:sz w:val="18"/>
                <w:szCs w:val="18"/>
                <w:color w:val="auto"/>
              </w:rPr>
            </w:pPr>
          </w:p>
        </w:tc>
        <w:tc>
          <w:tcPr>
            <w:tcW w:w="1200" w:type="dxa"/>
            <w:vAlign w:val="bottom"/>
            <w:tcBorders>
              <w:bottom w:val="single" w:sz="8" w:color="auto"/>
              <w:right w:val="single" w:sz="8" w:color="auto"/>
            </w:tcBorders>
            <w:shd w:val="clear" w:color="auto" w:fill="D9D9D9"/>
          </w:tcPr>
          <w:p>
            <w:pPr>
              <w:jc w:val="center"/>
              <w:spacing w:after="0" w:line="208" w:lineRule="exact"/>
              <w:rPr>
                <w:sz w:val="20"/>
                <w:szCs w:val="20"/>
                <w:color w:val="auto"/>
              </w:rPr>
            </w:pPr>
            <w:r>
              <w:rPr>
                <w:rFonts w:ascii="Arial" w:cs="Arial" w:eastAsia="Arial" w:hAnsi="Arial"/>
                <w:sz w:val="15"/>
                <w:szCs w:val="15"/>
                <w:b w:val="1"/>
                <w:bCs w:val="1"/>
                <w:color w:val="auto"/>
                <w:w w:val="82"/>
              </w:rPr>
              <w:t xml:space="preserve">2022) </w:t>
            </w:r>
            <w:r>
              <w:rPr>
                <w:rFonts w:ascii="Arial" w:cs="Arial" w:eastAsia="Arial" w:hAnsi="Arial"/>
                <w:sz w:val="19"/>
                <w:szCs w:val="19"/>
                <w:b w:val="1"/>
                <w:bCs w:val="1"/>
                <w:color w:val="auto"/>
                <w:w w:val="82"/>
                <w:vertAlign w:val="superscript"/>
              </w:rPr>
              <w:t>(3)</w:t>
            </w:r>
          </w:p>
        </w:tc>
        <w:tc>
          <w:tcPr>
            <w:tcW w:w="1540" w:type="dxa"/>
            <w:vAlign w:val="bottom"/>
            <w:tcBorders>
              <w:bottom w:val="single" w:sz="8" w:color="auto"/>
              <w:right w:val="single" w:sz="8" w:color="auto"/>
            </w:tcBorders>
            <w:shd w:val="clear" w:color="auto" w:fill="D9D9D9"/>
          </w:tcPr>
          <w:p>
            <w:pPr>
              <w:spacing w:after="0"/>
              <w:rPr>
                <w:sz w:val="18"/>
                <w:szCs w:val="18"/>
                <w:color w:val="auto"/>
              </w:rPr>
            </w:pPr>
          </w:p>
        </w:tc>
        <w:tc>
          <w:tcPr>
            <w:tcW w:w="132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ind w:left="100"/>
              <w:spacing w:after="0" w:line="180" w:lineRule="exact"/>
              <w:rPr>
                <w:sz w:val="20"/>
                <w:szCs w:val="20"/>
                <w:color w:val="auto"/>
              </w:rPr>
            </w:pPr>
            <w:r>
              <w:rPr>
                <w:rFonts w:ascii="Arial" w:cs="Arial" w:eastAsia="Arial" w:hAnsi="Arial"/>
                <w:sz w:val="15"/>
                <w:szCs w:val="15"/>
                <w:color w:val="auto"/>
              </w:rPr>
              <w:t>Psilocybin Program</w:t>
            </w:r>
            <w:r>
              <w:rPr>
                <w:rFonts w:ascii="Arial" w:cs="Arial" w:eastAsia="Arial" w:hAnsi="Arial"/>
                <w:sz w:val="19"/>
                <w:szCs w:val="19"/>
                <w:color w:val="auto"/>
                <w:vertAlign w:val="superscript"/>
              </w:rPr>
              <w:t>(8)</w:t>
            </w:r>
          </w:p>
        </w:tc>
        <w:tc>
          <w:tcPr>
            <w:tcW w:w="1860" w:type="dxa"/>
            <w:vAlign w:val="bottom"/>
            <w:gridSpan w:val="3"/>
          </w:tcPr>
          <w:p>
            <w:pPr>
              <w:spacing w:after="0"/>
              <w:rPr>
                <w:sz w:val="20"/>
                <w:szCs w:val="20"/>
                <w:color w:val="auto"/>
              </w:rPr>
            </w:pPr>
            <w:r>
              <w:rPr>
                <w:rFonts w:ascii="Arial" w:cs="Arial" w:eastAsia="Arial" w:hAnsi="Arial"/>
                <w:sz w:val="15"/>
                <w:szCs w:val="15"/>
                <w:color w:val="auto"/>
              </w:rPr>
              <w:t>Chemically develop and</w:t>
            </w:r>
          </w:p>
        </w:tc>
        <w:tc>
          <w:tcPr>
            <w:tcW w:w="2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00" w:type="dxa"/>
            <w:vAlign w:val="bottom"/>
            <w:tcBorders>
              <w:left w:val="single" w:sz="8" w:color="auto"/>
              <w:right w:val="single" w:sz="8" w:color="auto"/>
            </w:tcBorders>
          </w:tcPr>
          <w:p>
            <w:pPr>
              <w:spacing w:after="0"/>
              <w:rPr>
                <w:sz w:val="22"/>
                <w:szCs w:val="22"/>
                <w:color w:val="auto"/>
              </w:rPr>
            </w:pPr>
          </w:p>
        </w:tc>
        <w:tc>
          <w:tcPr>
            <w:tcW w:w="1860" w:type="dxa"/>
            <w:vAlign w:val="bottom"/>
            <w:gridSpan w:val="3"/>
          </w:tcPr>
          <w:p>
            <w:pPr>
              <w:spacing w:after="0"/>
              <w:rPr>
                <w:sz w:val="20"/>
                <w:szCs w:val="20"/>
                <w:color w:val="auto"/>
              </w:rPr>
            </w:pPr>
            <w:r>
              <w:rPr>
                <w:rFonts w:ascii="Arial" w:cs="Arial" w:eastAsia="Arial" w:hAnsi="Arial"/>
                <w:sz w:val="15"/>
                <w:szCs w:val="15"/>
                <w:color w:val="auto"/>
                <w:w w:val="89"/>
              </w:rPr>
              <w:t>synthesize psychedelic APIs</w:t>
            </w:r>
            <w:r>
              <w:rPr>
                <w:rFonts w:ascii="Arial" w:cs="Arial" w:eastAsia="Arial" w:hAnsi="Arial"/>
                <w:sz w:val="19"/>
                <w:szCs w:val="19"/>
                <w:color w:val="auto"/>
                <w:w w:val="89"/>
                <w:vertAlign w:val="superscript"/>
              </w:rPr>
              <w:t>(6)</w:t>
            </w:r>
          </w:p>
        </w:tc>
        <w:tc>
          <w:tcPr>
            <w:tcW w:w="22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Q1 2021</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Completed</w:t>
            </w:r>
            <w:r>
              <w:rPr>
                <w:rFonts w:ascii="Arial" w:cs="Arial" w:eastAsia="Arial" w:hAnsi="Arial"/>
                <w:sz w:val="19"/>
                <w:szCs w:val="19"/>
                <w:color w:val="auto"/>
                <w:w w:val="86"/>
                <w:vertAlign w:val="superscript"/>
              </w:rPr>
              <w:t>(7)</w:t>
            </w:r>
          </w:p>
        </w:tc>
        <w:tc>
          <w:tcPr>
            <w:tcW w:w="0" w:type="dxa"/>
            <w:vAlign w:val="bottom"/>
          </w:tcPr>
          <w:p>
            <w:pPr>
              <w:spacing w:after="0"/>
              <w:rPr>
                <w:sz w:val="1"/>
                <w:szCs w:val="1"/>
                <w:color w:val="auto"/>
              </w:rPr>
            </w:pPr>
          </w:p>
        </w:tc>
      </w:tr>
      <w:tr>
        <w:trPr>
          <w:trHeight w:val="138"/>
        </w:trPr>
        <w:tc>
          <w:tcPr>
            <w:tcW w:w="2000" w:type="dxa"/>
            <w:vAlign w:val="bottom"/>
            <w:tcBorders>
              <w:left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800" w:type="dxa"/>
            <w:vAlign w:val="bottom"/>
          </w:tcPr>
          <w:p>
            <w:pPr>
              <w:spacing w:after="0"/>
              <w:rPr>
                <w:sz w:val="20"/>
                <w:szCs w:val="20"/>
                <w:color w:val="auto"/>
              </w:rPr>
            </w:pPr>
            <w:r>
              <w:rPr>
                <w:rFonts w:ascii="Arial" w:cs="Arial" w:eastAsia="Arial" w:hAnsi="Arial"/>
                <w:sz w:val="15"/>
                <w:szCs w:val="15"/>
                <w:color w:val="auto"/>
                <w:w w:val="88"/>
              </w:rPr>
              <w:t>Development</w:t>
            </w:r>
          </w:p>
        </w:tc>
        <w:tc>
          <w:tcPr>
            <w:tcW w:w="600" w:type="dxa"/>
            <w:vAlign w:val="bottom"/>
          </w:tcPr>
          <w:p>
            <w:pPr>
              <w:ind w:left="240"/>
              <w:spacing w:after="0"/>
              <w:rPr>
                <w:sz w:val="20"/>
                <w:szCs w:val="20"/>
                <w:color w:val="auto"/>
              </w:rPr>
            </w:pPr>
            <w:r>
              <w:rPr>
                <w:rFonts w:ascii="Arial" w:cs="Arial" w:eastAsia="Arial" w:hAnsi="Arial"/>
                <w:sz w:val="15"/>
                <w:szCs w:val="15"/>
                <w:color w:val="auto"/>
              </w:rPr>
              <w:t>of</w:t>
            </w:r>
          </w:p>
        </w:tc>
        <w:tc>
          <w:tcPr>
            <w:tcW w:w="680" w:type="dxa"/>
            <w:vAlign w:val="bottom"/>
            <w:tcBorders>
              <w:right w:val="single" w:sz="8" w:color="auto"/>
            </w:tcBorders>
            <w:gridSpan w:val="2"/>
          </w:tcPr>
          <w:p>
            <w:pPr>
              <w:ind w:left="20"/>
              <w:spacing w:after="0"/>
              <w:rPr>
                <w:sz w:val="20"/>
                <w:szCs w:val="20"/>
                <w:color w:val="auto"/>
              </w:rPr>
            </w:pPr>
            <w:r>
              <w:rPr>
                <w:rFonts w:ascii="Arial" w:cs="Arial" w:eastAsia="Arial" w:hAnsi="Arial"/>
                <w:sz w:val="15"/>
                <w:szCs w:val="15"/>
                <w:color w:val="auto"/>
                <w:w w:val="94"/>
              </w:rPr>
              <w:t>psilocybin</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right w:val="single" w:sz="8" w:color="auto"/>
            </w:tcBorders>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5"/>
                <w:szCs w:val="15"/>
                <w:color w:val="auto"/>
              </w:rPr>
              <w:t>Sublingual Film</w:t>
            </w:r>
            <w:r>
              <w:rPr>
                <w:rFonts w:ascii="Arial" w:cs="Arial" w:eastAsia="Arial" w:hAnsi="Arial"/>
                <w:sz w:val="19"/>
                <w:szCs w:val="19"/>
                <w:color w:val="auto"/>
                <w:vertAlign w:val="superscript"/>
              </w:rPr>
              <w:t>(9)</w:t>
            </w:r>
          </w:p>
        </w:tc>
        <w:tc>
          <w:tcPr>
            <w:tcW w:w="4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$210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$97</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Merged</w:t>
            </w:r>
            <w:r>
              <w:rPr>
                <w:rFonts w:ascii="Arial" w:cs="Arial" w:eastAsia="Arial" w:hAnsi="Arial"/>
                <w:sz w:val="19"/>
                <w:szCs w:val="19"/>
                <w:color w:val="auto"/>
                <w:w w:val="84"/>
                <w:vertAlign w:val="superscript"/>
              </w:rPr>
              <w:t>(8)</w:t>
            </w: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gridSpan w:val="4"/>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94"/>
              </w:rPr>
              <w:t>Phase IIa MDD study completed</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right w:val="single" w:sz="8" w:color="auto"/>
            </w:tcBorders>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5"/>
                <w:szCs w:val="15"/>
                <w:color w:val="auto"/>
                <w:w w:val="94"/>
              </w:rPr>
              <w:t>with data</w:t>
            </w:r>
            <w:r>
              <w:rPr>
                <w:rFonts w:ascii="Arial" w:cs="Arial" w:eastAsia="Arial" w:hAnsi="Arial"/>
                <w:sz w:val="19"/>
                <w:szCs w:val="19"/>
                <w:color w:val="auto"/>
                <w:w w:val="94"/>
                <w:vertAlign w:val="superscript"/>
              </w:rPr>
              <w:t>(10)</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$772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$339</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Merged</w:t>
            </w:r>
            <w:r>
              <w:rPr>
                <w:rFonts w:ascii="Arial" w:cs="Arial" w:eastAsia="Arial" w:hAnsi="Arial"/>
                <w:sz w:val="19"/>
                <w:szCs w:val="19"/>
                <w:color w:val="auto"/>
                <w:w w:val="84"/>
                <w:vertAlign w:val="superscript"/>
              </w:rPr>
              <w:t>(8)</w:t>
            </w: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gridSpan w:val="4"/>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94"/>
              </w:rPr>
              <w:t>Phase IIb MDD study completed</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right w:val="single" w:sz="8" w:color="auto"/>
            </w:tcBorders>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5"/>
                <w:szCs w:val="15"/>
                <w:color w:val="auto"/>
                <w:w w:val="94"/>
              </w:rPr>
              <w:t>with data</w:t>
            </w:r>
            <w:r>
              <w:rPr>
                <w:rFonts w:ascii="Arial" w:cs="Arial" w:eastAsia="Arial" w:hAnsi="Arial"/>
                <w:sz w:val="19"/>
                <w:szCs w:val="19"/>
                <w:color w:val="auto"/>
                <w:w w:val="94"/>
                <w:vertAlign w:val="superscript"/>
              </w:rPr>
              <w:t>(10)</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$1,000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Merged</w:t>
            </w:r>
            <w:r>
              <w:rPr>
                <w:rFonts w:ascii="Arial" w:cs="Arial" w:eastAsia="Arial" w:hAnsi="Arial"/>
                <w:sz w:val="19"/>
                <w:szCs w:val="19"/>
                <w:color w:val="auto"/>
                <w:w w:val="84"/>
                <w:vertAlign w:val="superscript"/>
              </w:rPr>
              <w:t>(8)</w:t>
            </w: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right w:val="single" w:sz="8" w:color="auto"/>
            </w:tcBorders>
          </w:tcPr>
          <w:p>
            <w:pPr>
              <w:spacing w:after="0"/>
              <w:rPr>
                <w:sz w:val="13"/>
                <w:szCs w:val="13"/>
                <w:color w:val="auto"/>
              </w:rPr>
            </w:pPr>
          </w:p>
        </w:tc>
        <w:tc>
          <w:tcPr>
            <w:tcW w:w="1860" w:type="dxa"/>
            <w:vAlign w:val="bottom"/>
            <w:tcBorders>
              <w:bottom w:val="single" w:sz="8" w:color="auto"/>
            </w:tcBorders>
            <w:gridSpan w:val="3"/>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1860" w:type="dxa"/>
            <w:vAlign w:val="bottom"/>
            <w:gridSpan w:val="3"/>
          </w:tcPr>
          <w:p>
            <w:pPr>
              <w:spacing w:after="0"/>
              <w:rPr>
                <w:sz w:val="20"/>
                <w:szCs w:val="20"/>
                <w:color w:val="auto"/>
              </w:rPr>
            </w:pPr>
            <w:r>
              <w:rPr>
                <w:rFonts w:ascii="Arial" w:cs="Arial" w:eastAsia="Arial" w:hAnsi="Arial"/>
                <w:sz w:val="15"/>
                <w:szCs w:val="15"/>
                <w:color w:val="auto"/>
                <w:w w:val="90"/>
              </w:rPr>
              <w:t>Support of additional phase IIb</w:t>
            </w:r>
          </w:p>
        </w:tc>
        <w:tc>
          <w:tcPr>
            <w:tcW w:w="2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0" w:type="dxa"/>
            <w:vAlign w:val="bottom"/>
            <w:tcBorders>
              <w:left w:val="single" w:sz="8" w:color="auto"/>
              <w:right w:val="single" w:sz="8" w:color="auto"/>
            </w:tcBorders>
          </w:tcPr>
          <w:p>
            <w:pPr>
              <w:spacing w:after="0"/>
              <w:rPr>
                <w:sz w:val="14"/>
                <w:szCs w:val="14"/>
                <w:color w:val="auto"/>
              </w:rPr>
            </w:pPr>
          </w:p>
        </w:tc>
        <w:tc>
          <w:tcPr>
            <w:tcW w:w="1860" w:type="dxa"/>
            <w:vAlign w:val="bottom"/>
            <w:gridSpan w:val="3"/>
          </w:tcPr>
          <w:p>
            <w:pPr>
              <w:spacing w:after="0" w:line="172" w:lineRule="exact"/>
              <w:rPr>
                <w:sz w:val="20"/>
                <w:szCs w:val="20"/>
                <w:color w:val="auto"/>
              </w:rPr>
            </w:pPr>
            <w:r>
              <w:rPr>
                <w:rFonts w:ascii="Arial" w:cs="Arial" w:eastAsia="Arial" w:hAnsi="Arial"/>
                <w:sz w:val="15"/>
                <w:szCs w:val="15"/>
                <w:color w:val="auto"/>
                <w:w w:val="93"/>
              </w:rPr>
              <w:t>study sites in Canada and the</w:t>
            </w:r>
          </w:p>
        </w:tc>
        <w:tc>
          <w:tcPr>
            <w:tcW w:w="2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$1,810</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3"/>
              </w:rPr>
              <w:t>$379</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4"/>
              </w:rPr>
              <w:t>Merged</w:t>
            </w:r>
            <w:r>
              <w:rPr>
                <w:rFonts w:ascii="Arial" w:cs="Arial" w:eastAsia="Arial" w:hAnsi="Arial"/>
                <w:sz w:val="19"/>
                <w:szCs w:val="19"/>
                <w:color w:val="auto"/>
                <w:w w:val="84"/>
                <w:vertAlign w:val="superscript"/>
              </w:rPr>
              <w:t>(8)</w:t>
            </w:r>
          </w:p>
        </w:tc>
        <w:tc>
          <w:tcPr>
            <w:tcW w:w="0" w:type="dxa"/>
            <w:vAlign w:val="bottom"/>
          </w:tcPr>
          <w:p>
            <w:pPr>
              <w:spacing w:after="0"/>
              <w:rPr>
                <w:sz w:val="1"/>
                <w:szCs w:val="1"/>
                <w:color w:val="auto"/>
              </w:rPr>
            </w:pPr>
          </w:p>
        </w:tc>
      </w:tr>
      <w:tr>
        <w:trPr>
          <w:trHeight w:val="143"/>
        </w:trPr>
        <w:tc>
          <w:tcPr>
            <w:tcW w:w="2000" w:type="dxa"/>
            <w:vAlign w:val="bottom"/>
            <w:tcBorders>
              <w:left w:val="single" w:sz="8" w:color="auto"/>
              <w:right w:val="single" w:sz="8" w:color="auto"/>
            </w:tcBorders>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Arial" w:cs="Arial" w:eastAsia="Arial" w:hAnsi="Arial"/>
                <w:sz w:val="15"/>
                <w:szCs w:val="15"/>
                <w:color w:val="auto"/>
              </w:rPr>
              <w:t>United States</w:t>
            </w:r>
            <w:r>
              <w:rPr>
                <w:rFonts w:ascii="Arial" w:cs="Arial" w:eastAsia="Arial" w:hAnsi="Arial"/>
                <w:sz w:val="19"/>
                <w:szCs w:val="19"/>
                <w:color w:val="auto"/>
                <w:vertAlign w:val="superscript"/>
              </w:rPr>
              <w:t>(10)</w:t>
            </w:r>
          </w:p>
        </w:tc>
        <w:tc>
          <w:tcPr>
            <w:tcW w:w="4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00" w:type="dxa"/>
            <w:vAlign w:val="bottom"/>
            <w:tcBorders>
              <w:left w:val="single" w:sz="8" w:color="auto"/>
              <w:right w:val="single" w:sz="8" w:color="auto"/>
            </w:tcBorders>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gridSpan w:val="4"/>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92"/>
              </w:rPr>
              <w:t>Commence microdose study with</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0" w:type="dxa"/>
            <w:vAlign w:val="bottom"/>
            <w:tcBorders>
              <w:left w:val="single" w:sz="8" w:color="auto"/>
              <w:right w:val="single" w:sz="8" w:color="auto"/>
            </w:tcBorders>
          </w:tcPr>
          <w:p>
            <w:pPr>
              <w:spacing w:after="0"/>
              <w:rPr>
                <w:sz w:val="14"/>
                <w:szCs w:val="14"/>
                <w:color w:val="auto"/>
              </w:rPr>
            </w:pPr>
          </w:p>
        </w:tc>
        <w:tc>
          <w:tcPr>
            <w:tcW w:w="1400" w:type="dxa"/>
            <w:vAlign w:val="bottom"/>
            <w:gridSpan w:val="2"/>
          </w:tcPr>
          <w:p>
            <w:pPr>
              <w:spacing w:after="0" w:line="172" w:lineRule="exact"/>
              <w:rPr>
                <w:sz w:val="20"/>
                <w:szCs w:val="20"/>
                <w:color w:val="auto"/>
              </w:rPr>
            </w:pPr>
            <w:r>
              <w:rPr>
                <w:rFonts w:ascii="Arial" w:cs="Arial" w:eastAsia="Arial" w:hAnsi="Arial"/>
                <w:sz w:val="15"/>
                <w:szCs w:val="15"/>
                <w:color w:val="auto"/>
                <w:w w:val="88"/>
              </w:rPr>
              <w:t>the Canadian Centre of</w:t>
            </w:r>
          </w:p>
        </w:tc>
        <w:tc>
          <w:tcPr>
            <w:tcW w:w="4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101"/>
        </w:trPr>
        <w:tc>
          <w:tcPr>
            <w:tcW w:w="2000" w:type="dxa"/>
            <w:vAlign w:val="bottom"/>
            <w:tcBorders>
              <w:left w:val="single" w:sz="8" w:color="auto"/>
              <w:right w:val="single" w:sz="8" w:color="auto"/>
            </w:tcBorders>
          </w:tcPr>
          <w:p>
            <w:pPr>
              <w:spacing w:after="0"/>
              <w:rPr>
                <w:sz w:val="8"/>
                <w:szCs w:val="8"/>
                <w:color w:val="auto"/>
              </w:rPr>
            </w:pPr>
          </w:p>
        </w:tc>
        <w:tc>
          <w:tcPr>
            <w:tcW w:w="1400" w:type="dxa"/>
            <w:vAlign w:val="bottom"/>
            <w:gridSpan w:val="2"/>
            <w:vMerge w:val="restart"/>
          </w:tcPr>
          <w:p>
            <w:pPr>
              <w:spacing w:after="0"/>
              <w:rPr>
                <w:sz w:val="20"/>
                <w:szCs w:val="20"/>
                <w:color w:val="auto"/>
              </w:rPr>
            </w:pPr>
            <w:r>
              <w:rPr>
                <w:rFonts w:ascii="Arial" w:cs="Arial" w:eastAsia="Arial" w:hAnsi="Arial"/>
                <w:sz w:val="15"/>
                <w:szCs w:val="15"/>
                <w:color w:val="auto"/>
                <w:w w:val="86"/>
              </w:rPr>
              <w:t>Psychedelic Science</w:t>
            </w:r>
            <w:r>
              <w:rPr>
                <w:rFonts w:ascii="Arial" w:cs="Arial" w:eastAsia="Arial" w:hAnsi="Arial"/>
                <w:sz w:val="19"/>
                <w:szCs w:val="19"/>
                <w:color w:val="auto"/>
                <w:w w:val="86"/>
                <w:vertAlign w:val="superscript"/>
              </w:rPr>
              <w:t>(11)</w:t>
            </w:r>
          </w:p>
        </w:tc>
        <w:tc>
          <w:tcPr>
            <w:tcW w:w="4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00" w:type="dxa"/>
            <w:vAlign w:val="bottom"/>
            <w:tcBorders>
              <w:left w:val="single" w:sz="8" w:color="auto"/>
              <w:right w:val="single" w:sz="8" w:color="auto"/>
            </w:tcBorders>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bottom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gridSpan w:val="4"/>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4"/>
              </w:rPr>
              <w:t>Deuterated Psilocybin Analog</w:t>
            </w: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95"/>
              </w:rPr>
              <w:t>Completion of IND enabling pre-</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$3,127</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Q1-2022</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89"/>
        </w:trPr>
        <w:tc>
          <w:tcPr>
            <w:tcW w:w="2000" w:type="dxa"/>
            <w:vAlign w:val="bottom"/>
            <w:tcBorders>
              <w:left w:val="single" w:sz="8" w:color="auto"/>
              <w:right w:val="single" w:sz="8" w:color="auto"/>
            </w:tcBorders>
            <w:vMerge w:val="restart"/>
          </w:tcPr>
          <w:p>
            <w:pPr>
              <w:ind w:left="100"/>
              <w:spacing w:after="0" w:line="216" w:lineRule="exact"/>
              <w:rPr>
                <w:sz w:val="20"/>
                <w:szCs w:val="20"/>
                <w:color w:val="auto"/>
              </w:rPr>
            </w:pPr>
            <w:r>
              <w:rPr>
                <w:rFonts w:ascii="Arial" w:cs="Arial" w:eastAsia="Arial" w:hAnsi="Arial"/>
                <w:sz w:val="15"/>
                <w:szCs w:val="15"/>
                <w:color w:val="auto"/>
              </w:rPr>
              <w:t>Program</w:t>
            </w:r>
            <w:r>
              <w:rPr>
                <w:rFonts w:ascii="Arial" w:cs="Arial" w:eastAsia="Arial" w:hAnsi="Arial"/>
                <w:sz w:val="19"/>
                <w:szCs w:val="19"/>
                <w:color w:val="auto"/>
                <w:vertAlign w:val="superscript"/>
              </w:rPr>
              <w:t>(8)</w:t>
            </w:r>
          </w:p>
        </w:tc>
        <w:tc>
          <w:tcPr>
            <w:tcW w:w="1400" w:type="dxa"/>
            <w:vAlign w:val="bottom"/>
            <w:gridSpan w:val="2"/>
            <w:vMerge w:val="restart"/>
          </w:tcPr>
          <w:p>
            <w:pPr>
              <w:spacing w:after="0"/>
              <w:rPr>
                <w:sz w:val="20"/>
                <w:szCs w:val="20"/>
                <w:color w:val="auto"/>
              </w:rPr>
            </w:pPr>
            <w:r>
              <w:rPr>
                <w:rFonts w:ascii="Arial" w:cs="Arial" w:eastAsia="Arial" w:hAnsi="Arial"/>
                <w:sz w:val="15"/>
                <w:szCs w:val="15"/>
                <w:color w:val="auto"/>
              </w:rPr>
              <w:t>clinical studies</w:t>
            </w:r>
          </w:p>
        </w:tc>
        <w:tc>
          <w:tcPr>
            <w:tcW w:w="46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00" w:type="dxa"/>
            <w:vAlign w:val="bottom"/>
            <w:tcBorders>
              <w:left w:val="single" w:sz="8" w:color="auto"/>
              <w:right w:val="single" w:sz="8" w:color="auto"/>
            </w:tcBorders>
            <w:vMerge w:val="continue"/>
          </w:tcPr>
          <w:p>
            <w:pPr>
              <w:spacing w:after="0"/>
              <w:rPr>
                <w:sz w:val="11"/>
                <w:szCs w:val="11"/>
                <w:color w:val="auto"/>
              </w:rPr>
            </w:pPr>
          </w:p>
        </w:tc>
        <w:tc>
          <w:tcPr>
            <w:tcW w:w="1400" w:type="dxa"/>
            <w:vAlign w:val="bottom"/>
            <w:tcBorders>
              <w:bottom w:val="single" w:sz="8" w:color="auto"/>
            </w:tcBorders>
            <w:gridSpan w:val="2"/>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00" w:type="dxa"/>
            <w:vAlign w:val="bottom"/>
            <w:tcBorders>
              <w:left w:val="single" w:sz="8" w:color="auto"/>
              <w:right w:val="single" w:sz="8" w:color="auto"/>
            </w:tcBorders>
          </w:tcPr>
          <w:p>
            <w:pPr>
              <w:spacing w:after="0"/>
              <w:rPr>
                <w:sz w:val="16"/>
                <w:szCs w:val="16"/>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92"/>
              </w:rPr>
              <w:t>Progression of post IND enabling</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$2,071</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3"/>
              </w:rPr>
              <w:t>Ongoing</w:t>
            </w:r>
            <w:r>
              <w:rPr>
                <w:rFonts w:ascii="Arial" w:cs="Arial" w:eastAsia="Arial" w:hAnsi="Arial"/>
                <w:sz w:val="19"/>
                <w:szCs w:val="19"/>
                <w:color w:val="auto"/>
                <w:w w:val="83"/>
                <w:vertAlign w:val="superscript"/>
              </w:rPr>
              <w:t>(18)</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43"/>
        </w:trPr>
        <w:tc>
          <w:tcPr>
            <w:tcW w:w="2000" w:type="dxa"/>
            <w:vAlign w:val="bottom"/>
            <w:tcBorders>
              <w:left w:val="single" w:sz="8" w:color="auto"/>
              <w:right w:val="single" w:sz="8" w:color="auto"/>
            </w:tcBorders>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Arial" w:cs="Arial" w:eastAsia="Arial" w:hAnsi="Arial"/>
                <w:sz w:val="15"/>
                <w:szCs w:val="15"/>
                <w:color w:val="auto"/>
              </w:rPr>
              <w:t>pre-clinical studies</w:t>
            </w:r>
          </w:p>
        </w:tc>
        <w:tc>
          <w:tcPr>
            <w:tcW w:w="4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00" w:type="dxa"/>
            <w:vAlign w:val="bottom"/>
            <w:tcBorders>
              <w:left w:val="single" w:sz="8" w:color="auto"/>
              <w:right w:val="single" w:sz="8" w:color="auto"/>
            </w:tcBorders>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2000" w:type="dxa"/>
            <w:vAlign w:val="bottom"/>
            <w:tcBorders>
              <w:left w:val="single" w:sz="8" w:color="auto"/>
              <w:right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00" w:type="dxa"/>
            <w:vAlign w:val="bottom"/>
            <w:tcBorders>
              <w:left w:val="single" w:sz="8" w:color="auto"/>
              <w:right w:val="single" w:sz="8" w:color="auto"/>
            </w:tcBorders>
          </w:tcPr>
          <w:p>
            <w:pPr>
              <w:spacing w:after="0"/>
              <w:rPr>
                <w:sz w:val="16"/>
                <w:szCs w:val="16"/>
                <w:color w:val="auto"/>
              </w:rPr>
            </w:pPr>
          </w:p>
        </w:tc>
        <w:tc>
          <w:tcPr>
            <w:tcW w:w="1860" w:type="dxa"/>
            <w:vAlign w:val="bottom"/>
            <w:gridSpan w:val="3"/>
          </w:tcPr>
          <w:p>
            <w:pPr>
              <w:spacing w:after="0"/>
              <w:rPr>
                <w:sz w:val="20"/>
                <w:szCs w:val="20"/>
                <w:color w:val="auto"/>
              </w:rPr>
            </w:pPr>
            <w:r>
              <w:rPr>
                <w:rFonts w:ascii="Arial" w:cs="Arial" w:eastAsia="Arial" w:hAnsi="Arial"/>
                <w:sz w:val="15"/>
                <w:szCs w:val="15"/>
                <w:color w:val="auto"/>
              </w:rPr>
              <w:t>Completion of chemistry,</w:t>
            </w:r>
          </w:p>
        </w:tc>
        <w:tc>
          <w:tcPr>
            <w:tcW w:w="2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00" w:type="dxa"/>
            <w:vAlign w:val="bottom"/>
            <w:tcBorders>
              <w:left w:val="single" w:sz="8" w:color="auto"/>
              <w:right w:val="single" w:sz="8" w:color="auto"/>
            </w:tcBorders>
          </w:tcPr>
          <w:p>
            <w:pPr>
              <w:spacing w:after="0"/>
              <w:rPr>
                <w:sz w:val="15"/>
                <w:szCs w:val="15"/>
                <w:color w:val="auto"/>
              </w:rPr>
            </w:pPr>
          </w:p>
        </w:tc>
        <w:tc>
          <w:tcPr>
            <w:tcW w:w="1860" w:type="dxa"/>
            <w:vAlign w:val="bottom"/>
            <w:gridSpan w:val="3"/>
          </w:tcPr>
          <w:p>
            <w:pPr>
              <w:spacing w:after="0"/>
              <w:rPr>
                <w:sz w:val="20"/>
                <w:szCs w:val="20"/>
                <w:color w:val="auto"/>
              </w:rPr>
            </w:pPr>
            <w:r>
              <w:rPr>
                <w:rFonts w:ascii="Arial" w:cs="Arial" w:eastAsia="Arial" w:hAnsi="Arial"/>
                <w:sz w:val="15"/>
                <w:szCs w:val="15"/>
                <w:color w:val="auto"/>
              </w:rPr>
              <w:t>manufacturing and control</w:t>
            </w:r>
          </w:p>
        </w:tc>
        <w:tc>
          <w:tcPr>
            <w:tcW w:w="2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$1,693</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Q1-2022</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89"/>
        </w:trPr>
        <w:tc>
          <w:tcPr>
            <w:tcW w:w="2000" w:type="dxa"/>
            <w:vAlign w:val="bottom"/>
            <w:tcBorders>
              <w:left w:val="single" w:sz="8" w:color="auto"/>
              <w:right w:val="single" w:sz="8" w:color="auto"/>
            </w:tcBorders>
          </w:tcPr>
          <w:p>
            <w:pPr>
              <w:spacing w:after="0"/>
              <w:rPr>
                <w:sz w:val="7"/>
                <w:szCs w:val="7"/>
                <w:color w:val="auto"/>
              </w:rPr>
            </w:pPr>
          </w:p>
        </w:tc>
        <w:tc>
          <w:tcPr>
            <w:tcW w:w="208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5"/>
                <w:szCs w:val="15"/>
                <w:color w:val="auto"/>
                <w:w w:val="95"/>
              </w:rPr>
              <w:t>development for pre-clinical and</w:t>
            </w:r>
          </w:p>
        </w:tc>
        <w:tc>
          <w:tcPr>
            <w:tcW w:w="12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00" w:type="dxa"/>
            <w:vAlign w:val="bottom"/>
            <w:tcBorders>
              <w:left w:val="single" w:sz="8" w:color="auto"/>
              <w:right w:val="single" w:sz="8" w:color="auto"/>
            </w:tcBorders>
          </w:tcPr>
          <w:p>
            <w:pPr>
              <w:spacing w:after="0"/>
              <w:rPr>
                <w:sz w:val="8"/>
                <w:szCs w:val="8"/>
                <w:color w:val="auto"/>
              </w:rPr>
            </w:pPr>
          </w:p>
        </w:tc>
        <w:tc>
          <w:tcPr>
            <w:tcW w:w="2080" w:type="dxa"/>
            <w:vAlign w:val="bottom"/>
            <w:tcBorders>
              <w:right w:val="single" w:sz="8" w:color="auto"/>
            </w:tcBorders>
            <w:gridSpan w:val="4"/>
            <w:vMerge w:val="continue"/>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00" w:type="dxa"/>
            <w:vAlign w:val="bottom"/>
            <w:tcBorders>
              <w:left w:val="single" w:sz="8" w:color="auto"/>
              <w:right w:val="single" w:sz="8" w:color="auto"/>
            </w:tcBorders>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5"/>
                <w:szCs w:val="15"/>
                <w:color w:val="auto"/>
              </w:rPr>
              <w:t>clinical studies</w:t>
            </w:r>
          </w:p>
        </w:tc>
        <w:tc>
          <w:tcPr>
            <w:tcW w:w="4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00" w:type="dxa"/>
            <w:vAlign w:val="bottom"/>
            <w:tcBorders>
              <w:left w:val="single" w:sz="8" w:color="auto"/>
              <w:right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00" w:type="dxa"/>
            <w:vAlign w:val="bottom"/>
            <w:tcBorders>
              <w:left w:val="single" w:sz="8" w:color="auto"/>
              <w:right w:val="single" w:sz="8" w:color="auto"/>
            </w:tcBorders>
          </w:tcPr>
          <w:p>
            <w:pPr>
              <w:spacing w:after="0"/>
              <w:rPr>
                <w:sz w:val="16"/>
                <w:szCs w:val="16"/>
                <w:color w:val="auto"/>
              </w:rPr>
            </w:pPr>
          </w:p>
        </w:tc>
        <w:tc>
          <w:tcPr>
            <w:tcW w:w="1860" w:type="dxa"/>
            <w:vAlign w:val="bottom"/>
            <w:gridSpan w:val="3"/>
          </w:tcPr>
          <w:p>
            <w:pPr>
              <w:spacing w:after="0"/>
              <w:rPr>
                <w:sz w:val="20"/>
                <w:szCs w:val="20"/>
                <w:color w:val="auto"/>
              </w:rPr>
            </w:pPr>
            <w:r>
              <w:rPr>
                <w:rFonts w:ascii="Arial" w:cs="Arial" w:eastAsia="Arial" w:hAnsi="Arial"/>
                <w:sz w:val="15"/>
                <w:szCs w:val="15"/>
                <w:color w:val="auto"/>
                <w:w w:val="91"/>
              </w:rPr>
              <w:t>Chemistry, manufacturing and</w:t>
            </w:r>
          </w:p>
        </w:tc>
        <w:tc>
          <w:tcPr>
            <w:tcW w:w="2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$1,326</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3"/>
              </w:rPr>
              <w:t>Ongoing</w:t>
            </w:r>
            <w:r>
              <w:rPr>
                <w:rFonts w:ascii="Arial" w:cs="Arial" w:eastAsia="Arial" w:hAnsi="Arial"/>
                <w:sz w:val="19"/>
                <w:szCs w:val="19"/>
                <w:color w:val="auto"/>
                <w:w w:val="83"/>
                <w:vertAlign w:val="superscript"/>
              </w:rPr>
              <w:t>(18)</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43"/>
        </w:trPr>
        <w:tc>
          <w:tcPr>
            <w:tcW w:w="2000" w:type="dxa"/>
            <w:vAlign w:val="bottom"/>
            <w:tcBorders>
              <w:left w:val="single" w:sz="8" w:color="auto"/>
              <w:right w:val="single" w:sz="8" w:color="auto"/>
            </w:tcBorders>
          </w:tcPr>
          <w:p>
            <w:pPr>
              <w:spacing w:after="0"/>
              <w:rPr>
                <w:sz w:val="12"/>
                <w:szCs w:val="12"/>
                <w:color w:val="auto"/>
              </w:rPr>
            </w:pPr>
          </w:p>
        </w:tc>
        <w:tc>
          <w:tcPr>
            <w:tcW w:w="208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5"/>
                <w:szCs w:val="15"/>
                <w:color w:val="auto"/>
                <w:w w:val="93"/>
              </w:rPr>
              <w:t>control development progression</w:t>
            </w:r>
          </w:p>
        </w:tc>
        <w:tc>
          <w:tcPr>
            <w:tcW w:w="122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00" w:type="dxa"/>
            <w:vAlign w:val="bottom"/>
            <w:tcBorders>
              <w:left w:val="single" w:sz="8" w:color="auto"/>
              <w:right w:val="single" w:sz="8" w:color="auto"/>
            </w:tcBorders>
          </w:tcPr>
          <w:p>
            <w:pPr>
              <w:spacing w:after="0"/>
              <w:rPr>
                <w:sz w:val="3"/>
                <w:szCs w:val="3"/>
                <w:color w:val="auto"/>
              </w:rPr>
            </w:pPr>
          </w:p>
        </w:tc>
        <w:tc>
          <w:tcPr>
            <w:tcW w:w="2080" w:type="dxa"/>
            <w:vAlign w:val="bottom"/>
            <w:tcBorders>
              <w:right w:val="single" w:sz="8" w:color="auto"/>
            </w:tcBorders>
            <w:gridSpan w:val="4"/>
            <w:vMerge w:val="continue"/>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2000" w:type="dxa"/>
            <w:vAlign w:val="bottom"/>
            <w:tcBorders>
              <w:left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gridSpan w:val="4"/>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00" w:type="dxa"/>
            <w:vAlign w:val="bottom"/>
            <w:tcBorders>
              <w:left w:val="single" w:sz="8" w:color="auto"/>
              <w:right w:val="single" w:sz="8" w:color="auto"/>
            </w:tcBorders>
          </w:tcPr>
          <w:p>
            <w:pPr>
              <w:spacing w:after="0"/>
              <w:rPr>
                <w:sz w:val="16"/>
                <w:szCs w:val="16"/>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99"/>
              </w:rPr>
              <w:t>Clinical trial filings and conduct</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$3,345</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color w:val="auto"/>
                <w:w w:val="75"/>
                <w:vertAlign w:val="subscript"/>
              </w:rPr>
              <w:t>Ongoing</w:t>
            </w:r>
            <w:r>
              <w:rPr>
                <w:rFonts w:ascii="Arial" w:cs="Arial" w:eastAsia="Arial" w:hAnsi="Arial"/>
                <w:sz w:val="10"/>
                <w:szCs w:val="10"/>
                <w:color w:val="auto"/>
                <w:w w:val="75"/>
              </w:rPr>
              <w:t>(17)(18)</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43"/>
        </w:trPr>
        <w:tc>
          <w:tcPr>
            <w:tcW w:w="2000" w:type="dxa"/>
            <w:vAlign w:val="bottom"/>
            <w:tcBorders>
              <w:left w:val="single" w:sz="8" w:color="auto"/>
              <w:right w:val="single" w:sz="8" w:color="auto"/>
            </w:tcBorders>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Arial" w:cs="Arial" w:eastAsia="Arial" w:hAnsi="Arial"/>
                <w:sz w:val="15"/>
                <w:szCs w:val="15"/>
                <w:color w:val="auto"/>
                <w:w w:val="98"/>
              </w:rPr>
              <w:t>for first in human trial</w:t>
            </w:r>
          </w:p>
        </w:tc>
        <w:tc>
          <w:tcPr>
            <w:tcW w:w="4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00" w:type="dxa"/>
            <w:vAlign w:val="bottom"/>
            <w:tcBorders>
              <w:left w:val="single" w:sz="8" w:color="auto"/>
              <w:right w:val="single" w:sz="8" w:color="auto"/>
            </w:tcBorders>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2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gridSpan w:val="4"/>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Deuterated Tryptamines</w:t>
            </w: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89"/>
              </w:rPr>
              <w:t>Progression of CYB003 to phase I</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0" w:type="dxa"/>
            <w:vAlign w:val="bottom"/>
            <w:tcBorders>
              <w:left w:val="single" w:sz="8" w:color="auto"/>
              <w:right w:val="single" w:sz="8" w:color="auto"/>
            </w:tcBorders>
          </w:tcPr>
          <w:p>
            <w:pPr>
              <w:ind w:left="100"/>
              <w:spacing w:after="0" w:line="172" w:lineRule="exact"/>
              <w:rPr>
                <w:sz w:val="20"/>
                <w:szCs w:val="20"/>
                <w:color w:val="auto"/>
              </w:rPr>
            </w:pPr>
            <w:r>
              <w:rPr>
                <w:rFonts w:ascii="Arial" w:cs="Arial" w:eastAsia="Arial" w:hAnsi="Arial"/>
                <w:sz w:val="15"/>
                <w:szCs w:val="15"/>
                <w:color w:val="auto"/>
              </w:rPr>
              <w:t>Preclinical Programs</w:t>
            </w:r>
          </w:p>
        </w:tc>
        <w:tc>
          <w:tcPr>
            <w:tcW w:w="800" w:type="dxa"/>
            <w:vAlign w:val="bottom"/>
          </w:tcPr>
          <w:p>
            <w:pPr>
              <w:spacing w:after="0" w:line="172" w:lineRule="exact"/>
              <w:rPr>
                <w:sz w:val="20"/>
                <w:szCs w:val="20"/>
                <w:color w:val="auto"/>
              </w:rPr>
            </w:pPr>
            <w:r>
              <w:rPr>
                <w:rFonts w:ascii="Arial" w:cs="Arial" w:eastAsia="Arial" w:hAnsi="Arial"/>
                <w:sz w:val="15"/>
                <w:szCs w:val="15"/>
                <w:color w:val="auto"/>
              </w:rPr>
              <w:t>studies and</w:t>
            </w:r>
          </w:p>
        </w:tc>
        <w:tc>
          <w:tcPr>
            <w:tcW w:w="1060" w:type="dxa"/>
            <w:vAlign w:val="bottom"/>
            <w:gridSpan w:val="2"/>
          </w:tcPr>
          <w:p>
            <w:pPr>
              <w:spacing w:after="0" w:line="172" w:lineRule="exact"/>
              <w:rPr>
                <w:sz w:val="20"/>
                <w:szCs w:val="20"/>
                <w:color w:val="auto"/>
              </w:rPr>
            </w:pPr>
            <w:r>
              <w:rPr>
                <w:rFonts w:ascii="Arial" w:cs="Arial" w:eastAsia="Arial" w:hAnsi="Arial"/>
                <w:sz w:val="15"/>
                <w:szCs w:val="15"/>
                <w:color w:val="auto"/>
              </w:rPr>
              <w:t>development of</w:t>
            </w:r>
          </w:p>
        </w:tc>
        <w:tc>
          <w:tcPr>
            <w:tcW w:w="220" w:type="dxa"/>
            <w:vAlign w:val="bottom"/>
            <w:tcBorders>
              <w:right w:val="single" w:sz="8" w:color="auto"/>
            </w:tcBorders>
          </w:tcPr>
          <w:p>
            <w:pPr>
              <w:spacing w:after="0" w:line="172" w:lineRule="exact"/>
              <w:rPr>
                <w:sz w:val="20"/>
                <w:szCs w:val="20"/>
                <w:color w:val="auto"/>
              </w:rPr>
            </w:pPr>
            <w:r>
              <w:rPr>
                <w:rFonts w:ascii="Arial" w:cs="Arial" w:eastAsia="Arial" w:hAnsi="Arial"/>
                <w:sz w:val="15"/>
                <w:szCs w:val="15"/>
                <w:color w:val="auto"/>
                <w:w w:val="86"/>
              </w:rPr>
              <w:t>the</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$2,886</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$1,198</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4"/>
              </w:rPr>
              <w:t>Merged</w:t>
            </w:r>
            <w:r>
              <w:rPr>
                <w:rFonts w:ascii="Arial" w:cs="Arial" w:eastAsia="Arial" w:hAnsi="Arial"/>
                <w:sz w:val="19"/>
                <w:szCs w:val="19"/>
                <w:color w:val="auto"/>
                <w:w w:val="84"/>
                <w:vertAlign w:val="superscript"/>
              </w:rPr>
              <w:t>(8)</w:t>
            </w: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right w:val="single" w:sz="8" w:color="auto"/>
            </w:tcBorders>
          </w:tcPr>
          <w:p>
            <w:pPr>
              <w:spacing w:after="0"/>
              <w:rPr>
                <w:sz w:val="21"/>
                <w:szCs w:val="21"/>
                <w:color w:val="auto"/>
              </w:rPr>
            </w:pPr>
          </w:p>
        </w:tc>
        <w:tc>
          <w:tcPr>
            <w:tcW w:w="1860" w:type="dxa"/>
            <w:vAlign w:val="bottom"/>
            <w:gridSpan w:val="3"/>
          </w:tcPr>
          <w:p>
            <w:pPr>
              <w:spacing w:after="0"/>
              <w:rPr>
                <w:sz w:val="20"/>
                <w:szCs w:val="20"/>
                <w:color w:val="auto"/>
              </w:rPr>
            </w:pPr>
            <w:r>
              <w:rPr>
                <w:rFonts w:ascii="Arial" w:cs="Arial" w:eastAsia="Arial" w:hAnsi="Arial"/>
                <w:sz w:val="15"/>
                <w:szCs w:val="15"/>
                <w:color w:val="auto"/>
                <w:w w:val="91"/>
              </w:rPr>
              <w:t>associated delivery platform</w:t>
            </w:r>
            <w:r>
              <w:rPr>
                <w:rFonts w:ascii="Arial" w:cs="Arial" w:eastAsia="Arial" w:hAnsi="Arial"/>
                <w:sz w:val="19"/>
                <w:szCs w:val="19"/>
                <w:color w:val="auto"/>
                <w:w w:val="91"/>
                <w:vertAlign w:val="superscript"/>
              </w:rPr>
              <w:t>(8)</w:t>
            </w:r>
          </w:p>
        </w:tc>
        <w:tc>
          <w:tcPr>
            <w:tcW w:w="22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vMerge w:val="continue"/>
          </w:tcPr>
          <w:p>
            <w:pPr>
              <w:spacing w:after="0"/>
              <w:rPr>
                <w:sz w:val="21"/>
                <w:szCs w:val="21"/>
                <w:color w:val="auto"/>
              </w:rPr>
            </w:pPr>
          </w:p>
        </w:tc>
        <w:tc>
          <w:tcPr>
            <w:tcW w:w="1200" w:type="dxa"/>
            <w:vAlign w:val="bottom"/>
            <w:tcBorders>
              <w:right w:val="single" w:sz="8" w:color="auto"/>
            </w:tcBorders>
            <w:vMerge w:val="continue"/>
          </w:tcPr>
          <w:p>
            <w:pPr>
              <w:spacing w:after="0"/>
              <w:rPr>
                <w:sz w:val="21"/>
                <w:szCs w:val="21"/>
                <w:color w:val="auto"/>
              </w:rPr>
            </w:pPr>
          </w:p>
        </w:tc>
        <w:tc>
          <w:tcPr>
            <w:tcW w:w="1540" w:type="dxa"/>
            <w:vAlign w:val="bottom"/>
            <w:tcBorders>
              <w:right w:val="single" w:sz="8" w:color="auto"/>
            </w:tcBorders>
            <w:vMerge w:val="continue"/>
          </w:tcPr>
          <w:p>
            <w:pPr>
              <w:spacing w:after="0"/>
              <w:rPr>
                <w:sz w:val="21"/>
                <w:szCs w:val="21"/>
                <w:color w:val="auto"/>
              </w:rPr>
            </w:pPr>
          </w:p>
        </w:tc>
        <w:tc>
          <w:tcPr>
            <w:tcW w:w="13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000" w:type="dxa"/>
            <w:vAlign w:val="bottom"/>
            <w:tcBorders>
              <w:left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gridSpan w:val="4"/>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w w:val="91"/>
              </w:rPr>
              <w:t>Progression of CYB004 to clinical</w:t>
            </w: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right w:val="single" w:sz="8" w:color="auto"/>
            </w:tcBorders>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studies</w:t>
            </w:r>
            <w:r>
              <w:rPr>
                <w:rFonts w:ascii="Arial" w:cs="Arial" w:eastAsia="Arial" w:hAnsi="Arial"/>
                <w:sz w:val="19"/>
                <w:szCs w:val="19"/>
                <w:color w:val="auto"/>
                <w:vertAlign w:val="superscript"/>
              </w:rPr>
              <w:t>(12)</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$2,777</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$8,988</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Ongoing</w:t>
            </w:r>
            <w:r>
              <w:rPr>
                <w:rFonts w:ascii="Arial" w:cs="Arial" w:eastAsia="Arial" w:hAnsi="Arial"/>
                <w:sz w:val="19"/>
                <w:szCs w:val="19"/>
                <w:color w:val="auto"/>
                <w:w w:val="83"/>
                <w:vertAlign w:val="superscript"/>
              </w:rPr>
              <w:t>(12)</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bottom w:val="single" w:sz="8" w:color="auto"/>
              <w:right w:val="single" w:sz="8" w:color="auto"/>
            </w:tcBorders>
          </w:tcPr>
          <w:p>
            <w:pPr>
              <w:spacing w:after="0"/>
              <w:rPr>
                <w:sz w:val="13"/>
                <w:szCs w:val="13"/>
                <w:color w:val="auto"/>
              </w:rPr>
            </w:pPr>
          </w:p>
        </w:tc>
        <w:tc>
          <w:tcPr>
            <w:tcW w:w="1860" w:type="dxa"/>
            <w:vAlign w:val="bottom"/>
            <w:tcBorders>
              <w:bottom w:val="single" w:sz="8" w:color="auto"/>
            </w:tcBorders>
            <w:gridSpan w:val="3"/>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Phenethylamine Preclinical</w:t>
            </w:r>
          </w:p>
        </w:tc>
        <w:tc>
          <w:tcPr>
            <w:tcW w:w="1860" w:type="dxa"/>
            <w:vAlign w:val="bottom"/>
            <w:gridSpan w:val="3"/>
          </w:tcPr>
          <w:p>
            <w:pPr>
              <w:spacing w:after="0"/>
              <w:rPr>
                <w:sz w:val="20"/>
                <w:szCs w:val="20"/>
                <w:color w:val="auto"/>
              </w:rPr>
            </w:pPr>
            <w:r>
              <w:rPr>
                <w:rFonts w:ascii="Arial" w:cs="Arial" w:eastAsia="Arial" w:hAnsi="Arial"/>
                <w:sz w:val="15"/>
                <w:szCs w:val="15"/>
                <w:color w:val="auto"/>
                <w:w w:val="88"/>
              </w:rPr>
              <w:t>Progression of phenethylamine</w:t>
            </w:r>
          </w:p>
        </w:tc>
        <w:tc>
          <w:tcPr>
            <w:tcW w:w="2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Program</w:t>
            </w:r>
          </w:p>
        </w:tc>
        <w:tc>
          <w:tcPr>
            <w:tcW w:w="1860" w:type="dxa"/>
            <w:vAlign w:val="bottom"/>
            <w:gridSpan w:val="3"/>
          </w:tcPr>
          <w:p>
            <w:pPr>
              <w:spacing w:after="0"/>
              <w:rPr>
                <w:sz w:val="20"/>
                <w:szCs w:val="20"/>
                <w:color w:val="auto"/>
              </w:rPr>
            </w:pPr>
            <w:r>
              <w:rPr>
                <w:rFonts w:ascii="Arial" w:cs="Arial" w:eastAsia="Arial" w:hAnsi="Arial"/>
                <w:sz w:val="15"/>
                <w:szCs w:val="15"/>
                <w:color w:val="auto"/>
                <w:w w:val="89"/>
              </w:rPr>
              <w:t>candidate to clinical studies</w:t>
            </w:r>
            <w:r>
              <w:rPr>
                <w:rFonts w:ascii="Arial" w:cs="Arial" w:eastAsia="Arial" w:hAnsi="Arial"/>
                <w:sz w:val="19"/>
                <w:szCs w:val="19"/>
                <w:color w:val="auto"/>
                <w:w w:val="89"/>
                <w:vertAlign w:val="superscript"/>
              </w:rPr>
              <w:t>(13)</w:t>
            </w:r>
          </w:p>
        </w:tc>
        <w:tc>
          <w:tcPr>
            <w:tcW w:w="22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$2,375</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$2,090</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Q4 2022 – Q1 2023</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bottom w:val="single" w:sz="8" w:color="auto"/>
              <w:right w:val="single" w:sz="8" w:color="auto"/>
            </w:tcBorders>
          </w:tcPr>
          <w:p>
            <w:pPr>
              <w:spacing w:after="0"/>
              <w:rPr>
                <w:sz w:val="13"/>
                <w:szCs w:val="13"/>
                <w:color w:val="auto"/>
              </w:rPr>
            </w:pPr>
          </w:p>
        </w:tc>
        <w:tc>
          <w:tcPr>
            <w:tcW w:w="1400" w:type="dxa"/>
            <w:vAlign w:val="bottom"/>
            <w:tcBorders>
              <w:bottom w:val="single" w:sz="8" w:color="auto"/>
            </w:tcBorders>
            <w:gridSpan w:val="2"/>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Nutraceutical Products</w:t>
            </w:r>
            <w:r>
              <w:rPr>
                <w:rFonts w:ascii="Arial" w:cs="Arial" w:eastAsia="Arial" w:hAnsi="Arial"/>
                <w:sz w:val="19"/>
                <w:szCs w:val="19"/>
                <w:color w:val="auto"/>
                <w:vertAlign w:val="superscript"/>
              </w:rPr>
              <w:t>(15)</w:t>
            </w: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Inventory fulfillment</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195"/>
        </w:trPr>
        <w:tc>
          <w:tcPr>
            <w:tcW w:w="2000" w:type="dxa"/>
            <w:vAlign w:val="bottom"/>
            <w:tcBorders>
              <w:left w:val="single" w:sz="8" w:color="auto"/>
              <w:right w:val="single" w:sz="8" w:color="auto"/>
            </w:tcBorders>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5"/>
                <w:szCs w:val="15"/>
                <w:color w:val="auto"/>
              </w:rPr>
              <w:t>Product deployment</w:t>
            </w:r>
          </w:p>
        </w:tc>
        <w:tc>
          <w:tcPr>
            <w:tcW w:w="4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$200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29"/>
        </w:trPr>
        <w:tc>
          <w:tcPr>
            <w:tcW w:w="2000" w:type="dxa"/>
            <w:vAlign w:val="bottom"/>
            <w:tcBorders>
              <w:left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00" w:type="dxa"/>
            <w:vAlign w:val="bottom"/>
            <w:tcBorders>
              <w:left w:val="single" w:sz="8" w:color="auto"/>
              <w:right w:val="single" w:sz="8" w:color="auto"/>
            </w:tcBorders>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Marketing</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$100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29"/>
        </w:trPr>
        <w:tc>
          <w:tcPr>
            <w:tcW w:w="2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Technology Programs</w:t>
            </w:r>
          </w:p>
        </w:tc>
        <w:tc>
          <w:tcPr>
            <w:tcW w:w="800" w:type="dxa"/>
            <w:vAlign w:val="bottom"/>
          </w:tcPr>
          <w:p>
            <w:pPr>
              <w:spacing w:after="0"/>
              <w:rPr>
                <w:sz w:val="20"/>
                <w:szCs w:val="20"/>
                <w:color w:val="auto"/>
              </w:rPr>
            </w:pPr>
            <w:r>
              <w:rPr>
                <w:rFonts w:ascii="Arial" w:cs="Arial" w:eastAsia="Arial" w:hAnsi="Arial"/>
                <w:sz w:val="15"/>
                <w:szCs w:val="15"/>
                <w:color w:val="auto"/>
                <w:w w:val="88"/>
              </w:rPr>
              <w:t>Marketing</w:t>
            </w:r>
            <w:r>
              <w:rPr>
                <w:rFonts w:ascii="Arial" w:cs="Arial" w:eastAsia="Arial" w:hAnsi="Arial"/>
                <w:sz w:val="19"/>
                <w:szCs w:val="19"/>
                <w:color w:val="auto"/>
                <w:w w:val="88"/>
                <w:vertAlign w:val="superscript"/>
              </w:rPr>
              <w:t>(14)</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N/A</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Cancelled</w:t>
            </w:r>
          </w:p>
        </w:tc>
        <w:tc>
          <w:tcPr>
            <w:tcW w:w="0" w:type="dxa"/>
            <w:vAlign w:val="bottom"/>
          </w:tcPr>
          <w:p>
            <w:pPr>
              <w:spacing w:after="0"/>
              <w:rPr>
                <w:sz w:val="1"/>
                <w:szCs w:val="1"/>
                <w:color w:val="auto"/>
              </w:rPr>
            </w:pPr>
          </w:p>
        </w:tc>
      </w:tr>
      <w:tr>
        <w:trPr>
          <w:trHeight w:val="44"/>
        </w:trPr>
        <w:tc>
          <w:tcPr>
            <w:tcW w:w="2000" w:type="dxa"/>
            <w:vAlign w:val="bottom"/>
            <w:tcBorders>
              <w:left w:val="single" w:sz="8" w:color="auto"/>
              <w:right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vMerge w:val="continue"/>
          </w:tcPr>
          <w:p>
            <w:pPr>
              <w:spacing w:after="0"/>
              <w:rPr>
                <w:sz w:val="3"/>
                <w:szCs w:val="3"/>
                <w:color w:val="auto"/>
              </w:rPr>
            </w:pPr>
          </w:p>
        </w:tc>
        <w:tc>
          <w:tcPr>
            <w:tcW w:w="1200" w:type="dxa"/>
            <w:vAlign w:val="bottom"/>
            <w:tcBorders>
              <w:right w:val="single" w:sz="8" w:color="auto"/>
            </w:tcBorders>
            <w:vMerge w:val="continue"/>
          </w:tcPr>
          <w:p>
            <w:pPr>
              <w:spacing w:after="0"/>
              <w:rPr>
                <w:sz w:val="3"/>
                <w:szCs w:val="3"/>
                <w:color w:val="auto"/>
              </w:rPr>
            </w:pPr>
          </w:p>
        </w:tc>
        <w:tc>
          <w:tcPr>
            <w:tcW w:w="1540" w:type="dxa"/>
            <w:vAlign w:val="bottom"/>
            <w:tcBorders>
              <w:right w:val="single" w:sz="8" w:color="auto"/>
            </w:tcBorders>
            <w:vMerge w:val="continue"/>
          </w:tcPr>
          <w:p>
            <w:pPr>
              <w:spacing w:after="0"/>
              <w:rPr>
                <w:sz w:val="3"/>
                <w:szCs w:val="3"/>
                <w:color w:val="auto"/>
              </w:rPr>
            </w:pPr>
          </w:p>
        </w:tc>
        <w:tc>
          <w:tcPr>
            <w:tcW w:w="13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000" w:type="dxa"/>
            <w:vAlign w:val="bottom"/>
            <w:tcBorders>
              <w:left w:val="single" w:sz="8" w:color="auto"/>
              <w:right w:val="single" w:sz="8" w:color="auto"/>
            </w:tcBorders>
          </w:tcPr>
          <w:p>
            <w:pPr>
              <w:spacing w:after="0"/>
              <w:rPr>
                <w:sz w:val="11"/>
                <w:szCs w:val="11"/>
                <w:color w:val="auto"/>
              </w:rPr>
            </w:pPr>
          </w:p>
        </w:tc>
        <w:tc>
          <w:tcPr>
            <w:tcW w:w="1860" w:type="dxa"/>
            <w:vAlign w:val="bottom"/>
            <w:tcBorders>
              <w:bottom w:val="single" w:sz="8" w:color="auto"/>
            </w:tcBorders>
            <w:gridSpan w:val="3"/>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1860" w:type="dxa"/>
            <w:vAlign w:val="bottom"/>
            <w:gridSpan w:val="3"/>
          </w:tcPr>
          <w:p>
            <w:pPr>
              <w:spacing w:after="0"/>
              <w:rPr>
                <w:sz w:val="20"/>
                <w:szCs w:val="20"/>
                <w:color w:val="auto"/>
              </w:rPr>
            </w:pPr>
            <w:r>
              <w:rPr>
                <w:rFonts w:ascii="Arial" w:cs="Arial" w:eastAsia="Arial" w:hAnsi="Arial"/>
                <w:sz w:val="15"/>
                <w:szCs w:val="15"/>
                <w:color w:val="auto"/>
                <w:w w:val="93"/>
              </w:rPr>
              <w:t>Development of patient digital</w:t>
            </w:r>
          </w:p>
        </w:tc>
        <w:tc>
          <w:tcPr>
            <w:tcW w:w="2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right w:val="single" w:sz="8" w:color="auto"/>
            </w:tcBorders>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5"/>
                <w:szCs w:val="15"/>
                <w:color w:val="auto"/>
              </w:rPr>
              <w:t>therapy platform</w:t>
            </w:r>
            <w:r>
              <w:rPr>
                <w:rFonts w:ascii="Arial" w:cs="Arial" w:eastAsia="Arial" w:hAnsi="Arial"/>
                <w:sz w:val="19"/>
                <w:szCs w:val="19"/>
                <w:color w:val="auto"/>
                <w:vertAlign w:val="superscript"/>
              </w:rPr>
              <w:t>(15)</w:t>
            </w:r>
          </w:p>
        </w:tc>
        <w:tc>
          <w:tcPr>
            <w:tcW w:w="4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$2,363</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$908</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Q2 2022</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right w:val="single" w:sz="8" w:color="auto"/>
            </w:tcBorders>
          </w:tcPr>
          <w:p>
            <w:pPr>
              <w:spacing w:after="0"/>
              <w:rPr>
                <w:sz w:val="13"/>
                <w:szCs w:val="13"/>
                <w:color w:val="auto"/>
              </w:rPr>
            </w:pPr>
          </w:p>
        </w:tc>
        <w:tc>
          <w:tcPr>
            <w:tcW w:w="1860" w:type="dxa"/>
            <w:vAlign w:val="bottom"/>
            <w:tcBorders>
              <w:bottom w:val="single" w:sz="8" w:color="auto"/>
            </w:tcBorders>
            <w:gridSpan w:val="3"/>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spacing w:after="0"/>
              <w:rPr>
                <w:sz w:val="15"/>
                <w:szCs w:val="15"/>
                <w:color w:val="auto"/>
              </w:rPr>
            </w:pPr>
          </w:p>
        </w:tc>
        <w:tc>
          <w:tcPr>
            <w:tcW w:w="1860" w:type="dxa"/>
            <w:vAlign w:val="bottom"/>
            <w:gridSpan w:val="3"/>
          </w:tcPr>
          <w:p>
            <w:pPr>
              <w:spacing w:after="0"/>
              <w:rPr>
                <w:sz w:val="20"/>
                <w:szCs w:val="20"/>
                <w:color w:val="auto"/>
              </w:rPr>
            </w:pPr>
            <w:r>
              <w:rPr>
                <w:rFonts w:ascii="Arial" w:cs="Arial" w:eastAsia="Arial" w:hAnsi="Arial"/>
                <w:sz w:val="15"/>
                <w:szCs w:val="15"/>
                <w:color w:val="auto"/>
                <w:w w:val="89"/>
              </w:rPr>
              <w:t>Sponsorship of studies utilizing</w:t>
            </w:r>
          </w:p>
        </w:tc>
        <w:tc>
          <w:tcPr>
            <w:tcW w:w="2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right w:val="single" w:sz="8" w:color="auto"/>
            </w:tcBorders>
          </w:tcPr>
          <w:p>
            <w:pPr>
              <w:spacing w:after="0"/>
              <w:rPr>
                <w:sz w:val="21"/>
                <w:szCs w:val="21"/>
                <w:color w:val="auto"/>
              </w:rPr>
            </w:pPr>
          </w:p>
        </w:tc>
        <w:tc>
          <w:tcPr>
            <w:tcW w:w="1860" w:type="dxa"/>
            <w:vAlign w:val="bottom"/>
            <w:gridSpan w:val="3"/>
          </w:tcPr>
          <w:p>
            <w:pPr>
              <w:spacing w:after="0"/>
              <w:rPr>
                <w:sz w:val="20"/>
                <w:szCs w:val="20"/>
                <w:color w:val="auto"/>
              </w:rPr>
            </w:pPr>
            <w:r>
              <w:rPr>
                <w:rFonts w:ascii="Arial" w:cs="Arial" w:eastAsia="Arial" w:hAnsi="Arial"/>
                <w:sz w:val="15"/>
                <w:szCs w:val="15"/>
                <w:color w:val="auto"/>
              </w:rPr>
              <w:t>Kernel Flow technology</w:t>
            </w:r>
            <w:r>
              <w:rPr>
                <w:rFonts w:ascii="Arial" w:cs="Arial" w:eastAsia="Arial" w:hAnsi="Arial"/>
                <w:sz w:val="19"/>
                <w:szCs w:val="19"/>
                <w:color w:val="auto"/>
                <w:vertAlign w:val="superscript"/>
              </w:rPr>
              <w:t>(16)</w:t>
            </w:r>
          </w:p>
        </w:tc>
        <w:tc>
          <w:tcPr>
            <w:tcW w:w="22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$1,825</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$521</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Q4 2022</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In process</w:t>
            </w: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00" w:type="dxa"/>
            <w:vAlign w:val="bottom"/>
            <w:tcBorders>
              <w:left w:val="single" w:sz="8" w:color="auto"/>
              <w:bottom w:val="single" w:sz="8" w:color="D9D9D9"/>
              <w:right w:val="single" w:sz="8" w:color="auto"/>
            </w:tcBorders>
            <w:shd w:val="clear" w:color="auto" w:fill="D9D9D9"/>
          </w:tcPr>
          <w:p>
            <w:pPr>
              <w:spacing w:after="0"/>
              <w:rPr>
                <w:sz w:val="17"/>
                <w:szCs w:val="17"/>
                <w:color w:val="auto"/>
              </w:rPr>
            </w:pPr>
          </w:p>
        </w:tc>
        <w:tc>
          <w:tcPr>
            <w:tcW w:w="80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5"/>
                <w:szCs w:val="15"/>
                <w:b w:val="1"/>
                <w:bCs w:val="1"/>
                <w:color w:val="auto"/>
              </w:rPr>
              <w:t>TOTAL</w:t>
            </w:r>
          </w:p>
        </w:tc>
        <w:tc>
          <w:tcPr>
            <w:tcW w:w="600" w:type="dxa"/>
            <w:vAlign w:val="bottom"/>
            <w:tcBorders>
              <w:bottom w:val="single" w:sz="8" w:color="D9D9D9"/>
            </w:tcBorders>
            <w:shd w:val="clear" w:color="auto" w:fill="D9D9D9"/>
          </w:tcPr>
          <w:p>
            <w:pPr>
              <w:spacing w:after="0"/>
              <w:rPr>
                <w:sz w:val="17"/>
                <w:szCs w:val="17"/>
                <w:color w:val="auto"/>
              </w:rPr>
            </w:pPr>
          </w:p>
        </w:tc>
        <w:tc>
          <w:tcPr>
            <w:tcW w:w="46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D9D9D9"/>
              <w:right w:val="single" w:sz="8" w:color="auto"/>
            </w:tcBorders>
            <w:shd w:val="clear" w:color="auto" w:fill="D9D9D9"/>
          </w:tcPr>
          <w:p>
            <w:pPr>
              <w:spacing w:after="0"/>
              <w:rPr>
                <w:sz w:val="17"/>
                <w:szCs w:val="17"/>
                <w:color w:val="auto"/>
              </w:rPr>
            </w:pPr>
          </w:p>
        </w:tc>
        <w:tc>
          <w:tcPr>
            <w:tcW w:w="12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91"/>
              </w:rPr>
              <w:t>16,018</w:t>
            </w:r>
          </w:p>
        </w:tc>
        <w:tc>
          <w:tcPr>
            <w:tcW w:w="12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7"/>
              </w:rPr>
              <w:t>25,561</w:t>
            </w:r>
          </w:p>
        </w:tc>
        <w:tc>
          <w:tcPr>
            <w:tcW w:w="1540" w:type="dxa"/>
            <w:vAlign w:val="bottom"/>
            <w:tcBorders>
              <w:bottom w:val="single" w:sz="8" w:color="D9D9D9"/>
              <w:right w:val="single" w:sz="8" w:color="auto"/>
            </w:tcBorders>
            <w:shd w:val="clear" w:color="auto" w:fill="D9D9D9"/>
          </w:tcPr>
          <w:p>
            <w:pPr>
              <w:spacing w:after="0"/>
              <w:rPr>
                <w:sz w:val="17"/>
                <w:szCs w:val="17"/>
                <w:color w:val="auto"/>
              </w:rPr>
            </w:pPr>
          </w:p>
        </w:tc>
        <w:tc>
          <w:tcPr>
            <w:tcW w:w="1320" w:type="dxa"/>
            <w:vAlign w:val="bottom"/>
            <w:tcBorders>
              <w:bottom w:val="single" w:sz="8" w:color="D9D9D9"/>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79"/>
          </w:cols>
          <w:pgMar w:left="880" w:top="731"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579"/>
          </w:cols>
          <w:pgMar w:left="880" w:top="731" w:right="1440" w:bottom="1440" w:gutter="0" w:footer="0" w:header="0"/>
          <w:type w:val="continuous"/>
        </w:sectPr>
      </w:pPr>
    </w:p>
    <w:bookmarkStart w:id="46" w:name="page47"/>
    <w:bookmarkEnd w:id="46"/>
    <w:p>
      <w:pPr>
        <w:ind w:left="2"/>
        <w:spacing w:after="0"/>
        <w:rPr>
          <w:sz w:val="20"/>
          <w:szCs w:val="20"/>
          <w:color w:val="auto"/>
        </w:rPr>
      </w:pPr>
      <w:r>
        <w:rPr>
          <w:rFonts w:ascii="Arial" w:cs="Arial" w:eastAsia="Arial" w:hAnsi="Arial"/>
          <w:sz w:val="15"/>
          <w:szCs w:val="15"/>
          <w:b w:val="1"/>
          <w:bCs w:val="1"/>
          <w:u w:val="single" w:color="auto"/>
          <w:color w:val="auto"/>
        </w:rPr>
        <w:t>Notes</w:t>
      </w:r>
      <w:r>
        <w:rPr>
          <w:rFonts w:ascii="Arial" w:cs="Arial" w:eastAsia="Arial" w:hAnsi="Arial"/>
          <w:sz w:val="15"/>
          <w:szCs w:val="15"/>
          <w:u w:val="single" w:color="auto"/>
          <w:color w:val="auto"/>
        </w:rPr>
        <w:t>:</w:t>
      </w:r>
    </w:p>
    <w:p>
      <w:pPr>
        <w:spacing w:after="0" w:line="52" w:lineRule="exact"/>
        <w:rPr>
          <w:sz w:val="20"/>
          <w:szCs w:val="20"/>
          <w:color w:val="auto"/>
        </w:rPr>
      </w:pPr>
    </w:p>
    <w:p>
      <w:pPr>
        <w:ind w:left="342" w:hanging="342"/>
        <w:spacing w:after="0"/>
        <w:tabs>
          <w:tab w:leader="none" w:pos="342"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There may be circumstances where for sound business reasons the Company reallocates the funds or determines to not proceed with a milestone.</w:t>
      </w:r>
    </w:p>
    <w:p>
      <w:pPr>
        <w:spacing w:after="0" w:line="10" w:lineRule="exact"/>
        <w:rPr>
          <w:rFonts w:ascii="Arial" w:cs="Arial" w:eastAsia="Arial" w:hAnsi="Arial"/>
          <w:sz w:val="15"/>
          <w:szCs w:val="15"/>
          <w:color w:val="auto"/>
        </w:rPr>
      </w:pPr>
    </w:p>
    <w:p>
      <w:pPr>
        <w:ind w:left="322" w:hanging="322"/>
        <w:spacing w:after="0" w:line="238" w:lineRule="auto"/>
        <w:tabs>
          <w:tab w:leader="none" w:pos="322" w:val="left"/>
        </w:tabs>
        <w:numPr>
          <w:ilvl w:val="0"/>
          <w:numId w:val="42"/>
        </w:numPr>
        <w:rPr>
          <w:rFonts w:ascii="Arial" w:cs="Arial" w:eastAsia="Arial" w:hAnsi="Arial"/>
          <w:sz w:val="15"/>
          <w:szCs w:val="15"/>
          <w:color w:val="auto"/>
        </w:rPr>
      </w:pPr>
      <w:r>
        <w:rPr>
          <w:rFonts w:ascii="Arial" w:cs="Arial" w:eastAsia="Arial" w:hAnsi="Arial"/>
          <w:sz w:val="15"/>
          <w:szCs w:val="15"/>
          <w:color w:val="auto"/>
        </w:rPr>
        <w:t>Subject to receipt of all necessary approvals, including the academic and scientific organizations with which the Company is working.</w:t>
      </w:r>
    </w:p>
    <w:p>
      <w:pPr>
        <w:ind w:left="322" w:hanging="322"/>
        <w:spacing w:after="0" w:line="238" w:lineRule="auto"/>
        <w:tabs>
          <w:tab w:leader="none" w:pos="322" w:val="left"/>
        </w:tabs>
        <w:numPr>
          <w:ilvl w:val="0"/>
          <w:numId w:val="42"/>
        </w:numPr>
        <w:rPr>
          <w:rFonts w:ascii="Arial" w:cs="Arial" w:eastAsia="Arial" w:hAnsi="Arial"/>
          <w:sz w:val="15"/>
          <w:szCs w:val="15"/>
          <w:color w:val="auto"/>
        </w:rPr>
      </w:pPr>
      <w:r>
        <w:rPr>
          <w:rFonts w:ascii="Arial" w:cs="Arial" w:eastAsia="Arial" w:hAnsi="Arial"/>
          <w:sz w:val="15"/>
          <w:szCs w:val="15"/>
          <w:color w:val="auto"/>
        </w:rPr>
        <w:t>Certain amounts have been converted from USD to CAD at an exchange rate of 1.28:1 and all dollar amounts presented in thousands.</w:t>
      </w:r>
    </w:p>
    <w:p>
      <w:pPr>
        <w:ind w:left="322" w:hanging="322"/>
        <w:spacing w:after="0" w:line="238" w:lineRule="auto"/>
        <w:tabs>
          <w:tab w:leader="none" w:pos="322"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total expenditure may be incurred by the Company after the relevant quarter that is indicated as the target timeframe for completion.</w:t>
      </w:r>
    </w:p>
    <w:p>
      <w:pPr>
        <w:ind w:left="322" w:hanging="322"/>
        <w:spacing w:after="0" w:line="238" w:lineRule="auto"/>
        <w:tabs>
          <w:tab w:leader="none" w:pos="322"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a calendar year-end.</w:t>
      </w:r>
    </w:p>
    <w:p>
      <w:pPr>
        <w:ind w:left="582" w:hanging="582"/>
        <w:spacing w:after="0" w:line="274" w:lineRule="auto"/>
        <w:tabs>
          <w:tab w:leader="none" w:pos="315"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This milestone was previously expected to be completed in Q2 2021, as disclosed in the Listing Statement. However, the milestone was completed earlier than expected, in Q1 2021, due to frustration between Smart Medicines GMP Inc. and Cybin Corp. and this resulted in the termination of the professional services agreement dated June 24, 2020 between Cybin Corp. and Smart Medicines GMP Inc. See “History of the Company” in the AIF. With the acquisition of Adelia, the Company secured an alternative to the Deliverables (as defined below) and now has in-house ability to develop molecules which can be scaled to GMP quantities. See “History of the Company” in the AIF. There are multiple risk factors regarding the ability to successfully commercially scale a chemically synthesized process to obtain psilocybin and other analogues. The Company expects to work with Adelia to provide psilocybin API for further studies, commercial oral film manufacturing and potential sales to research institutes. See “Risk Factors”.</w:t>
      </w:r>
    </w:p>
    <w:p>
      <w:pPr>
        <w:spacing w:after="0" w:line="3" w:lineRule="exact"/>
        <w:rPr>
          <w:rFonts w:ascii="Arial" w:cs="Arial" w:eastAsia="Arial" w:hAnsi="Arial"/>
          <w:sz w:val="13"/>
          <w:szCs w:val="13"/>
          <w:color w:val="auto"/>
        </w:rPr>
      </w:pPr>
    </w:p>
    <w:p>
      <w:pPr>
        <w:ind w:left="582" w:hanging="582"/>
        <w:spacing w:after="0" w:line="237" w:lineRule="auto"/>
        <w:tabs>
          <w:tab w:leader="none" w:pos="31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actual cost is lower than previously anticipated, and as previously disclosed in the Listing Statement, and February 2021 Prospectus, as a result of the termination of the professional services agreement dated June 24, 2020 between Cybin Corp. and Smart Medicines GMP Inc. See “</w:t>
      </w:r>
      <w:r>
        <w:rPr>
          <w:rFonts w:ascii="Arial" w:cs="Arial" w:eastAsia="Arial" w:hAnsi="Arial"/>
          <w:sz w:val="14"/>
          <w:szCs w:val="14"/>
          <w:i w:val="1"/>
          <w:iCs w:val="1"/>
          <w:color w:val="auto"/>
        </w:rPr>
        <w:t>History of the Company</w:t>
      </w:r>
      <w:r>
        <w:rPr>
          <w:rFonts w:ascii="Arial" w:cs="Arial" w:eastAsia="Arial" w:hAnsi="Arial"/>
          <w:sz w:val="14"/>
          <w:szCs w:val="14"/>
          <w:color w:val="auto"/>
        </w:rPr>
        <w:t>” in the AIF.</w:t>
      </w:r>
    </w:p>
    <w:p>
      <w:pPr>
        <w:jc w:val="both"/>
        <w:ind w:left="582" w:hanging="582"/>
        <w:spacing w:after="0" w:line="195" w:lineRule="auto"/>
        <w:tabs>
          <w:tab w:leader="none" w:pos="582"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 light of compelling data related to CYB003, the Company has merged its Psilocybin Program with its deuterated tryptamine CYB003 preclinical program. The Company was previously running the programs in parallel in order to determine the molecules and methods of actions with the most benefits and least amount of drawbacks. This has now evolved into a single program, focusing on both the MDD and AUD indication in the U.S. and UK, to prioritize the advancement of the potentially superior molecule in the most cost effective manner</w:t>
      </w:r>
    </w:p>
    <w:p>
      <w:pPr>
        <w:spacing w:after="0" w:line="2" w:lineRule="exact"/>
        <w:rPr>
          <w:rFonts w:ascii="Arial" w:cs="Arial" w:eastAsia="Arial" w:hAnsi="Arial"/>
          <w:sz w:val="15"/>
          <w:szCs w:val="15"/>
          <w:color w:val="auto"/>
        </w:rPr>
      </w:pPr>
    </w:p>
    <w:p>
      <w:pPr>
        <w:ind w:left="342" w:hanging="342"/>
        <w:spacing w:after="0"/>
        <w:tabs>
          <w:tab w:leader="none" w:pos="342"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material factors and assumptions underlying this forward-looking statement are: (a) drug development involves long lead times, is very expensive and involves many variables of</w:t>
      </w:r>
    </w:p>
    <w:p>
      <w:pPr>
        <w:spacing w:after="0" w:line="22" w:lineRule="exact"/>
        <w:rPr>
          <w:sz w:val="20"/>
          <w:szCs w:val="20"/>
          <w:color w:val="auto"/>
        </w:rPr>
      </w:pPr>
    </w:p>
    <w:p>
      <w:pPr>
        <w:jc w:val="both"/>
        <w:ind w:left="582"/>
        <w:spacing w:after="0" w:line="255" w:lineRule="auto"/>
        <w:rPr>
          <w:sz w:val="20"/>
          <w:szCs w:val="20"/>
          <w:color w:val="auto"/>
        </w:rPr>
      </w:pPr>
      <w:r>
        <w:rPr>
          <w:rFonts w:ascii="Arial" w:cs="Arial" w:eastAsia="Arial" w:hAnsi="Arial"/>
          <w:sz w:val="14"/>
          <w:szCs w:val="14"/>
          <w:color w:val="auto"/>
        </w:rPr>
        <w:t>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Further,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 The Company is prioritizing its Deuterated Psilocybin Analog Program</w:t>
      </w:r>
    </w:p>
    <w:p>
      <w:pPr>
        <w:spacing w:after="0" w:line="1" w:lineRule="exact"/>
        <w:rPr>
          <w:sz w:val="20"/>
          <w:szCs w:val="20"/>
          <w:color w:val="auto"/>
        </w:rPr>
      </w:pPr>
    </w:p>
    <w:p>
      <w:pPr>
        <w:ind w:left="582" w:hanging="582"/>
        <w:spacing w:after="0" w:line="238" w:lineRule="auto"/>
        <w:tabs>
          <w:tab w:leader="none" w:pos="392"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Company is currently prioritizing its Deuterated Psilocybin Analog Program and it has merged its efforts from both the Psilocybin Program and the deuterated tryptamine CYB003 preclinical program, focusing on both the MDD and AUD indications in the U.S. and the UK.</w:t>
      </w:r>
    </w:p>
    <w:p>
      <w:pPr>
        <w:ind w:left="582" w:hanging="582"/>
        <w:spacing w:after="0" w:line="229" w:lineRule="auto"/>
        <w:tabs>
          <w:tab w:leader="none" w:pos="441" w:val="left"/>
        </w:tabs>
        <w:numPr>
          <w:ilvl w:val="0"/>
          <w:numId w:val="43"/>
        </w:numPr>
        <w:rPr>
          <w:rFonts w:ascii="Arial" w:cs="Arial" w:eastAsia="Arial" w:hAnsi="Arial"/>
          <w:sz w:val="15"/>
          <w:szCs w:val="15"/>
          <w:color w:val="auto"/>
        </w:rPr>
      </w:pPr>
      <w:r>
        <w:rPr>
          <w:rFonts w:ascii="Arial" w:cs="Arial" w:eastAsia="Arial" w:hAnsi="Arial"/>
          <w:sz w:val="15"/>
          <w:szCs w:val="15"/>
          <w:color w:val="auto"/>
        </w:rPr>
        <w:t>On April 6, 2021, the Company provided notice to the CCPS of its decision to terminate this arrangement, as a result, the actual cost is lower than previously anticipated, and as previously disclosed in the Listing Statement and February 2021 Prospectus. See “</w:t>
      </w:r>
      <w:r>
        <w:rPr>
          <w:rFonts w:ascii="Arial" w:cs="Arial" w:eastAsia="Arial" w:hAnsi="Arial"/>
          <w:sz w:val="15"/>
          <w:szCs w:val="15"/>
          <w:i w:val="1"/>
          <w:iCs w:val="1"/>
          <w:color w:val="auto"/>
        </w:rPr>
        <w:t>History of the Company</w:t>
      </w:r>
      <w:r>
        <w:rPr>
          <w:rFonts w:ascii="Arial" w:cs="Arial" w:eastAsia="Arial" w:hAnsi="Arial"/>
          <w:sz w:val="15"/>
          <w:szCs w:val="15"/>
          <w:color w:val="auto"/>
        </w:rPr>
        <w:t>” in the AIF.</w:t>
      </w:r>
    </w:p>
    <w:p>
      <w:pPr>
        <w:spacing w:after="0" w:line="1" w:lineRule="exact"/>
        <w:rPr>
          <w:rFonts w:ascii="Arial" w:cs="Arial" w:eastAsia="Arial" w:hAnsi="Arial"/>
          <w:sz w:val="15"/>
          <w:szCs w:val="15"/>
          <w:color w:val="auto"/>
        </w:rPr>
      </w:pPr>
    </w:p>
    <w:p>
      <w:pPr>
        <w:ind w:left="582" w:hanging="582"/>
        <w:spacing w:after="0" w:line="238" w:lineRule="auto"/>
        <w:tabs>
          <w:tab w:leader="none" w:pos="488"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Deuterated Tryptamines Preclinical Program was a new objective following completion of the Adelia Transaction. This business objective requires clinical trial sites, contract manufacturers, certain scale-ups in operation, etc. which may impact the time frame that these are completed. The proceeds allocated include estimated costs associated with the progression of CYB004 to clinical studies over the period from June 1, 2021 up to December 31, 2022. The Company intends to file a clinical trial application for a pilot study for the CYB004 candidate by the end of Q2 2022 and it also intends to continue pre-clinical studies and other research and development activities throughout the year and has therefore revised its timeline to ongoing. The anticipated timeline for submitting a pilot clinical trial application is Q2 2022, which is based on, among others, the following material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(as defined below); and (b) the Company assumes it will enter into agreements with certain third party vendors to complete a range of additional preclinical programs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There is no assurance that these timelines will be met or that these preclinical drug candidates will advance to clinical trials at all. See “</w:t>
      </w:r>
      <w:r>
        <w:rPr>
          <w:rFonts w:ascii="Arial" w:cs="Arial" w:eastAsia="Arial" w:hAnsi="Arial"/>
          <w:sz w:val="14"/>
          <w:szCs w:val="14"/>
          <w:i w:val="1"/>
          <w:iCs w:val="1"/>
          <w:color w:val="auto"/>
        </w:rPr>
        <w:t>Risk</w:t>
      </w:r>
      <w:r>
        <w:rPr>
          <w:rFonts w:ascii="Arial" w:cs="Arial" w:eastAsia="Arial" w:hAnsi="Arial"/>
          <w:sz w:val="14"/>
          <w:szCs w:val="14"/>
          <w:color w:val="auto"/>
        </w:rPr>
        <w:t xml:space="preserve"> </w:t>
      </w:r>
      <w:r>
        <w:rPr>
          <w:rFonts w:ascii="Arial" w:cs="Arial" w:eastAsia="Arial" w:hAnsi="Arial"/>
          <w:sz w:val="14"/>
          <w:szCs w:val="14"/>
          <w:i w:val="1"/>
          <w:iCs w:val="1"/>
          <w:color w:val="auto"/>
        </w:rPr>
        <w:t>Factors</w:t>
      </w:r>
      <w:r>
        <w:rPr>
          <w:rFonts w:ascii="Arial" w:cs="Arial" w:eastAsia="Arial" w:hAnsi="Arial"/>
          <w:sz w:val="14"/>
          <w:szCs w:val="14"/>
          <w:color w:val="auto"/>
        </w:rPr>
        <w:t>”.</w:t>
      </w:r>
    </w:p>
    <w:p>
      <w:pPr>
        <w:spacing w:after="0" w:line="3" w:lineRule="exact"/>
        <w:rPr>
          <w:rFonts w:ascii="Arial" w:cs="Arial" w:eastAsia="Arial" w:hAnsi="Arial"/>
          <w:sz w:val="14"/>
          <w:szCs w:val="14"/>
          <w:color w:val="auto"/>
        </w:rPr>
      </w:pPr>
    </w:p>
    <w:p>
      <w:pPr>
        <w:ind w:left="582" w:hanging="582"/>
        <w:spacing w:after="0" w:line="257" w:lineRule="auto"/>
        <w:tabs>
          <w:tab w:leader="none" w:pos="41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Phenethylamine Preclinical Program was a new objectives following completion of the Adelia Transaction. This business objective requires clinical trial sites, contract manufacturers, certain scale-ups in operation, etc. which may impact the time frame that these are completed. The proceeds allocated include estimated costs for the next 12 months associated with the progression of phenethylamine candidate to clinical studies. The Company anticipates that its phenethylamine program may deliver a drug candidate suitable for entry into clinical studies by Q1 2023. 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and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w:t>
      </w:r>
    </w:p>
    <w:p>
      <w:pPr>
        <w:spacing w:after="0" w:line="200" w:lineRule="exact"/>
        <w:rPr>
          <w:sz w:val="20"/>
          <w:szCs w:val="20"/>
          <w:color w:val="auto"/>
        </w:rPr>
      </w:pPr>
    </w:p>
    <w:p>
      <w:pPr>
        <w:spacing w:after="0" w:line="341"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2"/>
          </w:cols>
          <w:pgMar w:left="318" w:top="812" w:right="339" w:bottom="1440" w:gutter="0" w:footer="0" w:header="0"/>
        </w:sectPr>
      </w:pPr>
    </w:p>
    <w:bookmarkStart w:id="47" w:name="page48"/>
    <w:bookmarkEnd w:id="47"/>
    <w:p>
      <w:pPr>
        <w:jc w:val="both"/>
        <w:ind w:left="582" w:right="20"/>
        <w:spacing w:after="0" w:line="242" w:lineRule="auto"/>
        <w:rPr>
          <w:sz w:val="20"/>
          <w:szCs w:val="20"/>
          <w:color w:val="auto"/>
        </w:rPr>
      </w:pPr>
      <w:r>
        <w:rPr>
          <w:rFonts w:ascii="Arial" w:cs="Arial" w:eastAsia="Arial" w:hAnsi="Arial"/>
          <w:sz w:val="15"/>
          <w:szCs w:val="15"/>
          <w:color w:val="auto"/>
        </w:rPr>
        <w:t>pulmonary, and cardiovascular profiling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 w:lineRule="exact"/>
        <w:rPr>
          <w:sz w:val="20"/>
          <w:szCs w:val="20"/>
          <w:color w:val="auto"/>
        </w:rPr>
      </w:pPr>
    </w:p>
    <w:p>
      <w:pPr>
        <w:ind w:left="582" w:right="20" w:hanging="582"/>
        <w:spacing w:after="0" w:line="238" w:lineRule="auto"/>
        <w:tabs>
          <w:tab w:leader="none" w:pos="396"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Company completed its evaluation of the Product Line and its marketing platform and concluded that it would not proceed with this program in order to prioritize the research and development progression of psychedelic molecules.</w:t>
      </w:r>
    </w:p>
    <w:p>
      <w:pPr>
        <w:ind w:left="582" w:right="20" w:hanging="582"/>
        <w:spacing w:after="0" w:line="252" w:lineRule="auto"/>
        <w:tabs>
          <w:tab w:leader="none" w:pos="384"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proceeds allocated include estimated costs associated to establish the design of a proof of concept. The Company shall base future plans for the Digital platform on the results of the planned proof of concept work. The anticipated timeline to complete the proof of concept work is Q2-2022. This is an update from the previous disclosed milestone which included spend for the ongoing development of the patient digital platform, which was expected to be completed by Q4-2021. The anticipated timeline for completing this objective is based on certain material factors or assumptions including, but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ind w:left="382" w:hanging="382"/>
        <w:spacing w:after="0" w:line="238" w:lineRule="auto"/>
        <w:tabs>
          <w:tab w:leader="none" w:pos="382"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Kernel Flow study will require the identification and recruitment of investigators and development of acceptable study protocols. See “Risk Factors”.</w:t>
      </w:r>
    </w:p>
    <w:p>
      <w:pPr>
        <w:ind w:left="582" w:right="20" w:hanging="582"/>
        <w:spacing w:after="0" w:line="238" w:lineRule="auto"/>
        <w:tabs>
          <w:tab w:leader="none" w:pos="425"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Company intends to complete clinical trial application filings in Q2 2022 and plans to conduct its first in human trial, in patients with MDD, subject to receiving the necessary approvals. There is no assurance that these timelines will be met or that these preclinical drug candidates will advance to clinical trials at all.</w:t>
      </w:r>
    </w:p>
    <w:p>
      <w:pPr>
        <w:ind w:left="582" w:right="20" w:hanging="582"/>
        <w:spacing w:after="0" w:line="241" w:lineRule="auto"/>
        <w:tabs>
          <w:tab w:leader="none" w:pos="495"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progression of these milestones are expected to be ongoing for the duration of the Deuterated Psilocybin Analog Program, however, the spend presented in the table is representative of the expected expenditures from June 1, 2021 up to December 31, 2022.</w:t>
      </w:r>
    </w:p>
    <w:p>
      <w:pPr>
        <w:spacing w:after="0" w:line="200" w:lineRule="exact"/>
        <w:rPr>
          <w:sz w:val="20"/>
          <w:szCs w:val="20"/>
          <w:color w:val="auto"/>
        </w:rPr>
      </w:pPr>
    </w:p>
    <w:p>
      <w:pPr>
        <w:spacing w:after="0" w:line="228" w:lineRule="exact"/>
        <w:rPr>
          <w:sz w:val="20"/>
          <w:szCs w:val="20"/>
          <w:color w:val="auto"/>
        </w:rPr>
      </w:pPr>
    </w:p>
    <w:p>
      <w:pPr>
        <w:jc w:val="both"/>
        <w:ind w:left="2"/>
        <w:spacing w:after="0" w:line="283" w:lineRule="auto"/>
        <w:rPr>
          <w:sz w:val="20"/>
          <w:szCs w:val="20"/>
          <w:color w:val="auto"/>
        </w:rPr>
      </w:pPr>
      <w:r>
        <w:rPr>
          <w:rFonts w:ascii="Arial" w:cs="Arial" w:eastAsia="Arial" w:hAnsi="Arial"/>
          <w:sz w:val="16"/>
          <w:szCs w:val="16"/>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66" w:lineRule="exact"/>
        <w:rPr>
          <w:sz w:val="20"/>
          <w:szCs w:val="20"/>
          <w:color w:val="auto"/>
        </w:rPr>
      </w:pPr>
    </w:p>
    <w:p>
      <w:pPr>
        <w:jc w:val="both"/>
        <w:ind w:left="2" w:right="20"/>
        <w:spacing w:after="0" w:line="263" w:lineRule="auto"/>
        <w:rPr>
          <w:sz w:val="20"/>
          <w:szCs w:val="20"/>
          <w:color w:val="auto"/>
        </w:rPr>
      </w:pPr>
      <w:r>
        <w:rPr>
          <w:rFonts w:ascii="Arial" w:cs="Arial" w:eastAsia="Arial" w:hAnsi="Arial"/>
          <w:sz w:val="17"/>
          <w:szCs w:val="17"/>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Major Objectives</w:t>
      </w:r>
    </w:p>
    <w:p>
      <w:pPr>
        <w:spacing w:after="0" w:line="221" w:lineRule="exact"/>
        <w:rPr>
          <w:sz w:val="20"/>
          <w:szCs w:val="20"/>
          <w:color w:val="auto"/>
        </w:rPr>
      </w:pPr>
    </w:p>
    <w:p>
      <w:pPr>
        <w:jc w:val="both"/>
        <w:ind w:left="2" w:right="20"/>
        <w:spacing w:after="0" w:line="236" w:lineRule="auto"/>
        <w:rPr>
          <w:sz w:val="20"/>
          <w:szCs w:val="20"/>
          <w:color w:val="auto"/>
        </w:rPr>
      </w:pPr>
      <w:r>
        <w:rPr>
          <w:rFonts w:ascii="Arial" w:cs="Arial" w:eastAsia="Arial" w:hAnsi="Arial"/>
          <w:sz w:val="18"/>
          <w:szCs w:val="18"/>
          <w:color w:val="auto"/>
        </w:rPr>
        <w:t>As of the date of this MD&amp;A, the Company has four major objectives which have not generated revenue. The Company previously had a fifth major objective, however has made the decision to not progress with the Nutraceutical Products Program. In addition, the Company has merged its Psilocybin Program with its CYB003 deuterated tryptamine pre-clinical program and will be prioritizing the progression of the Deuterated Psilocybin Analog Program going forward, as it has been identified as a superior molecule.</w:t>
      </w:r>
    </w:p>
    <w:p>
      <w:pPr>
        <w:spacing w:after="0" w:line="189"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The following is a description of each such objective, including a description of the Company’s plan for such objective, the status of the objective relative to the Company’s plan for such objective and anticipated expenditures to advance the objective to the next stage of the Company’s plan for the specific objective.</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Deuterated Psilocybin Analog Program (formerly the Psilocybin Program)</w:t>
      </w:r>
    </w:p>
    <w:p>
      <w:pPr>
        <w:spacing w:after="0" w:line="213" w:lineRule="exact"/>
        <w:rPr>
          <w:sz w:val="20"/>
          <w:szCs w:val="20"/>
          <w:color w:val="auto"/>
        </w:rPr>
      </w:pPr>
    </w:p>
    <w:p>
      <w:pPr>
        <w:jc w:val="both"/>
        <w:ind w:left="2" w:right="20"/>
        <w:spacing w:after="0" w:line="236" w:lineRule="auto"/>
        <w:rPr>
          <w:sz w:val="20"/>
          <w:szCs w:val="20"/>
          <w:color w:val="auto"/>
        </w:rPr>
      </w:pPr>
      <w:r>
        <w:rPr>
          <w:rFonts w:ascii="Arial" w:cs="Arial" w:eastAsia="Arial" w:hAnsi="Arial"/>
          <w:sz w:val="17"/>
          <w:szCs w:val="17"/>
          <w:color w:val="auto"/>
        </w:rPr>
        <w:t>While oral psilocybin has been demonstrated to be efficacious, the Company recognized the challenges and limitations of the molecule and worked on ways to address them, by simultaneously looking at the formulation in two programs and then the molecule itself in another. In light of compelling data regarding the Company’s novel oral psilocybin analog molecule (CYB003), the Company has determined that it would be leveraging the data obtained through the Psilocybin Program to advance its newly defined Deuterated Psilocybin Analog Program. The Deuterated Psilocybin Analog Program has the potential to merge both the MDD and AUD indication into a single program. The Company</w:t>
      </w:r>
    </w:p>
    <w:p>
      <w:pPr>
        <w:spacing w:after="0" w:line="200" w:lineRule="exact"/>
        <w:rPr>
          <w:sz w:val="20"/>
          <w:szCs w:val="20"/>
          <w:color w:val="auto"/>
        </w:rPr>
      </w:pPr>
    </w:p>
    <w:p>
      <w:pPr>
        <w:spacing w:after="0" w:line="343"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2"/>
          </w:cols>
          <w:pgMar w:left="318" w:top="718" w:right="319" w:bottom="1440" w:gutter="0" w:footer="0" w:header="0"/>
        </w:sectPr>
      </w:pPr>
    </w:p>
    <w:bookmarkStart w:id="48" w:name="page49"/>
    <w:bookmarkEnd w:id="48"/>
    <w:p>
      <w:pPr>
        <w:ind w:left="2"/>
        <w:spacing w:after="0"/>
        <w:rPr>
          <w:sz w:val="20"/>
          <w:szCs w:val="20"/>
          <w:color w:val="auto"/>
        </w:rPr>
      </w:pPr>
      <w:r>
        <w:rPr>
          <w:rFonts w:ascii="Arial" w:cs="Arial" w:eastAsia="Arial" w:hAnsi="Arial"/>
          <w:sz w:val="18"/>
          <w:szCs w:val="18"/>
          <w:color w:val="auto"/>
        </w:rPr>
        <w:t>has determined that this merger of programs would be the most efficient and cost-effective way for the Company to move forward.</w:t>
      </w:r>
    </w:p>
    <w:p>
      <w:pPr>
        <w:spacing w:after="0" w:line="197" w:lineRule="exact"/>
        <w:rPr>
          <w:sz w:val="20"/>
          <w:szCs w:val="20"/>
          <w:color w:val="auto"/>
        </w:rPr>
      </w:pPr>
    </w:p>
    <w:p>
      <w:pPr>
        <w:jc w:val="both"/>
        <w:ind w:left="2" w:right="20"/>
        <w:spacing w:after="0" w:line="230" w:lineRule="auto"/>
        <w:rPr>
          <w:sz w:val="20"/>
          <w:szCs w:val="20"/>
          <w:color w:val="auto"/>
        </w:rPr>
      </w:pPr>
      <w:r>
        <w:rPr>
          <w:rFonts w:ascii="Arial" w:cs="Arial" w:eastAsia="Arial" w:hAnsi="Arial"/>
          <w:sz w:val="18"/>
          <w:szCs w:val="18"/>
          <w:color w:val="auto"/>
        </w:rPr>
        <w:t>As a result, the Company will be prioritizing the progression of the Deuterated Psilocybin Analog Program going forward, as this has been demonstrated to be the potentially superior molecule. The Company will continue to advance on the previous disclosed psilocybin milestones, in the U.S. and the UK, as it deems them necessary to bring psychedelics to therapeutics.</w:t>
      </w:r>
    </w:p>
    <w:p>
      <w:pPr>
        <w:spacing w:after="0" w:line="188" w:lineRule="exact"/>
        <w:rPr>
          <w:sz w:val="20"/>
          <w:szCs w:val="20"/>
          <w:color w:val="auto"/>
        </w:rPr>
      </w:pPr>
    </w:p>
    <w:p>
      <w:pPr>
        <w:jc w:val="both"/>
        <w:ind w:left="2" w:right="20"/>
        <w:spacing w:after="0" w:line="281" w:lineRule="auto"/>
        <w:rPr>
          <w:sz w:val="20"/>
          <w:szCs w:val="20"/>
          <w:color w:val="auto"/>
        </w:rPr>
      </w:pPr>
      <w:r>
        <w:rPr>
          <w:rFonts w:ascii="Arial" w:cs="Arial" w:eastAsia="Arial" w:hAnsi="Arial"/>
          <w:sz w:val="16"/>
          <w:szCs w:val="16"/>
          <w:color w:val="auto"/>
        </w:rPr>
        <w:t>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w:t>
      </w:r>
    </w:p>
    <w:p>
      <w:pPr>
        <w:spacing w:after="0" w:line="2"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studies on timelines indicated as possible by such guidelines, other industry examples, and the Company’s development efforts to date. The result is a reallocation of funds and shifting of priorities to meet the overall objective of the Company’s spending estimates.</w:t>
      </w:r>
    </w:p>
    <w:p>
      <w:pPr>
        <w:spacing w:after="0" w:line="175" w:lineRule="exact"/>
        <w:rPr>
          <w:sz w:val="20"/>
          <w:szCs w:val="20"/>
          <w:color w:val="auto"/>
        </w:rPr>
      </w:pPr>
    </w:p>
    <w:p>
      <w:pPr>
        <w:jc w:val="both"/>
        <w:ind w:left="2"/>
        <w:spacing w:after="0" w:line="249" w:lineRule="auto"/>
        <w:rPr>
          <w:sz w:val="20"/>
          <w:szCs w:val="20"/>
          <w:color w:val="auto"/>
        </w:rPr>
      </w:pPr>
      <w:r>
        <w:rPr>
          <w:rFonts w:ascii="Arial" w:cs="Arial" w:eastAsia="Arial" w:hAnsi="Arial"/>
          <w:sz w:val="18"/>
          <w:szCs w:val="18"/>
          <w:color w:val="auto"/>
        </w:rPr>
        <w:t>The Company has been investigating the development of short-acting tryptamines with the aim of creating clinical development candidates suitable for clinical research, utilizing (i) the chemical modification of tryptamine derivatives through the selective substitution of hydrogen atoms within the tryptamine molecules with deuterium; and (ii) the combination of such deuterated tryptamine derivative molecules with selected drug delivery methods, including but not limited to oral, inhalation methods, intravenous and intramuscular delivery.</w:t>
      </w:r>
    </w:p>
    <w:p>
      <w:pPr>
        <w:spacing w:after="0" w:line="193" w:lineRule="exact"/>
        <w:rPr>
          <w:sz w:val="20"/>
          <w:szCs w:val="20"/>
          <w:color w:val="auto"/>
        </w:rPr>
      </w:pPr>
    </w:p>
    <w:p>
      <w:pPr>
        <w:jc w:val="both"/>
        <w:ind w:left="2" w:right="20"/>
        <w:spacing w:after="0" w:line="221" w:lineRule="auto"/>
        <w:rPr>
          <w:sz w:val="20"/>
          <w:szCs w:val="20"/>
          <w:color w:val="auto"/>
        </w:rPr>
      </w:pPr>
      <w:r>
        <w:rPr>
          <w:rFonts w:ascii="Arial" w:cs="Arial" w:eastAsia="Arial" w:hAnsi="Arial"/>
          <w:sz w:val="18"/>
          <w:szCs w:val="18"/>
          <w:color w:val="auto"/>
        </w:rPr>
        <w:t>Academic research performed at New York University and John Hopkins University has indicated oral psilocybin to be efficacious in the treatment of mental health disorders, especially MDD, but with significant limitations, specifically: slow onset of action, extended duration of effect, and a variability in response among patients</w:t>
      </w:r>
      <w:r>
        <w:rPr>
          <w:rFonts w:ascii="Arial" w:cs="Arial" w:eastAsia="Arial" w:hAnsi="Arial"/>
          <w:sz w:val="23"/>
          <w:szCs w:val="23"/>
          <w:color w:val="auto"/>
          <w:vertAlign w:val="superscript"/>
        </w:rPr>
        <w:t>19</w:t>
      </w:r>
      <w:r>
        <w:rPr>
          <w:rFonts w:ascii="Arial" w:cs="Arial" w:eastAsia="Arial" w:hAnsi="Arial"/>
          <w:sz w:val="18"/>
          <w:szCs w:val="18"/>
          <w:color w:val="auto"/>
        </w:rPr>
        <w:t>. The Company’s CYB001 and CYB002 programs studied proprietary formulations, while the Company’s CYB003 program explored proprietary analogs with the goal to retain the benefits and address the challenges.</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18"/>
          <w:szCs w:val="18"/>
          <w:color w:val="auto"/>
        </w:rPr>
        <w:t>In multi-species pre-clinical studies, the Company’s deuterated psilocybin analog from its CYB003 program demonstrates:</w:t>
      </w:r>
    </w:p>
    <w:p>
      <w:pPr>
        <w:spacing w:after="0" w:line="221" w:lineRule="exact"/>
        <w:rPr>
          <w:sz w:val="20"/>
          <w:szCs w:val="20"/>
          <w:color w:val="auto"/>
        </w:rPr>
      </w:pPr>
    </w:p>
    <w:p>
      <w:pPr>
        <w:ind w:left="582" w:hanging="289"/>
        <w:spacing w:after="0"/>
        <w:tabs>
          <w:tab w:leader="none" w:pos="58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50% reduction in variability compared to oral psilocybin; which indicates potential for more predictable dosing in patients;</w:t>
      </w:r>
    </w:p>
    <w:p>
      <w:pPr>
        <w:spacing w:after="0" w:line="4" w:lineRule="exact"/>
        <w:rPr>
          <w:rFonts w:ascii="Arial" w:cs="Arial" w:eastAsia="Arial" w:hAnsi="Arial"/>
          <w:sz w:val="18"/>
          <w:szCs w:val="18"/>
          <w:color w:val="auto"/>
        </w:rPr>
      </w:pPr>
    </w:p>
    <w:p>
      <w:pPr>
        <w:ind w:left="582" w:hanging="289"/>
        <w:spacing w:after="0"/>
        <w:tabs>
          <w:tab w:leader="none" w:pos="582"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50% reduction in dose compared to oral psilocybin; which indicates potential to maintain equivalent efficacy while reducing side effects;</w:t>
      </w:r>
    </w:p>
    <w:p>
      <w:pPr>
        <w:ind w:left="582" w:hanging="289"/>
        <w:spacing w:after="0"/>
        <w:tabs>
          <w:tab w:leader="none" w:pos="58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50% shorter time to onset when compared to oral psilocybin; which indicates potential for shorter duration of treatment; and</w:t>
      </w:r>
    </w:p>
    <w:p>
      <w:pPr>
        <w:ind w:left="582" w:right="20" w:hanging="289"/>
        <w:spacing w:after="0" w:line="248" w:lineRule="auto"/>
        <w:tabs>
          <w:tab w:leader="none" w:pos="5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nearly double brain penetration when compared to oral psilocybin; which indicates potential for a lower dose therapeutic effect, and potentially reduced patient side effects.</w:t>
      </w:r>
    </w:p>
    <w:p>
      <w:pPr>
        <w:spacing w:after="0" w:line="192" w:lineRule="exact"/>
        <w:rPr>
          <w:sz w:val="20"/>
          <w:szCs w:val="20"/>
          <w:color w:val="auto"/>
        </w:rPr>
      </w:pPr>
    </w:p>
    <w:p>
      <w:pPr>
        <w:ind w:left="2" w:right="20"/>
        <w:spacing w:after="0" w:line="267" w:lineRule="auto"/>
        <w:rPr>
          <w:sz w:val="20"/>
          <w:szCs w:val="20"/>
          <w:color w:val="auto"/>
        </w:rPr>
      </w:pPr>
      <w:r>
        <w:rPr>
          <w:rFonts w:ascii="Arial" w:cs="Arial" w:eastAsia="Arial" w:hAnsi="Arial"/>
          <w:sz w:val="18"/>
          <w:szCs w:val="18"/>
          <w:color w:val="auto"/>
        </w:rPr>
        <w:t>Based on the Company's multi-species pre-clinical studies, the deuterated psilocybin analog in CYB003 has the potential to reduce time and resource burden on patients, providers and payers, with the potential to improve scalability and accessibility from the following conclusions:</w:t>
      </w:r>
    </w:p>
    <w:p>
      <w:pPr>
        <w:spacing w:after="0" w:line="175" w:lineRule="exact"/>
        <w:rPr>
          <w:sz w:val="20"/>
          <w:szCs w:val="20"/>
          <w:color w:val="auto"/>
        </w:rPr>
      </w:pPr>
    </w:p>
    <w:p>
      <w:pPr>
        <w:ind w:left="582" w:hanging="289"/>
        <w:spacing w:after="0"/>
        <w:tabs>
          <w:tab w:leader="none" w:pos="5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faster onset of action equates to less down time in the clinic before effects begin;</w:t>
      </w:r>
    </w:p>
    <w:p>
      <w:pPr>
        <w:spacing w:after="0" w:line="4" w:lineRule="exact"/>
        <w:rPr>
          <w:rFonts w:ascii="Arial" w:cs="Arial" w:eastAsia="Arial" w:hAnsi="Arial"/>
          <w:sz w:val="18"/>
          <w:szCs w:val="18"/>
          <w:color w:val="auto"/>
        </w:rPr>
      </w:pPr>
    </w:p>
    <w:p>
      <w:pPr>
        <w:ind w:left="582" w:hanging="289"/>
        <w:spacing w:after="0" w:line="226" w:lineRule="auto"/>
        <w:tabs>
          <w:tab w:leader="none" w:pos="5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half the duration of effect translates to shorter clinic days or more patients per day;</w:t>
      </w:r>
    </w:p>
    <w:p>
      <w:pPr>
        <w:ind w:left="582" w:hanging="289"/>
        <w:spacing w:after="0" w:line="226" w:lineRule="auto"/>
        <w:tabs>
          <w:tab w:leader="none" w:pos="5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more predictable dose effects create a safer and more effective patient response;</w:t>
      </w:r>
    </w:p>
    <w:p>
      <w:pPr>
        <w:ind w:left="582" w:hanging="289"/>
        <w:spacing w:after="0" w:line="226" w:lineRule="auto"/>
        <w:tabs>
          <w:tab w:leader="none" w:pos="5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lowered peripheral exposure diminishes the risk of side effects; and</w:t>
      </w:r>
    </w:p>
    <w:p>
      <w:pPr>
        <w:ind w:left="582" w:hanging="289"/>
        <w:spacing w:after="0"/>
        <w:tabs>
          <w:tab w:leader="none" w:pos="5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better brain penetration suggests lower overall dose needed to achieve clinical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15532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both"/>
        <w:ind w:left="2" w:right="20" w:hanging="2"/>
        <w:spacing w:after="0" w:line="205" w:lineRule="auto"/>
        <w:tabs>
          <w:tab w:leader="none" w:pos="203" w:val="left"/>
        </w:tabs>
        <w:numPr>
          <w:ilvl w:val="0"/>
          <w:numId w:val="47"/>
        </w:numPr>
        <w:rPr>
          <w:rFonts w:ascii="Arial" w:cs="Arial" w:eastAsia="Arial" w:hAnsi="Arial"/>
          <w:sz w:val="25"/>
          <w:szCs w:val="25"/>
          <w:color w:val="auto"/>
          <w:vertAlign w:val="superscript"/>
        </w:rPr>
      </w:pPr>
      <w:r>
        <w:rPr>
          <w:rFonts w:ascii="Arial" w:cs="Arial" w:eastAsia="Arial" w:hAnsi="Arial"/>
          <w:sz w:val="15"/>
          <w:szCs w:val="15"/>
          <w:color w:val="auto"/>
        </w:rPr>
        <w:t xml:space="preserve">Effects of Psilocybin-Assisted Therapy on Major Depressive Disorder A Randomized Clinical Trial: </w:t>
      </w:r>
      <w:r>
        <w:rPr>
          <w:rFonts w:ascii="Arial" w:cs="Arial" w:eastAsia="Arial" w:hAnsi="Arial"/>
          <w:sz w:val="15"/>
          <w:szCs w:val="15"/>
          <w:u w:val="single" w:color="auto"/>
          <w:color w:val="3051F2"/>
        </w:rPr>
        <w:t>https://jamanetwork.com/journals/jamapsychiatry/fullarticle/2772630</w:t>
      </w:r>
      <w:r>
        <w:rPr>
          <w:rFonts w:ascii="Arial" w:cs="Arial" w:eastAsia="Arial" w:hAnsi="Arial"/>
          <w:sz w:val="15"/>
          <w:szCs w:val="15"/>
          <w:color w:val="auto"/>
        </w:rPr>
        <w:t xml:space="preserve">; Rapid and sustained symptom reduction following psilocybin treatment for anxiety and depression in patients with life-threatening cancer: a randomized controlled trial: </w:t>
      </w:r>
      <w:r>
        <w:rPr>
          <w:rFonts w:ascii="Arial" w:cs="Arial" w:eastAsia="Arial" w:hAnsi="Arial"/>
          <w:sz w:val="15"/>
          <w:szCs w:val="15"/>
          <w:u w:val="single" w:color="auto"/>
          <w:color w:val="3051F2"/>
        </w:rPr>
        <w:t>https://pubmed.ncbi.nlm.nih.gov/27909164/</w:t>
      </w:r>
    </w:p>
    <w:p>
      <w:pPr>
        <w:spacing w:after="0" w:line="200" w:lineRule="exact"/>
        <w:rPr>
          <w:sz w:val="20"/>
          <w:szCs w:val="20"/>
          <w:color w:val="auto"/>
        </w:rPr>
      </w:pPr>
    </w:p>
    <w:p>
      <w:pPr>
        <w:spacing w:after="0" w:line="35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2"/>
          </w:cols>
          <w:pgMar w:left="318" w:top="698" w:right="319" w:bottom="1440" w:gutter="0" w:footer="0" w:header="0"/>
        </w:sectPr>
      </w:pPr>
    </w:p>
    <w:bookmarkStart w:id="49" w:name="page50"/>
    <w:bookmarkEnd w:id="49"/>
    <w:p>
      <w:pPr>
        <w:jc w:val="both"/>
        <w:ind w:left="2" w:right="20"/>
        <w:spacing w:after="0" w:line="244" w:lineRule="auto"/>
        <w:rPr>
          <w:sz w:val="20"/>
          <w:szCs w:val="20"/>
          <w:color w:val="auto"/>
        </w:rPr>
      </w:pPr>
      <w:r>
        <w:rPr>
          <w:rFonts w:ascii="Arial" w:cs="Arial" w:eastAsia="Arial" w:hAnsi="Arial"/>
          <w:sz w:val="16"/>
          <w:szCs w:val="16"/>
          <w:color w:val="auto"/>
        </w:rPr>
        <w:t>The Company expects the complete its CYB003 IND enabling pre-clinical studies by the end of Q1-2022</w:t>
      </w:r>
      <w:r>
        <w:rPr>
          <w:rFonts w:ascii="Arial" w:cs="Arial" w:eastAsia="Arial" w:hAnsi="Arial"/>
          <w:sz w:val="21"/>
          <w:szCs w:val="21"/>
          <w:color w:val="auto"/>
          <w:vertAlign w:val="superscript"/>
        </w:rPr>
        <w:t>20</w:t>
      </w:r>
      <w:r>
        <w:rPr>
          <w:rFonts w:ascii="Arial" w:cs="Arial" w:eastAsia="Arial" w:hAnsi="Arial"/>
          <w:sz w:val="16"/>
          <w:szCs w:val="16"/>
          <w:color w:val="auto"/>
        </w:rPr>
        <w:t>. Simultaneously, the Company will be advancing the CMC development, including the production of clinical materials required for clinical trials, and expects this to be completed by Q1-2022</w:t>
      </w:r>
      <w:r>
        <w:rPr>
          <w:rFonts w:ascii="Arial" w:cs="Arial" w:eastAsia="Arial" w:hAnsi="Arial"/>
          <w:sz w:val="21"/>
          <w:szCs w:val="21"/>
          <w:color w:val="auto"/>
          <w:vertAlign w:val="superscript"/>
        </w:rPr>
        <w:t>21</w:t>
      </w:r>
      <w:r>
        <w:rPr>
          <w:rFonts w:ascii="Arial" w:cs="Arial" w:eastAsia="Arial" w:hAnsi="Arial"/>
          <w:sz w:val="16"/>
          <w:szCs w:val="16"/>
          <w:color w:val="auto"/>
        </w:rPr>
        <w:t>.</w:t>
      </w:r>
    </w:p>
    <w:p>
      <w:pPr>
        <w:spacing w:after="0" w:line="108"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6"/>
          <w:szCs w:val="16"/>
          <w:color w:val="auto"/>
        </w:rPr>
        <w:t>Once the IND enabling pre-clinical studies and CMC development are complete, the Company intends to submit clinical trial applications. The Company expects to submit these filings during Q2 2022. Subsequent to regulatory approval, early-phase clinical trials, leveraging the Company's innovative EMBARK</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psychotherapy program, are able to commence. The Company intends to continue its progression of post IND enabling pre-clinical studies and CMC development progression throughout calendar year 2022. 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94" w:lineRule="exact"/>
        <w:rPr>
          <w:sz w:val="20"/>
          <w:szCs w:val="20"/>
          <w:color w:val="auto"/>
        </w:rPr>
      </w:pPr>
    </w:p>
    <w:p>
      <w:pPr>
        <w:jc w:val="both"/>
        <w:ind w:left="2" w:right="20"/>
        <w:spacing w:after="0" w:line="281" w:lineRule="auto"/>
        <w:rPr>
          <w:sz w:val="20"/>
          <w:szCs w:val="20"/>
          <w:color w:val="auto"/>
        </w:rPr>
      </w:pPr>
      <w:r>
        <w:rPr>
          <w:rFonts w:ascii="Arial" w:cs="Arial" w:eastAsia="Arial" w:hAnsi="Arial"/>
          <w:sz w:val="16"/>
          <w:szCs w:val="16"/>
          <w:color w:val="auto"/>
        </w:rPr>
        <w:t>The Company had previously estimated that its actual and expected spend up to September 30, 2022 for this program would be similar to that previously disclosed for the Psilocybin Program and the deuterated tryptamine CYB003 preclinical program, being $4,762. However, the Company has updated its milestones to include additional planned progressions and has increased spend to reflect expenditures expected to be incurred up to the period ended December 31, 2022. Anticipated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Deuterated Tryptamines Preclinical Programs</w:t>
      </w:r>
    </w:p>
    <w:p>
      <w:pPr>
        <w:spacing w:after="0" w:line="225" w:lineRule="exact"/>
        <w:rPr>
          <w:sz w:val="20"/>
          <w:szCs w:val="20"/>
          <w:color w:val="auto"/>
        </w:rPr>
      </w:pPr>
    </w:p>
    <w:p>
      <w:pPr>
        <w:jc w:val="both"/>
        <w:ind w:left="2" w:right="20"/>
        <w:spacing w:after="0" w:line="278" w:lineRule="auto"/>
        <w:rPr>
          <w:sz w:val="20"/>
          <w:szCs w:val="20"/>
          <w:color w:val="auto"/>
        </w:rPr>
      </w:pPr>
      <w:r>
        <w:rPr>
          <w:rFonts w:ascii="Arial" w:cs="Arial" w:eastAsia="Arial" w:hAnsi="Arial"/>
          <w:sz w:val="16"/>
          <w:szCs w:val="16"/>
          <w:color w:val="auto"/>
        </w:rPr>
        <w:t>The Company is investigating the development of short-acting tryptamines with the aim of creating clinical development candidates suitable for clinical research, utilizing (i) the chemical modification of tryptamine derivatives through the selective substitution of hydrogen atoms within the tryptamine molecules with deuterium; and (ii) the combination of such deuterated tryptamine derivative molecules with selected drug delivery methods.</w:t>
      </w:r>
    </w:p>
    <w:p>
      <w:pPr>
        <w:jc w:val="both"/>
        <w:ind w:left="2"/>
        <w:spacing w:after="0" w:line="278" w:lineRule="auto"/>
        <w:rPr>
          <w:sz w:val="20"/>
          <w:szCs w:val="20"/>
          <w:color w:val="auto"/>
        </w:rPr>
      </w:pPr>
      <w:r>
        <w:rPr>
          <w:rFonts w:ascii="Arial" w:cs="Arial" w:eastAsia="Arial" w:hAnsi="Arial"/>
          <w:sz w:val="16"/>
          <w:szCs w:val="16"/>
          <w:color w:val="auto"/>
        </w:rPr>
        <w:t>In order to assess the feasibility and viability of these deuterated tryptamine derivatives entering clinical studies, the Company has and will contract with reputable and licensed third-party vendors to undertake extensive preclinical characterization of target molecules on the Company’s behalf. These activities include but are not limited to: the synthesis of such molecules as APIs at laboratory scale, the development and optimization of production processes for such APIs. To date, the Company has undertaken sufficient work to enable selection of two deuterated tryptamine candidates and has scaled up production processes to optimize and maximize yields and ensure the drug candidates meet the required purity levels. In vitro proof of principal in animal models has been completed to ensure selection of molecules with optimal anticipated pharmacokinetics best suited for future clinical trials.</w:t>
      </w:r>
    </w:p>
    <w:p>
      <w:pPr>
        <w:spacing w:after="0" w:line="173" w:lineRule="exact"/>
        <w:rPr>
          <w:sz w:val="20"/>
          <w:szCs w:val="20"/>
          <w:color w:val="auto"/>
        </w:rPr>
      </w:pPr>
    </w:p>
    <w:p>
      <w:pPr>
        <w:jc w:val="both"/>
        <w:ind w:left="2" w:right="20"/>
        <w:spacing w:after="0" w:line="301" w:lineRule="auto"/>
        <w:rPr>
          <w:sz w:val="20"/>
          <w:szCs w:val="20"/>
          <w:color w:val="auto"/>
        </w:rPr>
      </w:pPr>
      <w:r>
        <w:rPr>
          <w:rFonts w:ascii="Arial" w:cs="Arial" w:eastAsia="Arial" w:hAnsi="Arial"/>
          <w:sz w:val="16"/>
          <w:szCs w:val="16"/>
          <w:color w:val="auto"/>
        </w:rPr>
        <w:t>Further preclinical development activities over the next 12 months are anticipated to include the development of stable formulations utilizing such APIs, the development and validation of analytical methods for such formulations, the scale up of API production processes beyond laboratory scale, suitable for entry into animal and human studies, studies of the stability of such formulations suitable for human studies, the development of Chemistry,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15532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165" w:lineRule="exact"/>
        <w:rPr>
          <w:sz w:val="20"/>
          <w:szCs w:val="20"/>
          <w:color w:val="auto"/>
        </w:rPr>
      </w:pPr>
    </w:p>
    <w:p>
      <w:pPr>
        <w:jc w:val="both"/>
        <w:ind w:left="2" w:right="20" w:hanging="2"/>
        <w:spacing w:after="0" w:line="227" w:lineRule="auto"/>
        <w:tabs>
          <w:tab w:leader="none" w:pos="147"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4"/>
          <w:szCs w:val="14"/>
          <w:i w:val="1"/>
          <w:iCs w:val="1"/>
          <w:color w:val="auto"/>
        </w:rPr>
        <w:t>Risk Factors”.</w:t>
      </w:r>
    </w:p>
    <w:p>
      <w:pPr>
        <w:spacing w:after="0" w:line="2" w:lineRule="exact"/>
        <w:rPr>
          <w:rFonts w:ascii="Arial" w:cs="Arial" w:eastAsia="Arial" w:hAnsi="Arial"/>
          <w:sz w:val="18"/>
          <w:szCs w:val="18"/>
          <w:color w:val="auto"/>
          <w:vertAlign w:val="superscript"/>
        </w:rPr>
      </w:pPr>
    </w:p>
    <w:p>
      <w:pPr>
        <w:jc w:val="both"/>
        <w:ind w:left="2" w:right="20" w:hanging="2"/>
        <w:spacing w:after="0" w:line="228" w:lineRule="auto"/>
        <w:tabs>
          <w:tab w:leader="none" w:pos="147"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4"/>
          <w:szCs w:val="14"/>
          <w:i w:val="1"/>
          <w:iCs w:val="1"/>
          <w:color w:val="auto"/>
        </w:rPr>
        <w:t>Risk Factors”.</w:t>
      </w:r>
    </w:p>
    <w:p>
      <w:pPr>
        <w:spacing w:after="0" w:line="200" w:lineRule="exact"/>
        <w:rPr>
          <w:sz w:val="20"/>
          <w:szCs w:val="20"/>
          <w:color w:val="auto"/>
        </w:rPr>
      </w:pPr>
    </w:p>
    <w:p>
      <w:pPr>
        <w:spacing w:after="0" w:line="365"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2"/>
          </w:cols>
          <w:pgMar w:left="318" w:top="698" w:right="319" w:bottom="1440" w:gutter="0" w:footer="0" w:header="0"/>
        </w:sectPr>
      </w:pPr>
    </w:p>
    <w:bookmarkStart w:id="50" w:name="page51"/>
    <w:bookmarkEnd w:id="50"/>
    <w:p>
      <w:pPr>
        <w:jc w:val="both"/>
        <w:ind w:left="2" w:right="20"/>
        <w:spacing w:after="0" w:line="272" w:lineRule="auto"/>
        <w:rPr>
          <w:sz w:val="20"/>
          <w:szCs w:val="20"/>
          <w:color w:val="auto"/>
        </w:rPr>
      </w:pPr>
      <w:r>
        <w:rPr>
          <w:rFonts w:ascii="Arial" w:cs="Arial" w:eastAsia="Arial" w:hAnsi="Arial"/>
          <w:sz w:val="18"/>
          <w:szCs w:val="18"/>
          <w:color w:val="auto"/>
        </w:rPr>
        <w:t>and Controls to meet current Good Manufacturing Processes (“</w:t>
      </w:r>
      <w:r>
        <w:rPr>
          <w:rFonts w:ascii="Arial" w:cs="Arial" w:eastAsia="Arial" w:hAnsi="Arial"/>
          <w:sz w:val="18"/>
          <w:szCs w:val="18"/>
          <w:b w:val="1"/>
          <w:bCs w:val="1"/>
          <w:color w:val="auto"/>
        </w:rPr>
        <w:t>cGMP</w:t>
      </w:r>
      <w:r>
        <w:rPr>
          <w:rFonts w:ascii="Arial" w:cs="Arial" w:eastAsia="Arial" w:hAnsi="Arial"/>
          <w:sz w:val="18"/>
          <w:szCs w:val="18"/>
          <w:color w:val="auto"/>
        </w:rPr>
        <w:t>”). There is no assurance that the aforementioned timelines will be met or that the studies will advance to clinical trials, at all.</w:t>
      </w:r>
    </w:p>
    <w:p>
      <w:pPr>
        <w:spacing w:after="0" w:line="171" w:lineRule="exact"/>
        <w:rPr>
          <w:sz w:val="20"/>
          <w:szCs w:val="20"/>
          <w:color w:val="auto"/>
        </w:rPr>
      </w:pPr>
    </w:p>
    <w:p>
      <w:pPr>
        <w:jc w:val="both"/>
        <w:ind w:left="2" w:right="20"/>
        <w:spacing w:after="0" w:line="246" w:lineRule="auto"/>
        <w:rPr>
          <w:sz w:val="20"/>
          <w:szCs w:val="20"/>
          <w:color w:val="auto"/>
        </w:rPr>
      </w:pPr>
      <w:r>
        <w:rPr>
          <w:rFonts w:ascii="Arial" w:cs="Arial" w:eastAsia="Arial" w:hAnsi="Arial"/>
          <w:sz w:val="18"/>
          <w:szCs w:val="18"/>
          <w:color w:val="auto"/>
        </w:rPr>
        <w:t>Further the Company’s third-party vendors will be responsible for completing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The Company intends to complete these studies, and collect further relevant safety and toxicity data, prior to the filing for an IND application with FDA, CTA with Health Canada, or other similar application with regulatory bodies in other jurisdictions. There is no assurance that the aforementioned timelines will be met or that the studies will advance to clinical trials, at all.</w:t>
      </w:r>
    </w:p>
    <w:p>
      <w:pPr>
        <w:spacing w:after="0" w:line="183" w:lineRule="exact"/>
        <w:rPr>
          <w:sz w:val="20"/>
          <w:szCs w:val="20"/>
          <w:color w:val="auto"/>
        </w:rPr>
      </w:pPr>
    </w:p>
    <w:p>
      <w:pPr>
        <w:jc w:val="both"/>
        <w:ind w:left="2"/>
        <w:spacing w:after="0" w:line="226" w:lineRule="auto"/>
        <w:rPr>
          <w:sz w:val="20"/>
          <w:szCs w:val="20"/>
          <w:color w:val="auto"/>
        </w:rPr>
      </w:pPr>
      <w:r>
        <w:rPr>
          <w:rFonts w:ascii="Arial" w:cs="Arial" w:eastAsia="Arial" w:hAnsi="Arial"/>
          <w:sz w:val="18"/>
          <w:szCs w:val="18"/>
          <w:color w:val="auto"/>
        </w:rPr>
        <w:t>The Company's deuterated tryptamine program is primarily focused on a lead candidate, CYB004, a deuterated version of DMT. The Company has a newly defined program, the Deuterated Psilocybin Analog Program, which merges the initiatives of the Psilocybin Program and the deuterated tryptamine CYB003 preclinical program into one single program (Deuterated Psilocybin Analog Program). The work performed to date related to CYB003 in this program has been instrumental in defining the new program, as described above.</w:t>
      </w:r>
    </w:p>
    <w:p>
      <w:pPr>
        <w:spacing w:after="0" w:line="187" w:lineRule="exact"/>
        <w:rPr>
          <w:sz w:val="20"/>
          <w:szCs w:val="20"/>
          <w:color w:val="auto"/>
        </w:rPr>
      </w:pPr>
    </w:p>
    <w:p>
      <w:pPr>
        <w:jc w:val="both"/>
        <w:ind w:left="2" w:right="20"/>
        <w:spacing w:after="0" w:line="231" w:lineRule="auto"/>
        <w:rPr>
          <w:sz w:val="20"/>
          <w:szCs w:val="20"/>
          <w:color w:val="auto"/>
        </w:rPr>
      </w:pPr>
      <w:r>
        <w:rPr>
          <w:rFonts w:ascii="Arial" w:cs="Arial" w:eastAsia="Arial" w:hAnsi="Arial"/>
          <w:sz w:val="18"/>
          <w:szCs w:val="18"/>
          <w:color w:val="auto"/>
        </w:rPr>
        <w:t>The Company previously disclosed that the anticipated timeline for completing this objective was Q2 2022. The Company does intend to file a clinical trial application for a pilot study for the CYB004 candidate by the end of Q2 2022 and it also intends to continue pre-clinical studies and other research and development activities throughout the year and has therefore revised its timeline to ongoing</w:t>
      </w:r>
      <w:r>
        <w:rPr>
          <w:rFonts w:ascii="Arial" w:cs="Arial" w:eastAsia="Arial" w:hAnsi="Arial"/>
          <w:sz w:val="23"/>
          <w:szCs w:val="23"/>
          <w:color w:val="auto"/>
          <w:vertAlign w:val="superscript"/>
        </w:rPr>
        <w:t>22</w:t>
      </w:r>
      <w:r>
        <w:rPr>
          <w:rFonts w:ascii="Arial" w:cs="Arial" w:eastAsia="Arial" w:hAnsi="Arial"/>
          <w:sz w:val="18"/>
          <w:szCs w:val="18"/>
          <w:color w:val="auto"/>
        </w:rPr>
        <w:t>. There is no assurance that these timelines will be met or that these preclinical drug candidates will advance to clinical trials at all.</w:t>
      </w:r>
    </w:p>
    <w:p>
      <w:pPr>
        <w:spacing w:after="0" w:line="200" w:lineRule="exact"/>
        <w:rPr>
          <w:sz w:val="20"/>
          <w:szCs w:val="20"/>
          <w:color w:val="auto"/>
        </w:rPr>
      </w:pPr>
    </w:p>
    <w:p>
      <w:pPr>
        <w:jc w:val="both"/>
        <w:ind w:left="2" w:right="20"/>
        <w:spacing w:after="0" w:line="278" w:lineRule="auto"/>
        <w:rPr>
          <w:sz w:val="20"/>
          <w:szCs w:val="20"/>
          <w:color w:val="auto"/>
        </w:rPr>
      </w:pPr>
      <w:r>
        <w:rPr>
          <w:rFonts w:ascii="Arial" w:cs="Arial" w:eastAsia="Arial" w:hAnsi="Arial"/>
          <w:sz w:val="16"/>
          <w:szCs w:val="16"/>
          <w:color w:val="auto"/>
        </w:rPr>
        <w:t>The Company expects to spend $8,988 to advance preclinical development of CYB004 by the end of calendar 2022. The increase in spend compared to the listing statement is a reflection of the passage of time and how much the Company expects to incur up to December 31, 2022. The Company intends to file a clinical trial application for a pilot study in Q2 2022 and intends to continue pre-clinical studies and other research and development activities throughout the year. The Company cannot at this time estimate the cost of bringing CYB004 to market as much of the associated costs depend on the outcomes of the clinical trials. Further, there is no assurance that the aforementioned timelines will be met or that the CYB004 program will advance to clinical trials, at all. Anticipated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Phenethylamine Program</w:t>
      </w:r>
    </w:p>
    <w:p>
      <w:pPr>
        <w:spacing w:after="0" w:line="225" w:lineRule="exact"/>
        <w:rPr>
          <w:sz w:val="20"/>
          <w:szCs w:val="20"/>
          <w:color w:val="auto"/>
        </w:rPr>
      </w:pPr>
    </w:p>
    <w:p>
      <w:pPr>
        <w:jc w:val="both"/>
        <w:ind w:left="2" w:right="20"/>
        <w:spacing w:after="0" w:line="249" w:lineRule="auto"/>
        <w:rPr>
          <w:sz w:val="20"/>
          <w:szCs w:val="20"/>
          <w:color w:val="auto"/>
        </w:rPr>
      </w:pPr>
      <w:r>
        <w:rPr>
          <w:rFonts w:ascii="Arial" w:cs="Arial" w:eastAsia="Arial" w:hAnsi="Arial"/>
          <w:sz w:val="18"/>
          <w:szCs w:val="18"/>
          <w:color w:val="auto"/>
        </w:rPr>
        <w:t>The Company is investigating the development of phenethylamine derivatives with the aim of creating clinical development candidates suitable for preclinical and clinical research, utilizing (i) the chemical modification of phenethylamine derivatives; and (ii) the combination of such phenethylamine derivative molecules with selected drug delivery methods, including but not limited to sublingual delivery, orally dissolving tablets, inhalation methods, intravenous and intramuscular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15532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ind w:left="2" w:right="20" w:hanging="2"/>
        <w:spacing w:after="0" w:line="249" w:lineRule="auto"/>
        <w:tabs>
          <w:tab w:leader="none" w:pos="149" w:val="left"/>
        </w:tabs>
        <w:numPr>
          <w:ilvl w:val="0"/>
          <w:numId w:val="49"/>
        </w:numPr>
        <w:rPr>
          <w:rFonts w:ascii="Arial" w:cs="Arial" w:eastAsia="Arial" w:hAnsi="Arial"/>
          <w:sz w:val="20"/>
          <w:szCs w:val="20"/>
          <w:color w:val="auto"/>
          <w:vertAlign w:val="superscript"/>
        </w:rPr>
      </w:pPr>
      <w:r>
        <w:rPr>
          <w:rFonts w:ascii="Arial" w:cs="Arial" w:eastAsia="Arial" w:hAnsi="Arial"/>
          <w:sz w:val="14"/>
          <w:szCs w:val="14"/>
          <w:color w:val="auto"/>
        </w:rPr>
        <w:t xml:space="preserve">The Company previously disclosed that the anticipated timeline for completing this objective was Q2 2022. The Company does intend to file a clinical trial application for a pilot study for the CYB004 candidate by the end of Q2 2022 and it also intends to continue pre-clinical studies and other research and development activities throughout the year and has therefore revised its timeline to ongoing. Timing for this program is based on, among others, the following material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(as defined below); and (b) the Company assumes it will enter into agreements with certain third party vendors to complete a range of additional preclinical programs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4"/>
          <w:szCs w:val="14"/>
          <w:i w:val="1"/>
          <w:iCs w:val="1"/>
          <w:color w:val="auto"/>
        </w:rPr>
        <w:t>“Risk Factors”</w:t>
      </w:r>
      <w:r>
        <w:rPr>
          <w:rFonts w:ascii="Arial" w:cs="Arial" w:eastAsia="Arial" w:hAnsi="Arial"/>
          <w:sz w:val="14"/>
          <w:szCs w:val="14"/>
          <w:color w:val="auto"/>
        </w:rPr>
        <w:t>.</w:t>
      </w:r>
    </w:p>
    <w:p>
      <w:pPr>
        <w:spacing w:after="0" w:line="200" w:lineRule="exact"/>
        <w:rPr>
          <w:sz w:val="20"/>
          <w:szCs w:val="20"/>
          <w:color w:val="auto"/>
        </w:rPr>
      </w:pPr>
    </w:p>
    <w:p>
      <w:pPr>
        <w:spacing w:after="0" w:line="34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2"/>
          </w:cols>
          <w:pgMar w:left="318" w:top="706" w:right="319" w:bottom="1440" w:gutter="0" w:footer="0" w:header="0"/>
        </w:sectPr>
      </w:pPr>
    </w:p>
    <w:bookmarkStart w:id="51" w:name="page52"/>
    <w:bookmarkEnd w:id="51"/>
    <w:p>
      <w:pPr>
        <w:jc w:val="both"/>
        <w:ind w:right="20"/>
        <w:spacing w:after="0" w:line="262" w:lineRule="auto"/>
        <w:rPr>
          <w:sz w:val="20"/>
          <w:szCs w:val="20"/>
          <w:color w:val="auto"/>
        </w:rPr>
      </w:pPr>
      <w:r>
        <w:rPr>
          <w:rFonts w:ascii="Arial" w:cs="Arial" w:eastAsia="Arial" w:hAnsi="Arial"/>
          <w:sz w:val="17"/>
          <w:szCs w:val="17"/>
          <w:color w:val="auto"/>
        </w:rPr>
        <w:t>Work on the synthesis and optimization of these molecules has recently begun at a licensed third-party vendor. In order to assess the feasibility and viability of these phenethylamine derivatives entering clinical studies, the Company has and will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suitable for entry into animal and human studies, studies of the stability of such formulations suitable for human studies, the development of Chemistry, Manufacturing and Controls to meet current cGMP.</w:t>
      </w:r>
    </w:p>
    <w:p>
      <w:pPr>
        <w:spacing w:after="0" w:line="182"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In addition, utilizing the expertise of selected third parties, the Company intends to oversee the study of the pharmacokinetic profiles of its formulations in a number of animal models and the completion of Absorption, Distribution, Metabolism, and Excretion profiles. Further, the Company’s licensed third party vendors will be responsible for completing a range of additional preclinical programs including but not limited to dos-ranging studies in multiple animal species, toxicity studies in multiple animal species, genotoxicity studies, teratogenicity studies, along with neuropharmacological, pulmonary, and cardiovascular profiling, before the final selection of drug candidates for entry into human trials.</w:t>
      </w:r>
    </w:p>
    <w:p>
      <w:pPr>
        <w:spacing w:after="0" w:line="18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The Company anticipates that its phenethylamine program may deliver a drug candidate suitable for entry into clinical studies by Q1 2023. The Company expects to spend $2,090 to complete preclinical development of a phenethylamine drug candidate by the end of calendar 2022. The Company cannot at this time estimate the cost of bringing a phenethylamine drug candidate to market as much of the associated costs depend on the outcomes of the phase I and phase II clinical trials. Further, there is no assurance that the aforementioned timelines will be met or that such studies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Nutraceutical Products</w:t>
      </w:r>
    </w:p>
    <w:p>
      <w:pPr>
        <w:spacing w:after="0" w:line="22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November 2021, the Company determined that it would not proceed with the Product Line in order to focus its efforts on the research and development progression of psychedelic molecules. As a result, the Company no longer expects to complete its anticipated milestone and is expecting to spend $NIL on this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Programs</w:t>
      </w:r>
    </w:p>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worked on a number of fronts to establish an e-Commerce platform to support the education, sales and marketing of potential consumer and prescription mental wellness products, including but not limited to its line of nutraceutical products. The Company has undertaken commissioned market research activities to evaluate the market potential and the steps necessary to establish such a platform, along with commercial discussions with a number of parties that could assist the Company in building and accelerating its path to market. With the decision to no longer pursue with the nutraceutical business segment, the spend has been reduced to $NIL.</w:t>
      </w:r>
    </w:p>
    <w:p>
      <w:pPr>
        <w:spacing w:after="0" w:line="195"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Company has begun work on the creation of a Digital Platform. The Digital Platform is envisioned to help patients undergoing psychedelic therapies to memorialize the learning from their treatment sessions and to assist with the integration of such learnings into the patient’s psychotherapy program. Activities have been undertaken to establish the design of a proof of concept and to identify the necessary key modules and components. The Company shall base future plans for the Digital Platform on the results of the planned proof of concept work.</w:t>
      </w:r>
    </w:p>
    <w:p>
      <w:pPr>
        <w:spacing w:after="0" w:line="17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Company previously announced an agreement with Kernel that will enable the Company to use Kernel Flow devices to potentially measure neural activity during psychedelic therapy. While the Company previously announced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320" w:top="710" w:right="319" w:bottom="1440" w:gutter="0" w:footer="0" w:header="0"/>
        </w:sectPr>
      </w:pPr>
    </w:p>
    <w:bookmarkStart w:id="52" w:name="page53"/>
    <w:bookmarkEnd w:id="52"/>
    <w:p>
      <w:pPr>
        <w:jc w:val="both"/>
        <w:ind w:right="20"/>
        <w:spacing w:after="0" w:line="260" w:lineRule="auto"/>
        <w:rPr>
          <w:sz w:val="20"/>
          <w:szCs w:val="20"/>
          <w:color w:val="auto"/>
        </w:rPr>
      </w:pPr>
      <w:r>
        <w:rPr>
          <w:rFonts w:ascii="Arial" w:cs="Arial" w:eastAsia="Arial" w:hAnsi="Arial"/>
          <w:sz w:val="17"/>
          <w:szCs w:val="17"/>
          <w:color w:val="auto"/>
        </w:rPr>
        <w:t>that delivery was expected in Q2 2021 and studies would commence in the second half of 2021, the Company has since decided to focus on sponsoring studies in the near term. On June 1, 2021, the Company announced its sponsorship of Kernel’s feasibility study of its Kernel Flow technology to measure Ketamine’s psychedelic effect on cerebral cortex hemodynamics. On October 26, 2021, the Company announced that the FDA has authorized an IND application to proceed with the Company’s sponsored feasibility study using Kernel’s Flow technology to measure ketamine’s psychedelic effect on cerebral cortex hemodynamics. On January 11, 2022, the Company announced that the IRB has approved the Company's sponsored feasibility study. The Company expects to spend $521 to sponsor clinical studies utilizing these devices by the end of calendar 2022. This is a decrease from the original estimate of $1,825 as the Company will base any future sponsorships on the preliminary study results received. There is no guarantee that the use of such devices in clinical studies will result in a commercially viable product and there is no assurance that the aforementioned timelines will be met or that such studies will advance to clinical trials, at all.</w:t>
      </w:r>
    </w:p>
    <w:p>
      <w:pPr>
        <w:spacing w:after="0" w:line="18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"Risk Factors" in this MD&amp;A or unforeseen events.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than as described in the AIF and herein, to the knowledge of management, there are no other particular significant events or milestones that must occur for the Company’s initial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Cybin has title to one granted US patent related to the Company’s investigational deuterated DMT compound CYB004. The patent covers composition of matter and protects the CYB004 drug substance, a putative new chemical entity.</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2"/>
                <w:szCs w:val="22"/>
                <w:color w:val="auto"/>
              </w:rPr>
            </w:pPr>
          </w:p>
        </w:tc>
        <w:tc>
          <w:tcPr>
            <w:tcW w:w="2040" w:type="dxa"/>
            <w:vAlign w:val="bottom"/>
            <w:tcBorders>
              <w:top w:val="single" w:sz="8" w:color="auto"/>
              <w:bottom w:val="single" w:sz="8" w:color="BFBFBF"/>
              <w:right w:val="single" w:sz="8" w:color="auto"/>
            </w:tcBorders>
            <w:shd w:val="clear" w:color="auto" w:fill="BFBFBF"/>
          </w:tcPr>
          <w:p>
            <w:pPr>
              <w:jc w:val="right"/>
              <w:ind w:right="418"/>
              <w:spacing w:after="0"/>
              <w:rPr>
                <w:sz w:val="20"/>
                <w:szCs w:val="20"/>
                <w:color w:val="auto"/>
              </w:rPr>
            </w:pPr>
            <w:r>
              <w:rPr>
                <w:rFonts w:ascii="Arial" w:cs="Arial" w:eastAsia="Arial" w:hAnsi="Arial"/>
                <w:sz w:val="16"/>
                <w:szCs w:val="16"/>
                <w:b w:val="1"/>
                <w:bCs w:val="1"/>
                <w:color w:val="auto"/>
              </w:rPr>
              <w:t>Patent Number</w:t>
            </w:r>
          </w:p>
        </w:tc>
        <w:tc>
          <w:tcPr>
            <w:tcW w:w="1740" w:type="dxa"/>
            <w:vAlign w:val="bottom"/>
            <w:tcBorders>
              <w:top w:val="single" w:sz="8" w:color="auto"/>
              <w:bottom w:val="single" w:sz="8" w:color="BFBFBF"/>
              <w:right w:val="single" w:sz="8" w:color="auto"/>
            </w:tcBorders>
            <w:shd w:val="clear" w:color="auto" w:fill="BFBFBF"/>
          </w:tcPr>
          <w:p>
            <w:pPr>
              <w:ind w:left="120"/>
              <w:spacing w:after="0"/>
              <w:rPr>
                <w:sz w:val="20"/>
                <w:szCs w:val="20"/>
                <w:color w:val="auto"/>
              </w:rPr>
            </w:pPr>
            <w:r>
              <w:rPr>
                <w:rFonts w:ascii="Arial" w:cs="Arial" w:eastAsia="Arial" w:hAnsi="Arial"/>
                <w:sz w:val="16"/>
                <w:szCs w:val="16"/>
                <w:b w:val="1"/>
                <w:bCs w:val="1"/>
                <w:color w:val="auto"/>
              </w:rPr>
              <w:t>Jurisdiction of Filing</w:t>
            </w:r>
          </w:p>
        </w:tc>
        <w:tc>
          <w:tcPr>
            <w:tcW w:w="7160" w:type="dxa"/>
            <w:vAlign w:val="bottom"/>
            <w:tcBorders>
              <w:top w:val="single" w:sz="8" w:color="auto"/>
              <w:bottom w:val="single" w:sz="8" w:color="BFBFBF"/>
              <w:right w:val="single" w:sz="8" w:color="auto"/>
            </w:tcBorders>
            <w:shd w:val="clear" w:color="auto" w:fill="BFBFBF"/>
          </w:tcPr>
          <w:p>
            <w:pPr>
              <w:ind w:left="3160"/>
              <w:spacing w:after="0"/>
              <w:rPr>
                <w:sz w:val="20"/>
                <w:szCs w:val="20"/>
                <w:color w:val="auto"/>
              </w:rPr>
            </w:pPr>
            <w:r>
              <w:rPr>
                <w:rFonts w:ascii="Arial" w:cs="Arial" w:eastAsia="Arial" w:hAnsi="Arial"/>
                <w:sz w:val="16"/>
                <w:szCs w:val="16"/>
                <w:b w:val="1"/>
                <w:bCs w:val="1"/>
                <w:color w:val="auto"/>
              </w:rPr>
              <w:t>Description</w:t>
            </w:r>
          </w:p>
        </w:tc>
      </w:tr>
      <w:tr>
        <w:trPr>
          <w:trHeight w:val="211"/>
        </w:trPr>
        <w:tc>
          <w:tcPr>
            <w:tcW w:w="320" w:type="dxa"/>
            <w:vAlign w:val="bottom"/>
            <w:tcBorders>
              <w:top w:val="single" w:sz="8" w:color="auto"/>
              <w:left w:val="single" w:sz="8" w:color="auto"/>
              <w:right w:val="single" w:sz="8" w:color="auto"/>
            </w:tcBorders>
          </w:tcPr>
          <w:p>
            <w:pPr>
              <w:jc w:val="right"/>
              <w:ind w:right="138"/>
              <w:spacing w:after="0"/>
              <w:rPr>
                <w:sz w:val="20"/>
                <w:szCs w:val="20"/>
                <w:color w:val="auto"/>
              </w:rPr>
            </w:pPr>
            <w:r>
              <w:rPr>
                <w:rFonts w:ascii="Arial" w:cs="Arial" w:eastAsia="Arial" w:hAnsi="Arial"/>
                <w:sz w:val="16"/>
                <w:szCs w:val="16"/>
                <w:color w:val="auto"/>
                <w:w w:val="89"/>
              </w:rPr>
              <w:t>1</w:t>
            </w:r>
          </w:p>
        </w:tc>
        <w:tc>
          <w:tcPr>
            <w:tcW w:w="2040" w:type="dxa"/>
            <w:vAlign w:val="bottom"/>
            <w:tcBorders>
              <w:top w:val="single" w:sz="8" w:color="auto"/>
              <w:right w:val="single" w:sz="8" w:color="auto"/>
            </w:tcBorders>
          </w:tcPr>
          <w:p>
            <w:pPr>
              <w:jc w:val="right"/>
              <w:ind w:right="1238"/>
              <w:spacing w:after="0"/>
              <w:rPr>
                <w:sz w:val="20"/>
                <w:szCs w:val="20"/>
                <w:color w:val="auto"/>
              </w:rPr>
            </w:pPr>
            <w:r>
              <w:rPr>
                <w:rFonts w:ascii="Arial" w:cs="Arial" w:eastAsia="Arial" w:hAnsi="Arial"/>
                <w:sz w:val="16"/>
                <w:szCs w:val="16"/>
                <w:color w:val="auto"/>
                <w:w w:val="87"/>
              </w:rPr>
              <w:t>11,242,318</w:t>
            </w:r>
          </w:p>
        </w:tc>
        <w:tc>
          <w:tcPr>
            <w:tcW w:w="17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7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Deuterated Tryptamine Derivatives And Methods Of Use</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160" w:type="dxa"/>
            <w:vAlign w:val="bottom"/>
            <w:tcBorders>
              <w:bottom w:val="single" w:sz="8" w:color="auto"/>
              <w:right w:val="single" w:sz="8" w:color="auto"/>
            </w:tcBorders>
          </w:tcPr>
          <w:p>
            <w:pPr>
              <w:spacing w:after="0"/>
              <w:rPr>
                <w:sz w:val="2"/>
                <w:szCs w:val="2"/>
                <w:color w:val="auto"/>
              </w:rPr>
            </w:pPr>
          </w:p>
        </w:tc>
      </w:tr>
    </w:tbl>
    <w:p>
      <w:pPr>
        <w:spacing w:after="0" w:line="289"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In addition, Cybin has title to eight provisional patent applications, and four PCT applications including claims directed to compositions of matter and methods of use in support of its research and development and pre-clinical trial programs.</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2"/>
                <w:szCs w:val="22"/>
                <w:color w:val="auto"/>
              </w:rPr>
            </w:pPr>
          </w:p>
        </w:tc>
        <w:tc>
          <w:tcPr>
            <w:tcW w:w="2020" w:type="dxa"/>
            <w:vAlign w:val="bottom"/>
            <w:tcBorders>
              <w:top w:val="single" w:sz="8" w:color="auto"/>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6"/>
                <w:szCs w:val="16"/>
                <w:b w:val="1"/>
                <w:bCs w:val="1"/>
                <w:color w:val="auto"/>
                <w:w w:val="95"/>
              </w:rPr>
              <w:t>Patent Application Number</w:t>
            </w:r>
          </w:p>
        </w:tc>
        <w:tc>
          <w:tcPr>
            <w:tcW w:w="1760" w:type="dxa"/>
            <w:vAlign w:val="bottom"/>
            <w:tcBorders>
              <w:top w:val="single" w:sz="8" w:color="auto"/>
              <w:bottom w:val="single" w:sz="8" w:color="BFBFBF"/>
              <w:right w:val="single" w:sz="8" w:color="auto"/>
            </w:tcBorders>
            <w:shd w:val="clear" w:color="auto" w:fill="BFBFBF"/>
          </w:tcPr>
          <w:p>
            <w:pPr>
              <w:ind w:left="140"/>
              <w:spacing w:after="0"/>
              <w:rPr>
                <w:sz w:val="20"/>
                <w:szCs w:val="20"/>
                <w:color w:val="auto"/>
              </w:rPr>
            </w:pPr>
            <w:r>
              <w:rPr>
                <w:rFonts w:ascii="Arial" w:cs="Arial" w:eastAsia="Arial" w:hAnsi="Arial"/>
                <w:sz w:val="16"/>
                <w:szCs w:val="16"/>
                <w:b w:val="1"/>
                <w:bCs w:val="1"/>
                <w:color w:val="auto"/>
              </w:rPr>
              <w:t>Jurisdiction of Filing</w:t>
            </w:r>
          </w:p>
        </w:tc>
        <w:tc>
          <w:tcPr>
            <w:tcW w:w="2020" w:type="dxa"/>
            <w:vAlign w:val="bottom"/>
            <w:tcBorders>
              <w:top w:val="single" w:sz="8" w:color="auto"/>
              <w:bottom w:val="single" w:sz="8" w:color="BFBFBF"/>
              <w:right w:val="single" w:sz="8" w:color="auto"/>
            </w:tcBorders>
            <w:shd w:val="clear" w:color="auto" w:fill="BFBFBF"/>
          </w:tcPr>
          <w:p>
            <w:pPr>
              <w:ind w:left="780"/>
              <w:spacing w:after="0"/>
              <w:rPr>
                <w:sz w:val="20"/>
                <w:szCs w:val="20"/>
                <w:color w:val="auto"/>
              </w:rPr>
            </w:pPr>
            <w:r>
              <w:rPr>
                <w:rFonts w:ascii="Arial" w:cs="Arial" w:eastAsia="Arial" w:hAnsi="Arial"/>
                <w:sz w:val="16"/>
                <w:szCs w:val="16"/>
                <w:b w:val="1"/>
                <w:bCs w:val="1"/>
                <w:color w:val="auto"/>
              </w:rPr>
              <w:t>Status</w:t>
            </w:r>
          </w:p>
        </w:tc>
        <w:tc>
          <w:tcPr>
            <w:tcW w:w="5120" w:type="dxa"/>
            <w:vAlign w:val="bottom"/>
            <w:tcBorders>
              <w:top w:val="single" w:sz="8" w:color="auto"/>
              <w:bottom w:val="single" w:sz="8" w:color="BFBFBF"/>
              <w:right w:val="single" w:sz="8" w:color="auto"/>
            </w:tcBorders>
            <w:shd w:val="clear" w:color="auto" w:fill="BFBFBF"/>
          </w:tcPr>
          <w:p>
            <w:pPr>
              <w:ind w:left="2140"/>
              <w:spacing w:after="0"/>
              <w:rPr>
                <w:sz w:val="20"/>
                <w:szCs w:val="20"/>
                <w:color w:val="auto"/>
              </w:rPr>
            </w:pPr>
            <w:r>
              <w:rPr>
                <w:rFonts w:ascii="Arial" w:cs="Arial" w:eastAsia="Arial" w:hAnsi="Arial"/>
                <w:sz w:val="16"/>
                <w:szCs w:val="16"/>
                <w:b w:val="1"/>
                <w:bCs w:val="1"/>
                <w:color w:val="auto"/>
              </w:rPr>
              <w:t>Description</w:t>
            </w:r>
          </w:p>
        </w:tc>
      </w:tr>
      <w:tr>
        <w:trPr>
          <w:trHeight w:val="211"/>
        </w:trPr>
        <w:tc>
          <w:tcPr>
            <w:tcW w:w="3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w:t>
            </w:r>
          </w:p>
        </w:tc>
        <w:tc>
          <w:tcPr>
            <w:tcW w:w="20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63/157,118</w:t>
            </w:r>
          </w:p>
        </w:tc>
        <w:tc>
          <w:tcPr>
            <w:tcW w:w="1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Deuterated Tryptamine Derivatives And Methods Of Use</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63/162,749</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Deuterated Psilocybin Analog Formulations</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63/189,449</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Formulations of psilocybin</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PCT/IB2021/054340</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Tryptamine Derivative Compounds and Methods</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63/219,880</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Integrated Data Collection Devices for Use in Psychotherapy</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6</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PCT/EP2021/072898</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Phenethlamine Derivatives, Compositions, and Methods of Use</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7</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PCT/EP2021/072896</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Therapeutic Phenethylamine Compositions and Methods of Use</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8</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63/241,891</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Combination Drug Therapies</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PCT/EP2021/077057</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Treatment Protocols for Inhalation Delivery of Psychedelic Medications</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63/276,117</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Psilocybin Analog Formulations and Methods of Use</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11</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17/564,707</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Deuterated Tryptamine Derivatives and Methods of Use</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63/299,599</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Tryptamine Compositions and Methods</w:t>
            </w: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320" w:top="710" w:right="319" w:bottom="1440" w:gutter="0" w:footer="0" w:header="0"/>
        </w:sectPr>
      </w:pPr>
    </w:p>
    <w:bookmarkStart w:id="53" w:name="page54"/>
    <w:bookmarkEnd w:id="53"/>
    <w:p>
      <w:pPr>
        <w:jc w:val="both"/>
        <w:ind w:right="20"/>
        <w:spacing w:after="0" w:line="249" w:lineRule="auto"/>
        <w:rPr>
          <w:sz w:val="20"/>
          <w:szCs w:val="20"/>
          <w:color w:val="auto"/>
        </w:rPr>
      </w:pPr>
      <w:r>
        <w:rPr>
          <w:rFonts w:ascii="Arial" w:cs="Arial" w:eastAsia="Arial" w:hAnsi="Arial"/>
          <w:sz w:val="18"/>
          <w:szCs w:val="18"/>
          <w:color w:val="auto"/>
        </w:rPr>
        <w:t>The provisional patent applications cover a wide range of novel psychedelic compounds from different classes including targeted structural modifications to improve the drugs pharmacokinetic characteristics and safety profiles without altering their receptor binding. Novel drug delivery platform claims are expected to enable administration of the psychedelic drugs with faster onset of action, higher bioavailability by way of bypassing liver metabolism and are expect to offer more control for better patient experience and optimized therapeutic outcomes.</w:t>
      </w:r>
    </w:p>
    <w:p>
      <w:pPr>
        <w:spacing w:after="0" w:line="168"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Cybin has also filed applications for registration of twenty-two trademarks, including Changing Minds™, Cybin, Cybin Therapeutics™, Embark™, It’s not magic. It’s mushrooms™, It's not magic, its science™, Journey™, Mushroom &amp; Friends™, Psilotonin™, Psychedelics to Therapeutics™ and CYB™.</w:t>
      </w:r>
    </w:p>
    <w:p>
      <w:pPr>
        <w:spacing w:after="0" w:line="106"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spacing w:after="0" w:line="168" w:lineRule="exact"/>
        <w:rPr>
          <w:sz w:val="20"/>
          <w:szCs w:val="20"/>
          <w:color w:val="auto"/>
        </w:rPr>
      </w:pPr>
    </w:p>
    <w:p>
      <w:pPr>
        <w:jc w:val="both"/>
        <w:ind w:right="20"/>
        <w:spacing w:after="0" w:line="297" w:lineRule="auto"/>
        <w:rPr>
          <w:sz w:val="20"/>
          <w:szCs w:val="20"/>
          <w:color w:val="auto"/>
        </w:rPr>
      </w:pPr>
      <w:r>
        <w:rPr>
          <w:rFonts w:ascii="Arial" w:cs="Arial" w:eastAsia="Arial" w:hAnsi="Arial"/>
          <w:sz w:val="17"/>
          <w:szCs w:val="17"/>
          <w:color w:val="auto"/>
        </w:rPr>
        <w:t>On July 8, 2021, the Company announced its scaling up of its European operations though its recently formed wholly owned Ireland subsidiary, Cybin Ireland. In connection with the formation of Cybin Ireland, the Company transferred its intellectual property assets to this entity.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Framework and Licensing Regime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7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 xml:space="preserve">Certain psychoactive compounds, such as psilocybin, are considered controlled substances under Schedule III of the </w:t>
      </w:r>
      <w:r>
        <w:rPr>
          <w:rFonts w:ascii="Arial" w:cs="Arial" w:eastAsia="Arial" w:hAnsi="Arial"/>
          <w:sz w:val="18"/>
          <w:szCs w:val="18"/>
          <w:i w:val="1"/>
          <w:iCs w:val="1"/>
          <w:color w:val="auto"/>
        </w:rPr>
        <w:t>Controlled Drugs and Substances Act</w:t>
      </w:r>
      <w:r>
        <w:rPr>
          <w:rFonts w:ascii="Arial" w:cs="Arial" w:eastAsia="Arial" w:hAnsi="Arial"/>
          <w:sz w:val="18"/>
          <w:szCs w:val="18"/>
          <w:color w:val="auto"/>
        </w:rPr>
        <w:t xml:space="preserve"> (Canada) (the “</w:t>
      </w:r>
      <w:r>
        <w:rPr>
          <w:rFonts w:ascii="Arial" w:cs="Arial" w:eastAsia="Arial" w:hAnsi="Arial"/>
          <w:sz w:val="18"/>
          <w:szCs w:val="18"/>
          <w:b w:val="1"/>
          <w:bCs w:val="1"/>
          <w:color w:val="auto"/>
        </w:rPr>
        <w:t>CDSA</w:t>
      </w:r>
      <w:r>
        <w:rPr>
          <w:rFonts w:ascii="Arial" w:cs="Arial" w:eastAsia="Arial" w:hAnsi="Arial"/>
          <w:sz w:val="18"/>
          <w:szCs w:val="18"/>
          <w:color w:val="auto"/>
        </w:rPr>
        <w:t>”). In order to conduct any scientific research, including pre-clinical and clinical trials, using psychoactive compounds listed as controlled substances under the CDSA, an exemption under Section 56 of the CDSA (“</w:t>
      </w:r>
      <w:r>
        <w:rPr>
          <w:rFonts w:ascii="Arial" w:cs="Arial" w:eastAsia="Arial" w:hAnsi="Arial"/>
          <w:sz w:val="18"/>
          <w:szCs w:val="18"/>
          <w:b w:val="1"/>
          <w:bCs w:val="1"/>
          <w:color w:val="auto"/>
        </w:rPr>
        <w:t>Section 56 Exemption</w:t>
      </w:r>
      <w:r>
        <w:rPr>
          <w:rFonts w:ascii="Arial" w:cs="Arial" w:eastAsia="Arial" w:hAnsi="Arial"/>
          <w:sz w:val="18"/>
          <w:szCs w:val="18"/>
          <w:color w:val="auto"/>
        </w:rPr>
        <w:t>”) is required. This exemption allows the holder to possess and use the controlled substance without being subject to the restrictions set out in the CDSA. The Company has not applied for a Section 56 Exemption from Health Canada.</w:t>
      </w:r>
    </w:p>
    <w:p>
      <w:pPr>
        <w:spacing w:after="0" w:line="170"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w:t>
      </w:r>
      <w:r>
        <w:rPr>
          <w:rFonts w:ascii="Arial" w:cs="Arial" w:eastAsia="Arial" w:hAnsi="Arial"/>
          <w:sz w:val="17"/>
          <w:szCs w:val="17"/>
          <w:i w:val="1"/>
          <w:iCs w:val="1"/>
          <w:color w:val="auto"/>
        </w:rPr>
        <w:t>Controlled Drugs and Substances</w:t>
      </w:r>
      <w:r>
        <w:rPr>
          <w:rFonts w:ascii="Arial" w:cs="Arial" w:eastAsia="Arial" w:hAnsi="Arial"/>
          <w:sz w:val="17"/>
          <w:szCs w:val="17"/>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w:t>
      </w:r>
      <w:r>
        <w:rPr>
          <w:rFonts w:ascii="Arial" w:cs="Arial" w:eastAsia="Arial" w:hAnsi="Arial"/>
          <w:sz w:val="17"/>
          <w:szCs w:val="17"/>
          <w:i w:val="1"/>
          <w:iCs w:val="1"/>
          <w:color w:val="auto"/>
        </w:rPr>
        <w:t xml:space="preserve"> Food and Drugs Regulations</w:t>
      </w:r>
      <w:r>
        <w:rPr>
          <w:rFonts w:ascii="Arial" w:cs="Arial" w:eastAsia="Arial" w:hAnsi="Arial"/>
          <w:sz w:val="17"/>
          <w:szCs w:val="17"/>
          <w:color w:val="auto"/>
        </w:rPr>
        <w:t>) and subject to any restrictions placed on the licence by Health Canada, an entity with a Dealer’s Licence may produce,</w:t>
      </w:r>
      <w:r>
        <w:rPr>
          <w:rFonts w:ascii="Arial" w:cs="Arial" w:eastAsia="Arial" w:hAnsi="Arial"/>
          <w:sz w:val="17"/>
          <w:szCs w:val="17"/>
          <w:i w:val="1"/>
          <w:iCs w:val="1"/>
          <w:color w:val="auto"/>
        </w:rPr>
        <w:t xml:space="preserve"> </w:t>
      </w:r>
      <w:r>
        <w:rPr>
          <w:rFonts w:ascii="Arial" w:cs="Arial" w:eastAsia="Arial" w:hAnsi="Arial"/>
          <w:sz w:val="17"/>
          <w:szCs w:val="17"/>
          <w:color w:val="auto"/>
        </w:rPr>
        <w:t>assemble, sell, provide, transport, send, deliver, import or export a restricted drug (as listed in Part J in the Food and Drugs Regulations – which includes psilocybin and psilocin) (see s. J.01.009 (1) of the Food and Drug Regulations).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Company intends to sponsor and work with licensed third parties to conduct any clinical trials and research and does not handle controlled substances.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If the Company were to conduct this work without the reliance on third parties, it would need to obtain additional licences and approvals described above.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60"/>
          </w:cols>
          <w:pgMar w:left="320" w:top="710" w:right="319" w:bottom="1440" w:gutter="0" w:footer="0" w:header="0"/>
        </w:sectPr>
      </w:pPr>
    </w:p>
    <w:bookmarkStart w:id="54" w:name="page55"/>
    <w:bookmarkEnd w:id="54"/>
    <w:p>
      <w:pPr>
        <w:ind w:left="2"/>
        <w:spacing w:after="0"/>
        <w:rPr>
          <w:sz w:val="20"/>
          <w:szCs w:val="20"/>
          <w:color w:val="auto"/>
        </w:rPr>
      </w:pPr>
      <w:r>
        <w:rPr>
          <w:rFonts w:ascii="Arial" w:cs="Arial" w:eastAsia="Arial" w:hAnsi="Arial"/>
          <w:sz w:val="18"/>
          <w:szCs w:val="18"/>
          <w:i w:val="1"/>
          <w:iCs w:val="1"/>
          <w:color w:val="auto"/>
        </w:rPr>
        <w:t>United States</w:t>
      </w:r>
    </w:p>
    <w:p>
      <w:pPr>
        <w:spacing w:after="0" w:line="184" w:lineRule="exact"/>
        <w:rPr>
          <w:sz w:val="20"/>
          <w:szCs w:val="20"/>
          <w:color w:val="auto"/>
        </w:rPr>
      </w:pPr>
    </w:p>
    <w:p>
      <w:pPr>
        <w:jc w:val="both"/>
        <w:ind w:left="2"/>
        <w:spacing w:after="0" w:line="237" w:lineRule="auto"/>
        <w:rPr>
          <w:sz w:val="20"/>
          <w:szCs w:val="20"/>
          <w:color w:val="auto"/>
        </w:rPr>
      </w:pPr>
      <w:r>
        <w:rPr>
          <w:rFonts w:ascii="Arial" w:cs="Arial" w:eastAsia="Arial" w:hAnsi="Arial"/>
          <w:sz w:val="16"/>
          <w:szCs w:val="16"/>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related to its Deuterated Psilocybin Analog Program upon completion of its pre-clinical studies and CMC development</w:t>
      </w:r>
      <w:r>
        <w:rPr>
          <w:rFonts w:ascii="Arial" w:cs="Arial" w:eastAsia="Arial" w:hAnsi="Arial"/>
          <w:sz w:val="21"/>
          <w:szCs w:val="21"/>
          <w:color w:val="auto"/>
          <w:vertAlign w:val="superscript"/>
        </w:rPr>
        <w:t>23</w:t>
      </w:r>
      <w:r>
        <w:rPr>
          <w:rFonts w:ascii="Arial" w:cs="Arial" w:eastAsia="Arial" w:hAnsi="Arial"/>
          <w:sz w:val="16"/>
          <w:szCs w:val="16"/>
          <w:color w:val="auto"/>
        </w:rPr>
        <w:t>. Anticipated timelines related to regulatory filings are based on reasonable assumptions informed by current knowledge and information available to the Company.</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16"/>
          <w:szCs w:val="16"/>
          <w:color w:val="auto"/>
        </w:rPr>
        <w:t>Psilocybin, psilocin, dimethyltryptamine, and 5-Methoxy-N-N-dimethyltryptamine are strictly controlled under the Controlled Substances Act (21 U.S.C. §</w:t>
      </w:r>
    </w:p>
    <w:p>
      <w:pPr>
        <w:spacing w:after="0" w:line="40" w:lineRule="exact"/>
        <w:rPr>
          <w:sz w:val="20"/>
          <w:szCs w:val="20"/>
          <w:color w:val="auto"/>
        </w:rPr>
      </w:pPr>
    </w:p>
    <w:p>
      <w:pPr>
        <w:jc w:val="both"/>
        <w:ind w:left="2" w:hanging="2"/>
        <w:spacing w:after="0" w:line="242" w:lineRule="auto"/>
        <w:tabs>
          <w:tab w:leader="none" w:pos="39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U.S. Drug Enforcement Administration (the “</w:t>
      </w:r>
      <w:r>
        <w:rPr>
          <w:rFonts w:ascii="Arial" w:cs="Arial" w:eastAsia="Arial" w:hAnsi="Arial"/>
          <w:sz w:val="18"/>
          <w:szCs w:val="18"/>
          <w:b w:val="1"/>
          <w:bCs w:val="1"/>
          <w:color w:val="auto"/>
        </w:rPr>
        <w:t>DEA</w:t>
      </w:r>
      <w:r>
        <w:rPr>
          <w:rFonts w:ascii="Arial" w:cs="Arial" w:eastAsia="Arial" w:hAnsi="Arial"/>
          <w:sz w:val="18"/>
          <w:szCs w:val="18"/>
          <w:color w:val="auto"/>
        </w:rPr>
        <w:t>”), and obtain DEA approval of the research proposal. A majority of state laws in the United States also classify psilocybin and psilocin as Schedule I controlled substances. For any product containing psilocybin to be available for commercial marketing in the United States, psilocybin and psilocin must be rescheduled, or the product itself must be scheduled, by the DEA to Schedule II, III, IV or V. Scheduling determinations by the DEA are dependent on FDA approval of a substance or a specific formulation of a substance.</w:t>
      </w:r>
    </w:p>
    <w:p>
      <w:pPr>
        <w:spacing w:after="0" w:line="173"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United Kingdom</w:t>
      </w:r>
    </w:p>
    <w:p>
      <w:pPr>
        <w:spacing w:after="0" w:line="197"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58" w:lineRule="exact"/>
        <w:rPr>
          <w:sz w:val="20"/>
          <w:szCs w:val="20"/>
          <w:color w:val="auto"/>
        </w:rPr>
      </w:pPr>
    </w:p>
    <w:p>
      <w:pPr>
        <w:jc w:val="both"/>
        <w:ind w:left="2"/>
        <w:spacing w:after="0" w:line="256" w:lineRule="auto"/>
        <w:rPr>
          <w:sz w:val="20"/>
          <w:szCs w:val="20"/>
          <w:color w:val="auto"/>
        </w:rPr>
      </w:pPr>
      <w:r>
        <w:rPr>
          <w:rFonts w:ascii="Arial" w:cs="Arial" w:eastAsia="Arial" w:hAnsi="Arial"/>
          <w:sz w:val="18"/>
          <w:szCs w:val="18"/>
          <w:color w:val="auto"/>
        </w:rPr>
        <w:t>The main UK controlled drugs legislation is the Misuse of Drugs Act 1971 (the “</w:t>
      </w:r>
      <w:r>
        <w:rPr>
          <w:rFonts w:ascii="Arial" w:cs="Arial" w:eastAsia="Arial" w:hAnsi="Arial"/>
          <w:sz w:val="18"/>
          <w:szCs w:val="18"/>
          <w:b w:val="1"/>
          <w:bCs w:val="1"/>
          <w:color w:val="auto"/>
        </w:rPr>
        <w:t>MDA</w:t>
      </w:r>
      <w:r>
        <w:rPr>
          <w:rFonts w:ascii="Arial" w:cs="Arial" w:eastAsia="Arial" w:hAnsi="Arial"/>
          <w:sz w:val="18"/>
          <w:szCs w:val="18"/>
          <w:color w:val="auto"/>
        </w:rPr>
        <w:t>”) and the Misuse of Drugs Regulations 2001 (the “</w:t>
      </w:r>
      <w:r>
        <w:rPr>
          <w:rFonts w:ascii="Arial" w:cs="Arial" w:eastAsia="Arial" w:hAnsi="Arial"/>
          <w:sz w:val="18"/>
          <w:szCs w:val="18"/>
          <w:b w:val="1"/>
          <w:bCs w:val="1"/>
          <w:color w:val="auto"/>
        </w:rPr>
        <w:t>MDR</w:t>
      </w:r>
      <w:r>
        <w:rPr>
          <w:rFonts w:ascii="Arial" w:cs="Arial" w:eastAsia="Arial" w:hAnsi="Arial"/>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61"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62"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5532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49" w:lineRule="exact"/>
        <w:rPr>
          <w:sz w:val="20"/>
          <w:szCs w:val="20"/>
          <w:color w:val="auto"/>
        </w:rPr>
      </w:pPr>
    </w:p>
    <w:p>
      <w:pPr>
        <w:jc w:val="both"/>
        <w:ind w:left="2" w:hanging="2"/>
        <w:spacing w:after="0" w:line="247" w:lineRule="auto"/>
        <w:tabs>
          <w:tab w:leader="none" w:pos="154"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4"/>
          <w:szCs w:val="14"/>
          <w:i w:val="1"/>
          <w:iCs w:val="1"/>
          <w:color w:val="auto"/>
        </w:rPr>
        <w:t>Risk Factors”.</w:t>
      </w:r>
    </w:p>
    <w:p>
      <w:pPr>
        <w:spacing w:after="0" w:line="200" w:lineRule="exact"/>
        <w:rPr>
          <w:sz w:val="20"/>
          <w:szCs w:val="20"/>
          <w:color w:val="auto"/>
        </w:rPr>
      </w:pPr>
    </w:p>
    <w:p>
      <w:pPr>
        <w:spacing w:after="0" w:line="35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2"/>
          </w:cols>
          <w:pgMar w:left="318" w:top="710" w:right="339" w:bottom="1440" w:gutter="0" w:footer="0" w:header="0"/>
        </w:sectPr>
      </w:pPr>
    </w:p>
    <w:bookmarkStart w:id="55" w:name="page56"/>
    <w:bookmarkEnd w:id="55"/>
    <w:p>
      <w:pPr>
        <w:jc w:val="both"/>
        <w:ind w:left="2" w:right="100"/>
        <w:spacing w:after="0" w:line="228" w:lineRule="auto"/>
        <w:rPr>
          <w:sz w:val="20"/>
          <w:szCs w:val="20"/>
          <w:color w:val="auto"/>
        </w:rPr>
      </w:pPr>
      <w:r>
        <w:rPr>
          <w:rFonts w:ascii="Arial" w:cs="Arial" w:eastAsia="Arial" w:hAnsi="Arial"/>
          <w:sz w:val="18"/>
          <w:szCs w:val="18"/>
          <w:color w:val="auto"/>
        </w:rPr>
        <w:t>The Company intends to file a clinical trial application with the MHRA related to the Deuterated Psilocybin Analog Program upon completion of its pre-clinical studies and CMC development</w:t>
      </w:r>
      <w:r>
        <w:rPr>
          <w:rFonts w:ascii="Arial" w:cs="Arial" w:eastAsia="Arial" w:hAnsi="Arial"/>
          <w:sz w:val="23"/>
          <w:szCs w:val="23"/>
          <w:color w:val="auto"/>
          <w:vertAlign w:val="superscript"/>
        </w:rPr>
        <w:t>24</w:t>
      </w:r>
      <w:r>
        <w:rPr>
          <w:rFonts w:ascii="Arial" w:cs="Arial" w:eastAsia="Arial" w:hAnsi="Arial"/>
          <w:sz w:val="18"/>
          <w:szCs w:val="18"/>
          <w:color w:val="auto"/>
        </w:rPr>
        <w:t>. Anticipated timelines related to regulatory filings are based on reasonable assumptions informed by current knowledge and information available to the Company.</w:t>
      </w:r>
    </w:p>
    <w:p>
      <w:pPr>
        <w:spacing w:after="0" w:line="199"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Licensing Requirements</w:t>
      </w:r>
    </w:p>
    <w:p>
      <w:pPr>
        <w:spacing w:after="0" w:line="197" w:lineRule="exact"/>
        <w:rPr>
          <w:sz w:val="20"/>
          <w:szCs w:val="20"/>
          <w:color w:val="auto"/>
        </w:rPr>
      </w:pPr>
    </w:p>
    <w:p>
      <w:pPr>
        <w:jc w:val="both"/>
        <w:ind w:left="2" w:right="100"/>
        <w:spacing w:after="0" w:line="254" w:lineRule="auto"/>
        <w:rPr>
          <w:sz w:val="20"/>
          <w:szCs w:val="20"/>
          <w:color w:val="auto"/>
        </w:rPr>
      </w:pPr>
      <w:r>
        <w:rPr>
          <w:rFonts w:ascii="Arial" w:cs="Arial" w:eastAsia="Arial" w:hAnsi="Arial"/>
          <w:sz w:val="18"/>
          <w:szCs w:val="18"/>
          <w:color w:val="auto"/>
        </w:rPr>
        <w:t>The Company obtains API from the pharmaceutical ingredient provider who is based in the United States. The API itself is expected to be manufactured and packaged in FDA-registered facilities in the United Kingdom. The API is expected to be sent directly to the Company’s partners for research and development purposes in the United States, Canada and the UK.</w:t>
      </w:r>
    </w:p>
    <w:p>
      <w:pPr>
        <w:spacing w:after="0" w:line="162" w:lineRule="exact"/>
        <w:rPr>
          <w:sz w:val="20"/>
          <w:szCs w:val="20"/>
          <w:color w:val="auto"/>
        </w:rPr>
      </w:pPr>
    </w:p>
    <w:p>
      <w:pPr>
        <w:jc w:val="both"/>
        <w:ind w:left="2" w:right="80"/>
        <w:spacing w:after="0" w:line="283" w:lineRule="auto"/>
        <w:rPr>
          <w:sz w:val="20"/>
          <w:szCs w:val="20"/>
          <w:color w:val="auto"/>
        </w:rPr>
      </w:pPr>
      <w:r>
        <w:rPr>
          <w:rFonts w:ascii="Arial" w:cs="Arial" w:eastAsia="Arial" w:hAnsi="Arial"/>
          <w:sz w:val="16"/>
          <w:szCs w:val="16"/>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42" w:lineRule="exact"/>
        <w:rPr>
          <w:sz w:val="20"/>
          <w:szCs w:val="20"/>
          <w:color w:val="auto"/>
        </w:rPr>
      </w:pPr>
    </w:p>
    <w:p>
      <w:pPr>
        <w:jc w:val="both"/>
        <w:ind w:left="2" w:right="100"/>
        <w:spacing w:after="0" w:line="277" w:lineRule="auto"/>
        <w:rPr>
          <w:sz w:val="20"/>
          <w:szCs w:val="20"/>
          <w:color w:val="auto"/>
        </w:rPr>
      </w:pPr>
      <w:r>
        <w:rPr>
          <w:rFonts w:ascii="Arial" w:cs="Arial" w:eastAsia="Arial" w:hAnsi="Arial"/>
          <w:sz w:val="18"/>
          <w:szCs w:val="18"/>
          <w:color w:val="auto"/>
        </w:rPr>
        <w:t>All premises that are licensed in connection with the possession, supply, manufacture and/or production of controlled drugs are required to adhere to detailed security standards.</w:t>
      </w:r>
      <w:r>
        <w:rPr>
          <w:rFonts w:ascii="Arial" w:cs="Arial" w:eastAsia="Arial" w:hAnsi="Arial"/>
          <w:sz w:val="23"/>
          <w:szCs w:val="23"/>
          <w:color w:val="auto"/>
          <w:vertAlign w:val="superscript"/>
        </w:rPr>
        <w:t>25</w:t>
      </w:r>
    </w:p>
    <w:p>
      <w:pPr>
        <w:spacing w:after="0" w:line="67" w:lineRule="exact"/>
        <w:rPr>
          <w:sz w:val="20"/>
          <w:szCs w:val="20"/>
          <w:color w:val="auto"/>
        </w:rPr>
      </w:pPr>
    </w:p>
    <w:p>
      <w:pPr>
        <w:jc w:val="both"/>
        <w:ind w:left="2" w:right="100"/>
        <w:spacing w:after="0" w:line="268" w:lineRule="auto"/>
        <w:rPr>
          <w:sz w:val="20"/>
          <w:szCs w:val="20"/>
          <w:color w:val="auto"/>
        </w:rPr>
      </w:pPr>
      <w:r>
        <w:rPr>
          <w:rFonts w:ascii="Arial" w:cs="Arial" w:eastAsia="Arial" w:hAnsi="Arial"/>
          <w:sz w:val="17"/>
          <w:szCs w:val="17"/>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Arial" w:cs="Arial" w:eastAsia="Arial" w:hAnsi="Arial"/>
          <w:sz w:val="22"/>
          <w:szCs w:val="22"/>
          <w:color w:val="auto"/>
          <w:vertAlign w:val="superscript"/>
        </w:rPr>
        <w:t>26</w:t>
      </w:r>
    </w:p>
    <w:p>
      <w:pPr>
        <w:spacing w:after="0" w:line="80"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Pharmaceutical Products</w:t>
      </w:r>
    </w:p>
    <w:p>
      <w:pPr>
        <w:spacing w:after="0" w:line="197" w:lineRule="exact"/>
        <w:rPr>
          <w:sz w:val="20"/>
          <w:szCs w:val="20"/>
          <w:color w:val="auto"/>
        </w:rPr>
      </w:pPr>
    </w:p>
    <w:p>
      <w:pPr>
        <w:jc w:val="both"/>
        <w:ind w:left="2" w:right="100"/>
        <w:spacing w:after="0" w:line="254" w:lineRule="auto"/>
        <w:rPr>
          <w:sz w:val="20"/>
          <w:szCs w:val="20"/>
          <w:color w:val="auto"/>
        </w:rPr>
      </w:pPr>
      <w:r>
        <w:rPr>
          <w:rFonts w:ascii="Arial" w:cs="Arial" w:eastAsia="Arial" w:hAnsi="Arial"/>
          <w:sz w:val="18"/>
          <w:szCs w:val="18"/>
          <w:color w:val="auto"/>
        </w:rPr>
        <w:t>Products are regulated as “medicinal products” under UK legislation (the Human Medicines Regulations 2012) if (i) they are presented as a substance or combination of substances having properties for treating or preventing disease in human beings having a medicinal effect (e.g., in marketing claims) or (ii) have a medicinal effect (i.e., even if no claims are made about the product).</w:t>
      </w:r>
    </w:p>
    <w:p>
      <w:pPr>
        <w:spacing w:after="0" w:line="162" w:lineRule="exact"/>
        <w:rPr>
          <w:sz w:val="20"/>
          <w:szCs w:val="20"/>
          <w:color w:val="auto"/>
        </w:rPr>
      </w:pPr>
    </w:p>
    <w:p>
      <w:pPr>
        <w:jc w:val="both"/>
        <w:ind w:left="2" w:right="100"/>
        <w:spacing w:after="0" w:line="254" w:lineRule="auto"/>
        <w:rPr>
          <w:sz w:val="20"/>
          <w:szCs w:val="20"/>
          <w:color w:val="auto"/>
        </w:rPr>
      </w:pPr>
      <w:r>
        <w:rPr>
          <w:rFonts w:ascii="Arial" w:cs="Arial" w:eastAsia="Arial" w:hAnsi="Arial"/>
          <w:sz w:val="18"/>
          <w:szCs w:val="18"/>
          <w:color w:val="auto"/>
        </w:rPr>
        <w:t>A product has a “medicinal effect” if it has a pharmacological, immunological or metabolic effect on the body that restores, corrects or modifies a physiological function. Whether this is the case for a specific product will depend on factors such as the concentration of the psilocybin/psilocin and the mode of action of any psilocybin/psilocin absorbed in the body.</w:t>
      </w:r>
    </w:p>
    <w:p>
      <w:pPr>
        <w:spacing w:after="0" w:line="162" w:lineRule="exact"/>
        <w:rPr>
          <w:sz w:val="20"/>
          <w:szCs w:val="20"/>
          <w:color w:val="auto"/>
        </w:rPr>
      </w:pPr>
    </w:p>
    <w:p>
      <w:pPr>
        <w:jc w:val="both"/>
        <w:ind w:left="2" w:right="100"/>
        <w:spacing w:after="0" w:line="301" w:lineRule="auto"/>
        <w:rPr>
          <w:sz w:val="20"/>
          <w:szCs w:val="20"/>
          <w:color w:val="auto"/>
        </w:rPr>
      </w:pPr>
      <w:r>
        <w:rPr>
          <w:rFonts w:ascii="Arial" w:cs="Arial" w:eastAsia="Arial" w:hAnsi="Arial"/>
          <w:sz w:val="16"/>
          <w:szCs w:val="16"/>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5532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14" w:lineRule="exact"/>
        <w:rPr>
          <w:sz w:val="20"/>
          <w:szCs w:val="20"/>
          <w:color w:val="auto"/>
        </w:rPr>
      </w:pPr>
    </w:p>
    <w:p>
      <w:pPr>
        <w:jc w:val="both"/>
        <w:ind w:left="2" w:right="100" w:hanging="2"/>
        <w:spacing w:after="0" w:line="244" w:lineRule="auto"/>
        <w:tabs>
          <w:tab w:leader="none" w:pos="154"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4"/>
          <w:szCs w:val="14"/>
          <w:i w:val="1"/>
          <w:iCs w:val="1"/>
          <w:color w:val="auto"/>
        </w:rPr>
        <w:t>Risk Factors”.</w:t>
      </w:r>
    </w:p>
    <w:p>
      <w:pPr>
        <w:spacing w:after="0" w:line="3" w:lineRule="exact"/>
        <w:rPr>
          <w:rFonts w:ascii="Arial" w:cs="Arial" w:eastAsia="Arial" w:hAnsi="Arial"/>
          <w:sz w:val="18"/>
          <w:szCs w:val="18"/>
          <w:color w:val="auto"/>
          <w:vertAlign w:val="superscript"/>
        </w:rPr>
      </w:pPr>
    </w:p>
    <w:p>
      <w:pPr>
        <w:ind w:left="2" w:hanging="2"/>
        <w:spacing w:after="0" w:line="274" w:lineRule="auto"/>
        <w:tabs>
          <w:tab w:leader="none" w:pos="124" w:val="left"/>
        </w:tabs>
        <w:numPr>
          <w:ilvl w:val="0"/>
          <w:numId w:val="52"/>
        </w:numPr>
        <w:rPr>
          <w:rFonts w:ascii="Arial" w:cs="Arial" w:eastAsia="Arial" w:hAnsi="Arial"/>
          <w:sz w:val="7"/>
          <w:szCs w:val="7"/>
          <w:color w:val="auto"/>
        </w:rPr>
      </w:pPr>
      <w:r>
        <w:rPr>
          <w:rFonts w:ascii="Arial" w:cs="Arial" w:eastAsia="Arial" w:hAnsi="Arial"/>
          <w:sz w:val="13"/>
          <w:szCs w:val="13"/>
          <w:color w:val="auto"/>
        </w:rPr>
        <w:t>Home Office guidance; Security guidance for all existing or prospective Home Office Controlled Drug Licensees and/or Precursor Chemical Licensees or Registrants; 2020</w:t>
      </w:r>
      <w:r>
        <w:rPr>
          <w:rFonts w:ascii="Arial" w:cs="Arial" w:eastAsia="Arial" w:hAnsi="Arial"/>
          <w:sz w:val="13"/>
          <w:szCs w:val="13"/>
          <w:u w:val="single" w:color="auto"/>
          <w:color w:val="3051F2"/>
        </w:rPr>
        <w:t>;</w:t>
      </w:r>
      <w:r>
        <w:rPr>
          <w:rFonts w:ascii="Arial" w:cs="Arial" w:eastAsia="Arial" w:hAnsi="Arial"/>
          <w:sz w:val="13"/>
          <w:szCs w:val="13"/>
          <w:color w:val="auto"/>
        </w:rPr>
        <w:t xml:space="preserve"> </w:t>
      </w:r>
      <w:r>
        <w:rPr>
          <w:rFonts w:ascii="Arial" w:cs="Arial" w:eastAsia="Arial" w:hAnsi="Arial"/>
          <w:sz w:val="13"/>
          <w:szCs w:val="13"/>
          <w:u w:val="single" w:color="auto"/>
          <w:color w:val="3051F2"/>
        </w:rPr>
        <w:t>https://assets.publishing.service.gov.uk/government/uploads/system/uploads/attachment_data/file/857591/Security_Guidance_for_all_Businesses_and_Other_Organisations_v1.4_Jan_2020.pdf.</w:t>
      </w:r>
    </w:p>
    <w:p>
      <w:pPr>
        <w:spacing w:after="0" w:line="1" w:lineRule="exact"/>
        <w:rPr>
          <w:rFonts w:ascii="Arial" w:cs="Arial" w:eastAsia="Arial" w:hAnsi="Arial"/>
          <w:sz w:val="7"/>
          <w:szCs w:val="7"/>
          <w:color w:val="auto"/>
        </w:rPr>
      </w:pPr>
    </w:p>
    <w:p>
      <w:pPr>
        <w:ind w:left="122" w:hanging="122"/>
        <w:spacing w:after="0" w:line="238" w:lineRule="auto"/>
        <w:tabs>
          <w:tab w:leader="none" w:pos="122" w:val="left"/>
        </w:tabs>
        <w:numPr>
          <w:ilvl w:val="0"/>
          <w:numId w:val="52"/>
        </w:numPr>
        <w:rPr>
          <w:rFonts w:ascii="Arial" w:cs="Arial" w:eastAsia="Arial" w:hAnsi="Arial"/>
          <w:sz w:val="8"/>
          <w:szCs w:val="8"/>
          <w:color w:val="auto"/>
        </w:rPr>
      </w:pPr>
      <w:r>
        <w:rPr>
          <w:rFonts w:ascii="Arial" w:cs="Arial" w:eastAsia="Arial" w:hAnsi="Arial"/>
          <w:sz w:val="15"/>
          <w:szCs w:val="15"/>
          <w:color w:val="auto"/>
        </w:rPr>
        <w:t>Home Office guidance; Guidelines for Standard Operating Procedures (SOPs);</w:t>
      </w:r>
    </w:p>
    <w:p>
      <w:pPr>
        <w:ind w:left="2"/>
        <w:spacing w:after="0"/>
        <w:rPr>
          <w:sz w:val="20"/>
          <w:szCs w:val="20"/>
          <w:color w:val="auto"/>
        </w:rPr>
      </w:pPr>
      <w:r>
        <w:rPr>
          <w:rFonts w:ascii="Arial" w:cs="Arial" w:eastAsia="Arial" w:hAnsi="Arial"/>
          <w:sz w:val="15"/>
          <w:szCs w:val="15"/>
          <w:u w:val="single" w:color="auto"/>
          <w:color w:val="3051F2"/>
        </w:rPr>
        <w:t>https://assets.publishing.service.gov.uk/government/uploads/system/uploads/attachment_data/file/480572/StandardOpProcedure.pdf.</w:t>
      </w:r>
    </w:p>
    <w:p>
      <w:pPr>
        <w:spacing w:after="0" w:line="200" w:lineRule="exact"/>
        <w:rPr>
          <w:sz w:val="20"/>
          <w:szCs w:val="20"/>
          <w:color w:val="auto"/>
        </w:rPr>
      </w:pPr>
    </w:p>
    <w:p>
      <w:pPr>
        <w:spacing w:after="0" w:line="365"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2"/>
          </w:cols>
          <w:pgMar w:left="318" w:top="710" w:right="239" w:bottom="1440" w:gutter="0" w:footer="0" w:header="0"/>
        </w:sectPr>
      </w:pPr>
    </w:p>
    <w:bookmarkStart w:id="56" w:name="page57"/>
    <w:bookmarkEnd w:id="56"/>
    <w:p>
      <w:pPr>
        <w:jc w:val="both"/>
        <w:spacing w:after="0" w:line="272" w:lineRule="auto"/>
        <w:rPr>
          <w:sz w:val="20"/>
          <w:szCs w:val="20"/>
          <w:color w:val="auto"/>
        </w:rPr>
      </w:pPr>
      <w:r>
        <w:rPr>
          <w:rFonts w:ascii="Arial" w:cs="Arial" w:eastAsia="Arial" w:hAnsi="Arial"/>
          <w:sz w:val="18"/>
          <w:szCs w:val="18"/>
          <w:color w:val="auto"/>
        </w:rPr>
        <w:t>products, such as manufacturing, distribution and wholesaling, need to meet defined standards (Good Manufacturing Practices (“</w:t>
      </w:r>
      <w:r>
        <w:rPr>
          <w:rFonts w:ascii="Arial" w:cs="Arial" w:eastAsia="Arial" w:hAnsi="Arial"/>
          <w:sz w:val="18"/>
          <w:szCs w:val="18"/>
          <w:b w:val="1"/>
          <w:bCs w:val="1"/>
          <w:color w:val="auto"/>
        </w:rPr>
        <w:t>GMP</w:t>
      </w:r>
      <w:r>
        <w:rPr>
          <w:rFonts w:ascii="Arial" w:cs="Arial" w:eastAsia="Arial" w:hAnsi="Arial"/>
          <w:sz w:val="18"/>
          <w:szCs w:val="18"/>
          <w:color w:val="auto"/>
        </w:rPr>
        <w:t>”)) and/or Good Distribution Practice ("</w:t>
      </w:r>
      <w:r>
        <w:rPr>
          <w:rFonts w:ascii="Arial" w:cs="Arial" w:eastAsia="Arial" w:hAnsi="Arial"/>
          <w:sz w:val="18"/>
          <w:szCs w:val="18"/>
          <w:b w:val="1"/>
          <w:bCs w:val="1"/>
          <w:color w:val="auto"/>
        </w:rPr>
        <w:t>GDP</w:t>
      </w:r>
      <w:r>
        <w:rPr>
          <w:rFonts w:ascii="Arial" w:cs="Arial" w:eastAsia="Arial" w:hAnsi="Arial"/>
          <w:sz w:val="18"/>
          <w:szCs w:val="18"/>
          <w:color w:val="auto"/>
        </w:rPr>
        <w:t>") and to hold a related licence from the MHRA.</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mentioned above, once the API has been made in the UK, it is expected to be sent directly to the Company’s partners for research and development purposes in the UK, United States or Canada. How the API is subsequently processed will determine the licences that the UK-based facility must hold. In particular:</w:t>
      </w:r>
    </w:p>
    <w:p>
      <w:pPr>
        <w:spacing w:after="0" w:line="158" w:lineRule="exact"/>
        <w:rPr>
          <w:sz w:val="20"/>
          <w:szCs w:val="20"/>
          <w:color w:val="auto"/>
        </w:rPr>
      </w:pPr>
    </w:p>
    <w:p>
      <w:pPr>
        <w:jc w:val="both"/>
        <w:ind w:left="1180" w:right="20" w:hanging="302"/>
        <w:spacing w:after="0" w:line="248" w:lineRule="auto"/>
        <w:tabs>
          <w:tab w:leader="none" w:pos="11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API is just one ‘ingredient’ of the investigational medicinal product (the “</w:t>
      </w:r>
      <w:r>
        <w:rPr>
          <w:rFonts w:ascii="Arial" w:cs="Arial" w:eastAsia="Arial" w:hAnsi="Arial"/>
          <w:sz w:val="18"/>
          <w:szCs w:val="18"/>
          <w:b w:val="1"/>
          <w:bCs w:val="1"/>
          <w:color w:val="auto"/>
        </w:rPr>
        <w:t>IMP</w:t>
      </w:r>
      <w:r>
        <w:rPr>
          <w:rFonts w:ascii="Arial" w:cs="Arial" w:eastAsia="Arial" w:hAnsi="Arial"/>
          <w:sz w:val="18"/>
          <w:szCs w:val="18"/>
          <w:color w:val="auto"/>
        </w:rPr>
        <w:t>”) which is used in the clinical trial then the UK-based facility must register with the MHRA and provide the MHRA with 60 days’ notice of the intended start of manufacture/distribution of the API, and comply with GMP and GDP for active substances; and</w:t>
      </w:r>
    </w:p>
    <w:p>
      <w:pPr>
        <w:spacing w:after="0" w:line="2" w:lineRule="exact"/>
        <w:rPr>
          <w:rFonts w:ascii="Arial" w:cs="Arial" w:eastAsia="Arial" w:hAnsi="Arial"/>
          <w:sz w:val="18"/>
          <w:szCs w:val="18"/>
          <w:color w:val="auto"/>
        </w:rPr>
      </w:pPr>
    </w:p>
    <w:p>
      <w:pPr>
        <w:jc w:val="both"/>
        <w:ind w:left="1180" w:right="20" w:hanging="302"/>
        <w:spacing w:after="0" w:line="245" w:lineRule="auto"/>
        <w:tabs>
          <w:tab w:leader="none" w:pos="11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conversely, if the API will itself constitute the IMP, the manufacturer must hold a Manufacturer’s Authorizations for IMPs licence (“</w:t>
      </w:r>
      <w:r>
        <w:rPr>
          <w:rFonts w:ascii="Arial" w:cs="Arial" w:eastAsia="Arial" w:hAnsi="Arial"/>
          <w:sz w:val="18"/>
          <w:szCs w:val="18"/>
          <w:b w:val="1"/>
          <w:bCs w:val="1"/>
          <w:color w:val="auto"/>
        </w:rPr>
        <w:t>MIA(IMP</w:t>
      </w:r>
      <w:r>
        <w:rPr>
          <w:rFonts w:ascii="Arial" w:cs="Arial" w:eastAsia="Arial" w:hAnsi="Arial"/>
          <w:sz w:val="18"/>
          <w:szCs w:val="18"/>
          <w:color w:val="auto"/>
        </w:rPr>
        <w:t>)”). In this scenario, an MIA(IMP) would be required regardless of whether the IMP is for use in the UK, an EEA Member State or a third country (such as the United States or Canada).</w:t>
      </w:r>
    </w:p>
    <w:p>
      <w:pPr>
        <w:spacing w:after="0" w:line="194"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1"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58"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As a result of COVID-19, certain institutions have implemented certain facility procedures and are utilizing technology in an effort to mitigate the effects of the pandemic, specifically by moving patient interactions to remote status wherever possible. The Company cannot guarantee that the continued effects of COVID-19 will not impact patient recruiting for clinical trials and institutional processes at institutions involved in pharmaceutical product development.</w:t>
      </w:r>
    </w:p>
    <w:p>
      <w:pPr>
        <w:spacing w:after="0" w:line="12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Arial" w:cs="Arial" w:eastAsia="Arial" w:hAnsi="Arial"/>
          <w:sz w:val="16"/>
          <w:szCs w:val="16"/>
          <w:i w:val="1"/>
          <w:iCs w:val="1"/>
          <w:color w:val="auto"/>
        </w:rPr>
        <w:t>Psilocybe</w:t>
      </w:r>
      <w:r>
        <w:rPr>
          <w:rFonts w:ascii="Arial" w:cs="Arial" w:eastAsia="Arial" w:hAnsi="Arial"/>
          <w:sz w:val="16"/>
          <w:szCs w:val="16"/>
          <w:color w:val="auto"/>
        </w:rPr>
        <w:t xml:space="preserve">, such as </w:t>
      </w:r>
      <w:r>
        <w:rPr>
          <w:rFonts w:ascii="Arial" w:cs="Arial" w:eastAsia="Arial" w:hAnsi="Arial"/>
          <w:sz w:val="16"/>
          <w:szCs w:val="16"/>
          <w:i w:val="1"/>
          <w:iCs w:val="1"/>
          <w:color w:val="auto"/>
        </w:rPr>
        <w:t>P. azurescens</w:t>
      </w:r>
      <w:r>
        <w:rPr>
          <w:rFonts w:ascii="Arial" w:cs="Arial" w:eastAsia="Arial" w:hAnsi="Arial"/>
          <w:sz w:val="16"/>
          <w:szCs w:val="16"/>
          <w:color w:val="auto"/>
        </w:rPr>
        <w:t xml:space="preserve">, </w:t>
      </w:r>
      <w:r>
        <w:rPr>
          <w:rFonts w:ascii="Arial" w:cs="Arial" w:eastAsia="Arial" w:hAnsi="Arial"/>
          <w:sz w:val="16"/>
          <w:szCs w:val="16"/>
          <w:i w:val="1"/>
          <w:iCs w:val="1"/>
          <w:color w:val="auto"/>
        </w:rPr>
        <w:t>P. semilanceata</w:t>
      </w:r>
      <w:r>
        <w:rPr>
          <w:rFonts w:ascii="Arial" w:cs="Arial" w:eastAsia="Arial" w:hAnsi="Arial"/>
          <w:sz w:val="16"/>
          <w:szCs w:val="16"/>
          <w:color w:val="auto"/>
        </w:rPr>
        <w:t xml:space="preserve">, and </w:t>
      </w:r>
      <w:r>
        <w:rPr>
          <w:rFonts w:ascii="Arial" w:cs="Arial" w:eastAsia="Arial" w:hAnsi="Arial"/>
          <w:sz w:val="16"/>
          <w:szCs w:val="16"/>
          <w:i w:val="1"/>
          <w:iCs w:val="1"/>
          <w:color w:val="auto"/>
        </w:rPr>
        <w:t>P. cyanescens</w:t>
      </w:r>
      <w:r>
        <w:rPr>
          <w:rFonts w:ascii="Arial" w:cs="Arial" w:eastAsia="Arial" w:hAnsi="Arial"/>
          <w:sz w:val="16"/>
          <w:szCs w:val="16"/>
          <w:color w:val="auto"/>
        </w:rPr>
        <w:t>, but psilocybin has also been isolated from about a dozen other genera. As a prodrug, psilocybin is quickly converted by the body to psilocin, which has mind-altering effects.</w:t>
      </w:r>
    </w:p>
    <w:p>
      <w:pPr>
        <w:spacing w:after="0" w:line="139"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5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Psilocybin found in certain species of mushrooms is a non-habit forming naturally occurring psychedelic compound. Once ingested, psilocybin is rapidly metabolized to psilocin, which then acts on serotonin receptors in the brain. The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320" w:top="706" w:right="319" w:bottom="1440" w:gutter="0" w:footer="0" w:header="0"/>
        </w:sectPr>
      </w:pPr>
    </w:p>
    <w:bookmarkStart w:id="57" w:name="page58"/>
    <w:bookmarkEnd w:id="57"/>
    <w:p>
      <w:pPr>
        <w:ind w:left="2"/>
        <w:spacing w:after="0"/>
        <w:rPr>
          <w:sz w:val="20"/>
          <w:szCs w:val="20"/>
          <w:color w:val="auto"/>
        </w:rPr>
      </w:pPr>
      <w:r>
        <w:rPr>
          <w:rFonts w:ascii="Arial" w:cs="Arial" w:eastAsia="Arial" w:hAnsi="Arial"/>
          <w:sz w:val="17"/>
          <w:szCs w:val="17"/>
          <w:color w:val="auto"/>
        </w:rPr>
        <w:t>Company intends to research and sponsor clinical trials on the efficacy of chemically synthesized psilocybin as it relates to the following indications</w:t>
      </w:r>
      <w:r>
        <w:rPr>
          <w:rFonts w:ascii="Arial" w:cs="Arial" w:eastAsia="Arial" w:hAnsi="Arial"/>
          <w:sz w:val="22"/>
          <w:szCs w:val="22"/>
          <w:color w:val="auto"/>
          <w:vertAlign w:val="superscript"/>
        </w:rPr>
        <w:t>27</w:t>
      </w:r>
      <w:r>
        <w:rPr>
          <w:rFonts w:ascii="Arial" w:cs="Arial" w:eastAsia="Arial" w:hAnsi="Arial"/>
          <w:sz w:val="17"/>
          <w:szCs w:val="17"/>
          <w:color w:val="auto"/>
        </w:rPr>
        <w:t>:</w:t>
      </w:r>
    </w:p>
    <w:p>
      <w:pPr>
        <w:spacing w:after="0" w:line="151" w:lineRule="exact"/>
        <w:rPr>
          <w:sz w:val="20"/>
          <w:szCs w:val="20"/>
          <w:color w:val="auto"/>
        </w:rPr>
      </w:pPr>
    </w:p>
    <w:p>
      <w:pPr>
        <w:ind w:left="1162" w:hanging="575"/>
        <w:spacing w:after="0"/>
        <w:tabs>
          <w:tab w:leader="none" w:pos="11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mental health (depression, PTSD, anxiety and attention deficit hyperactivity disorder); and</w:t>
      </w:r>
    </w:p>
    <w:p>
      <w:pPr>
        <w:spacing w:after="0" w:line="16" w:lineRule="exact"/>
        <w:rPr>
          <w:rFonts w:ascii="Arial" w:cs="Arial" w:eastAsia="Arial" w:hAnsi="Arial"/>
          <w:sz w:val="18"/>
          <w:szCs w:val="18"/>
          <w:color w:val="auto"/>
        </w:rPr>
      </w:pPr>
    </w:p>
    <w:p>
      <w:pPr>
        <w:ind w:left="1162" w:hanging="575"/>
        <w:spacing w:after="0"/>
        <w:tabs>
          <w:tab w:leader="none" w:pos="11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addiction (alcohol, drugs and cigarettes).</w:t>
      </w:r>
    </w:p>
    <w:p>
      <w:pPr>
        <w:spacing w:after="0" w:line="193" w:lineRule="exact"/>
        <w:rPr>
          <w:sz w:val="20"/>
          <w:szCs w:val="20"/>
          <w:color w:val="auto"/>
        </w:rPr>
      </w:pPr>
    </w:p>
    <w:p>
      <w:pPr>
        <w:jc w:val="both"/>
        <w:ind w:left="2" w:right="20"/>
        <w:spacing w:after="0" w:line="239" w:lineRule="auto"/>
        <w:rPr>
          <w:sz w:val="20"/>
          <w:szCs w:val="20"/>
          <w:color w:val="auto"/>
        </w:rPr>
      </w:pPr>
      <w:r>
        <w:rPr>
          <w:rFonts w:ascii="Arial" w:cs="Arial" w:eastAsia="Arial" w:hAnsi="Arial"/>
          <w:sz w:val="18"/>
          <w:szCs w:val="18"/>
          <w:color w:val="auto"/>
        </w:rPr>
        <w:t>Cybin has commenced research and development on the delivery of synthetic psilocybin and other psychedelics through mechanisms such as sublingual film delivery, ODT and by way of inhalation.</w:t>
      </w:r>
    </w:p>
    <w:p>
      <w:pPr>
        <w:spacing w:after="0" w:line="187"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Research and development is led by the Company’s North American Chief Research and Development Officer, Dr. Michael G. Palfreyman. Dr. Palfreyman, who holds a PhD in Neuroscience and Neuropharmacology from the University of Nottingham, United Kingdom, is an accomplished pharmaceutical industry veteran responsible for more than 30 successful clinical programs.</w:t>
      </w:r>
    </w:p>
    <w:p>
      <w:pPr>
        <w:spacing w:after="0" w:line="162"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The Company has also retained Stosic and Associates, a leading government relations firm, to work with high level pharmaceutical, institutional and government relations individuals to progress the acceptance of psychedelics in Canada for medical use.</w:t>
      </w:r>
    </w:p>
    <w:p>
      <w:pPr>
        <w:spacing w:after="0" w:line="151" w:lineRule="exact"/>
        <w:rPr>
          <w:sz w:val="20"/>
          <w:szCs w:val="20"/>
          <w:color w:val="auto"/>
        </w:rPr>
      </w:pPr>
    </w:p>
    <w:p>
      <w:pPr>
        <w:jc w:val="both"/>
        <w:ind w:left="2" w:right="20"/>
        <w:spacing w:after="0" w:line="249" w:lineRule="auto"/>
        <w:rPr>
          <w:sz w:val="20"/>
          <w:szCs w:val="20"/>
          <w:color w:val="auto"/>
        </w:rPr>
      </w:pPr>
      <w:r>
        <w:rPr>
          <w:rFonts w:ascii="Arial" w:cs="Arial" w:eastAsia="Arial" w:hAnsi="Arial"/>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Canada</w:t>
      </w:r>
    </w:p>
    <w:p>
      <w:pPr>
        <w:spacing w:after="0" w:line="197"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process required before a prescription drug product candidate may be marketed in Canada generally involves:</w:t>
      </w:r>
    </w:p>
    <w:p>
      <w:pPr>
        <w:spacing w:after="0" w:line="197" w:lineRule="exact"/>
        <w:rPr>
          <w:sz w:val="20"/>
          <w:szCs w:val="20"/>
          <w:color w:val="auto"/>
        </w:rPr>
      </w:pPr>
    </w:p>
    <w:p>
      <w:pPr>
        <w:ind w:left="582" w:right="20" w:hanging="289"/>
        <w:spacing w:after="0" w:line="267" w:lineRule="auto"/>
        <w:tabs>
          <w:tab w:leader="none" w:pos="571"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Chemical and Biological Research – </w:t>
      </w:r>
      <w:r>
        <w:rPr>
          <w:rFonts w:ascii="Arial" w:cs="Arial" w:eastAsia="Arial" w:hAnsi="Arial"/>
          <w:sz w:val="18"/>
          <w:szCs w:val="18"/>
          <w:color w:val="auto"/>
        </w:rPr>
        <w:t>Laboratory tests are carried out on tissue cultures and with a variety of small animals to determine the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drug. If the results are promising, the manufacturer will proceed to the next step of development.</w:t>
      </w:r>
    </w:p>
    <w:p>
      <w:pPr>
        <w:spacing w:after="0" w:line="175" w:lineRule="exact"/>
        <w:rPr>
          <w:rFonts w:ascii="Arial" w:cs="Arial" w:eastAsia="Arial" w:hAnsi="Arial"/>
          <w:sz w:val="18"/>
          <w:szCs w:val="18"/>
          <w:color w:val="auto"/>
        </w:rPr>
      </w:pPr>
    </w:p>
    <w:p>
      <w:pPr>
        <w:ind w:left="582" w:right="20" w:hanging="289"/>
        <w:spacing w:after="0" w:line="267" w:lineRule="auto"/>
        <w:tabs>
          <w:tab w:leader="none" w:pos="571"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Pre-Clinical Development – </w:t>
      </w:r>
      <w:r>
        <w:rPr>
          <w:rFonts w:ascii="Arial" w:cs="Arial" w:eastAsia="Arial" w:hAnsi="Arial"/>
          <w:sz w:val="18"/>
          <w:szCs w:val="18"/>
          <w:color w:val="auto"/>
        </w:rPr>
        <w:t>Animals are given the drug in varying amounts over differing periods of time. If it can be shown that the drug causes no</w:t>
      </w:r>
      <w:r>
        <w:rPr>
          <w:rFonts w:ascii="Arial" w:cs="Arial" w:eastAsia="Arial" w:hAnsi="Arial"/>
          <w:sz w:val="18"/>
          <w:szCs w:val="18"/>
          <w:i w:val="1"/>
          <w:iCs w:val="1"/>
          <w:color w:val="auto"/>
        </w:rPr>
        <w:t xml:space="preserve"> </w:t>
      </w:r>
      <w:r>
        <w:rPr>
          <w:rFonts w:ascii="Arial" w:cs="Arial" w:eastAsia="Arial" w:hAnsi="Arial"/>
          <w:sz w:val="18"/>
          <w:szCs w:val="18"/>
          <w:color w:val="auto"/>
        </w:rPr>
        <w:t>serious or unexpected harm at the doses required to have an effect, the manufacturer will proceed to clinical trials.</w:t>
      </w:r>
    </w:p>
    <w:p>
      <w:pPr>
        <w:spacing w:after="0" w:line="175" w:lineRule="exact"/>
        <w:rPr>
          <w:rFonts w:ascii="Arial" w:cs="Arial" w:eastAsia="Arial" w:hAnsi="Arial"/>
          <w:sz w:val="18"/>
          <w:szCs w:val="18"/>
          <w:color w:val="auto"/>
        </w:rPr>
      </w:pPr>
    </w:p>
    <w:p>
      <w:pPr>
        <w:jc w:val="both"/>
        <w:ind w:left="582" w:right="20" w:hanging="289"/>
        <w:spacing w:after="0" w:line="269" w:lineRule="auto"/>
        <w:tabs>
          <w:tab w:leader="none" w:pos="571"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Clinical Trials – Phase I - </w:t>
      </w:r>
      <w:r>
        <w:rPr>
          <w:rFonts w:ascii="Arial" w:cs="Arial" w:eastAsia="Arial" w:hAnsi="Arial"/>
          <w:sz w:val="17"/>
          <w:szCs w:val="17"/>
          <w:color w:val="auto"/>
        </w:rPr>
        <w:t>The first administration in humans is to test if people can tolerate the drug. If this testing is to take place in Canada,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 must prepare a clinical trial application for the Therapeutic Products Directorate of Health Canada (the “</w:t>
      </w:r>
      <w:r>
        <w:rPr>
          <w:rFonts w:ascii="Arial" w:cs="Arial" w:eastAsia="Arial" w:hAnsi="Arial"/>
          <w:sz w:val="17"/>
          <w:szCs w:val="17"/>
          <w:b w:val="1"/>
          <w:bCs w:val="1"/>
          <w:color w:val="auto"/>
        </w:rPr>
        <w:t>TPD</w:t>
      </w:r>
      <w:r>
        <w:rPr>
          <w:rFonts w:ascii="Arial" w:cs="Arial" w:eastAsia="Arial" w:hAnsi="Arial"/>
          <w:sz w:val="17"/>
          <w:szCs w:val="17"/>
          <w:color w:val="auto"/>
        </w:rPr>
        <w:t>”). This includes the results of the first two steps and a proposal for testing in humans. If the information is sufficient, the Health Products and Food Branch of Health Canada (the “</w:t>
      </w:r>
      <w:r>
        <w:rPr>
          <w:rFonts w:ascii="Arial" w:cs="Arial" w:eastAsia="Arial" w:hAnsi="Arial"/>
          <w:sz w:val="17"/>
          <w:szCs w:val="17"/>
          <w:b w:val="1"/>
          <w:bCs w:val="1"/>
          <w:color w:val="auto"/>
        </w:rPr>
        <w:t>HPFB</w:t>
      </w:r>
      <w:r>
        <w:rPr>
          <w:rFonts w:ascii="Arial" w:cs="Arial" w:eastAsia="Arial" w:hAnsi="Arial"/>
          <w:sz w:val="17"/>
          <w:szCs w:val="17"/>
          <w:color w:val="auto"/>
        </w:rPr>
        <w:t>”) grants permission to start testing the drug, generally first on healthy volunteers.</w:t>
      </w:r>
    </w:p>
    <w:p>
      <w:pPr>
        <w:spacing w:after="0" w:line="175" w:lineRule="exact"/>
        <w:rPr>
          <w:rFonts w:ascii="Arial" w:cs="Arial" w:eastAsia="Arial" w:hAnsi="Arial"/>
          <w:sz w:val="17"/>
          <w:szCs w:val="17"/>
          <w:color w:val="auto"/>
        </w:rPr>
      </w:pPr>
    </w:p>
    <w:p>
      <w:pPr>
        <w:jc w:val="both"/>
        <w:ind w:left="582" w:right="20" w:hanging="289"/>
        <w:spacing w:after="0" w:line="254" w:lineRule="auto"/>
        <w:tabs>
          <w:tab w:leader="none" w:pos="571"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 - </w:t>
      </w:r>
      <w:r>
        <w:rPr>
          <w:rFonts w:ascii="Arial" w:cs="Arial" w:eastAsia="Arial" w:hAnsi="Arial"/>
          <w:sz w:val="18"/>
          <w:szCs w:val="18"/>
          <w:color w:val="auto"/>
        </w:rPr>
        <w:t>Phase II trials are carried out on people with the target condition, who are usually otherwise healthy, with no other</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condition. Trials carried out in Canada must be approved by the TPD. In phase II, the objective of the trials is to continue to gather information on the safety of the drug and begin to determine its effectiveness.</w:t>
      </w:r>
    </w:p>
    <w:p>
      <w:pPr>
        <w:spacing w:after="0" w:line="186" w:lineRule="exact"/>
        <w:rPr>
          <w:rFonts w:ascii="Arial" w:cs="Arial" w:eastAsia="Arial" w:hAnsi="Arial"/>
          <w:sz w:val="18"/>
          <w:szCs w:val="18"/>
          <w:color w:val="auto"/>
        </w:rPr>
      </w:pPr>
    </w:p>
    <w:p>
      <w:pPr>
        <w:jc w:val="both"/>
        <w:ind w:left="582" w:right="20" w:hanging="289"/>
        <w:spacing w:after="0" w:line="249" w:lineRule="auto"/>
        <w:tabs>
          <w:tab w:leader="none" w:pos="571"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III - </w:t>
      </w:r>
      <w:r>
        <w:rPr>
          <w:rFonts w:ascii="Arial" w:cs="Arial" w:eastAsia="Arial" w:hAnsi="Arial"/>
          <w:sz w:val="18"/>
          <w:szCs w:val="18"/>
          <w:color w:val="auto"/>
        </w:rPr>
        <w:t>If the results from phase II show promise, the manufacturer provides an updated clinical trial application to the TPD for</w:t>
      </w:r>
      <w:r>
        <w:rPr>
          <w:rFonts w:ascii="Arial" w:cs="Arial" w:eastAsia="Arial" w:hAnsi="Arial"/>
          <w:sz w:val="18"/>
          <w:szCs w:val="18"/>
          <w:i w:val="1"/>
          <w:iCs w:val="1"/>
          <w:color w:val="auto"/>
        </w:rPr>
        <w:t xml:space="preserve"> </w:t>
      </w:r>
      <w:r>
        <w:rPr>
          <w:rFonts w:ascii="Arial" w:cs="Arial" w:eastAsia="Arial" w:hAnsi="Arial"/>
          <w:sz w:val="18"/>
          <w:szCs w:val="18"/>
          <w:color w:val="auto"/>
        </w:rPr>
        <w:t>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15532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53210" cy="7620"/>
                    </a:xfrm>
                    <a:prstGeom prst="rect">
                      <a:avLst/>
                    </a:prstGeom>
                    <a:noFill/>
                  </pic:spPr>
                </pic:pic>
              </a:graphicData>
            </a:graphic>
          </wp:anchor>
        </w:drawing>
      </w:r>
    </w:p>
    <w:p>
      <w:pPr>
        <w:spacing w:after="0" w:line="230" w:lineRule="exact"/>
        <w:rPr>
          <w:sz w:val="20"/>
          <w:szCs w:val="20"/>
          <w:color w:val="auto"/>
        </w:rPr>
      </w:pPr>
    </w:p>
    <w:p>
      <w:pPr>
        <w:jc w:val="both"/>
        <w:ind w:left="2" w:hanging="2"/>
        <w:spacing w:after="0" w:line="230" w:lineRule="auto"/>
        <w:tabs>
          <w:tab w:leader="none" w:pos="147" w:val="left"/>
        </w:tabs>
        <w:numPr>
          <w:ilvl w:val="0"/>
          <w:numId w:val="56"/>
        </w:numPr>
        <w:rPr>
          <w:rFonts w:ascii="Arial" w:cs="Arial" w:eastAsia="Arial" w:hAnsi="Arial"/>
          <w:sz w:val="19"/>
          <w:szCs w:val="19"/>
          <w:color w:val="auto"/>
          <w:vertAlign w:val="superscript"/>
        </w:rPr>
      </w:pPr>
      <w:r>
        <w:rPr>
          <w:rFonts w:ascii="Arial" w:cs="Arial" w:eastAsia="Arial" w:hAnsi="Arial"/>
          <w:sz w:val="15"/>
          <w:szCs w:val="15"/>
          <w:color w:val="auto"/>
        </w:rPr>
        <w:t>Certain statements regarding psilocybin, psychedelic tryptamine, tryptamine derivatives or other psychedelic compounds have not been evaluated by Health Canada, the FDA or other similar regulatory authorities, nor has the efficacy of psilocybin, psychedelic tryptamine, tryptamine derivatives or other psychedelic compounds been confirmed by approved research. There is no assurance that psilocybin,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2"/>
          </w:cols>
          <w:pgMar w:left="318" w:top="710" w:right="319" w:bottom="1440" w:gutter="0" w:footer="0" w:header="0"/>
        </w:sectPr>
      </w:pPr>
    </w:p>
    <w:bookmarkStart w:id="58" w:name="page59"/>
    <w:bookmarkEnd w:id="58"/>
    <w:p>
      <w:pPr>
        <w:jc w:val="both"/>
        <w:ind w:left="580" w:right="20" w:hanging="289"/>
        <w:spacing w:after="0" w:line="248" w:lineRule="auto"/>
        <w:tabs>
          <w:tab w:leader="none" w:pos="569"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New Drug Submission – </w:t>
      </w:r>
      <w:r>
        <w:rPr>
          <w:rFonts w:ascii="Arial" w:cs="Arial" w:eastAsia="Arial" w:hAnsi="Arial"/>
          <w:sz w:val="18"/>
          <w:szCs w:val="18"/>
          <w:color w:val="auto"/>
        </w:rPr>
        <w:t>If the results from phase III continue to be favourable, the drug manufacturer can submit a new drug submission (“</w:t>
      </w:r>
      <w:r>
        <w:rPr>
          <w:rFonts w:ascii="Arial" w:cs="Arial" w:eastAsia="Arial" w:hAnsi="Arial"/>
          <w:sz w:val="18"/>
          <w:szCs w:val="18"/>
          <w:b w:val="1"/>
          <w:bCs w:val="1"/>
          <w:color w:val="auto"/>
        </w:rPr>
        <w:t>NDS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35"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Because psilocybin and psilocin are listed as Schedule I substances under the CSA, for any product containing psilocybin to be available for commercial marketing in the United States, psilocybin and psilocin must be rescheduled, or the product itself must be scheduled, by the DEA to Schedule II, III, IV or V.</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prescription drug product candidate may be marketed in the United States generally involves:</w:t>
      </w:r>
    </w:p>
    <w:p>
      <w:pPr>
        <w:spacing w:after="0" w:line="17" w:lineRule="exact"/>
        <w:rPr>
          <w:sz w:val="20"/>
          <w:szCs w:val="20"/>
          <w:color w:val="auto"/>
        </w:rPr>
      </w:pPr>
    </w:p>
    <w:p>
      <w:pPr>
        <w:ind w:left="580" w:right="20" w:hanging="289"/>
        <w:spacing w:after="0" w:line="241" w:lineRule="auto"/>
        <w:tabs>
          <w:tab w:leader="none" w:pos="5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animal studies and formulation studies, all performed in accordance with the FDA’s Good Laboratory, Good Clinical and/or Good Manufacturing Practice regulations;</w:t>
      </w:r>
    </w:p>
    <w:p>
      <w:pPr>
        <w:ind w:left="580" w:hanging="289"/>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submission to the FDA of an IND, which the FDA must approve before human clinical trials may begin;</w:t>
      </w:r>
    </w:p>
    <w:p>
      <w:pPr>
        <w:ind w:left="580" w:hanging="289"/>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approval by an institutional review board or independent ethics committee at each clinical trial site before each trial may be initiated;</w:t>
      </w:r>
    </w:p>
    <w:p>
      <w:pPr>
        <w:ind w:left="580" w:right="20" w:hanging="289"/>
        <w:spacing w:after="0" w:line="255" w:lineRule="auto"/>
        <w:tabs>
          <w:tab w:leader="none" w:pos="569" w:val="left"/>
        </w:tabs>
        <w:numPr>
          <w:ilvl w:val="0"/>
          <w:numId w:val="58"/>
        </w:numPr>
        <w:rPr>
          <w:rFonts w:ascii="Arial" w:cs="Arial" w:eastAsia="Arial" w:hAnsi="Arial"/>
          <w:sz w:val="17"/>
          <w:szCs w:val="17"/>
          <w:color w:val="auto"/>
        </w:rPr>
      </w:pPr>
      <w:r>
        <w:rPr>
          <w:rFonts w:ascii="Arial" w:cs="Arial" w:eastAsia="Arial" w:hAnsi="Arial"/>
          <w:sz w:val="17"/>
          <w:szCs w:val="17"/>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ind w:left="580" w:hanging="289"/>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submission to the FDA of a New Drug Application (“</w:t>
      </w:r>
      <w:r>
        <w:rPr>
          <w:rFonts w:ascii="Arial" w:cs="Arial" w:eastAsia="Arial" w:hAnsi="Arial"/>
          <w:sz w:val="18"/>
          <w:szCs w:val="18"/>
          <w:b w:val="1"/>
          <w:bCs w:val="1"/>
          <w:color w:val="auto"/>
        </w:rPr>
        <w:t>NDA</w:t>
      </w:r>
      <w:r>
        <w:rPr>
          <w:rFonts w:ascii="Arial" w:cs="Arial" w:eastAsia="Arial" w:hAnsi="Arial"/>
          <w:sz w:val="18"/>
          <w:szCs w:val="18"/>
          <w:color w:val="auto"/>
        </w:rPr>
        <w:t>”);</w:t>
      </w:r>
    </w:p>
    <w:p>
      <w:pPr>
        <w:jc w:val="both"/>
        <w:ind w:left="580" w:right="20" w:hanging="289"/>
        <w:spacing w:after="0" w:line="241" w:lineRule="auto"/>
        <w:tabs>
          <w:tab w:leader="none" w:pos="5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ind w:left="580" w:hanging="289"/>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shipment of the drug.</w:t>
      </w:r>
    </w:p>
    <w:p>
      <w:pPr>
        <w:spacing w:after="0" w:line="20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testing and approval process requires substantial time, effort and financial resources, and the Company cannot be certain that any approvals for its prescription drug product candidates will be granted on a timely basis, if at all.</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An independent institutional review board, at each of the clinical centers proposing to conduct the clinical trial, must review and approve the plan for any clinical trial before it commences at that center. An independent institutional review board considers, among other things, whether the risks to individuals participating in the trials are minimized and are reasonable in relation to anticipated benefits. The independent institutional review board also approves the consent form signed by the trial participants and must monitor the study until completed. The FDA, the independent institutional review board,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42"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Company may need to rely upon in order to receive timely approval or to be competitive.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60"/>
          </w:cols>
          <w:pgMar w:left="320" w:top="926" w:right="319" w:bottom="1440" w:gutter="0" w:footer="0" w:header="0"/>
        </w:sectPr>
      </w:pPr>
    </w:p>
    <w:bookmarkStart w:id="59" w:name="page60"/>
    <w:bookmarkEnd w:id="59"/>
    <w:p>
      <w:pPr>
        <w:jc w:val="both"/>
        <w:spacing w:after="0" w:line="275" w:lineRule="auto"/>
        <w:rPr>
          <w:sz w:val="20"/>
          <w:szCs w:val="20"/>
          <w:color w:val="auto"/>
        </w:rPr>
      </w:pPr>
      <w:r>
        <w:rPr>
          <w:rFonts w:ascii="Arial" w:cs="Arial" w:eastAsia="Arial" w:hAnsi="Arial"/>
          <w:sz w:val="16"/>
          <w:szCs w:val="16"/>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55"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6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70"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 xml:space="preserve">In the United States, pharmaceutical manufacturers are subject to complex laws and regulations pertaining to healthcare “fraud and abuse,” including, but not limited to, the Anti-Kickback Statute, the federal </w:t>
      </w:r>
      <w:r>
        <w:rPr>
          <w:rFonts w:ascii="Arial" w:cs="Arial" w:eastAsia="Arial" w:hAnsi="Arial"/>
          <w:sz w:val="18"/>
          <w:szCs w:val="18"/>
          <w:i w:val="1"/>
          <w:iCs w:val="1"/>
          <w:color w:val="auto"/>
        </w:rPr>
        <w:t>False Claims Act</w:t>
      </w:r>
      <w:r>
        <w:rPr>
          <w:rFonts w:ascii="Arial" w:cs="Arial" w:eastAsia="Arial" w:hAnsi="Arial"/>
          <w:sz w:val="17"/>
          <w:szCs w:val="17"/>
          <w:color w:val="auto"/>
        </w:rPr>
        <w:t xml:space="preserve"> (the “</w:t>
      </w:r>
      <w:r>
        <w:rPr>
          <w:rFonts w:ascii="Arial" w:cs="Arial" w:eastAsia="Arial" w:hAnsi="Arial"/>
          <w:sz w:val="18"/>
          <w:szCs w:val="18"/>
          <w:b w:val="1"/>
          <w:bCs w:val="1"/>
          <w:color w:val="auto"/>
        </w:rPr>
        <w:t>FSA</w:t>
      </w:r>
      <w:r>
        <w:rPr>
          <w:rFonts w:ascii="Arial" w:cs="Arial" w:eastAsia="Arial" w:hAnsi="Arial"/>
          <w:sz w:val="17"/>
          <w:szCs w:val="17"/>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FSA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FSA can result in very significant monetary penalties and treble damages. The federal government is using the FSA, and the accompanying threat of significant liability, in its investigation and prosecution of pharmaceutical companies throughout the country, for example, in connection with the promotion</w:t>
      </w:r>
    </w:p>
    <w:p>
      <w:pPr>
        <w:spacing w:after="0" w:line="2"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of products for unapproved uses and other sales and marketing practices. The government has obtained multi-million and multi-billion dollar settlements under the FSA in addition to individual criminal convictions under applicable criminal</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320" w:top="710" w:right="319" w:bottom="1440" w:gutter="0" w:footer="0" w:header="0"/>
        </w:sectPr>
      </w:pPr>
    </w:p>
    <w:bookmarkStart w:id="60" w:name="page61"/>
    <w:bookmarkEnd w:id="60"/>
    <w:p>
      <w:pPr>
        <w:jc w:val="both"/>
        <w:ind w:right="20"/>
        <w:spacing w:after="0" w:line="287" w:lineRule="auto"/>
        <w:rPr>
          <w:sz w:val="20"/>
          <w:szCs w:val="20"/>
          <w:color w:val="auto"/>
        </w:rPr>
      </w:pPr>
      <w:r>
        <w:rPr>
          <w:rFonts w:ascii="Arial" w:cs="Arial" w:eastAsia="Arial" w:hAnsi="Arial"/>
          <w:sz w:val="16"/>
          <w:szCs w:val="16"/>
          <w:color w:val="auto"/>
        </w:rPr>
        <w:t>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w:t>
      </w:r>
    </w:p>
    <w:p>
      <w:pPr>
        <w:jc w:val="both"/>
        <w:ind w:right="20"/>
        <w:spacing w:after="0" w:line="297" w:lineRule="auto"/>
        <w:rPr>
          <w:sz w:val="20"/>
          <w:szCs w:val="20"/>
          <w:color w:val="auto"/>
        </w:rPr>
      </w:pPr>
      <w:r>
        <w:rPr>
          <w:rFonts w:ascii="Arial" w:cs="Arial" w:eastAsia="Arial" w:hAnsi="Arial"/>
          <w:sz w:val="17"/>
          <w:szCs w:val="17"/>
          <w:color w:val="auto"/>
        </w:rPr>
        <w:t>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7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Controlled Substances</w:t>
      </w:r>
    </w:p>
    <w:p>
      <w:pPr>
        <w:spacing w:after="0" w:line="19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3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DEA inspects all manufacturing facilities to review security, recordkeeping, reporting and handling prior to issuing a controlled substance registration.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47"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5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Individual U.S. states also establish and maintain separate controlled substance laws and regulations, including licensing, recordkeeping, security, distribution, and dispensing requirements. State authorities, including boards of pharmacy, regulate use of controlled substances in each state. Failure to maintain compliance with applicable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320" w:top="710" w:right="319" w:bottom="1440" w:gutter="0" w:footer="0" w:header="0"/>
        </w:sectPr>
      </w:pPr>
    </w:p>
    <w:bookmarkStart w:id="61" w:name="page62"/>
    <w:bookmarkEnd w:id="61"/>
    <w:p>
      <w:pPr>
        <w:jc w:val="both"/>
        <w:ind w:right="20"/>
        <w:spacing w:after="0" w:line="276" w:lineRule="auto"/>
        <w:rPr>
          <w:sz w:val="20"/>
          <w:szCs w:val="20"/>
          <w:color w:val="auto"/>
        </w:rPr>
      </w:pPr>
      <w:r>
        <w:rPr>
          <w:rFonts w:ascii="Arial" w:cs="Arial" w:eastAsia="Arial" w:hAnsi="Arial"/>
          <w:sz w:val="17"/>
          <w:szCs w:val="17"/>
          <w:color w:val="auto"/>
        </w:rPr>
        <w:t>requirements, particularly as manifested in the loss or diversion of controlled substances, can result in enforcement action that could have a material adverse effect on the Company’s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 Cooperation Treaty</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PCT facilitates filing for patent recognition in multiple jurisdictions simultaneously using a single uniform patent application. 193 countries, including Canada and the United States have ratified the PCT.</w:t>
      </w:r>
    </w:p>
    <w:p>
      <w:pPr>
        <w:spacing w:after="0" w:line="15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5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Within 12 months of filing a provisional patent application at the United States Patent and Trademark Office,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35"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Ireland</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 xml:space="preserve">In Ireland, psilocin is a controlled substance under the </w:t>
      </w:r>
      <w:r>
        <w:rPr>
          <w:rFonts w:ascii="Arial" w:cs="Arial" w:eastAsia="Arial" w:hAnsi="Arial"/>
          <w:sz w:val="18"/>
          <w:szCs w:val="18"/>
          <w:i w:val="1"/>
          <w:iCs w:val="1"/>
          <w:color w:val="auto"/>
        </w:rPr>
        <w:t>Misuse of Drugs Act, 1977, 1984 and 2015</w:t>
      </w:r>
      <w:r>
        <w:rPr>
          <w:rFonts w:ascii="Arial" w:cs="Arial" w:eastAsia="Arial" w:hAnsi="Arial"/>
          <w:sz w:val="18"/>
          <w:szCs w:val="18"/>
          <w:color w:val="auto"/>
        </w:rPr>
        <w:t xml:space="preserve"> (the “</w:t>
      </w:r>
      <w:r>
        <w:rPr>
          <w:rFonts w:ascii="Arial" w:cs="Arial" w:eastAsia="Arial" w:hAnsi="Arial"/>
          <w:sz w:val="18"/>
          <w:szCs w:val="18"/>
          <w:b w:val="1"/>
          <w:bCs w:val="1"/>
          <w:color w:val="auto"/>
        </w:rPr>
        <w:t>Ireland MDA</w:t>
      </w:r>
      <w:r>
        <w:rPr>
          <w:rFonts w:ascii="Arial" w:cs="Arial" w:eastAsia="Arial" w:hAnsi="Arial"/>
          <w:sz w:val="18"/>
          <w:szCs w:val="18"/>
          <w:color w:val="auto"/>
        </w:rPr>
        <w:t xml:space="preserve">”), the </w:t>
      </w:r>
      <w:r>
        <w:rPr>
          <w:rFonts w:ascii="Arial" w:cs="Arial" w:eastAsia="Arial" w:hAnsi="Arial"/>
          <w:sz w:val="18"/>
          <w:szCs w:val="18"/>
          <w:i w:val="1"/>
          <w:iCs w:val="1"/>
          <w:color w:val="auto"/>
        </w:rPr>
        <w:t>Misuse of Drugs Regulations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2017 </w:t>
      </w:r>
      <w:r>
        <w:rPr>
          <w:rFonts w:ascii="Arial" w:cs="Arial" w:eastAsia="Arial" w:hAnsi="Arial"/>
          <w:sz w:val="18"/>
          <w:szCs w:val="18"/>
          <w:color w:val="auto"/>
        </w:rPr>
        <w:t>(the “</w:t>
      </w:r>
      <w:r>
        <w:rPr>
          <w:rFonts w:ascii="Arial" w:cs="Arial" w:eastAsia="Arial" w:hAnsi="Arial"/>
          <w:sz w:val="18"/>
          <w:szCs w:val="18"/>
          <w:b w:val="1"/>
          <w:bCs w:val="1"/>
          <w:color w:val="auto"/>
        </w:rPr>
        <w:t>Ireland MDR</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Criminal Justice (Psychoactive Substances) Act 2010</w:t>
      </w:r>
      <w:r>
        <w:rPr>
          <w:rFonts w:ascii="Arial" w:cs="Arial" w:eastAsia="Arial" w:hAnsi="Arial"/>
          <w:sz w:val="18"/>
          <w:szCs w:val="18"/>
          <w:color w:val="auto"/>
        </w:rPr>
        <w:t>. These are the primary legislative instruments which govern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9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187"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93"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Company does not currently engage in any activities in Ireland that are regulated by such laws. If the Company were to engage in such activities, it would need to obtain the appropriate licences and authorization to do so.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320" w:top="710"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Company intends to constantly review its Irish operations to ensure compliance with all applicable laws as the operations evolve.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Applicable Laws</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71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Selected Quarterly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selected information is derived from the Company’s annual and quarterly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tcPr>
          <w:p>
            <w:pPr>
              <w:ind w:left="60"/>
              <w:spacing w:after="0"/>
              <w:rPr>
                <w:sz w:val="20"/>
                <w:szCs w:val="20"/>
                <w:color w:val="auto"/>
              </w:rPr>
            </w:pPr>
            <w:r>
              <w:rPr>
                <w:rFonts w:ascii="Arial" w:cs="Arial" w:eastAsia="Arial" w:hAnsi="Arial"/>
                <w:sz w:val="14"/>
                <w:szCs w:val="14"/>
                <w:i w:val="1"/>
                <w:iCs w:val="1"/>
                <w:color w:val="auto"/>
                <w:w w:val="95"/>
              </w:rPr>
              <w:t>(Canadian dollars in thousands,</w:t>
            </w:r>
          </w:p>
        </w:tc>
        <w:tc>
          <w:tcPr>
            <w:tcW w:w="1300" w:type="dxa"/>
            <w:vAlign w:val="bottom"/>
            <w:tcBorders>
              <w:right w:val="single" w:sz="8" w:color="DBDBDB"/>
            </w:tcBorders>
            <w:shd w:val="clear" w:color="auto" w:fill="DBDBDB"/>
          </w:tcPr>
          <w:p>
            <w:pPr>
              <w:spacing w:after="0"/>
              <w:rPr>
                <w:sz w:val="16"/>
                <w:szCs w:val="16"/>
                <w:color w:val="auto"/>
              </w:rPr>
            </w:pPr>
          </w:p>
        </w:tc>
        <w:tc>
          <w:tcPr>
            <w:tcW w:w="11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89"/>
              </w:rPr>
              <w:t>September 30,</w:t>
            </w: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960" w:type="dxa"/>
            <w:vAlign w:val="bottom"/>
          </w:tcPr>
          <w:p>
            <w:pPr>
              <w:ind w:left="60"/>
              <w:spacing w:after="0"/>
              <w:rPr>
                <w:sz w:val="20"/>
                <w:szCs w:val="20"/>
                <w:color w:val="auto"/>
              </w:rPr>
            </w:pPr>
            <w:r>
              <w:rPr>
                <w:rFonts w:ascii="Arial" w:cs="Arial" w:eastAsia="Arial" w:hAnsi="Arial"/>
                <w:sz w:val="14"/>
                <w:szCs w:val="14"/>
                <w:i w:val="1"/>
                <w:iCs w:val="1"/>
                <w:color w:val="auto"/>
              </w:rPr>
              <w:t>except per share and share</w:t>
            </w:r>
          </w:p>
        </w:tc>
        <w:tc>
          <w:tcPr>
            <w:tcW w:w="1300" w:type="dxa"/>
            <w:vAlign w:val="bottom"/>
            <w:tcBorders>
              <w:right w:val="single" w:sz="8" w:color="DBDBDB"/>
            </w:tcBorders>
            <w:shd w:val="clear" w:color="auto" w:fill="DBDBDB"/>
          </w:tcPr>
          <w:p>
            <w:pPr>
              <w:spacing w:after="0"/>
              <w:rPr>
                <w:sz w:val="14"/>
                <w:szCs w:val="14"/>
                <w:color w:val="auto"/>
              </w:rPr>
            </w:pPr>
          </w:p>
        </w:tc>
        <w:tc>
          <w:tcPr>
            <w:tcW w:w="11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60" w:type="dxa"/>
            <w:vAlign w:val="bottom"/>
          </w:tcPr>
          <w:p>
            <w:pPr>
              <w:ind w:left="60"/>
              <w:spacing w:after="0"/>
              <w:rPr>
                <w:sz w:val="20"/>
                <w:szCs w:val="20"/>
                <w:color w:val="auto"/>
              </w:rPr>
            </w:pPr>
            <w:r>
              <w:rPr>
                <w:rFonts w:ascii="Arial" w:cs="Arial" w:eastAsia="Arial" w:hAnsi="Arial"/>
                <w:sz w:val="14"/>
                <w:szCs w:val="14"/>
                <w:i w:val="1"/>
                <w:iCs w:val="1"/>
                <w:color w:val="auto"/>
              </w:rPr>
              <w:t>figures)</w:t>
            </w:r>
          </w:p>
        </w:tc>
        <w:tc>
          <w:tcPr>
            <w:tcW w:w="1300" w:type="dxa"/>
            <w:vAlign w:val="bottom"/>
            <w:tcBorders>
              <w:bottom w:val="single" w:sz="8" w:color="DBDBDB"/>
              <w:right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auto"/>
                <w:w w:val="96"/>
              </w:rPr>
              <w:t>December 31, 2021</w:t>
            </w:r>
          </w:p>
        </w:tc>
        <w:tc>
          <w:tcPr>
            <w:tcW w:w="1160" w:type="dxa"/>
            <w:vAlign w:val="bottom"/>
          </w:tcPr>
          <w:p>
            <w:pPr>
              <w:jc w:val="right"/>
              <w:ind w:right="71"/>
              <w:spacing w:after="0"/>
              <w:rPr>
                <w:sz w:val="20"/>
                <w:szCs w:val="20"/>
                <w:color w:val="auto"/>
              </w:rPr>
            </w:pPr>
            <w:r>
              <w:rPr>
                <w:rFonts w:ascii="Arial" w:cs="Arial" w:eastAsia="Arial" w:hAnsi="Arial"/>
                <w:sz w:val="14"/>
                <w:szCs w:val="14"/>
                <w:b w:val="1"/>
                <w:bCs w:val="1"/>
                <w:color w:val="auto"/>
              </w:rPr>
              <w:t>2021</w:t>
            </w: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June 30, 2021</w:t>
            </w:r>
          </w:p>
        </w:tc>
        <w:tc>
          <w:tcPr>
            <w:tcW w:w="1160" w:type="dxa"/>
            <w:vAlign w:val="bottom"/>
          </w:tcPr>
          <w:p>
            <w:pPr>
              <w:jc w:val="right"/>
              <w:ind w:right="31"/>
              <w:spacing w:after="0"/>
              <w:rPr>
                <w:sz w:val="20"/>
                <w:szCs w:val="20"/>
                <w:color w:val="auto"/>
              </w:rPr>
            </w:pPr>
            <w:r>
              <w:rPr>
                <w:rFonts w:ascii="Arial" w:cs="Arial" w:eastAsia="Arial" w:hAnsi="Arial"/>
                <w:sz w:val="14"/>
                <w:szCs w:val="14"/>
                <w:b w:val="1"/>
                <w:bCs w:val="1"/>
                <w:color w:val="auto"/>
              </w:rPr>
              <w:t>March 31, 2021</w:t>
            </w:r>
          </w:p>
        </w:tc>
        <w:tc>
          <w:tcPr>
            <w:tcW w:w="1280" w:type="dxa"/>
            <w:vAlign w:val="bottom"/>
          </w:tcPr>
          <w:p>
            <w:pPr>
              <w:jc w:val="right"/>
              <w:ind w:right="11"/>
              <w:spacing w:after="0"/>
              <w:rPr>
                <w:sz w:val="20"/>
                <w:szCs w:val="20"/>
                <w:color w:val="auto"/>
              </w:rPr>
            </w:pPr>
            <w:r>
              <w:rPr>
                <w:rFonts w:ascii="Arial" w:cs="Arial" w:eastAsia="Arial" w:hAnsi="Arial"/>
                <w:sz w:val="14"/>
                <w:szCs w:val="14"/>
                <w:b w:val="1"/>
                <w:bCs w:val="1"/>
                <w:color w:val="auto"/>
                <w:w w:val="93"/>
              </w:rPr>
              <w:t>December 31, 2020</w:t>
            </w:r>
          </w:p>
        </w:tc>
        <w:tc>
          <w:tcPr>
            <w:tcW w:w="1000" w:type="dxa"/>
            <w:vAlign w:val="bottom"/>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1100" w:type="dxa"/>
            <w:vAlign w:val="bottom"/>
          </w:tcPr>
          <w:p>
            <w:pPr>
              <w:jc w:val="right"/>
              <w:ind w:right="151"/>
              <w:spacing w:after="0"/>
              <w:rPr>
                <w:sz w:val="20"/>
                <w:szCs w:val="20"/>
                <w:color w:val="auto"/>
              </w:rPr>
            </w:pPr>
            <w:r>
              <w:rPr>
                <w:rFonts w:ascii="Arial" w:cs="Arial" w:eastAsia="Arial" w:hAnsi="Arial"/>
                <w:sz w:val="14"/>
                <w:szCs w:val="14"/>
                <w:b w:val="1"/>
                <w:bCs w:val="1"/>
                <w:color w:val="auto"/>
                <w:w w:val="94"/>
              </w:rPr>
              <w:t>June 30, 2020</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91"/>
        </w:trPr>
        <w:tc>
          <w:tcPr>
            <w:tcW w:w="196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Revenues ($)</w:t>
            </w:r>
          </w:p>
        </w:tc>
        <w:tc>
          <w:tcPr>
            <w:tcW w:w="1300" w:type="dxa"/>
            <w:vAlign w:val="bottom"/>
            <w:tcBorders>
              <w:top w:val="single" w:sz="8" w:color="auto"/>
              <w:right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864</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Operating Expenses ($)</w:t>
            </w:r>
          </w:p>
        </w:tc>
        <w:tc>
          <w:tcPr>
            <w:tcW w:w="1300" w:type="dxa"/>
            <w:vAlign w:val="bottom"/>
            <w:tcBorders>
              <w:right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b w:val="1"/>
                <w:bCs w:val="1"/>
                <w:color w:val="auto"/>
              </w:rPr>
              <w:t>16,455</w:t>
            </w: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17,106</w:t>
            </w:r>
          </w:p>
        </w:tc>
        <w:tc>
          <w:tcPr>
            <w:tcW w:w="1100" w:type="dxa"/>
            <w:vAlign w:val="bottom"/>
          </w:tcPr>
          <w:p>
            <w:pPr>
              <w:jc w:val="right"/>
              <w:ind w:right="131"/>
              <w:spacing w:after="0"/>
              <w:rPr>
                <w:sz w:val="20"/>
                <w:szCs w:val="20"/>
                <w:color w:val="auto"/>
              </w:rPr>
            </w:pPr>
            <w:r>
              <w:rPr>
                <w:rFonts w:ascii="Arial" w:cs="Arial" w:eastAsia="Arial" w:hAnsi="Arial"/>
                <w:sz w:val="14"/>
                <w:szCs w:val="14"/>
                <w:color w:val="auto"/>
              </w:rPr>
              <w:t>13,939</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12,363</w:t>
            </w: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11,379</w:t>
            </w: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2,561</w:t>
            </w:r>
          </w:p>
        </w:tc>
        <w:tc>
          <w:tcPr>
            <w:tcW w:w="1100" w:type="dxa"/>
            <w:vAlign w:val="bottom"/>
          </w:tcPr>
          <w:p>
            <w:pPr>
              <w:jc w:val="right"/>
              <w:ind w:right="171"/>
              <w:spacing w:after="0"/>
              <w:rPr>
                <w:sz w:val="20"/>
                <w:szCs w:val="20"/>
                <w:color w:val="auto"/>
              </w:rPr>
            </w:pPr>
            <w:r>
              <w:rPr>
                <w:rFonts w:ascii="Arial" w:cs="Arial" w:eastAsia="Arial" w:hAnsi="Arial"/>
                <w:sz w:val="14"/>
                <w:szCs w:val="14"/>
                <w:color w:val="auto"/>
              </w:rPr>
              <w:t>4,420</w:t>
            </w:r>
          </w:p>
        </w:tc>
        <w:tc>
          <w:tcPr>
            <w:tcW w:w="1180" w:type="dxa"/>
            <w:vAlign w:val="bottom"/>
          </w:tcPr>
          <w:p>
            <w:pPr>
              <w:jc w:val="right"/>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Net loss ($)</w:t>
            </w:r>
          </w:p>
        </w:tc>
        <w:tc>
          <w:tcPr>
            <w:tcW w:w="13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(17,210)</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(17,607)</w:t>
            </w: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(14,717)</w:t>
            </w:r>
          </w:p>
        </w:tc>
        <w:tc>
          <w:tcPr>
            <w:tcW w:w="1160" w:type="dxa"/>
            <w:vAlign w:val="bottom"/>
          </w:tcPr>
          <w:p>
            <w:pPr>
              <w:jc w:val="right"/>
              <w:spacing w:after="0"/>
              <w:rPr>
                <w:sz w:val="20"/>
                <w:szCs w:val="20"/>
                <w:color w:val="auto"/>
              </w:rPr>
            </w:pPr>
            <w:r>
              <w:rPr>
                <w:rFonts w:ascii="Arial" w:cs="Arial" w:eastAsia="Arial" w:hAnsi="Arial"/>
                <w:sz w:val="14"/>
                <w:szCs w:val="14"/>
                <w:color w:val="auto"/>
              </w:rPr>
              <w:t>(13,777)</w:t>
            </w:r>
          </w:p>
        </w:tc>
        <w:tc>
          <w:tcPr>
            <w:tcW w:w="1280" w:type="dxa"/>
            <w:vAlign w:val="bottom"/>
          </w:tcPr>
          <w:p>
            <w:pPr>
              <w:jc w:val="right"/>
              <w:spacing w:after="0"/>
              <w:rPr>
                <w:sz w:val="20"/>
                <w:szCs w:val="20"/>
                <w:color w:val="auto"/>
              </w:rPr>
            </w:pPr>
            <w:r>
              <w:rPr>
                <w:rFonts w:ascii="Arial" w:cs="Arial" w:eastAsia="Arial" w:hAnsi="Arial"/>
                <w:sz w:val="14"/>
                <w:szCs w:val="14"/>
                <w:color w:val="auto"/>
              </w:rPr>
              <w:t>(11,419)</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(2,660)</w:t>
            </w:r>
          </w:p>
        </w:tc>
        <w:tc>
          <w:tcPr>
            <w:tcW w:w="1100" w:type="dxa"/>
            <w:vAlign w:val="bottom"/>
          </w:tcPr>
          <w:p>
            <w:pPr>
              <w:jc w:val="right"/>
              <w:ind w:right="131"/>
              <w:spacing w:after="0"/>
              <w:rPr>
                <w:sz w:val="20"/>
                <w:szCs w:val="20"/>
                <w:color w:val="auto"/>
              </w:rPr>
            </w:pPr>
            <w:r>
              <w:rPr>
                <w:rFonts w:ascii="Arial" w:cs="Arial" w:eastAsia="Arial" w:hAnsi="Arial"/>
                <w:sz w:val="14"/>
                <w:szCs w:val="14"/>
                <w:color w:val="auto"/>
              </w:rPr>
              <w:t>(4,364)</w:t>
            </w:r>
          </w:p>
        </w:tc>
        <w:tc>
          <w:tcPr>
            <w:tcW w:w="1180" w:type="dxa"/>
            <w:vAlign w:val="bottom"/>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457"/>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Weighted Average Shares -</w:t>
            </w:r>
          </w:p>
        </w:tc>
        <w:tc>
          <w:tcPr>
            <w:tcW w:w="1300" w:type="dxa"/>
            <w:vAlign w:val="bottom"/>
            <w:tcBorders>
              <w:right w:val="single" w:sz="8" w:color="DBDBDB"/>
            </w:tcBorders>
            <w:vMerge w:val="restart"/>
            <w:shd w:val="clear" w:color="auto" w:fill="DBDBDB"/>
          </w:tcPr>
          <w:p>
            <w:pPr>
              <w:jc w:val="right"/>
              <w:ind w:right="11"/>
              <w:spacing w:after="0"/>
              <w:rPr>
                <w:sz w:val="20"/>
                <w:szCs w:val="20"/>
                <w:color w:val="auto"/>
              </w:rPr>
            </w:pPr>
            <w:r>
              <w:rPr>
                <w:rFonts w:ascii="Arial" w:cs="Arial" w:eastAsia="Arial" w:hAnsi="Arial"/>
                <w:sz w:val="14"/>
                <w:szCs w:val="14"/>
                <w:b w:val="1"/>
                <w:bCs w:val="1"/>
                <w:color w:val="auto"/>
              </w:rPr>
              <w:t>171,833,544</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Basic</w:t>
            </w:r>
          </w:p>
        </w:tc>
        <w:tc>
          <w:tcPr>
            <w:tcW w:w="1300" w:type="dxa"/>
            <w:vAlign w:val="bottom"/>
            <w:tcBorders>
              <w:right w:val="single" w:sz="8" w:color="DBDBDB"/>
            </w:tcBorders>
            <w:vMerge w:val="continue"/>
            <w:shd w:val="clear" w:color="auto" w:fill="DBDBDB"/>
          </w:tcPr>
          <w:p>
            <w:pPr>
              <w:spacing w:after="0"/>
              <w:rPr>
                <w:sz w:val="15"/>
                <w:szCs w:val="15"/>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165,783,294</w:t>
            </w:r>
          </w:p>
        </w:tc>
        <w:tc>
          <w:tcPr>
            <w:tcW w:w="1100" w:type="dxa"/>
            <w:vAlign w:val="bottom"/>
          </w:tcPr>
          <w:p>
            <w:pPr>
              <w:jc w:val="right"/>
              <w:ind w:right="131"/>
              <w:spacing w:after="0"/>
              <w:rPr>
                <w:sz w:val="20"/>
                <w:szCs w:val="20"/>
                <w:color w:val="auto"/>
              </w:rPr>
            </w:pPr>
            <w:r>
              <w:rPr>
                <w:rFonts w:ascii="Arial" w:cs="Arial" w:eastAsia="Arial" w:hAnsi="Arial"/>
                <w:sz w:val="14"/>
                <w:szCs w:val="14"/>
                <w:color w:val="auto"/>
              </w:rPr>
              <w:t>157,711,518</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150,494,164</w:t>
            </w: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110,223,000</w:t>
            </w: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69,150,124</w:t>
            </w:r>
          </w:p>
        </w:tc>
        <w:tc>
          <w:tcPr>
            <w:tcW w:w="1100" w:type="dxa"/>
            <w:vAlign w:val="bottom"/>
          </w:tcPr>
          <w:p>
            <w:pPr>
              <w:jc w:val="right"/>
              <w:ind w:right="171"/>
              <w:spacing w:after="0"/>
              <w:rPr>
                <w:sz w:val="20"/>
                <w:szCs w:val="20"/>
                <w:color w:val="auto"/>
              </w:rPr>
            </w:pPr>
            <w:r>
              <w:rPr>
                <w:rFonts w:ascii="Arial" w:cs="Arial" w:eastAsia="Arial" w:hAnsi="Arial"/>
                <w:sz w:val="14"/>
                <w:szCs w:val="14"/>
                <w:color w:val="auto"/>
              </w:rPr>
              <w:t>60,703,392</w:t>
            </w:r>
          </w:p>
        </w:tc>
        <w:tc>
          <w:tcPr>
            <w:tcW w:w="1180" w:type="dxa"/>
            <w:vAlign w:val="bottom"/>
          </w:tcPr>
          <w:p>
            <w:pPr>
              <w:jc w:val="right"/>
              <w:spacing w:after="0"/>
              <w:rPr>
                <w:sz w:val="20"/>
                <w:szCs w:val="20"/>
                <w:color w:val="auto"/>
              </w:rPr>
            </w:pPr>
            <w:r>
              <w:rPr>
                <w:rFonts w:ascii="Arial" w:cs="Arial" w:eastAsia="Arial" w:hAnsi="Arial"/>
                <w:sz w:val="14"/>
                <w:szCs w:val="14"/>
                <w:color w:val="auto"/>
              </w:rPr>
              <w:t>49,976,788</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Loss per share ($'s)</w:t>
            </w:r>
          </w:p>
        </w:tc>
        <w:tc>
          <w:tcPr>
            <w:tcW w:w="13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(0.10)</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(0.11)</w:t>
            </w: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(0.09)</w:t>
            </w:r>
          </w:p>
        </w:tc>
        <w:tc>
          <w:tcPr>
            <w:tcW w:w="1160" w:type="dxa"/>
            <w:vAlign w:val="bottom"/>
          </w:tcPr>
          <w:p>
            <w:pPr>
              <w:jc w:val="right"/>
              <w:spacing w:after="0"/>
              <w:rPr>
                <w:sz w:val="20"/>
                <w:szCs w:val="20"/>
                <w:color w:val="auto"/>
              </w:rPr>
            </w:pPr>
            <w:r>
              <w:rPr>
                <w:rFonts w:ascii="Arial" w:cs="Arial" w:eastAsia="Arial" w:hAnsi="Arial"/>
                <w:sz w:val="14"/>
                <w:szCs w:val="14"/>
                <w:color w:val="auto"/>
              </w:rPr>
              <w:t>(0.09)</w:t>
            </w:r>
          </w:p>
        </w:tc>
        <w:tc>
          <w:tcPr>
            <w:tcW w:w="1280" w:type="dxa"/>
            <w:vAlign w:val="bottom"/>
          </w:tcPr>
          <w:p>
            <w:pPr>
              <w:jc w:val="right"/>
              <w:spacing w:after="0"/>
              <w:rPr>
                <w:sz w:val="20"/>
                <w:szCs w:val="20"/>
                <w:color w:val="auto"/>
              </w:rPr>
            </w:pPr>
            <w:r>
              <w:rPr>
                <w:rFonts w:ascii="Arial" w:cs="Arial" w:eastAsia="Arial" w:hAnsi="Arial"/>
                <w:sz w:val="14"/>
                <w:szCs w:val="14"/>
                <w:color w:val="auto"/>
              </w:rPr>
              <w:t>(0.10)</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(0.04)</w:t>
            </w:r>
          </w:p>
        </w:tc>
        <w:tc>
          <w:tcPr>
            <w:tcW w:w="1100" w:type="dxa"/>
            <w:vAlign w:val="bottom"/>
          </w:tcPr>
          <w:p>
            <w:pPr>
              <w:jc w:val="right"/>
              <w:ind w:right="131"/>
              <w:spacing w:after="0"/>
              <w:rPr>
                <w:sz w:val="20"/>
                <w:szCs w:val="20"/>
                <w:color w:val="auto"/>
              </w:rPr>
            </w:pPr>
            <w:r>
              <w:rPr>
                <w:rFonts w:ascii="Arial" w:cs="Arial" w:eastAsia="Arial" w:hAnsi="Arial"/>
                <w:sz w:val="14"/>
                <w:szCs w:val="14"/>
                <w:color w:val="auto"/>
              </w:rPr>
              <w:t>(0.07)</w:t>
            </w:r>
          </w:p>
        </w:tc>
        <w:tc>
          <w:tcPr>
            <w:tcW w:w="11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457"/>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Weighted Average Shares -</w:t>
            </w:r>
          </w:p>
        </w:tc>
        <w:tc>
          <w:tcPr>
            <w:tcW w:w="1300" w:type="dxa"/>
            <w:vAlign w:val="bottom"/>
            <w:tcBorders>
              <w:right w:val="single" w:sz="8" w:color="DBDBDB"/>
            </w:tcBorders>
            <w:vMerge w:val="restart"/>
            <w:shd w:val="clear" w:color="auto" w:fill="DBDBDB"/>
          </w:tcPr>
          <w:p>
            <w:pPr>
              <w:jc w:val="right"/>
              <w:ind w:right="11"/>
              <w:spacing w:after="0"/>
              <w:rPr>
                <w:sz w:val="20"/>
                <w:szCs w:val="20"/>
                <w:color w:val="auto"/>
              </w:rPr>
            </w:pPr>
            <w:r>
              <w:rPr>
                <w:rFonts w:ascii="Arial" w:cs="Arial" w:eastAsia="Arial" w:hAnsi="Arial"/>
                <w:sz w:val="14"/>
                <w:szCs w:val="14"/>
                <w:b w:val="1"/>
                <w:bCs w:val="1"/>
                <w:color w:val="auto"/>
              </w:rPr>
              <w:t>171,833,544</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Diluted</w:t>
            </w:r>
          </w:p>
        </w:tc>
        <w:tc>
          <w:tcPr>
            <w:tcW w:w="1300" w:type="dxa"/>
            <w:vAlign w:val="bottom"/>
            <w:tcBorders>
              <w:right w:val="single" w:sz="8" w:color="DBDBDB"/>
            </w:tcBorders>
            <w:vMerge w:val="continue"/>
            <w:shd w:val="clear" w:color="auto" w:fill="DBDBDB"/>
          </w:tcPr>
          <w:p>
            <w:pPr>
              <w:spacing w:after="0"/>
              <w:rPr>
                <w:sz w:val="15"/>
                <w:szCs w:val="15"/>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165,783,294</w:t>
            </w:r>
          </w:p>
        </w:tc>
        <w:tc>
          <w:tcPr>
            <w:tcW w:w="1100" w:type="dxa"/>
            <w:vAlign w:val="bottom"/>
          </w:tcPr>
          <w:p>
            <w:pPr>
              <w:jc w:val="right"/>
              <w:ind w:right="131"/>
              <w:spacing w:after="0"/>
              <w:rPr>
                <w:sz w:val="20"/>
                <w:szCs w:val="20"/>
                <w:color w:val="auto"/>
              </w:rPr>
            </w:pPr>
            <w:r>
              <w:rPr>
                <w:rFonts w:ascii="Arial" w:cs="Arial" w:eastAsia="Arial" w:hAnsi="Arial"/>
                <w:sz w:val="14"/>
                <w:szCs w:val="14"/>
                <w:color w:val="auto"/>
              </w:rPr>
              <w:t>157,711,518</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150,494,164</w:t>
            </w: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110,223,000</w:t>
            </w: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69,150,124</w:t>
            </w:r>
          </w:p>
        </w:tc>
        <w:tc>
          <w:tcPr>
            <w:tcW w:w="1100" w:type="dxa"/>
            <w:vAlign w:val="bottom"/>
          </w:tcPr>
          <w:p>
            <w:pPr>
              <w:jc w:val="right"/>
              <w:ind w:right="171"/>
              <w:spacing w:after="0"/>
              <w:rPr>
                <w:sz w:val="20"/>
                <w:szCs w:val="20"/>
                <w:color w:val="auto"/>
              </w:rPr>
            </w:pPr>
            <w:r>
              <w:rPr>
                <w:rFonts w:ascii="Arial" w:cs="Arial" w:eastAsia="Arial" w:hAnsi="Arial"/>
                <w:sz w:val="14"/>
                <w:szCs w:val="14"/>
                <w:color w:val="auto"/>
              </w:rPr>
              <w:t>60,703,392</w:t>
            </w:r>
          </w:p>
        </w:tc>
        <w:tc>
          <w:tcPr>
            <w:tcW w:w="1180" w:type="dxa"/>
            <w:vAlign w:val="bottom"/>
          </w:tcPr>
          <w:p>
            <w:pPr>
              <w:jc w:val="right"/>
              <w:spacing w:after="0"/>
              <w:rPr>
                <w:sz w:val="20"/>
                <w:szCs w:val="20"/>
                <w:color w:val="auto"/>
              </w:rPr>
            </w:pPr>
            <w:r>
              <w:rPr>
                <w:rFonts w:ascii="Arial" w:cs="Arial" w:eastAsia="Arial" w:hAnsi="Arial"/>
                <w:sz w:val="14"/>
                <w:szCs w:val="14"/>
                <w:color w:val="auto"/>
              </w:rPr>
              <w:t>49,976,788</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Loss per share ($'s)</w:t>
            </w:r>
          </w:p>
        </w:tc>
        <w:tc>
          <w:tcPr>
            <w:tcW w:w="13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(0.10)</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(0.11)</w:t>
            </w: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(0.09)</w:t>
            </w:r>
          </w:p>
        </w:tc>
        <w:tc>
          <w:tcPr>
            <w:tcW w:w="1160" w:type="dxa"/>
            <w:vAlign w:val="bottom"/>
          </w:tcPr>
          <w:p>
            <w:pPr>
              <w:jc w:val="right"/>
              <w:spacing w:after="0"/>
              <w:rPr>
                <w:sz w:val="20"/>
                <w:szCs w:val="20"/>
                <w:color w:val="auto"/>
              </w:rPr>
            </w:pPr>
            <w:r>
              <w:rPr>
                <w:rFonts w:ascii="Arial" w:cs="Arial" w:eastAsia="Arial" w:hAnsi="Arial"/>
                <w:sz w:val="14"/>
                <w:szCs w:val="14"/>
                <w:color w:val="auto"/>
              </w:rPr>
              <w:t>(0.09)</w:t>
            </w:r>
          </w:p>
        </w:tc>
        <w:tc>
          <w:tcPr>
            <w:tcW w:w="1280" w:type="dxa"/>
            <w:vAlign w:val="bottom"/>
          </w:tcPr>
          <w:p>
            <w:pPr>
              <w:jc w:val="right"/>
              <w:spacing w:after="0"/>
              <w:rPr>
                <w:sz w:val="20"/>
                <w:szCs w:val="20"/>
                <w:color w:val="auto"/>
              </w:rPr>
            </w:pPr>
            <w:r>
              <w:rPr>
                <w:rFonts w:ascii="Arial" w:cs="Arial" w:eastAsia="Arial" w:hAnsi="Arial"/>
                <w:sz w:val="14"/>
                <w:szCs w:val="14"/>
                <w:color w:val="auto"/>
              </w:rPr>
              <w:t>(0.10)</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(0.04)</w:t>
            </w:r>
          </w:p>
        </w:tc>
        <w:tc>
          <w:tcPr>
            <w:tcW w:w="1100" w:type="dxa"/>
            <w:vAlign w:val="bottom"/>
          </w:tcPr>
          <w:p>
            <w:pPr>
              <w:jc w:val="right"/>
              <w:ind w:right="131"/>
              <w:spacing w:after="0"/>
              <w:rPr>
                <w:sz w:val="20"/>
                <w:szCs w:val="20"/>
                <w:color w:val="auto"/>
              </w:rPr>
            </w:pPr>
            <w:r>
              <w:rPr>
                <w:rFonts w:ascii="Arial" w:cs="Arial" w:eastAsia="Arial" w:hAnsi="Arial"/>
                <w:sz w:val="14"/>
                <w:szCs w:val="14"/>
                <w:color w:val="auto"/>
              </w:rPr>
              <w:t>(0.07)</w:t>
            </w:r>
          </w:p>
        </w:tc>
        <w:tc>
          <w:tcPr>
            <w:tcW w:w="11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465"/>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Cash and cash equivalents</w:t>
            </w:r>
          </w:p>
        </w:tc>
        <w:tc>
          <w:tcPr>
            <w:tcW w:w="1300" w:type="dxa"/>
            <w:vAlign w:val="bottom"/>
            <w:tcBorders>
              <w:right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b w:val="1"/>
                <w:bCs w:val="1"/>
                <w:color w:val="auto"/>
              </w:rPr>
              <w:t>63,580</w:t>
            </w: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75,179</w:t>
            </w:r>
          </w:p>
        </w:tc>
        <w:tc>
          <w:tcPr>
            <w:tcW w:w="1100" w:type="dxa"/>
            <w:vAlign w:val="bottom"/>
          </w:tcPr>
          <w:p>
            <w:pPr>
              <w:jc w:val="right"/>
              <w:ind w:right="131"/>
              <w:spacing w:after="0"/>
              <w:rPr>
                <w:sz w:val="20"/>
                <w:szCs w:val="20"/>
                <w:color w:val="auto"/>
              </w:rPr>
            </w:pPr>
            <w:r>
              <w:rPr>
                <w:rFonts w:ascii="Arial" w:cs="Arial" w:eastAsia="Arial" w:hAnsi="Arial"/>
                <w:sz w:val="14"/>
                <w:szCs w:val="14"/>
                <w:color w:val="auto"/>
              </w:rPr>
              <w:t>55,075</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64,026</w:t>
            </w: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40,028</w:t>
            </w: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3,868</w:t>
            </w:r>
          </w:p>
        </w:tc>
        <w:tc>
          <w:tcPr>
            <w:tcW w:w="1100" w:type="dxa"/>
            <w:vAlign w:val="bottom"/>
          </w:tcPr>
          <w:p>
            <w:pPr>
              <w:jc w:val="right"/>
              <w:ind w:right="171"/>
              <w:spacing w:after="0"/>
              <w:rPr>
                <w:sz w:val="20"/>
                <w:szCs w:val="20"/>
                <w:color w:val="auto"/>
              </w:rPr>
            </w:pPr>
            <w:r>
              <w:rPr>
                <w:rFonts w:ascii="Arial" w:cs="Arial" w:eastAsia="Arial" w:hAnsi="Arial"/>
                <w:sz w:val="14"/>
                <w:szCs w:val="14"/>
                <w:color w:val="auto"/>
              </w:rPr>
              <w:t>7,679</w:t>
            </w:r>
          </w:p>
        </w:tc>
        <w:tc>
          <w:tcPr>
            <w:tcW w:w="1180" w:type="dxa"/>
            <w:vAlign w:val="bottom"/>
          </w:tcPr>
          <w:p>
            <w:pPr>
              <w:jc w:val="right"/>
              <w:spacing w:after="0"/>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Total Assets ($)</w:t>
            </w:r>
          </w:p>
        </w:tc>
        <w:tc>
          <w:tcPr>
            <w:tcW w:w="1300" w:type="dxa"/>
            <w:vAlign w:val="bottom"/>
            <w:tcBorders>
              <w:right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b w:val="1"/>
                <w:bCs w:val="1"/>
                <w:color w:val="auto"/>
              </w:rPr>
              <w:t>95,161</w:t>
            </w: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105,465</w:t>
            </w:r>
          </w:p>
        </w:tc>
        <w:tc>
          <w:tcPr>
            <w:tcW w:w="1100" w:type="dxa"/>
            <w:vAlign w:val="bottom"/>
          </w:tcPr>
          <w:p>
            <w:pPr>
              <w:jc w:val="right"/>
              <w:ind w:right="131"/>
              <w:spacing w:after="0"/>
              <w:rPr>
                <w:sz w:val="20"/>
                <w:szCs w:val="20"/>
                <w:color w:val="auto"/>
              </w:rPr>
            </w:pPr>
            <w:r>
              <w:rPr>
                <w:rFonts w:ascii="Arial" w:cs="Arial" w:eastAsia="Arial" w:hAnsi="Arial"/>
                <w:sz w:val="14"/>
                <w:szCs w:val="14"/>
                <w:color w:val="auto"/>
              </w:rPr>
              <w:t>82,837</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92,112</w:t>
            </w: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61,254</w:t>
            </w: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5,789</w:t>
            </w:r>
          </w:p>
        </w:tc>
        <w:tc>
          <w:tcPr>
            <w:tcW w:w="1100" w:type="dxa"/>
            <w:vAlign w:val="bottom"/>
          </w:tcPr>
          <w:p>
            <w:pPr>
              <w:jc w:val="right"/>
              <w:ind w:right="171"/>
              <w:spacing w:after="0"/>
              <w:rPr>
                <w:sz w:val="20"/>
                <w:szCs w:val="20"/>
                <w:color w:val="auto"/>
              </w:rPr>
            </w:pPr>
            <w:r>
              <w:rPr>
                <w:rFonts w:ascii="Arial" w:cs="Arial" w:eastAsia="Arial" w:hAnsi="Arial"/>
                <w:sz w:val="14"/>
                <w:szCs w:val="14"/>
                <w:color w:val="auto"/>
              </w:rPr>
              <w:t>8,891</w:t>
            </w:r>
          </w:p>
        </w:tc>
        <w:tc>
          <w:tcPr>
            <w:tcW w:w="1180" w:type="dxa"/>
            <w:vAlign w:val="bottom"/>
          </w:tcPr>
          <w:p>
            <w:pPr>
              <w:jc w:val="right"/>
              <w:spacing w:after="0"/>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212"/>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w w:val="99"/>
              </w:rPr>
              <w:t>Total Non-Current Liabilities</w:t>
            </w:r>
          </w:p>
        </w:tc>
        <w:tc>
          <w:tcPr>
            <w:tcW w:w="1300" w:type="dxa"/>
            <w:vAlign w:val="bottom"/>
            <w:tcBorders>
              <w:right w:val="single" w:sz="8" w:color="DBDBDB"/>
            </w:tcBorders>
            <w:vMerge w:val="restart"/>
            <w:shd w:val="clear" w:color="auto" w:fill="DBDBDB"/>
          </w:tcPr>
          <w:p>
            <w:pPr>
              <w:jc w:val="right"/>
              <w:ind w:right="11"/>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DBDBDB"/>
              <w:right w:val="single" w:sz="8" w:color="DBDBDB"/>
            </w:tcBorders>
            <w:vMerge w:val="continue"/>
            <w:shd w:val="clear" w:color="auto" w:fill="DBDBDB"/>
          </w:tcPr>
          <w:p>
            <w:pPr>
              <w:spacing w:after="0"/>
              <w:rPr>
                <w:sz w:val="15"/>
                <w:szCs w:val="15"/>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363</w:t>
            </w:r>
          </w:p>
        </w:tc>
        <w:tc>
          <w:tcPr>
            <w:tcW w:w="1100" w:type="dxa"/>
            <w:vAlign w:val="bottom"/>
          </w:tcPr>
          <w:p>
            <w:pPr>
              <w:jc w:val="right"/>
              <w:ind w:right="131"/>
              <w:spacing w:after="0"/>
              <w:rPr>
                <w:sz w:val="20"/>
                <w:szCs w:val="20"/>
                <w:color w:val="auto"/>
              </w:rPr>
            </w:pPr>
            <w:r>
              <w:rPr>
                <w:rFonts w:ascii="Arial" w:cs="Arial" w:eastAsia="Arial" w:hAnsi="Arial"/>
                <w:sz w:val="14"/>
                <w:szCs w:val="14"/>
                <w:color w:val="auto"/>
              </w:rPr>
              <w:t>770</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1,094</w:t>
            </w: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3,442</w:t>
            </w: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dividends on the Common Shares and does not anticipate declaring any dividends in the near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500" w:type="dxa"/>
            <w:vAlign w:val="bottom"/>
            <w:gridSpan w:val="2"/>
          </w:tcPr>
          <w:p>
            <w:pPr>
              <w:jc w:val="right"/>
              <w:ind w:right="427"/>
              <w:spacing w:after="0"/>
              <w:rPr>
                <w:sz w:val="20"/>
                <w:szCs w:val="20"/>
                <w:color w:val="auto"/>
              </w:rPr>
            </w:pPr>
            <w:r>
              <w:rPr>
                <w:rFonts w:ascii="Arial" w:cs="Arial" w:eastAsia="Arial" w:hAnsi="Arial"/>
                <w:sz w:val="16"/>
                <w:szCs w:val="16"/>
                <w:b w:val="1"/>
                <w:bCs w:val="1"/>
                <w:color w:val="auto"/>
              </w:rPr>
              <w:t>Three months ended December 31,</w:t>
            </w:r>
          </w:p>
        </w:tc>
        <w:tc>
          <w:tcPr>
            <w:tcW w:w="3220" w:type="dxa"/>
            <w:vAlign w:val="bottom"/>
            <w:gridSpan w:val="2"/>
          </w:tcPr>
          <w:p>
            <w:pPr>
              <w:jc w:val="right"/>
              <w:ind w:right="307"/>
              <w:spacing w:after="0"/>
              <w:rPr>
                <w:sz w:val="20"/>
                <w:szCs w:val="20"/>
                <w:color w:val="auto"/>
              </w:rPr>
            </w:pPr>
            <w:r>
              <w:rPr>
                <w:rFonts w:ascii="Arial" w:cs="Arial" w:eastAsia="Arial" w:hAnsi="Arial"/>
                <w:sz w:val="16"/>
                <w:szCs w:val="16"/>
                <w:b w:val="1"/>
                <w:bCs w:val="1"/>
                <w:color w:val="auto"/>
              </w:rPr>
              <w:t>Nine months ended December 31,</w:t>
            </w:r>
          </w:p>
        </w:tc>
      </w:tr>
      <w:tr>
        <w:trPr>
          <w:trHeight w:val="25"/>
        </w:trPr>
        <w:tc>
          <w:tcPr>
            <w:tcW w:w="45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5"/>
        </w:trPr>
        <w:tc>
          <w:tcPr>
            <w:tcW w:w="4520" w:type="dxa"/>
            <w:vAlign w:val="bottom"/>
          </w:tcPr>
          <w:p>
            <w:pPr>
              <w:spacing w:after="0"/>
              <w:rPr>
                <w:sz w:val="16"/>
                <w:szCs w:val="16"/>
                <w:color w:val="auto"/>
              </w:rPr>
            </w:pPr>
          </w:p>
        </w:tc>
        <w:tc>
          <w:tcPr>
            <w:tcW w:w="2020" w:type="dxa"/>
            <w:vAlign w:val="bottom"/>
          </w:tcPr>
          <w:p>
            <w:pPr>
              <w:jc w:val="right"/>
              <w:ind w:right="346"/>
              <w:spacing w:after="0"/>
              <w:rPr>
                <w:sz w:val="20"/>
                <w:szCs w:val="20"/>
                <w:color w:val="auto"/>
              </w:rPr>
            </w:pPr>
            <w:r>
              <w:rPr>
                <w:rFonts w:ascii="Arial" w:cs="Arial" w:eastAsia="Arial" w:hAnsi="Arial"/>
                <w:sz w:val="15"/>
                <w:szCs w:val="15"/>
                <w:b w:val="1"/>
                <w:bCs w:val="1"/>
                <w:color w:val="auto"/>
              </w:rPr>
              <w:t>2021</w:t>
            </w:r>
          </w:p>
        </w:tc>
        <w:tc>
          <w:tcPr>
            <w:tcW w:w="1480" w:type="dxa"/>
            <w:vAlign w:val="bottom"/>
          </w:tcPr>
          <w:p>
            <w:pPr>
              <w:jc w:val="right"/>
              <w:ind w:right="147"/>
              <w:spacing w:after="0"/>
              <w:rPr>
                <w:sz w:val="20"/>
                <w:szCs w:val="20"/>
                <w:color w:val="auto"/>
              </w:rPr>
            </w:pPr>
            <w:r>
              <w:rPr>
                <w:rFonts w:ascii="Arial" w:cs="Arial" w:eastAsia="Arial" w:hAnsi="Arial"/>
                <w:sz w:val="15"/>
                <w:szCs w:val="15"/>
                <w:b w:val="1"/>
                <w:bCs w:val="1"/>
                <w:color w:val="auto"/>
              </w:rPr>
              <w:t>2020</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2021</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2020</w:t>
            </w:r>
          </w:p>
        </w:tc>
      </w:tr>
      <w:tr>
        <w:trPr>
          <w:trHeight w:val="29"/>
        </w:trPr>
        <w:tc>
          <w:tcPr>
            <w:tcW w:w="45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54"/>
        </w:trPr>
        <w:tc>
          <w:tcPr>
            <w:tcW w:w="4520" w:type="dxa"/>
            <w:vAlign w:val="bottom"/>
          </w:tcPr>
          <w:p>
            <w:pPr>
              <w:ind w:left="60"/>
              <w:spacing w:after="0"/>
              <w:rPr>
                <w:sz w:val="20"/>
                <w:szCs w:val="20"/>
                <w:color w:val="auto"/>
              </w:rPr>
            </w:pPr>
            <w:r>
              <w:rPr>
                <w:rFonts w:ascii="Arial" w:cs="Arial" w:eastAsia="Arial" w:hAnsi="Arial"/>
                <w:sz w:val="15"/>
                <w:szCs w:val="15"/>
                <w:b w:val="1"/>
                <w:bCs w:val="1"/>
                <w:color w:val="auto"/>
              </w:rPr>
              <w:t>REVENUE</w:t>
            </w:r>
          </w:p>
        </w:tc>
        <w:tc>
          <w:tcPr>
            <w:tcW w:w="202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864</w:t>
            </w:r>
          </w:p>
        </w:tc>
      </w:tr>
      <w:tr>
        <w:trPr>
          <w:trHeight w:val="232"/>
        </w:trPr>
        <w:tc>
          <w:tcPr>
            <w:tcW w:w="4520" w:type="dxa"/>
            <w:vAlign w:val="bottom"/>
          </w:tcPr>
          <w:p>
            <w:pPr>
              <w:ind w:left="60"/>
              <w:spacing w:after="0"/>
              <w:rPr>
                <w:sz w:val="20"/>
                <w:szCs w:val="20"/>
                <w:color w:val="auto"/>
              </w:rPr>
            </w:pPr>
            <w:r>
              <w:rPr>
                <w:rFonts w:ascii="Arial" w:cs="Arial" w:eastAsia="Arial" w:hAnsi="Arial"/>
                <w:sz w:val="15"/>
                <w:szCs w:val="15"/>
                <w:b w:val="1"/>
                <w:bCs w:val="1"/>
                <w:color w:val="auto"/>
              </w:rPr>
              <w:t>COST OF GOODS SOLD</w:t>
            </w:r>
          </w:p>
        </w:tc>
        <w:tc>
          <w:tcPr>
            <w:tcW w:w="202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664</w:t>
            </w:r>
          </w:p>
        </w:tc>
      </w:tr>
      <w:tr>
        <w:trPr>
          <w:trHeight w:val="29"/>
        </w:trPr>
        <w:tc>
          <w:tcPr>
            <w:tcW w:w="45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5"/>
        </w:trPr>
        <w:tc>
          <w:tcPr>
            <w:tcW w:w="4520" w:type="dxa"/>
            <w:vAlign w:val="bottom"/>
          </w:tcPr>
          <w:p>
            <w:pPr>
              <w:ind w:left="60"/>
              <w:spacing w:after="0"/>
              <w:rPr>
                <w:sz w:val="20"/>
                <w:szCs w:val="20"/>
                <w:color w:val="auto"/>
              </w:rPr>
            </w:pPr>
            <w:r>
              <w:rPr>
                <w:rFonts w:ascii="Arial" w:cs="Arial" w:eastAsia="Arial" w:hAnsi="Arial"/>
                <w:sz w:val="15"/>
                <w:szCs w:val="15"/>
                <w:b w:val="1"/>
                <w:bCs w:val="1"/>
                <w:color w:val="auto"/>
              </w:rPr>
              <w:t>GROSS PROFIT</w:t>
            </w:r>
          </w:p>
        </w:tc>
        <w:tc>
          <w:tcPr>
            <w:tcW w:w="202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9"/>
        </w:trPr>
        <w:tc>
          <w:tcPr>
            <w:tcW w:w="45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520" w:type="dxa"/>
            <w:vAlign w:val="bottom"/>
          </w:tcPr>
          <w:p>
            <w:pPr>
              <w:ind w:left="60"/>
              <w:spacing w:after="0"/>
              <w:rPr>
                <w:sz w:val="20"/>
                <w:szCs w:val="20"/>
                <w:color w:val="auto"/>
              </w:rPr>
            </w:pPr>
            <w:r>
              <w:rPr>
                <w:rFonts w:ascii="Arial" w:cs="Arial" w:eastAsia="Arial" w:hAnsi="Arial"/>
                <w:sz w:val="15"/>
                <w:szCs w:val="15"/>
                <w:b w:val="1"/>
                <w:bCs w:val="1"/>
                <w:color w:val="auto"/>
              </w:rPr>
              <w:t>EXPENSES</w:t>
            </w:r>
          </w:p>
        </w:tc>
        <w:tc>
          <w:tcPr>
            <w:tcW w:w="20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2"/>
        </w:trPr>
        <w:tc>
          <w:tcPr>
            <w:tcW w:w="452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2020" w:type="dxa"/>
            <w:vAlign w:val="bottom"/>
          </w:tcPr>
          <w:p>
            <w:pPr>
              <w:jc w:val="right"/>
              <w:ind w:right="346"/>
              <w:spacing w:after="0"/>
              <w:rPr>
                <w:sz w:val="20"/>
                <w:szCs w:val="20"/>
                <w:color w:val="auto"/>
              </w:rPr>
            </w:pPr>
            <w:r>
              <w:rPr>
                <w:rFonts w:ascii="Arial" w:cs="Arial" w:eastAsia="Arial" w:hAnsi="Arial"/>
                <w:sz w:val="15"/>
                <w:szCs w:val="15"/>
                <w:b w:val="1"/>
                <w:bCs w:val="1"/>
                <w:color w:val="auto"/>
              </w:rPr>
              <w:t>4,457</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4,213</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14,687</w:t>
            </w:r>
          </w:p>
        </w:tc>
        <w:tc>
          <w:tcPr>
            <w:tcW w:w="1280" w:type="dxa"/>
            <w:vAlign w:val="bottom"/>
          </w:tcPr>
          <w:p>
            <w:pPr>
              <w:jc w:val="right"/>
              <w:spacing w:after="0"/>
              <w:rPr>
                <w:sz w:val="20"/>
                <w:szCs w:val="20"/>
                <w:color w:val="auto"/>
              </w:rPr>
            </w:pPr>
            <w:r>
              <w:rPr>
                <w:rFonts w:ascii="Arial" w:cs="Arial" w:eastAsia="Arial" w:hAnsi="Arial"/>
                <w:sz w:val="15"/>
                <w:szCs w:val="15"/>
                <w:color w:val="auto"/>
              </w:rPr>
              <w:t>7,486</w:t>
            </w:r>
          </w:p>
        </w:tc>
      </w:tr>
      <w:tr>
        <w:trPr>
          <w:trHeight w:val="232"/>
        </w:trPr>
        <w:tc>
          <w:tcPr>
            <w:tcW w:w="4520" w:type="dxa"/>
            <w:vAlign w:val="bottom"/>
          </w:tcPr>
          <w:p>
            <w:pPr>
              <w:ind w:left="200"/>
              <w:spacing w:after="0"/>
              <w:rPr>
                <w:sz w:val="20"/>
                <w:szCs w:val="20"/>
                <w:color w:val="auto"/>
              </w:rPr>
            </w:pPr>
            <w:r>
              <w:rPr>
                <w:rFonts w:ascii="Arial" w:cs="Arial" w:eastAsia="Arial" w:hAnsi="Arial"/>
                <w:sz w:val="15"/>
                <w:szCs w:val="15"/>
                <w:color w:val="auto"/>
              </w:rPr>
              <w:t>General and administrative costs</w:t>
            </w:r>
          </w:p>
        </w:tc>
        <w:tc>
          <w:tcPr>
            <w:tcW w:w="2020" w:type="dxa"/>
            <w:vAlign w:val="bottom"/>
          </w:tcPr>
          <w:p>
            <w:pPr>
              <w:jc w:val="right"/>
              <w:ind w:right="346"/>
              <w:spacing w:after="0"/>
              <w:rPr>
                <w:sz w:val="20"/>
                <w:szCs w:val="20"/>
                <w:color w:val="auto"/>
              </w:rPr>
            </w:pPr>
            <w:r>
              <w:rPr>
                <w:rFonts w:ascii="Arial" w:cs="Arial" w:eastAsia="Arial" w:hAnsi="Arial"/>
                <w:sz w:val="15"/>
                <w:szCs w:val="15"/>
                <w:b w:val="1"/>
                <w:bCs w:val="1"/>
                <w:color w:val="auto"/>
              </w:rPr>
              <w:t>7,035</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6,419</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21,056</w:t>
            </w:r>
          </w:p>
        </w:tc>
        <w:tc>
          <w:tcPr>
            <w:tcW w:w="1280" w:type="dxa"/>
            <w:vAlign w:val="bottom"/>
          </w:tcPr>
          <w:p>
            <w:pPr>
              <w:jc w:val="right"/>
              <w:spacing w:after="0"/>
              <w:rPr>
                <w:sz w:val="20"/>
                <w:szCs w:val="20"/>
                <w:color w:val="auto"/>
              </w:rPr>
            </w:pPr>
            <w:r>
              <w:rPr>
                <w:rFonts w:ascii="Arial" w:cs="Arial" w:eastAsia="Arial" w:hAnsi="Arial"/>
                <w:sz w:val="15"/>
                <w:szCs w:val="15"/>
                <w:color w:val="auto"/>
              </w:rPr>
              <w:t>8,986</w:t>
            </w:r>
          </w:p>
        </w:tc>
      </w:tr>
      <w:tr>
        <w:trPr>
          <w:trHeight w:val="232"/>
        </w:trPr>
        <w:tc>
          <w:tcPr>
            <w:tcW w:w="4520" w:type="dxa"/>
            <w:vAlign w:val="bottom"/>
          </w:tcPr>
          <w:p>
            <w:pPr>
              <w:ind w:left="200"/>
              <w:spacing w:after="0"/>
              <w:rPr>
                <w:sz w:val="20"/>
                <w:szCs w:val="20"/>
                <w:color w:val="auto"/>
              </w:rPr>
            </w:pPr>
            <w:r>
              <w:rPr>
                <w:rFonts w:ascii="Arial" w:cs="Arial" w:eastAsia="Arial" w:hAnsi="Arial"/>
                <w:sz w:val="15"/>
                <w:szCs w:val="15"/>
                <w:color w:val="auto"/>
              </w:rPr>
              <w:t>Research</w:t>
            </w:r>
          </w:p>
        </w:tc>
        <w:tc>
          <w:tcPr>
            <w:tcW w:w="2020" w:type="dxa"/>
            <w:vAlign w:val="bottom"/>
          </w:tcPr>
          <w:p>
            <w:pPr>
              <w:jc w:val="right"/>
              <w:ind w:right="346"/>
              <w:spacing w:after="0"/>
              <w:rPr>
                <w:sz w:val="20"/>
                <w:szCs w:val="20"/>
                <w:color w:val="auto"/>
              </w:rPr>
            </w:pPr>
            <w:r>
              <w:rPr>
                <w:rFonts w:ascii="Arial" w:cs="Arial" w:eastAsia="Arial" w:hAnsi="Arial"/>
                <w:sz w:val="15"/>
                <w:szCs w:val="15"/>
                <w:b w:val="1"/>
                <w:bCs w:val="1"/>
                <w:color w:val="auto"/>
              </w:rPr>
              <w:t>4,963</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747</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11,757</w:t>
            </w:r>
          </w:p>
        </w:tc>
        <w:tc>
          <w:tcPr>
            <w:tcW w:w="1280" w:type="dxa"/>
            <w:vAlign w:val="bottom"/>
          </w:tcPr>
          <w:p>
            <w:pPr>
              <w:jc w:val="right"/>
              <w:spacing w:after="0"/>
              <w:rPr>
                <w:sz w:val="20"/>
                <w:szCs w:val="20"/>
                <w:color w:val="auto"/>
              </w:rPr>
            </w:pPr>
            <w:r>
              <w:rPr>
                <w:rFonts w:ascii="Arial" w:cs="Arial" w:eastAsia="Arial" w:hAnsi="Arial"/>
                <w:sz w:val="15"/>
                <w:szCs w:val="15"/>
                <w:color w:val="auto"/>
              </w:rPr>
              <w:t>1,888</w:t>
            </w:r>
          </w:p>
        </w:tc>
      </w:tr>
      <w:tr>
        <w:trPr>
          <w:trHeight w:val="115"/>
        </w:trPr>
        <w:tc>
          <w:tcPr>
            <w:tcW w:w="45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r>
        <w:trPr>
          <w:trHeight w:val="195"/>
        </w:trPr>
        <w:tc>
          <w:tcPr>
            <w:tcW w:w="4520" w:type="dxa"/>
            <w:vAlign w:val="bottom"/>
          </w:tcPr>
          <w:p>
            <w:pPr>
              <w:ind w:left="60"/>
              <w:spacing w:after="0"/>
              <w:rPr>
                <w:sz w:val="20"/>
                <w:szCs w:val="20"/>
                <w:color w:val="auto"/>
              </w:rPr>
            </w:pPr>
            <w:r>
              <w:rPr>
                <w:rFonts w:ascii="Arial" w:cs="Arial" w:eastAsia="Arial" w:hAnsi="Arial"/>
                <w:sz w:val="15"/>
                <w:szCs w:val="15"/>
                <w:b w:val="1"/>
                <w:bCs w:val="1"/>
                <w:color w:val="auto"/>
              </w:rPr>
              <w:t>TOTAL EXPENSES</w:t>
            </w:r>
          </w:p>
        </w:tc>
        <w:tc>
          <w:tcPr>
            <w:tcW w:w="2020" w:type="dxa"/>
            <w:vAlign w:val="bottom"/>
          </w:tcPr>
          <w:p>
            <w:pPr>
              <w:jc w:val="right"/>
              <w:ind w:right="346"/>
              <w:spacing w:after="0"/>
              <w:rPr>
                <w:sz w:val="20"/>
                <w:szCs w:val="20"/>
                <w:color w:val="auto"/>
              </w:rPr>
            </w:pPr>
            <w:r>
              <w:rPr>
                <w:rFonts w:ascii="Arial" w:cs="Arial" w:eastAsia="Arial" w:hAnsi="Arial"/>
                <w:sz w:val="15"/>
                <w:szCs w:val="15"/>
                <w:b w:val="1"/>
                <w:bCs w:val="1"/>
                <w:color w:val="auto"/>
              </w:rPr>
              <w:t>16,455</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11,379</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47,500</w:t>
            </w:r>
          </w:p>
        </w:tc>
        <w:tc>
          <w:tcPr>
            <w:tcW w:w="1280" w:type="dxa"/>
            <w:vAlign w:val="bottom"/>
          </w:tcPr>
          <w:p>
            <w:pPr>
              <w:jc w:val="right"/>
              <w:spacing w:after="0"/>
              <w:rPr>
                <w:sz w:val="20"/>
                <w:szCs w:val="20"/>
                <w:color w:val="auto"/>
              </w:rPr>
            </w:pPr>
            <w:r>
              <w:rPr>
                <w:rFonts w:ascii="Arial" w:cs="Arial" w:eastAsia="Arial" w:hAnsi="Arial"/>
                <w:sz w:val="15"/>
                <w:szCs w:val="15"/>
                <w:color w:val="auto"/>
              </w:rPr>
              <w:t>18,360</w:t>
            </w:r>
          </w:p>
        </w:tc>
      </w:tr>
      <w:tr>
        <w:trPr>
          <w:trHeight w:val="29"/>
        </w:trPr>
        <w:tc>
          <w:tcPr>
            <w:tcW w:w="45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520" w:type="dxa"/>
            <w:vAlign w:val="bottom"/>
          </w:tcPr>
          <w:p>
            <w:pPr>
              <w:ind w:left="60"/>
              <w:spacing w:after="0"/>
              <w:rPr>
                <w:sz w:val="20"/>
                <w:szCs w:val="20"/>
                <w:color w:val="auto"/>
              </w:rPr>
            </w:pPr>
            <w:r>
              <w:rPr>
                <w:rFonts w:ascii="Arial" w:cs="Arial" w:eastAsia="Arial" w:hAnsi="Arial"/>
                <w:sz w:val="15"/>
                <w:szCs w:val="15"/>
                <w:b w:val="1"/>
                <w:bCs w:val="1"/>
                <w:color w:val="auto"/>
              </w:rPr>
              <w:t>OTHER INCOME (EXPENSES)</w:t>
            </w:r>
          </w:p>
        </w:tc>
        <w:tc>
          <w:tcPr>
            <w:tcW w:w="20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2"/>
        </w:trPr>
        <w:tc>
          <w:tcPr>
            <w:tcW w:w="452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2020" w:type="dxa"/>
            <w:vAlign w:val="bottom"/>
          </w:tcPr>
          <w:p>
            <w:pPr>
              <w:jc w:val="right"/>
              <w:ind w:right="346"/>
              <w:spacing w:after="0"/>
              <w:rPr>
                <w:sz w:val="20"/>
                <w:szCs w:val="20"/>
                <w:color w:val="auto"/>
              </w:rPr>
            </w:pPr>
            <w:r>
              <w:rPr>
                <w:rFonts w:ascii="Arial" w:cs="Arial" w:eastAsia="Arial" w:hAnsi="Arial"/>
                <w:sz w:val="15"/>
                <w:szCs w:val="15"/>
                <w:b w:val="1"/>
                <w:bCs w:val="1"/>
                <w:color w:val="auto"/>
              </w:rPr>
              <w:t>63</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14</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158</w:t>
            </w:r>
          </w:p>
        </w:tc>
        <w:tc>
          <w:tcPr>
            <w:tcW w:w="12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32"/>
        </w:trPr>
        <w:tc>
          <w:tcPr>
            <w:tcW w:w="4520" w:type="dxa"/>
            <w:vAlign w:val="bottom"/>
          </w:tcPr>
          <w:p>
            <w:pPr>
              <w:ind w:left="200"/>
              <w:spacing w:after="0"/>
              <w:rPr>
                <w:sz w:val="20"/>
                <w:szCs w:val="20"/>
                <w:color w:val="auto"/>
              </w:rPr>
            </w:pPr>
            <w:r>
              <w:rPr>
                <w:rFonts w:ascii="Arial" w:cs="Arial" w:eastAsia="Arial" w:hAnsi="Arial"/>
                <w:sz w:val="15"/>
                <w:szCs w:val="15"/>
                <w:color w:val="auto"/>
              </w:rPr>
              <w:t>Accretion on convertible debt</w:t>
            </w:r>
          </w:p>
        </w:tc>
        <w:tc>
          <w:tcPr>
            <w:tcW w:w="202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32"/>
        </w:trPr>
        <w:tc>
          <w:tcPr>
            <w:tcW w:w="4520" w:type="dxa"/>
            <w:vAlign w:val="bottom"/>
          </w:tcPr>
          <w:p>
            <w:pPr>
              <w:ind w:left="260"/>
              <w:spacing w:after="0"/>
              <w:rPr>
                <w:sz w:val="20"/>
                <w:szCs w:val="20"/>
                <w:color w:val="auto"/>
              </w:rPr>
            </w:pPr>
            <w:r>
              <w:rPr>
                <w:rFonts w:ascii="Arial" w:cs="Arial" w:eastAsia="Arial" w:hAnsi="Arial"/>
                <w:sz w:val="15"/>
                <w:szCs w:val="15"/>
                <w:color w:val="auto"/>
              </w:rPr>
              <w:t>Foreign currency translation gain (loss)</w:t>
            </w:r>
          </w:p>
        </w:tc>
        <w:tc>
          <w:tcPr>
            <w:tcW w:w="2020" w:type="dxa"/>
            <w:vAlign w:val="bottom"/>
          </w:tcPr>
          <w:p>
            <w:pPr>
              <w:jc w:val="right"/>
              <w:ind w:right="346"/>
              <w:spacing w:after="0"/>
              <w:rPr>
                <w:sz w:val="20"/>
                <w:szCs w:val="20"/>
                <w:color w:val="auto"/>
              </w:rPr>
            </w:pPr>
            <w:r>
              <w:rPr>
                <w:rFonts w:ascii="Arial" w:cs="Arial" w:eastAsia="Arial" w:hAnsi="Arial"/>
                <w:sz w:val="15"/>
                <w:szCs w:val="15"/>
                <w:b w:val="1"/>
                <w:bCs w:val="1"/>
                <w:color w:val="auto"/>
              </w:rPr>
              <w:t>(64)</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(54)</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42</w:t>
            </w:r>
          </w:p>
        </w:tc>
        <w:tc>
          <w:tcPr>
            <w:tcW w:w="1280" w:type="dxa"/>
            <w:vAlign w:val="bottom"/>
          </w:tcPr>
          <w:p>
            <w:pPr>
              <w:jc w:val="right"/>
              <w:spacing w:after="0"/>
              <w:rPr>
                <w:sz w:val="20"/>
                <w:szCs w:val="20"/>
                <w:color w:val="auto"/>
              </w:rPr>
            </w:pPr>
            <w:r>
              <w:rPr>
                <w:rFonts w:ascii="Arial" w:cs="Arial" w:eastAsia="Arial" w:hAnsi="Arial"/>
                <w:sz w:val="15"/>
                <w:szCs w:val="15"/>
                <w:color w:val="auto"/>
              </w:rPr>
              <w:t>(286)</w:t>
            </w:r>
          </w:p>
        </w:tc>
      </w:tr>
      <w:tr>
        <w:trPr>
          <w:trHeight w:val="232"/>
        </w:trPr>
        <w:tc>
          <w:tcPr>
            <w:tcW w:w="4520" w:type="dxa"/>
            <w:vAlign w:val="bottom"/>
          </w:tcPr>
          <w:p>
            <w:pPr>
              <w:ind w:left="260"/>
              <w:spacing w:after="0"/>
              <w:rPr>
                <w:sz w:val="20"/>
                <w:szCs w:val="20"/>
                <w:color w:val="auto"/>
              </w:rPr>
            </w:pPr>
            <w:r>
              <w:rPr>
                <w:rFonts w:ascii="Arial" w:cs="Arial" w:eastAsia="Arial" w:hAnsi="Arial"/>
                <w:sz w:val="15"/>
                <w:szCs w:val="15"/>
                <w:color w:val="auto"/>
              </w:rPr>
              <w:t>Contingent consideration accretion</w:t>
            </w:r>
          </w:p>
        </w:tc>
        <w:tc>
          <w:tcPr>
            <w:tcW w:w="2020" w:type="dxa"/>
            <w:vAlign w:val="bottom"/>
          </w:tcPr>
          <w:p>
            <w:pPr>
              <w:jc w:val="right"/>
              <w:ind w:right="346"/>
              <w:spacing w:after="0"/>
              <w:rPr>
                <w:sz w:val="20"/>
                <w:szCs w:val="20"/>
                <w:color w:val="auto"/>
              </w:rPr>
            </w:pPr>
            <w:r>
              <w:rPr>
                <w:rFonts w:ascii="Arial" w:cs="Arial" w:eastAsia="Arial" w:hAnsi="Arial"/>
                <w:sz w:val="15"/>
                <w:szCs w:val="15"/>
                <w:b w:val="1"/>
                <w:bCs w:val="1"/>
                <w:color w:val="auto"/>
              </w:rPr>
              <w:t>(59)</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(290)</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4520" w:type="dxa"/>
            <w:vAlign w:val="bottom"/>
          </w:tcPr>
          <w:p>
            <w:pPr>
              <w:ind w:left="240"/>
              <w:spacing w:after="0"/>
              <w:rPr>
                <w:sz w:val="20"/>
                <w:szCs w:val="20"/>
                <w:color w:val="auto"/>
              </w:rPr>
            </w:pPr>
            <w:r>
              <w:rPr>
                <w:rFonts w:ascii="Arial" w:cs="Arial" w:eastAsia="Arial" w:hAnsi="Arial"/>
                <w:sz w:val="15"/>
                <w:szCs w:val="15"/>
                <w:color w:val="auto"/>
              </w:rPr>
              <w:t>Change in fair value of contingent consideration</w:t>
            </w:r>
          </w:p>
        </w:tc>
        <w:tc>
          <w:tcPr>
            <w:tcW w:w="2020" w:type="dxa"/>
            <w:vAlign w:val="bottom"/>
          </w:tcPr>
          <w:p>
            <w:pPr>
              <w:jc w:val="right"/>
              <w:ind w:right="346"/>
              <w:spacing w:after="0"/>
              <w:rPr>
                <w:sz w:val="20"/>
                <w:szCs w:val="20"/>
                <w:color w:val="auto"/>
              </w:rPr>
            </w:pPr>
            <w:r>
              <w:rPr>
                <w:rFonts w:ascii="Arial" w:cs="Arial" w:eastAsia="Arial" w:hAnsi="Arial"/>
                <w:sz w:val="15"/>
                <w:szCs w:val="15"/>
                <w:b w:val="1"/>
                <w:bCs w:val="1"/>
                <w:color w:val="auto"/>
              </w:rPr>
              <w:t>(695)</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(1,944)</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15"/>
        </w:trPr>
        <w:tc>
          <w:tcPr>
            <w:tcW w:w="45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r>
        <w:trPr>
          <w:trHeight w:val="195"/>
        </w:trPr>
        <w:tc>
          <w:tcPr>
            <w:tcW w:w="4520" w:type="dxa"/>
            <w:vAlign w:val="bottom"/>
          </w:tcPr>
          <w:p>
            <w:pPr>
              <w:ind w:left="60"/>
              <w:spacing w:after="0"/>
              <w:rPr>
                <w:sz w:val="20"/>
                <w:szCs w:val="20"/>
                <w:color w:val="auto"/>
              </w:rPr>
            </w:pPr>
            <w:r>
              <w:rPr>
                <w:rFonts w:ascii="Arial" w:cs="Arial" w:eastAsia="Arial" w:hAnsi="Arial"/>
                <w:sz w:val="15"/>
                <w:szCs w:val="15"/>
                <w:b w:val="1"/>
                <w:bCs w:val="1"/>
                <w:color w:val="auto"/>
              </w:rPr>
              <w:t>TOTAL OTHER EXPENSES</w:t>
            </w:r>
          </w:p>
        </w:tc>
        <w:tc>
          <w:tcPr>
            <w:tcW w:w="2020" w:type="dxa"/>
            <w:vAlign w:val="bottom"/>
          </w:tcPr>
          <w:p>
            <w:pPr>
              <w:jc w:val="right"/>
              <w:ind w:right="346"/>
              <w:spacing w:after="0"/>
              <w:rPr>
                <w:sz w:val="20"/>
                <w:szCs w:val="20"/>
                <w:color w:val="auto"/>
              </w:rPr>
            </w:pPr>
            <w:r>
              <w:rPr>
                <w:rFonts w:ascii="Arial" w:cs="Arial" w:eastAsia="Arial" w:hAnsi="Arial"/>
                <w:sz w:val="15"/>
                <w:szCs w:val="15"/>
                <w:b w:val="1"/>
                <w:bCs w:val="1"/>
                <w:color w:val="auto"/>
              </w:rPr>
              <w:t>(755)</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(40)</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(2,034)</w:t>
            </w:r>
          </w:p>
        </w:tc>
        <w:tc>
          <w:tcPr>
            <w:tcW w:w="1280" w:type="dxa"/>
            <w:vAlign w:val="bottom"/>
          </w:tcPr>
          <w:p>
            <w:pPr>
              <w:jc w:val="right"/>
              <w:spacing w:after="0"/>
              <w:rPr>
                <w:sz w:val="20"/>
                <w:szCs w:val="20"/>
                <w:color w:val="auto"/>
              </w:rPr>
            </w:pPr>
            <w:r>
              <w:rPr>
                <w:rFonts w:ascii="Arial" w:cs="Arial" w:eastAsia="Arial" w:hAnsi="Arial"/>
                <w:sz w:val="15"/>
                <w:szCs w:val="15"/>
                <w:color w:val="auto"/>
              </w:rPr>
              <w:t>(282)</w:t>
            </w:r>
          </w:p>
        </w:tc>
      </w:tr>
      <w:tr>
        <w:trPr>
          <w:trHeight w:val="29"/>
        </w:trPr>
        <w:tc>
          <w:tcPr>
            <w:tcW w:w="45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7"/>
        </w:trPr>
        <w:tc>
          <w:tcPr>
            <w:tcW w:w="45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230"/>
        </w:trPr>
        <w:tc>
          <w:tcPr>
            <w:tcW w:w="45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2020" w:type="dxa"/>
            <w:vAlign w:val="bottom"/>
            <w:tcBorders>
              <w:bottom w:val="single" w:sz="8" w:color="D9D9D9"/>
            </w:tcBorders>
            <w:shd w:val="clear" w:color="auto" w:fill="D9D9D9"/>
          </w:tcPr>
          <w:p>
            <w:pPr>
              <w:jc w:val="right"/>
              <w:ind w:right="346"/>
              <w:spacing w:after="0"/>
              <w:rPr>
                <w:sz w:val="20"/>
                <w:szCs w:val="20"/>
                <w:color w:val="auto"/>
              </w:rPr>
            </w:pPr>
            <w:r>
              <w:rPr>
                <w:rFonts w:ascii="Arial" w:cs="Arial" w:eastAsia="Arial" w:hAnsi="Arial"/>
                <w:sz w:val="15"/>
                <w:szCs w:val="15"/>
                <w:b w:val="1"/>
                <w:bCs w:val="1"/>
                <w:color w:val="auto"/>
              </w:rPr>
              <w:t>(17,210)</w:t>
            </w:r>
          </w:p>
        </w:tc>
        <w:tc>
          <w:tcPr>
            <w:tcW w:w="1480" w:type="dxa"/>
            <w:vAlign w:val="bottom"/>
            <w:tcBorders>
              <w:bottom w:val="single" w:sz="8" w:color="D9D9D9"/>
            </w:tcBorders>
            <w:shd w:val="clear" w:color="auto" w:fill="D9D9D9"/>
          </w:tcPr>
          <w:p>
            <w:pPr>
              <w:jc w:val="right"/>
              <w:ind w:right="147"/>
              <w:spacing w:after="0"/>
              <w:rPr>
                <w:sz w:val="20"/>
                <w:szCs w:val="20"/>
                <w:color w:val="auto"/>
              </w:rPr>
            </w:pPr>
            <w:r>
              <w:rPr>
                <w:rFonts w:ascii="Arial" w:cs="Arial" w:eastAsia="Arial" w:hAnsi="Arial"/>
                <w:sz w:val="15"/>
                <w:szCs w:val="15"/>
                <w:color w:val="auto"/>
              </w:rPr>
              <w:t>(11,419)</w:t>
            </w:r>
          </w:p>
        </w:tc>
        <w:tc>
          <w:tcPr>
            <w:tcW w:w="1940" w:type="dxa"/>
            <w:vAlign w:val="bottom"/>
            <w:tcBorders>
              <w:bottom w:val="single" w:sz="8" w:color="D9D9D9"/>
            </w:tcBorders>
            <w:shd w:val="clear" w:color="auto" w:fill="D9D9D9"/>
          </w:tcPr>
          <w:p>
            <w:pPr>
              <w:jc w:val="right"/>
              <w:ind w:right="406"/>
              <w:spacing w:after="0"/>
              <w:rPr>
                <w:sz w:val="20"/>
                <w:szCs w:val="20"/>
                <w:color w:val="auto"/>
              </w:rPr>
            </w:pPr>
            <w:r>
              <w:rPr>
                <w:rFonts w:ascii="Arial" w:cs="Arial" w:eastAsia="Arial" w:hAnsi="Arial"/>
                <w:sz w:val="15"/>
                <w:szCs w:val="15"/>
                <w:b w:val="1"/>
                <w:bCs w:val="1"/>
                <w:color w:val="auto"/>
              </w:rPr>
              <w:t>(49,534)</w:t>
            </w:r>
          </w:p>
        </w:tc>
        <w:tc>
          <w:tcPr>
            <w:tcW w:w="12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5"/>
                <w:szCs w:val="15"/>
                <w:color w:val="auto"/>
              </w:rPr>
              <w:t>(18,442)</w:t>
            </w:r>
          </w:p>
        </w:tc>
      </w:tr>
      <w:tr>
        <w:trPr>
          <w:trHeight w:val="404"/>
        </w:trPr>
        <w:tc>
          <w:tcPr>
            <w:tcW w:w="452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Basic loss per share for the period attributable to common</w:t>
            </w:r>
          </w:p>
        </w:tc>
        <w:tc>
          <w:tcPr>
            <w:tcW w:w="20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195"/>
        </w:trPr>
        <w:tc>
          <w:tcPr>
            <w:tcW w:w="4520" w:type="dxa"/>
            <w:vAlign w:val="bottom"/>
          </w:tcPr>
          <w:p>
            <w:pPr>
              <w:ind w:left="60"/>
              <w:spacing w:after="0"/>
              <w:rPr>
                <w:sz w:val="20"/>
                <w:szCs w:val="20"/>
                <w:color w:val="auto"/>
              </w:rPr>
            </w:pPr>
            <w:r>
              <w:rPr>
                <w:rFonts w:ascii="Arial" w:cs="Arial" w:eastAsia="Arial" w:hAnsi="Arial"/>
                <w:sz w:val="15"/>
                <w:szCs w:val="15"/>
                <w:b w:val="1"/>
                <w:bCs w:val="1"/>
                <w:color w:val="auto"/>
              </w:rPr>
              <w:t>shareholders</w:t>
            </w:r>
          </w:p>
        </w:tc>
        <w:tc>
          <w:tcPr>
            <w:tcW w:w="2020" w:type="dxa"/>
            <w:vAlign w:val="bottom"/>
          </w:tcPr>
          <w:p>
            <w:pPr>
              <w:jc w:val="right"/>
              <w:ind w:right="346"/>
              <w:spacing w:after="0"/>
              <w:rPr>
                <w:sz w:val="20"/>
                <w:szCs w:val="20"/>
                <w:color w:val="auto"/>
              </w:rPr>
            </w:pPr>
            <w:r>
              <w:rPr>
                <w:rFonts w:ascii="Arial" w:cs="Arial" w:eastAsia="Arial" w:hAnsi="Arial"/>
                <w:sz w:val="15"/>
                <w:szCs w:val="15"/>
                <w:b w:val="1"/>
                <w:bCs w:val="1"/>
                <w:color w:val="auto"/>
              </w:rPr>
              <w:t>(0.10)</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(0.10)</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(0.30)</w:t>
            </w:r>
          </w:p>
        </w:tc>
        <w:tc>
          <w:tcPr>
            <w:tcW w:w="1280" w:type="dxa"/>
            <w:vAlign w:val="bottom"/>
          </w:tcPr>
          <w:p>
            <w:pPr>
              <w:jc w:val="right"/>
              <w:spacing w:after="0"/>
              <w:rPr>
                <w:sz w:val="20"/>
                <w:szCs w:val="20"/>
                <w:color w:val="auto"/>
              </w:rPr>
            </w:pPr>
            <w:r>
              <w:rPr>
                <w:rFonts w:ascii="Arial" w:cs="Arial" w:eastAsia="Arial" w:hAnsi="Arial"/>
                <w:sz w:val="15"/>
                <w:szCs w:val="15"/>
                <w:color w:val="auto"/>
              </w:rPr>
              <w:t>(0.24)</w:t>
            </w:r>
          </w:p>
        </w:tc>
      </w:tr>
      <w:tr>
        <w:trPr>
          <w:trHeight w:val="29"/>
        </w:trPr>
        <w:tc>
          <w:tcPr>
            <w:tcW w:w="45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4520" w:type="dxa"/>
            <w:vAlign w:val="bottom"/>
          </w:tcPr>
          <w:p>
            <w:pPr>
              <w:ind w:left="60"/>
              <w:spacing w:after="0"/>
              <w:rPr>
                <w:sz w:val="20"/>
                <w:szCs w:val="20"/>
                <w:color w:val="auto"/>
              </w:rPr>
            </w:pPr>
            <w:r>
              <w:rPr>
                <w:rFonts w:ascii="Arial" w:cs="Arial" w:eastAsia="Arial" w:hAnsi="Arial"/>
                <w:sz w:val="15"/>
                <w:szCs w:val="15"/>
                <w:b w:val="1"/>
                <w:bCs w:val="1"/>
                <w:color w:val="auto"/>
              </w:rPr>
              <w:t>Weighted average number of common shares outstanding -</w:t>
            </w:r>
          </w:p>
        </w:tc>
        <w:tc>
          <w:tcPr>
            <w:tcW w:w="2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5"/>
        </w:trPr>
        <w:tc>
          <w:tcPr>
            <w:tcW w:w="4520" w:type="dxa"/>
            <w:vAlign w:val="bottom"/>
          </w:tcPr>
          <w:p>
            <w:pPr>
              <w:ind w:left="60"/>
              <w:spacing w:after="0"/>
              <w:rPr>
                <w:sz w:val="20"/>
                <w:szCs w:val="20"/>
                <w:color w:val="auto"/>
              </w:rPr>
            </w:pPr>
            <w:r>
              <w:rPr>
                <w:rFonts w:ascii="Arial" w:cs="Arial" w:eastAsia="Arial" w:hAnsi="Arial"/>
                <w:sz w:val="15"/>
                <w:szCs w:val="15"/>
                <w:b w:val="1"/>
                <w:bCs w:val="1"/>
                <w:color w:val="auto"/>
              </w:rPr>
              <w:t>basic</w:t>
            </w:r>
          </w:p>
        </w:tc>
        <w:tc>
          <w:tcPr>
            <w:tcW w:w="2020" w:type="dxa"/>
            <w:vAlign w:val="bottom"/>
          </w:tcPr>
          <w:p>
            <w:pPr>
              <w:jc w:val="right"/>
              <w:ind w:right="346"/>
              <w:spacing w:after="0"/>
              <w:rPr>
                <w:sz w:val="20"/>
                <w:szCs w:val="20"/>
                <w:color w:val="auto"/>
              </w:rPr>
            </w:pPr>
            <w:r>
              <w:rPr>
                <w:rFonts w:ascii="Arial" w:cs="Arial" w:eastAsia="Arial" w:hAnsi="Arial"/>
                <w:sz w:val="15"/>
                <w:szCs w:val="15"/>
                <w:b w:val="1"/>
                <w:bCs w:val="1"/>
                <w:color w:val="auto"/>
              </w:rPr>
              <w:t>171,833,544</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110,223,000</w:t>
            </w:r>
          </w:p>
        </w:tc>
        <w:tc>
          <w:tcPr>
            <w:tcW w:w="1940" w:type="dxa"/>
            <w:vAlign w:val="bottom"/>
          </w:tcPr>
          <w:p>
            <w:pPr>
              <w:jc w:val="right"/>
              <w:ind w:right="406"/>
              <w:spacing w:after="0"/>
              <w:rPr>
                <w:sz w:val="20"/>
                <w:szCs w:val="20"/>
                <w:color w:val="auto"/>
              </w:rPr>
            </w:pPr>
            <w:r>
              <w:rPr>
                <w:rFonts w:ascii="Arial" w:cs="Arial" w:eastAsia="Arial" w:hAnsi="Arial"/>
                <w:sz w:val="15"/>
                <w:szCs w:val="15"/>
                <w:b w:val="1"/>
                <w:bCs w:val="1"/>
                <w:color w:val="auto"/>
              </w:rPr>
              <w:t>165,130,598</w:t>
            </w:r>
          </w:p>
        </w:tc>
        <w:tc>
          <w:tcPr>
            <w:tcW w:w="1280" w:type="dxa"/>
            <w:vAlign w:val="bottom"/>
          </w:tcPr>
          <w:p>
            <w:pPr>
              <w:jc w:val="right"/>
              <w:spacing w:after="0"/>
              <w:rPr>
                <w:sz w:val="20"/>
                <w:szCs w:val="20"/>
                <w:color w:val="auto"/>
              </w:rPr>
            </w:pPr>
            <w:r>
              <w:rPr>
                <w:rFonts w:ascii="Arial" w:cs="Arial" w:eastAsia="Arial" w:hAnsi="Arial"/>
                <w:sz w:val="15"/>
                <w:szCs w:val="15"/>
                <w:color w:val="auto"/>
              </w:rPr>
              <w:t>75,838,000</w:t>
            </w:r>
          </w:p>
        </w:tc>
      </w:tr>
      <w:tr>
        <w:trPr>
          <w:trHeight w:val="29"/>
        </w:trPr>
        <w:tc>
          <w:tcPr>
            <w:tcW w:w="45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7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710" w:right="339" w:bottom="1440" w:gutter="0" w:footer="0" w:header="0"/>
          <w:type w:val="continuous"/>
        </w:sectPr>
      </w:pPr>
    </w:p>
    <w:bookmarkStart w:id="64" w:name="page65"/>
    <w:bookmarkEnd w:id="64"/>
    <w:p>
      <w:pPr>
        <w:jc w:val="both"/>
        <w:ind w:right="20"/>
        <w:spacing w:after="0" w:line="265" w:lineRule="auto"/>
        <w:rPr>
          <w:sz w:val="20"/>
          <w:szCs w:val="20"/>
          <w:color w:val="auto"/>
        </w:rPr>
      </w:pPr>
      <w:r>
        <w:rPr>
          <w:rFonts w:ascii="Arial" w:cs="Arial" w:eastAsia="Arial" w:hAnsi="Arial"/>
          <w:sz w:val="17"/>
          <w:szCs w:val="17"/>
          <w:color w:val="auto"/>
        </w:rPr>
        <w:t>For the three and nine-month periods ended December 31, 2021, Cybin incurred a net loss $17,210 and $49,534, respectively, compared to a net loss of $11,419 and $18,442 during the same periods in prior year. During the three and nine month periods, the Company focused on progressing its various research programs and raising awareness of the Company and its industry. In August, the Company completed a public offering for aggregate gross proceeds of $34,502. During the quarter, the Company announced positive CYB003 data demonstrating significant advantages over oral psilocybin for the potential treatment of mental health and has been prioritizing the progression of this program.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For the three-month period ended December 31, 2021, operating expenses totaled $16,455. The operating expenses include a non-cash component of $4,457 (2020 - $4,213) related to share-based compensation.</w:t>
      </w:r>
    </w:p>
    <w:p>
      <w:pPr>
        <w:spacing w:after="0" w:line="15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For the nine-month period ended December 31, 2021, operating expenses totaled $47,500. The operating expenses include a non-cash component of $14,687 (2020 - $7,486) related to share-based compensation.</w:t>
      </w:r>
    </w:p>
    <w:p>
      <w:pPr>
        <w:spacing w:after="0" w:line="17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For both the three and nine-month periods ended December 31, 2021, the remaining operating expenses were incurred to support raising capital, research &amp; development and the overall development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0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During the three-month period ended December 31, 2021, Cybin issued warrants and options incurring share-based payment expense of $4,457 compared to $4,213 during the same period in prior year.</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During the nine-month period ended December 31, 2021, Cybin issued warrants and options incurring share-based payment expense of $14,687 compared to $7,486 during the same period in prior year mainly as a result of the growth of the Company.</w:t>
      </w:r>
    </w:p>
    <w:p>
      <w:pPr>
        <w:spacing w:after="0" w:line="17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share-based compensation expense was recorded based on the fair value using a Black Scholes Model. On exercise of these warrants and options the equity reserve balances will move to share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administration costs</w:t>
      </w:r>
    </w:p>
    <w:p>
      <w:pPr>
        <w:spacing w:after="0" w:line="20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For the three-month period ended December 31, 2021, general and administrative expenses were $7,035 compared to $6,419 during the same period in prior year. General and administrative expense for the three-month period are comprised of capital market expenses of $2,170 (2020 - $382), payroll related expenses of $1,275 (2020 - $1,298), office and administration expenses of $1,299 (2020 - $281), professional and consulting fees of $680 (2020 – $1,920), business development expenses of $614 (2020 - nil), investor relation expenses of $578 (2020 - $620), marketing media fees of $399 (2020 - $207), and listing fees of $20 (2020 – $1,711).</w:t>
      </w:r>
    </w:p>
    <w:p>
      <w:pPr>
        <w:spacing w:after="0" w:line="17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For the nine-month period ended December 31, 2021, general and administrative expenses were $21,056 compared to $8,986 during the same period in prior year. General and administrative expense for the nine-month period are comprised of capital market expenses of $5,362 (2020 - $433), payroll related expenses of $4,848 (2020 - $2,157), office and administration expenses of $3,208 (2020 - $414), professional and consulting fees of $2,473 (2020 – $2,814), business development expenses of $2,046 (2020 - nil), investor relation expenses of $1,608 (2020 - $801), marketing media fees of $1,154 (2020 - $511), and listing fees of $357 (2020 – $1,856).</w:t>
      </w:r>
    </w:p>
    <w:p>
      <w:pPr>
        <w:spacing w:after="0" w:line="207"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For both the three and nine-month periods ended December 31, 2021, the overall increase in general and administrative expenses relates to the overall growth of the Company as it continues to develop the business and promote awareness of the psychedelic industry. The Company has incurred some additional marketing expenses it considers a one time event as it continues to raise awareness of the Company and its industry. The Company expects these expenses to decrease during calendar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w:t>
      </w:r>
    </w:p>
    <w:p>
      <w:pPr>
        <w:spacing w:after="0" w:line="20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For the three-month period ended December 31, 2021, the Company’s research expenses totaled $4,963 compared to $747 during the same period in prior year.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60"/>
          </w:cols>
          <w:pgMar w:left="320" w:top="710" w:right="319" w:bottom="1440" w:gutter="0" w:footer="0" w:header="0"/>
        </w:sectPr>
      </w:pPr>
    </w:p>
    <w:bookmarkStart w:id="65" w:name="page66"/>
    <w:bookmarkEnd w:id="65"/>
    <w:p>
      <w:pPr>
        <w:jc w:val="both"/>
        <w:ind w:right="20"/>
        <w:spacing w:after="0" w:line="267" w:lineRule="auto"/>
        <w:rPr>
          <w:sz w:val="20"/>
          <w:szCs w:val="20"/>
          <w:color w:val="auto"/>
        </w:rPr>
      </w:pPr>
      <w:r>
        <w:rPr>
          <w:rFonts w:ascii="Arial" w:cs="Arial" w:eastAsia="Arial" w:hAnsi="Arial"/>
          <w:sz w:val="18"/>
          <w:szCs w:val="18"/>
          <w:color w:val="auto"/>
        </w:rPr>
        <w:t>For the nine-month period ended December 31, 2021, the Company’s research expenses totaled $11,757 compared to $1,888 during the same period in prior year.</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research expenses relate to the advancement of the initial research and preliminary testing of future products. The increase in the research expense is also explained by growth in the scientific team and as well as product development and onboarding laboratories in preparation for testing. Cybin’s research and development team has completed over 90 in-vitro and in-vivo evaluations of Cybin’s expanding portfolio of psychedelic compounds being designed for potential therapeutic applications for several mental health conditions. To date, more than 50 novel compounds have been evaluated through collaborations with experienced contract research organizations for pharmacokinetic/pharmacodynamic profile, metabolic stability, receptor binding, and safety in order to identify preferred candidates for further development.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gain (loss)</w:t>
      </w:r>
    </w:p>
    <w:p>
      <w:pPr>
        <w:spacing w:after="0" w:line="201"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For the three-month period ended December 31, 2021, the Company incurred a foreign currency translation loss from operations and revaluation of balance sheet assets held in U.S. dollars of $64. The U.S. dollar decreased $0.0063 from $1.2741 on September 30, 2021 to $1.2678 on December 31, 2021.</w:t>
      </w:r>
    </w:p>
    <w:p>
      <w:pPr>
        <w:spacing w:after="0" w:line="106"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For the nine-month period ended December 31, 2021, the Company incurred a foreign currency translation gain from operations and revaluation of balance sheet assets held in U.S. dollars of $42. The U.S. dollar increased $0.0103 from $1.2575 on March 31, 2021 to $1.2678 on December 31,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liability accretion</w:t>
      </w:r>
    </w:p>
    <w:p>
      <w:pPr>
        <w:spacing w:after="0" w:line="20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For the three-month period ended December 31, 2021, the Company recorded an accretion expense of $59, and for the nine-month period ended December 31, 2021, the Company recorded an accretion expense of $290, related to commitments to the former shareholders of Adelia based on milestone achievements (see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contingent consideration</w:t>
      </w:r>
    </w:p>
    <w:p>
      <w:pPr>
        <w:spacing w:after="0" w:line="22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For the three-month period ended December 31, 2021, the Company recorded a change in fair value of $695 related to the achievement of certain milestones in connection with the Adelia Transaction (see “Acquisitions”). The amount recorded represents the difference between the fair value of the contingent consideration determined as at September 30, 2021 and the fair value on December 31, 2021.</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nine-month period ended December 31, 2021, the Company recorded a change in fair value of $1,944 related to the achievement of certain milestones in connection with the Adelia Transaction (see “Acquisitions”). The amount recorded represents the difference between the fair value of the contingent consideration determined as at March 31, 2021 and the fair value on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w:t>
      </w:r>
    </w:p>
    <w:p>
      <w:pPr>
        <w:spacing w:after="0" w:line="188"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On March 11, 2020, the World Health Organization declared the outbreak of COVID-19 a pandemic. Since the outbreak of COVID-19, the Company has focused its efforts on safeguarding the health and well-being of its employees, consultants and community members. To help slow the spread of COVID-19, the Company’s employees have been working remotely, where possible, and abiding by local and national guidance put in place in Canada, the United States, and the UK related to social distancing and restrictions on travel outside of the home. The Company has and will continue to abide by the protocols within Canada, the United States, and the UK regarding the performance of work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320" w:top="710"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Impact on the Company</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and nine-month periods ended December 31, 2021, the Company has not experienced any material negative effect on its financial position as a result of COVID-19. Certain operating expenses of the Company, such as those relating to travel and office expenses, have been less than they would have been without the restrictions relating to COVID-19.</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duration and the eventual impact of the COVID-19 pandemic remains unknown. In particular, it is not possible to reliably estimate the length and severity of these developments and the impact on the financial results and condition of the Company. To date, a number of businesses have suspended or scaled back their operations and development as cases of COVID-19 have been confirmed, for precautionary purposes or as governments have declared a state of emergency or taken other actions. In the event that the operations or development of the Company are suspended or scaled back, or if the Company’s supply chains are disrupted, such events may have a material adverse effect on the Company. The Company may also experience delays in operation of its clinical trials due to slower administrative processes and response times, delayed patient recruitments, and delayed governmental approvals of import and export requests caused by the COVID-19 pandemic and the related restrictions. The breadth of the impact of the COVID-19 pandemic on investors, businesses, the global economy and financial and commodity markets may also have a material adverse effect on the Company.</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raised capital pursuant to the February 2021 Prospectus and July 2021 Prospectus to continue to support its strategic plan.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Capital Resources and Cash Flows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6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Arial" w:cs="Arial" w:eastAsia="Arial" w:hAnsi="Arial"/>
                <w:sz w:val="15"/>
                <w:szCs w:val="15"/>
                <w:b w:val="1"/>
                <w:bCs w:val="1"/>
                <w:color w:val="auto"/>
              </w:rPr>
              <w:t>Nine Months ended</w:t>
            </w: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5"/>
        </w:trPr>
        <w:tc>
          <w:tcPr>
            <w:tcW w:w="3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w w:val="96"/>
              </w:rPr>
              <w:t>December 31,</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w w:val="96"/>
              </w:rPr>
              <w:t>December 31,</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9"/>
        </w:trPr>
        <w:tc>
          <w:tcPr>
            <w:tcW w:w="3860" w:type="dxa"/>
            <w:vAlign w:val="bottom"/>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980" w:type="dxa"/>
            <w:vAlign w:val="bottom"/>
            <w:tcBorders>
              <w:bottom w:val="single" w:sz="8" w:color="929292"/>
            </w:tcBorders>
          </w:tcPr>
          <w:p>
            <w:pPr>
              <w:spacing w:after="0"/>
              <w:rPr>
                <w:sz w:val="2"/>
                <w:szCs w:val="2"/>
                <w:color w:val="auto"/>
              </w:rPr>
            </w:pPr>
          </w:p>
        </w:tc>
        <w:tc>
          <w:tcPr>
            <w:tcW w:w="1200" w:type="dxa"/>
            <w:vAlign w:val="bottom"/>
            <w:tcBorders>
              <w:bottom w:val="single" w:sz="8" w:color="929292"/>
            </w:tcBorders>
          </w:tcPr>
          <w:p>
            <w:pPr>
              <w:spacing w:after="0"/>
              <w:rPr>
                <w:sz w:val="2"/>
                <w:szCs w:val="2"/>
                <w:color w:val="auto"/>
              </w:rPr>
            </w:pPr>
          </w:p>
        </w:tc>
        <w:tc>
          <w:tcPr>
            <w:tcW w:w="420" w:type="dxa"/>
            <w:vAlign w:val="bottom"/>
            <w:tcBorders>
              <w:bottom w:val="single" w:sz="8" w:color="929292"/>
            </w:tcBorders>
          </w:tcPr>
          <w:p>
            <w:pPr>
              <w:spacing w:after="0"/>
              <w:rPr>
                <w:sz w:val="2"/>
                <w:szCs w:val="2"/>
                <w:color w:val="auto"/>
              </w:rPr>
            </w:pPr>
          </w:p>
        </w:tc>
        <w:tc>
          <w:tcPr>
            <w:tcW w:w="16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980" w:type="dxa"/>
            <w:vAlign w:val="bottom"/>
            <w:tcBorders>
              <w:bottom w:val="single" w:sz="8" w:color="929292"/>
            </w:tcBorders>
          </w:tcPr>
          <w:p>
            <w:pPr>
              <w:spacing w:after="0"/>
              <w:rPr>
                <w:sz w:val="2"/>
                <w:szCs w:val="2"/>
                <w:color w:val="auto"/>
              </w:rPr>
            </w:pPr>
          </w:p>
        </w:tc>
        <w:tc>
          <w:tcPr>
            <w:tcW w:w="1200" w:type="dxa"/>
            <w:vAlign w:val="bottom"/>
            <w:tcBorders>
              <w:bottom w:val="single" w:sz="8" w:color="929292"/>
            </w:tcBorders>
          </w:tcPr>
          <w:p>
            <w:pPr>
              <w:spacing w:after="0"/>
              <w:rPr>
                <w:sz w:val="2"/>
                <w:szCs w:val="2"/>
                <w:color w:val="auto"/>
              </w:rPr>
            </w:pPr>
          </w:p>
        </w:tc>
        <w:tc>
          <w:tcPr>
            <w:tcW w:w="460" w:type="dxa"/>
            <w:vAlign w:val="bottom"/>
            <w:tcBorders>
              <w:bottom w:val="single" w:sz="8" w:color="929292"/>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r>
      <w:tr>
        <w:trPr>
          <w:trHeight w:val="195"/>
        </w:trPr>
        <w:tc>
          <w:tcPr>
            <w:tcW w:w="3860" w:type="dxa"/>
            <w:vAlign w:val="bottom"/>
          </w:tcPr>
          <w:p>
            <w:pPr>
              <w:ind w:left="20"/>
              <w:spacing w:after="0"/>
              <w:rPr>
                <w:sz w:val="20"/>
                <w:szCs w:val="20"/>
                <w:color w:val="auto"/>
              </w:rPr>
            </w:pPr>
            <w:r>
              <w:rPr>
                <w:rFonts w:ascii="Arial" w:cs="Arial" w:eastAsia="Arial" w:hAnsi="Arial"/>
                <w:sz w:val="15"/>
                <w:szCs w:val="15"/>
                <w:i w:val="1"/>
                <w:iCs w:val="1"/>
                <w:color w:val="auto"/>
              </w:rPr>
              <w:t>(Canadian dollars in thousands)</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2021</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2020</w:t>
            </w:r>
          </w:p>
        </w:tc>
        <w:tc>
          <w:tcPr>
            <w:tcW w:w="1200" w:type="dxa"/>
            <w:vAlign w:val="bottom"/>
          </w:tcPr>
          <w:p>
            <w:pPr>
              <w:jc w:val="right"/>
              <w:ind w:right="667"/>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jc w:val="right"/>
              <w:ind w:right="187"/>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2021</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2020</w:t>
            </w:r>
          </w:p>
        </w:tc>
        <w:tc>
          <w:tcPr>
            <w:tcW w:w="1200" w:type="dxa"/>
            <w:vAlign w:val="bottom"/>
          </w:tcPr>
          <w:p>
            <w:pPr>
              <w:jc w:val="right"/>
              <w:ind w:right="667"/>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jc w:val="right"/>
              <w:ind w:right="207"/>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r>
      <w:tr>
        <w:trPr>
          <w:trHeight w:val="29"/>
        </w:trPr>
        <w:tc>
          <w:tcPr>
            <w:tcW w:w="3860" w:type="dxa"/>
            <w:vAlign w:val="bottom"/>
            <w:tcBorders>
              <w:bottom w:val="single" w:sz="8" w:color="B6B6B6"/>
            </w:tcBorders>
          </w:tcPr>
          <w:p>
            <w:pPr>
              <w:spacing w:after="0"/>
              <w:rPr>
                <w:sz w:val="2"/>
                <w:szCs w:val="2"/>
                <w:color w:val="auto"/>
              </w:rPr>
            </w:pPr>
          </w:p>
        </w:tc>
        <w:tc>
          <w:tcPr>
            <w:tcW w:w="920" w:type="dxa"/>
            <w:vAlign w:val="bottom"/>
            <w:tcBorders>
              <w:bottom w:val="single" w:sz="8" w:color="B6B6B6"/>
            </w:tcBorders>
          </w:tcPr>
          <w:p>
            <w:pPr>
              <w:spacing w:after="0"/>
              <w:rPr>
                <w:sz w:val="2"/>
                <w:szCs w:val="2"/>
                <w:color w:val="auto"/>
              </w:rPr>
            </w:pPr>
          </w:p>
        </w:tc>
        <w:tc>
          <w:tcPr>
            <w:tcW w:w="980" w:type="dxa"/>
            <w:vAlign w:val="bottom"/>
            <w:tcBorders>
              <w:bottom w:val="single" w:sz="8" w:color="B6B6B6"/>
            </w:tcBorders>
          </w:tcPr>
          <w:p>
            <w:pPr>
              <w:spacing w:after="0"/>
              <w:rPr>
                <w:sz w:val="2"/>
                <w:szCs w:val="2"/>
                <w:color w:val="auto"/>
              </w:rPr>
            </w:pPr>
          </w:p>
        </w:tc>
        <w:tc>
          <w:tcPr>
            <w:tcW w:w="1200" w:type="dxa"/>
            <w:vAlign w:val="bottom"/>
            <w:tcBorders>
              <w:bottom w:val="single" w:sz="8" w:color="B6B6B6"/>
            </w:tcBorders>
          </w:tcPr>
          <w:p>
            <w:pPr>
              <w:spacing w:after="0"/>
              <w:rPr>
                <w:sz w:val="2"/>
                <w:szCs w:val="2"/>
                <w:color w:val="auto"/>
              </w:rPr>
            </w:pPr>
          </w:p>
        </w:tc>
        <w:tc>
          <w:tcPr>
            <w:tcW w:w="420" w:type="dxa"/>
            <w:vAlign w:val="bottom"/>
            <w:tcBorders>
              <w:bottom w:val="single" w:sz="8" w:color="B6B6B6"/>
            </w:tcBorders>
          </w:tcPr>
          <w:p>
            <w:pPr>
              <w:spacing w:after="0"/>
              <w:rPr>
                <w:sz w:val="2"/>
                <w:szCs w:val="2"/>
                <w:color w:val="auto"/>
              </w:rPr>
            </w:pPr>
          </w:p>
        </w:tc>
        <w:tc>
          <w:tcPr>
            <w:tcW w:w="160" w:type="dxa"/>
            <w:vAlign w:val="bottom"/>
            <w:tcBorders>
              <w:bottom w:val="single" w:sz="8" w:color="B6B6B6"/>
            </w:tcBorders>
          </w:tcPr>
          <w:p>
            <w:pPr>
              <w:spacing w:after="0"/>
              <w:rPr>
                <w:sz w:val="2"/>
                <w:szCs w:val="2"/>
                <w:color w:val="auto"/>
              </w:rPr>
            </w:pPr>
          </w:p>
        </w:tc>
        <w:tc>
          <w:tcPr>
            <w:tcW w:w="920" w:type="dxa"/>
            <w:vAlign w:val="bottom"/>
            <w:tcBorders>
              <w:bottom w:val="single" w:sz="8" w:color="B6B6B6"/>
            </w:tcBorders>
          </w:tcPr>
          <w:p>
            <w:pPr>
              <w:spacing w:after="0"/>
              <w:rPr>
                <w:sz w:val="2"/>
                <w:szCs w:val="2"/>
                <w:color w:val="auto"/>
              </w:rPr>
            </w:pPr>
          </w:p>
        </w:tc>
        <w:tc>
          <w:tcPr>
            <w:tcW w:w="980" w:type="dxa"/>
            <w:vAlign w:val="bottom"/>
            <w:tcBorders>
              <w:bottom w:val="single" w:sz="8" w:color="B6B6B6"/>
            </w:tcBorders>
          </w:tcPr>
          <w:p>
            <w:pPr>
              <w:spacing w:after="0"/>
              <w:rPr>
                <w:sz w:val="2"/>
                <w:szCs w:val="2"/>
                <w:color w:val="auto"/>
              </w:rPr>
            </w:pPr>
          </w:p>
        </w:tc>
        <w:tc>
          <w:tcPr>
            <w:tcW w:w="1200" w:type="dxa"/>
            <w:vAlign w:val="bottom"/>
            <w:tcBorders>
              <w:bottom w:val="single" w:sz="8" w:color="B6B6B6"/>
            </w:tcBorders>
          </w:tcPr>
          <w:p>
            <w:pPr>
              <w:spacing w:after="0"/>
              <w:rPr>
                <w:sz w:val="2"/>
                <w:szCs w:val="2"/>
                <w:color w:val="auto"/>
              </w:rPr>
            </w:pPr>
          </w:p>
        </w:tc>
        <w:tc>
          <w:tcPr>
            <w:tcW w:w="460" w:type="dxa"/>
            <w:vAlign w:val="bottom"/>
            <w:tcBorders>
              <w:bottom w:val="single" w:sz="8" w:color="B6B6B6"/>
            </w:tcBorders>
          </w:tcPr>
          <w:p>
            <w:pPr>
              <w:spacing w:after="0"/>
              <w:rPr>
                <w:sz w:val="2"/>
                <w:szCs w:val="2"/>
                <w:color w:val="auto"/>
              </w:rPr>
            </w:pPr>
          </w:p>
        </w:tc>
        <w:tc>
          <w:tcPr>
            <w:tcW w:w="140" w:type="dxa"/>
            <w:vAlign w:val="bottom"/>
            <w:tcBorders>
              <w:bottom w:val="single" w:sz="8" w:color="B6B6B6"/>
            </w:tcBorders>
          </w:tcPr>
          <w:p>
            <w:pPr>
              <w:spacing w:after="0"/>
              <w:rPr>
                <w:sz w:val="2"/>
                <w:szCs w:val="2"/>
                <w:color w:val="auto"/>
              </w:rPr>
            </w:pPr>
          </w:p>
        </w:tc>
      </w:tr>
      <w:tr>
        <w:trPr>
          <w:trHeight w:val="195"/>
        </w:trPr>
        <w:tc>
          <w:tcPr>
            <w:tcW w:w="3860" w:type="dxa"/>
            <w:vAlign w:val="bottom"/>
          </w:tcPr>
          <w:p>
            <w:pPr>
              <w:ind w:left="20"/>
              <w:spacing w:after="0"/>
              <w:rPr>
                <w:sz w:val="20"/>
                <w:szCs w:val="20"/>
                <w:color w:val="auto"/>
              </w:rPr>
            </w:pPr>
            <w:r>
              <w:rPr>
                <w:rFonts w:ascii="Arial" w:cs="Arial" w:eastAsia="Arial" w:hAnsi="Arial"/>
                <w:sz w:val="15"/>
                <w:szCs w:val="15"/>
                <w:color w:val="auto"/>
              </w:rPr>
              <w:t>Net cash used in operating activities</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(12,814)</w:t>
            </w:r>
          </w:p>
        </w:tc>
        <w:tc>
          <w:tcPr>
            <w:tcW w:w="980" w:type="dxa"/>
            <w:vAlign w:val="bottom"/>
          </w:tcPr>
          <w:p>
            <w:pPr>
              <w:jc w:val="right"/>
              <w:spacing w:after="0"/>
              <w:rPr>
                <w:sz w:val="20"/>
                <w:szCs w:val="20"/>
                <w:color w:val="auto"/>
              </w:rPr>
            </w:pPr>
            <w:r>
              <w:rPr>
                <w:rFonts w:ascii="Arial" w:cs="Arial" w:eastAsia="Arial" w:hAnsi="Arial"/>
                <w:sz w:val="15"/>
                <w:szCs w:val="15"/>
                <w:color w:val="auto"/>
              </w:rPr>
              <w:t>(8,490)</w:t>
            </w:r>
          </w:p>
        </w:tc>
        <w:tc>
          <w:tcPr>
            <w:tcW w:w="1200" w:type="dxa"/>
            <w:vAlign w:val="bottom"/>
            <w:shd w:val="clear" w:color="auto" w:fill="DBDBDB"/>
          </w:tcPr>
          <w:p>
            <w:pPr>
              <w:jc w:val="right"/>
              <w:ind w:right="327"/>
              <w:spacing w:after="0"/>
              <w:rPr>
                <w:sz w:val="20"/>
                <w:szCs w:val="20"/>
                <w:color w:val="auto"/>
              </w:rPr>
            </w:pPr>
            <w:r>
              <w:rPr>
                <w:rFonts w:ascii="Arial" w:cs="Arial" w:eastAsia="Arial" w:hAnsi="Arial"/>
                <w:sz w:val="15"/>
                <w:szCs w:val="15"/>
                <w:color w:val="auto"/>
              </w:rPr>
              <w:t>(4,324)</w:t>
            </w:r>
          </w:p>
        </w:tc>
        <w:tc>
          <w:tcPr>
            <w:tcW w:w="58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51 %</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(35,486)</w:t>
            </w:r>
          </w:p>
        </w:tc>
        <w:tc>
          <w:tcPr>
            <w:tcW w:w="980" w:type="dxa"/>
            <w:vAlign w:val="bottom"/>
          </w:tcPr>
          <w:p>
            <w:pPr>
              <w:jc w:val="right"/>
              <w:spacing w:after="0"/>
              <w:rPr>
                <w:sz w:val="20"/>
                <w:szCs w:val="20"/>
                <w:color w:val="auto"/>
              </w:rPr>
            </w:pPr>
            <w:r>
              <w:rPr>
                <w:rFonts w:ascii="Arial" w:cs="Arial" w:eastAsia="Arial" w:hAnsi="Arial"/>
                <w:sz w:val="15"/>
                <w:szCs w:val="15"/>
                <w:color w:val="auto"/>
              </w:rPr>
              <w:t>(12,458)</w:t>
            </w:r>
          </w:p>
        </w:tc>
        <w:tc>
          <w:tcPr>
            <w:tcW w:w="1200" w:type="dxa"/>
            <w:vAlign w:val="bottom"/>
            <w:shd w:val="clear" w:color="auto" w:fill="DBDBDB"/>
          </w:tcPr>
          <w:p>
            <w:pPr>
              <w:jc w:val="right"/>
              <w:ind w:right="327"/>
              <w:spacing w:after="0"/>
              <w:rPr>
                <w:sz w:val="20"/>
                <w:szCs w:val="20"/>
                <w:color w:val="auto"/>
              </w:rPr>
            </w:pPr>
            <w:r>
              <w:rPr>
                <w:rFonts w:ascii="Arial" w:cs="Arial" w:eastAsia="Arial" w:hAnsi="Arial"/>
                <w:sz w:val="15"/>
                <w:szCs w:val="15"/>
                <w:color w:val="auto"/>
              </w:rPr>
              <w:t>(23,028)</w:t>
            </w:r>
          </w:p>
        </w:tc>
        <w:tc>
          <w:tcPr>
            <w:tcW w:w="6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185 %</w:t>
            </w:r>
          </w:p>
        </w:tc>
      </w:tr>
      <w:tr>
        <w:trPr>
          <w:trHeight w:val="232"/>
        </w:trPr>
        <w:tc>
          <w:tcPr>
            <w:tcW w:w="386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(166)</w:t>
            </w:r>
          </w:p>
        </w:tc>
        <w:tc>
          <w:tcPr>
            <w:tcW w:w="980" w:type="dxa"/>
            <w:vAlign w:val="bottom"/>
          </w:tcPr>
          <w:p>
            <w:pPr>
              <w:jc w:val="right"/>
              <w:spacing w:after="0"/>
              <w:rPr>
                <w:sz w:val="20"/>
                <w:szCs w:val="20"/>
                <w:color w:val="auto"/>
              </w:rPr>
            </w:pPr>
            <w:r>
              <w:rPr>
                <w:rFonts w:ascii="Arial" w:cs="Arial" w:eastAsia="Arial" w:hAnsi="Arial"/>
                <w:sz w:val="15"/>
                <w:szCs w:val="15"/>
                <w:color w:val="auto"/>
              </w:rPr>
              <w:t>251</w:t>
            </w:r>
          </w:p>
        </w:tc>
        <w:tc>
          <w:tcPr>
            <w:tcW w:w="1200" w:type="dxa"/>
            <w:vAlign w:val="bottom"/>
            <w:shd w:val="clear" w:color="auto" w:fill="DBDBDB"/>
          </w:tcPr>
          <w:p>
            <w:pPr>
              <w:jc w:val="right"/>
              <w:ind w:right="327"/>
              <w:spacing w:after="0"/>
              <w:rPr>
                <w:sz w:val="20"/>
                <w:szCs w:val="20"/>
                <w:color w:val="auto"/>
              </w:rPr>
            </w:pPr>
            <w:r>
              <w:rPr>
                <w:rFonts w:ascii="Arial" w:cs="Arial" w:eastAsia="Arial" w:hAnsi="Arial"/>
                <w:sz w:val="15"/>
                <w:szCs w:val="15"/>
                <w:color w:val="auto"/>
              </w:rPr>
              <w:t>(417)</w:t>
            </w:r>
          </w:p>
        </w:tc>
        <w:tc>
          <w:tcPr>
            <w:tcW w:w="58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166 %</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(649)</w:t>
            </w:r>
          </w:p>
        </w:tc>
        <w:tc>
          <w:tcPr>
            <w:tcW w:w="980" w:type="dxa"/>
            <w:vAlign w:val="bottom"/>
          </w:tcPr>
          <w:p>
            <w:pPr>
              <w:jc w:val="right"/>
              <w:spacing w:after="0"/>
              <w:rPr>
                <w:sz w:val="20"/>
                <w:szCs w:val="20"/>
                <w:color w:val="auto"/>
              </w:rPr>
            </w:pPr>
            <w:r>
              <w:rPr>
                <w:rFonts w:ascii="Arial" w:cs="Arial" w:eastAsia="Arial" w:hAnsi="Arial"/>
                <w:sz w:val="15"/>
                <w:szCs w:val="15"/>
                <w:color w:val="auto"/>
              </w:rPr>
              <w:t>251</w:t>
            </w:r>
          </w:p>
        </w:tc>
        <w:tc>
          <w:tcPr>
            <w:tcW w:w="1200" w:type="dxa"/>
            <w:vAlign w:val="bottom"/>
            <w:shd w:val="clear" w:color="auto" w:fill="DBDBDB"/>
          </w:tcPr>
          <w:p>
            <w:pPr>
              <w:jc w:val="right"/>
              <w:ind w:right="327"/>
              <w:spacing w:after="0"/>
              <w:rPr>
                <w:sz w:val="20"/>
                <w:szCs w:val="20"/>
                <w:color w:val="auto"/>
              </w:rPr>
            </w:pPr>
            <w:r>
              <w:rPr>
                <w:rFonts w:ascii="Arial" w:cs="Arial" w:eastAsia="Arial" w:hAnsi="Arial"/>
                <w:sz w:val="15"/>
                <w:szCs w:val="15"/>
                <w:color w:val="auto"/>
              </w:rPr>
              <w:t>(900)</w:t>
            </w:r>
          </w:p>
        </w:tc>
        <w:tc>
          <w:tcPr>
            <w:tcW w:w="6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359 %</w:t>
            </w:r>
          </w:p>
        </w:tc>
      </w:tr>
      <w:tr>
        <w:trPr>
          <w:trHeight w:val="262"/>
        </w:trPr>
        <w:tc>
          <w:tcPr>
            <w:tcW w:w="3860" w:type="dxa"/>
            <w:vAlign w:val="bottom"/>
          </w:tcPr>
          <w:p>
            <w:pPr>
              <w:ind w:left="20"/>
              <w:spacing w:after="0"/>
              <w:rPr>
                <w:sz w:val="20"/>
                <w:szCs w:val="20"/>
                <w:color w:val="auto"/>
              </w:rPr>
            </w:pPr>
            <w:r>
              <w:rPr>
                <w:rFonts w:ascii="Arial" w:cs="Arial" w:eastAsia="Arial" w:hAnsi="Arial"/>
                <w:sz w:val="15"/>
                <w:szCs w:val="15"/>
                <w:color w:val="auto"/>
              </w:rPr>
              <w:t>Net cash from (used in) financing activities</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1,400</w:t>
            </w:r>
          </w:p>
        </w:tc>
        <w:tc>
          <w:tcPr>
            <w:tcW w:w="980" w:type="dxa"/>
            <w:vAlign w:val="bottom"/>
          </w:tcPr>
          <w:p>
            <w:pPr>
              <w:jc w:val="right"/>
              <w:spacing w:after="0"/>
              <w:rPr>
                <w:sz w:val="20"/>
                <w:szCs w:val="20"/>
                <w:color w:val="auto"/>
              </w:rPr>
            </w:pPr>
            <w:r>
              <w:rPr>
                <w:rFonts w:ascii="Arial" w:cs="Arial" w:eastAsia="Arial" w:hAnsi="Arial"/>
                <w:sz w:val="15"/>
                <w:szCs w:val="15"/>
                <w:color w:val="auto"/>
              </w:rPr>
              <w:t>44,392</w:t>
            </w:r>
          </w:p>
        </w:tc>
        <w:tc>
          <w:tcPr>
            <w:tcW w:w="1200" w:type="dxa"/>
            <w:vAlign w:val="bottom"/>
            <w:tcBorders>
              <w:bottom w:val="single" w:sz="8" w:color="DBDBDB"/>
            </w:tcBorders>
            <w:shd w:val="clear" w:color="auto" w:fill="DBDBDB"/>
          </w:tcPr>
          <w:p>
            <w:pPr>
              <w:jc w:val="right"/>
              <w:ind w:right="327"/>
              <w:spacing w:after="0"/>
              <w:rPr>
                <w:sz w:val="20"/>
                <w:szCs w:val="20"/>
                <w:color w:val="auto"/>
              </w:rPr>
            </w:pPr>
            <w:r>
              <w:rPr>
                <w:rFonts w:ascii="Arial" w:cs="Arial" w:eastAsia="Arial" w:hAnsi="Arial"/>
                <w:sz w:val="15"/>
                <w:szCs w:val="15"/>
                <w:color w:val="auto"/>
              </w:rPr>
              <w:t>(42,992)</w:t>
            </w:r>
          </w:p>
        </w:tc>
        <w:tc>
          <w:tcPr>
            <w:tcW w:w="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97</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35,710</w:t>
            </w:r>
          </w:p>
        </w:tc>
        <w:tc>
          <w:tcPr>
            <w:tcW w:w="980" w:type="dxa"/>
            <w:vAlign w:val="bottom"/>
          </w:tcPr>
          <w:p>
            <w:pPr>
              <w:jc w:val="right"/>
              <w:spacing w:after="0"/>
              <w:rPr>
                <w:sz w:val="20"/>
                <w:szCs w:val="20"/>
                <w:color w:val="auto"/>
              </w:rPr>
            </w:pPr>
            <w:r>
              <w:rPr>
                <w:rFonts w:ascii="Arial" w:cs="Arial" w:eastAsia="Arial" w:hAnsi="Arial"/>
                <w:sz w:val="15"/>
                <w:szCs w:val="15"/>
                <w:color w:val="auto"/>
              </w:rPr>
              <w:t>50,683</w:t>
            </w:r>
          </w:p>
        </w:tc>
        <w:tc>
          <w:tcPr>
            <w:tcW w:w="1200" w:type="dxa"/>
            <w:vAlign w:val="bottom"/>
            <w:tcBorders>
              <w:bottom w:val="single" w:sz="8" w:color="DBDBDB"/>
            </w:tcBorders>
            <w:shd w:val="clear" w:color="auto" w:fill="DBDBDB"/>
          </w:tcPr>
          <w:p>
            <w:pPr>
              <w:jc w:val="right"/>
              <w:ind w:right="327"/>
              <w:spacing w:after="0"/>
              <w:rPr>
                <w:sz w:val="20"/>
                <w:szCs w:val="20"/>
                <w:color w:val="auto"/>
              </w:rPr>
            </w:pPr>
            <w:r>
              <w:rPr>
                <w:rFonts w:ascii="Arial" w:cs="Arial" w:eastAsia="Arial" w:hAnsi="Arial"/>
                <w:sz w:val="15"/>
                <w:szCs w:val="15"/>
                <w:color w:val="auto"/>
              </w:rPr>
              <w:t>(14,973)</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30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195"/>
        </w:trPr>
        <w:tc>
          <w:tcPr>
            <w:tcW w:w="3860" w:type="dxa"/>
            <w:vAlign w:val="bottom"/>
            <w:tcBorders>
              <w:top w:val="single" w:sz="8" w:color="929292"/>
            </w:tcBorders>
          </w:tcPr>
          <w:p>
            <w:pPr>
              <w:ind w:left="20"/>
              <w:spacing w:after="0"/>
              <w:rPr>
                <w:sz w:val="20"/>
                <w:szCs w:val="20"/>
                <w:color w:val="auto"/>
              </w:rPr>
            </w:pPr>
            <w:r>
              <w:rPr>
                <w:rFonts w:ascii="Arial" w:cs="Arial" w:eastAsia="Arial" w:hAnsi="Arial"/>
                <w:sz w:val="15"/>
                <w:szCs w:val="15"/>
                <w:color w:val="auto"/>
              </w:rPr>
              <w:t>Increase (decrease) in cash</w:t>
            </w:r>
          </w:p>
        </w:tc>
        <w:tc>
          <w:tcPr>
            <w:tcW w:w="920" w:type="dxa"/>
            <w:vAlign w:val="bottom"/>
            <w:tcBorders>
              <w:top w:val="single" w:sz="8" w:color="929292"/>
            </w:tcBorders>
          </w:tcPr>
          <w:p>
            <w:pPr>
              <w:jc w:val="right"/>
              <w:spacing w:after="0"/>
              <w:rPr>
                <w:sz w:val="20"/>
                <w:szCs w:val="20"/>
                <w:color w:val="auto"/>
              </w:rPr>
            </w:pPr>
            <w:r>
              <w:rPr>
                <w:rFonts w:ascii="Arial" w:cs="Arial" w:eastAsia="Arial" w:hAnsi="Arial"/>
                <w:sz w:val="15"/>
                <w:szCs w:val="15"/>
                <w:b w:val="1"/>
                <w:bCs w:val="1"/>
                <w:color w:val="auto"/>
              </w:rPr>
              <w:t>(11,580)</w:t>
            </w:r>
          </w:p>
        </w:tc>
        <w:tc>
          <w:tcPr>
            <w:tcW w:w="98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36,153</w:t>
            </w:r>
          </w:p>
        </w:tc>
        <w:tc>
          <w:tcPr>
            <w:tcW w:w="1200" w:type="dxa"/>
            <w:vAlign w:val="bottom"/>
            <w:tcBorders>
              <w:top w:val="single" w:sz="8" w:color="929292"/>
            </w:tcBorders>
            <w:shd w:val="clear" w:color="auto" w:fill="DBDBDB"/>
          </w:tcPr>
          <w:p>
            <w:pPr>
              <w:jc w:val="right"/>
              <w:ind w:right="327"/>
              <w:spacing w:after="0"/>
              <w:rPr>
                <w:sz w:val="20"/>
                <w:szCs w:val="20"/>
                <w:color w:val="auto"/>
              </w:rPr>
            </w:pPr>
            <w:r>
              <w:rPr>
                <w:rFonts w:ascii="Arial" w:cs="Arial" w:eastAsia="Arial" w:hAnsi="Arial"/>
                <w:sz w:val="15"/>
                <w:szCs w:val="15"/>
                <w:color w:val="auto"/>
              </w:rPr>
              <w:t>(47,733)</w:t>
            </w:r>
          </w:p>
        </w:tc>
        <w:tc>
          <w:tcPr>
            <w:tcW w:w="420" w:type="dxa"/>
            <w:vAlign w:val="bottom"/>
            <w:tcBorders>
              <w:top w:val="single" w:sz="8" w:color="929292"/>
            </w:tcBorders>
            <w:shd w:val="clear" w:color="auto" w:fill="DBDBDB"/>
          </w:tcPr>
          <w:p>
            <w:pPr>
              <w:jc w:val="right"/>
              <w:spacing w:after="0"/>
              <w:rPr>
                <w:sz w:val="20"/>
                <w:szCs w:val="20"/>
                <w:color w:val="auto"/>
              </w:rPr>
            </w:pPr>
            <w:r>
              <w:rPr>
                <w:rFonts w:ascii="Arial" w:cs="Arial" w:eastAsia="Arial" w:hAnsi="Arial"/>
                <w:sz w:val="15"/>
                <w:szCs w:val="15"/>
                <w:color w:val="auto"/>
              </w:rPr>
              <w:t>132</w:t>
            </w:r>
          </w:p>
        </w:tc>
        <w:tc>
          <w:tcPr>
            <w:tcW w:w="160" w:type="dxa"/>
            <w:vAlign w:val="bottom"/>
            <w:tcBorders>
              <w:top w:val="single" w:sz="8" w:color="929292"/>
            </w:tcBorders>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920" w:type="dxa"/>
            <w:vAlign w:val="bottom"/>
            <w:tcBorders>
              <w:top w:val="single" w:sz="8" w:color="929292"/>
            </w:tcBorders>
          </w:tcPr>
          <w:p>
            <w:pPr>
              <w:jc w:val="right"/>
              <w:spacing w:after="0"/>
              <w:rPr>
                <w:sz w:val="20"/>
                <w:szCs w:val="20"/>
                <w:color w:val="auto"/>
              </w:rPr>
            </w:pPr>
            <w:r>
              <w:rPr>
                <w:rFonts w:ascii="Arial" w:cs="Arial" w:eastAsia="Arial" w:hAnsi="Arial"/>
                <w:sz w:val="15"/>
                <w:szCs w:val="15"/>
                <w:b w:val="1"/>
                <w:bCs w:val="1"/>
                <w:color w:val="auto"/>
              </w:rPr>
              <w:t>(425)</w:t>
            </w:r>
          </w:p>
        </w:tc>
        <w:tc>
          <w:tcPr>
            <w:tcW w:w="98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38,476</w:t>
            </w:r>
          </w:p>
        </w:tc>
        <w:tc>
          <w:tcPr>
            <w:tcW w:w="1200" w:type="dxa"/>
            <w:vAlign w:val="bottom"/>
            <w:tcBorders>
              <w:top w:val="single" w:sz="8" w:color="929292"/>
            </w:tcBorders>
            <w:shd w:val="clear" w:color="auto" w:fill="DBDBDB"/>
          </w:tcPr>
          <w:p>
            <w:pPr>
              <w:jc w:val="right"/>
              <w:ind w:right="327"/>
              <w:spacing w:after="0"/>
              <w:rPr>
                <w:sz w:val="20"/>
                <w:szCs w:val="20"/>
                <w:color w:val="auto"/>
              </w:rPr>
            </w:pPr>
            <w:r>
              <w:rPr>
                <w:rFonts w:ascii="Arial" w:cs="Arial" w:eastAsia="Arial" w:hAnsi="Arial"/>
                <w:sz w:val="15"/>
                <w:szCs w:val="15"/>
                <w:color w:val="auto"/>
              </w:rPr>
              <w:t>(38,901)</w:t>
            </w:r>
          </w:p>
        </w:tc>
        <w:tc>
          <w:tcPr>
            <w:tcW w:w="460" w:type="dxa"/>
            <w:vAlign w:val="bottom"/>
            <w:tcBorders>
              <w:top w:val="single" w:sz="8" w:color="929292"/>
            </w:tcBorders>
            <w:shd w:val="clear" w:color="auto" w:fill="DBDBDB"/>
          </w:tcPr>
          <w:p>
            <w:pPr>
              <w:jc w:val="right"/>
              <w:spacing w:after="0"/>
              <w:rPr>
                <w:sz w:val="20"/>
                <w:szCs w:val="20"/>
                <w:color w:val="auto"/>
              </w:rPr>
            </w:pPr>
            <w:r>
              <w:rPr>
                <w:rFonts w:ascii="Arial" w:cs="Arial" w:eastAsia="Arial" w:hAnsi="Arial"/>
                <w:sz w:val="15"/>
                <w:szCs w:val="15"/>
                <w:color w:val="auto"/>
              </w:rPr>
              <w:t>101</w:t>
            </w:r>
          </w:p>
        </w:tc>
        <w:tc>
          <w:tcPr>
            <w:tcW w:w="140" w:type="dxa"/>
            <w:vAlign w:val="bottom"/>
            <w:tcBorders>
              <w:top w:val="single" w:sz="8" w:color="929292"/>
            </w:tcBorders>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232"/>
        </w:trPr>
        <w:tc>
          <w:tcPr>
            <w:tcW w:w="3860" w:type="dxa"/>
            <w:vAlign w:val="bottom"/>
          </w:tcPr>
          <w:p>
            <w:pPr>
              <w:ind w:left="20"/>
              <w:spacing w:after="0"/>
              <w:rPr>
                <w:sz w:val="20"/>
                <w:szCs w:val="20"/>
                <w:color w:val="auto"/>
              </w:rPr>
            </w:pPr>
            <w:r>
              <w:rPr>
                <w:rFonts w:ascii="Arial" w:cs="Arial" w:eastAsia="Arial" w:hAnsi="Arial"/>
                <w:sz w:val="15"/>
                <w:szCs w:val="15"/>
                <w:color w:val="auto"/>
              </w:rPr>
              <w:t>Net foreign exchange difference</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(19)</w:t>
            </w:r>
          </w:p>
        </w:tc>
        <w:tc>
          <w:tcPr>
            <w:tcW w:w="980" w:type="dxa"/>
            <w:vAlign w:val="bottom"/>
          </w:tcPr>
          <w:p>
            <w:pPr>
              <w:jc w:val="right"/>
              <w:spacing w:after="0"/>
              <w:rPr>
                <w:sz w:val="20"/>
                <w:szCs w:val="20"/>
                <w:color w:val="auto"/>
              </w:rPr>
            </w:pPr>
            <w:r>
              <w:rPr>
                <w:rFonts w:ascii="Arial" w:cs="Arial" w:eastAsia="Arial" w:hAnsi="Arial"/>
                <w:sz w:val="15"/>
                <w:szCs w:val="15"/>
                <w:color w:val="auto"/>
              </w:rPr>
              <w:t>7</w:t>
            </w:r>
          </w:p>
        </w:tc>
        <w:tc>
          <w:tcPr>
            <w:tcW w:w="1200" w:type="dxa"/>
            <w:vAlign w:val="bottom"/>
            <w:shd w:val="clear" w:color="auto" w:fill="DBDBDB"/>
          </w:tcPr>
          <w:p>
            <w:pPr>
              <w:jc w:val="right"/>
              <w:ind w:right="327"/>
              <w:spacing w:after="0"/>
              <w:rPr>
                <w:sz w:val="20"/>
                <w:szCs w:val="20"/>
                <w:color w:val="auto"/>
              </w:rPr>
            </w:pPr>
            <w:r>
              <w:rPr>
                <w:rFonts w:ascii="Arial" w:cs="Arial" w:eastAsia="Arial" w:hAnsi="Arial"/>
                <w:sz w:val="15"/>
                <w:szCs w:val="15"/>
                <w:color w:val="auto"/>
              </w:rPr>
              <w:t>(26)</w:t>
            </w:r>
          </w:p>
        </w:tc>
        <w:tc>
          <w:tcPr>
            <w:tcW w:w="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371</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980" w:type="dxa"/>
            <w:vAlign w:val="bottom"/>
          </w:tcPr>
          <w:p>
            <w:pPr>
              <w:jc w:val="right"/>
              <w:spacing w:after="0"/>
              <w:rPr>
                <w:sz w:val="20"/>
                <w:szCs w:val="20"/>
                <w:color w:val="auto"/>
              </w:rPr>
            </w:pPr>
            <w:r>
              <w:rPr>
                <w:rFonts w:ascii="Arial" w:cs="Arial" w:eastAsia="Arial" w:hAnsi="Arial"/>
                <w:sz w:val="15"/>
                <w:szCs w:val="15"/>
                <w:color w:val="auto"/>
              </w:rPr>
              <w:t>7</w:t>
            </w:r>
          </w:p>
        </w:tc>
        <w:tc>
          <w:tcPr>
            <w:tcW w:w="1200" w:type="dxa"/>
            <w:vAlign w:val="bottom"/>
            <w:shd w:val="clear" w:color="auto" w:fill="DBDBDB"/>
          </w:tcPr>
          <w:p>
            <w:pPr>
              <w:jc w:val="right"/>
              <w:ind w:right="327"/>
              <w:spacing w:after="0"/>
              <w:rPr>
                <w:sz w:val="20"/>
                <w:szCs w:val="20"/>
                <w:color w:val="auto"/>
              </w:rPr>
            </w:pPr>
            <w:r>
              <w:rPr>
                <w:rFonts w:ascii="Arial" w:cs="Arial" w:eastAsia="Arial" w:hAnsi="Arial"/>
                <w:sz w:val="15"/>
                <w:szCs w:val="15"/>
                <w:color w:val="auto"/>
              </w:rPr>
              <w:t>(28)</w:t>
            </w:r>
          </w:p>
        </w:tc>
        <w:tc>
          <w:tcPr>
            <w:tcW w:w="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400</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262"/>
        </w:trPr>
        <w:tc>
          <w:tcPr>
            <w:tcW w:w="3860" w:type="dxa"/>
            <w:vAlign w:val="bottom"/>
          </w:tcPr>
          <w:p>
            <w:pPr>
              <w:ind w:left="20"/>
              <w:spacing w:after="0"/>
              <w:rPr>
                <w:sz w:val="20"/>
                <w:szCs w:val="20"/>
                <w:color w:val="auto"/>
              </w:rPr>
            </w:pPr>
            <w:r>
              <w:rPr>
                <w:rFonts w:ascii="Arial" w:cs="Arial" w:eastAsia="Arial" w:hAnsi="Arial"/>
                <w:sz w:val="15"/>
                <w:szCs w:val="15"/>
                <w:color w:val="auto"/>
              </w:rPr>
              <w:t>Cash and cash equivalents, beginning of period</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75,179</w:t>
            </w:r>
          </w:p>
        </w:tc>
        <w:tc>
          <w:tcPr>
            <w:tcW w:w="980" w:type="dxa"/>
            <w:vAlign w:val="bottom"/>
          </w:tcPr>
          <w:p>
            <w:pPr>
              <w:jc w:val="right"/>
              <w:spacing w:after="0"/>
              <w:rPr>
                <w:sz w:val="20"/>
                <w:szCs w:val="20"/>
                <w:color w:val="auto"/>
              </w:rPr>
            </w:pPr>
            <w:r>
              <w:rPr>
                <w:rFonts w:ascii="Arial" w:cs="Arial" w:eastAsia="Arial" w:hAnsi="Arial"/>
                <w:sz w:val="15"/>
                <w:szCs w:val="15"/>
                <w:color w:val="auto"/>
              </w:rPr>
              <w:t>3,868</w:t>
            </w:r>
          </w:p>
        </w:tc>
        <w:tc>
          <w:tcPr>
            <w:tcW w:w="1200" w:type="dxa"/>
            <w:vAlign w:val="bottom"/>
            <w:tcBorders>
              <w:bottom w:val="single" w:sz="8" w:color="DBDBDB"/>
            </w:tcBorders>
            <w:shd w:val="clear" w:color="auto" w:fill="DBDBDB"/>
          </w:tcPr>
          <w:p>
            <w:pPr>
              <w:jc w:val="right"/>
              <w:ind w:right="367"/>
              <w:spacing w:after="0"/>
              <w:rPr>
                <w:sz w:val="20"/>
                <w:szCs w:val="20"/>
                <w:color w:val="auto"/>
              </w:rPr>
            </w:pPr>
            <w:r>
              <w:rPr>
                <w:rFonts w:ascii="Arial" w:cs="Arial" w:eastAsia="Arial" w:hAnsi="Arial"/>
                <w:sz w:val="15"/>
                <w:szCs w:val="15"/>
                <w:color w:val="auto"/>
              </w:rPr>
              <w:t>71,311</w:t>
            </w:r>
          </w:p>
        </w:tc>
        <w:tc>
          <w:tcPr>
            <w:tcW w:w="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1844</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64,026</w:t>
            </w:r>
          </w:p>
        </w:tc>
        <w:tc>
          <w:tcPr>
            <w:tcW w:w="980" w:type="dxa"/>
            <w:vAlign w:val="bottom"/>
          </w:tcPr>
          <w:p>
            <w:pPr>
              <w:jc w:val="right"/>
              <w:spacing w:after="0"/>
              <w:rPr>
                <w:sz w:val="20"/>
                <w:szCs w:val="20"/>
                <w:color w:val="auto"/>
              </w:rPr>
            </w:pPr>
            <w:r>
              <w:rPr>
                <w:rFonts w:ascii="Arial" w:cs="Arial" w:eastAsia="Arial" w:hAnsi="Arial"/>
                <w:sz w:val="15"/>
                <w:szCs w:val="15"/>
                <w:color w:val="auto"/>
              </w:rPr>
              <w:t>1,545</w:t>
            </w:r>
          </w:p>
        </w:tc>
        <w:tc>
          <w:tcPr>
            <w:tcW w:w="1200" w:type="dxa"/>
            <w:vAlign w:val="bottom"/>
            <w:tcBorders>
              <w:bottom w:val="single" w:sz="8" w:color="DBDBDB"/>
            </w:tcBorders>
            <w:shd w:val="clear" w:color="auto" w:fill="DBDBDB"/>
          </w:tcPr>
          <w:p>
            <w:pPr>
              <w:jc w:val="right"/>
              <w:ind w:right="367"/>
              <w:spacing w:after="0"/>
              <w:rPr>
                <w:sz w:val="20"/>
                <w:szCs w:val="20"/>
                <w:color w:val="auto"/>
              </w:rPr>
            </w:pPr>
            <w:r>
              <w:rPr>
                <w:rFonts w:ascii="Arial" w:cs="Arial" w:eastAsia="Arial" w:hAnsi="Arial"/>
                <w:sz w:val="15"/>
                <w:szCs w:val="15"/>
                <w:color w:val="auto"/>
              </w:rPr>
              <w:t>62,481</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4044</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205"/>
        </w:trPr>
        <w:tc>
          <w:tcPr>
            <w:tcW w:w="3860" w:type="dxa"/>
            <w:vAlign w:val="bottom"/>
            <w:tcBorders>
              <w:top w:val="single" w:sz="8" w:color="929292"/>
            </w:tcBorders>
          </w:tcPr>
          <w:p>
            <w:pPr>
              <w:ind w:left="20"/>
              <w:spacing w:after="0"/>
              <w:rPr>
                <w:sz w:val="20"/>
                <w:szCs w:val="20"/>
                <w:color w:val="auto"/>
              </w:rPr>
            </w:pPr>
            <w:r>
              <w:rPr>
                <w:rFonts w:ascii="Arial" w:cs="Arial" w:eastAsia="Arial" w:hAnsi="Arial"/>
                <w:sz w:val="15"/>
                <w:szCs w:val="15"/>
                <w:color w:val="auto"/>
              </w:rPr>
              <w:t>Cash and cash equivalents, end of period</w:t>
            </w:r>
          </w:p>
        </w:tc>
        <w:tc>
          <w:tcPr>
            <w:tcW w:w="920" w:type="dxa"/>
            <w:vAlign w:val="bottom"/>
            <w:tcBorders>
              <w:top w:val="single" w:sz="8" w:color="929292"/>
            </w:tcBorders>
          </w:tcPr>
          <w:p>
            <w:pPr>
              <w:jc w:val="right"/>
              <w:spacing w:after="0"/>
              <w:rPr>
                <w:sz w:val="20"/>
                <w:szCs w:val="20"/>
                <w:color w:val="auto"/>
              </w:rPr>
            </w:pPr>
            <w:r>
              <w:rPr>
                <w:rFonts w:ascii="Arial" w:cs="Arial" w:eastAsia="Arial" w:hAnsi="Arial"/>
                <w:sz w:val="15"/>
                <w:szCs w:val="15"/>
                <w:b w:val="1"/>
                <w:bCs w:val="1"/>
                <w:color w:val="auto"/>
              </w:rPr>
              <w:t>63,580</w:t>
            </w:r>
          </w:p>
        </w:tc>
        <w:tc>
          <w:tcPr>
            <w:tcW w:w="98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40,028</w:t>
            </w:r>
          </w:p>
        </w:tc>
        <w:tc>
          <w:tcPr>
            <w:tcW w:w="1200" w:type="dxa"/>
            <w:vAlign w:val="bottom"/>
            <w:tcBorders>
              <w:top w:val="single" w:sz="8" w:color="929292"/>
              <w:bottom w:val="single" w:sz="8" w:color="DBDBDB"/>
            </w:tcBorders>
            <w:shd w:val="clear" w:color="auto" w:fill="DBDBDB"/>
          </w:tcPr>
          <w:p>
            <w:pPr>
              <w:jc w:val="right"/>
              <w:ind w:right="367"/>
              <w:spacing w:after="0"/>
              <w:rPr>
                <w:sz w:val="20"/>
                <w:szCs w:val="20"/>
                <w:color w:val="auto"/>
              </w:rPr>
            </w:pPr>
            <w:r>
              <w:rPr>
                <w:rFonts w:ascii="Arial" w:cs="Arial" w:eastAsia="Arial" w:hAnsi="Arial"/>
                <w:sz w:val="15"/>
                <w:szCs w:val="15"/>
                <w:color w:val="auto"/>
              </w:rPr>
              <w:t>23,552</w:t>
            </w:r>
          </w:p>
        </w:tc>
        <w:tc>
          <w:tcPr>
            <w:tcW w:w="42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59</w:t>
            </w:r>
          </w:p>
        </w:tc>
        <w:tc>
          <w:tcPr>
            <w:tcW w:w="16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920" w:type="dxa"/>
            <w:vAlign w:val="bottom"/>
            <w:tcBorders>
              <w:top w:val="single" w:sz="8" w:color="929292"/>
            </w:tcBorders>
          </w:tcPr>
          <w:p>
            <w:pPr>
              <w:jc w:val="right"/>
              <w:spacing w:after="0"/>
              <w:rPr>
                <w:sz w:val="20"/>
                <w:szCs w:val="20"/>
                <w:color w:val="auto"/>
              </w:rPr>
            </w:pPr>
            <w:r>
              <w:rPr>
                <w:rFonts w:ascii="Arial" w:cs="Arial" w:eastAsia="Arial" w:hAnsi="Arial"/>
                <w:sz w:val="15"/>
                <w:szCs w:val="15"/>
                <w:b w:val="1"/>
                <w:bCs w:val="1"/>
                <w:color w:val="auto"/>
              </w:rPr>
              <w:t>63,580</w:t>
            </w:r>
          </w:p>
        </w:tc>
        <w:tc>
          <w:tcPr>
            <w:tcW w:w="98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40,028</w:t>
            </w:r>
          </w:p>
        </w:tc>
        <w:tc>
          <w:tcPr>
            <w:tcW w:w="1200" w:type="dxa"/>
            <w:vAlign w:val="bottom"/>
            <w:tcBorders>
              <w:top w:val="single" w:sz="8" w:color="929292"/>
              <w:bottom w:val="single" w:sz="8" w:color="DBDBDB"/>
            </w:tcBorders>
            <w:shd w:val="clear" w:color="auto" w:fill="DBDBDB"/>
          </w:tcPr>
          <w:p>
            <w:pPr>
              <w:jc w:val="right"/>
              <w:ind w:right="367"/>
              <w:spacing w:after="0"/>
              <w:rPr>
                <w:sz w:val="20"/>
                <w:szCs w:val="20"/>
                <w:color w:val="auto"/>
              </w:rPr>
            </w:pPr>
            <w:r>
              <w:rPr>
                <w:rFonts w:ascii="Arial" w:cs="Arial" w:eastAsia="Arial" w:hAnsi="Arial"/>
                <w:sz w:val="15"/>
                <w:szCs w:val="15"/>
                <w:color w:val="auto"/>
              </w:rPr>
              <w:t>23,552</w:t>
            </w:r>
          </w:p>
        </w:tc>
        <w:tc>
          <w:tcPr>
            <w:tcW w:w="46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59</w:t>
            </w:r>
          </w:p>
        </w:tc>
        <w:tc>
          <w:tcPr>
            <w:tcW w:w="14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38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710"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960" w:type="dxa"/>
            <w:vAlign w:val="bottom"/>
            <w:gridSpan w:val="2"/>
          </w:tcPr>
          <w:p>
            <w:pPr>
              <w:ind w:left="940"/>
              <w:spacing w:after="0"/>
              <w:rPr>
                <w:sz w:val="20"/>
                <w:szCs w:val="20"/>
                <w:color w:val="auto"/>
              </w:rPr>
            </w:pPr>
            <w:r>
              <w:rPr>
                <w:rFonts w:ascii="Arial" w:cs="Arial" w:eastAsia="Arial" w:hAnsi="Arial"/>
                <w:sz w:val="16"/>
                <w:szCs w:val="16"/>
                <w:b w:val="1"/>
                <w:bCs w:val="1"/>
                <w:color w:val="auto"/>
              </w:rPr>
              <w:t>Three Months ended December 31</w:t>
            </w:r>
          </w:p>
        </w:tc>
        <w:tc>
          <w:tcPr>
            <w:tcW w:w="4020" w:type="dxa"/>
            <w:vAlign w:val="bottom"/>
          </w:tcPr>
          <w:p>
            <w:pPr>
              <w:jc w:val="right"/>
              <w:ind w:right="538"/>
              <w:spacing w:after="0"/>
              <w:rPr>
                <w:sz w:val="20"/>
                <w:szCs w:val="20"/>
                <w:color w:val="auto"/>
              </w:rPr>
            </w:pPr>
            <w:r>
              <w:rPr>
                <w:rFonts w:ascii="Arial" w:cs="Arial" w:eastAsia="Arial" w:hAnsi="Arial"/>
                <w:sz w:val="16"/>
                <w:szCs w:val="16"/>
                <w:b w:val="1"/>
                <w:bCs w:val="1"/>
                <w:color w:val="auto"/>
              </w:rPr>
              <w:t>Nine Months ended December 31</w:t>
            </w:r>
          </w:p>
        </w:tc>
      </w:tr>
      <w:tr>
        <w:trPr>
          <w:trHeight w:val="25"/>
        </w:trPr>
        <w:tc>
          <w:tcPr>
            <w:tcW w:w="3240" w:type="dxa"/>
            <w:vAlign w:val="bottom"/>
            <w:tcBorders>
              <w:bottom w:val="single" w:sz="8" w:color="auto"/>
            </w:tcBorders>
          </w:tcPr>
          <w:p>
            <w:pPr>
              <w:spacing w:after="0"/>
              <w:rPr>
                <w:sz w:val="2"/>
                <w:szCs w:val="2"/>
                <w:color w:val="auto"/>
              </w:rPr>
            </w:pPr>
          </w:p>
        </w:tc>
        <w:tc>
          <w:tcPr>
            <w:tcW w:w="7980" w:type="dxa"/>
            <w:vAlign w:val="bottom"/>
            <w:tcBorders>
              <w:bottom w:val="single" w:sz="8" w:color="auto"/>
            </w:tcBorders>
            <w:gridSpan w:val="3"/>
          </w:tcPr>
          <w:p>
            <w:pPr>
              <w:spacing w:after="0"/>
              <w:rPr>
                <w:sz w:val="2"/>
                <w:szCs w:val="2"/>
                <w:color w:val="auto"/>
              </w:rPr>
            </w:pPr>
          </w:p>
        </w:tc>
      </w:tr>
      <w:tr>
        <w:trPr>
          <w:trHeight w:val="211"/>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7980" w:type="dxa"/>
            <w:vAlign w:val="bottom"/>
            <w:gridSpan w:val="3"/>
          </w:tcPr>
          <w:p>
            <w:pPr>
              <w:ind w:left="380"/>
              <w:spacing w:after="0"/>
              <w:rPr>
                <w:sz w:val="20"/>
                <w:szCs w:val="20"/>
                <w:color w:val="auto"/>
              </w:rPr>
            </w:pPr>
            <w:r>
              <w:rPr>
                <w:rFonts w:ascii="Arial" w:cs="Arial" w:eastAsia="Arial" w:hAnsi="Arial"/>
                <w:sz w:val="16"/>
                <w:szCs w:val="16"/>
                <w:color w:val="auto"/>
              </w:rPr>
              <w:t>Primarily relates to cash used for operating expenses including research and development expenses,</w:t>
            </w:r>
          </w:p>
        </w:tc>
      </w:tr>
      <w:tr>
        <w:trPr>
          <w:trHeight w:val="196"/>
        </w:trPr>
        <w:tc>
          <w:tcPr>
            <w:tcW w:w="3240" w:type="dxa"/>
            <w:vAlign w:val="bottom"/>
          </w:tcPr>
          <w:p>
            <w:pPr>
              <w:spacing w:after="0"/>
              <w:rPr>
                <w:sz w:val="17"/>
                <w:szCs w:val="17"/>
                <w:color w:val="auto"/>
              </w:rPr>
            </w:pPr>
          </w:p>
        </w:tc>
        <w:tc>
          <w:tcPr>
            <w:tcW w:w="7980" w:type="dxa"/>
            <w:vAlign w:val="bottom"/>
            <w:gridSpan w:val="3"/>
          </w:tcPr>
          <w:p>
            <w:pPr>
              <w:ind w:left="380"/>
              <w:spacing w:after="0"/>
              <w:rPr>
                <w:sz w:val="20"/>
                <w:szCs w:val="20"/>
                <w:color w:val="auto"/>
              </w:rPr>
            </w:pPr>
            <w:r>
              <w:rPr>
                <w:rFonts w:ascii="Arial" w:cs="Arial" w:eastAsia="Arial" w:hAnsi="Arial"/>
                <w:sz w:val="16"/>
                <w:szCs w:val="16"/>
                <w:color w:val="auto"/>
              </w:rPr>
              <w:t>salaries, and other general and administration expenses. Cash flows from operating activities exclude</w:t>
            </w:r>
          </w:p>
        </w:tc>
      </w:tr>
      <w:tr>
        <w:trPr>
          <w:trHeight w:val="196"/>
        </w:trPr>
        <w:tc>
          <w:tcPr>
            <w:tcW w:w="3240" w:type="dxa"/>
            <w:vAlign w:val="bottom"/>
          </w:tcPr>
          <w:p>
            <w:pPr>
              <w:spacing w:after="0"/>
              <w:rPr>
                <w:sz w:val="17"/>
                <w:szCs w:val="17"/>
                <w:color w:val="auto"/>
              </w:rPr>
            </w:pPr>
          </w:p>
        </w:tc>
        <w:tc>
          <w:tcPr>
            <w:tcW w:w="7980" w:type="dxa"/>
            <w:vAlign w:val="bottom"/>
            <w:gridSpan w:val="3"/>
          </w:tcPr>
          <w:p>
            <w:pPr>
              <w:ind w:left="380"/>
              <w:spacing w:after="0"/>
              <w:rPr>
                <w:sz w:val="20"/>
                <w:szCs w:val="20"/>
                <w:color w:val="auto"/>
              </w:rPr>
            </w:pPr>
            <w:r>
              <w:rPr>
                <w:rFonts w:ascii="Arial" w:cs="Arial" w:eastAsia="Arial" w:hAnsi="Arial"/>
                <w:sz w:val="16"/>
                <w:szCs w:val="16"/>
                <w:color w:val="auto"/>
              </w:rPr>
              <w:t>expenses not affecting cash, such as share based compensation expense, depreciation, unrealized</w:t>
            </w:r>
          </w:p>
        </w:tc>
      </w:tr>
      <w:tr>
        <w:trPr>
          <w:trHeight w:val="196"/>
        </w:trPr>
        <w:tc>
          <w:tcPr>
            <w:tcW w:w="3240" w:type="dxa"/>
            <w:vAlign w:val="bottom"/>
          </w:tcPr>
          <w:p>
            <w:pPr>
              <w:spacing w:after="0"/>
              <w:rPr>
                <w:sz w:val="17"/>
                <w:szCs w:val="17"/>
                <w:color w:val="auto"/>
              </w:rPr>
            </w:pPr>
          </w:p>
        </w:tc>
        <w:tc>
          <w:tcPr>
            <w:tcW w:w="7980" w:type="dxa"/>
            <w:vAlign w:val="bottom"/>
            <w:gridSpan w:val="3"/>
          </w:tcPr>
          <w:p>
            <w:pPr>
              <w:ind w:left="380"/>
              <w:spacing w:after="0"/>
              <w:rPr>
                <w:sz w:val="20"/>
                <w:szCs w:val="20"/>
                <w:color w:val="auto"/>
              </w:rPr>
            </w:pPr>
            <w:r>
              <w:rPr>
                <w:rFonts w:ascii="Arial" w:cs="Arial" w:eastAsia="Arial" w:hAnsi="Arial"/>
                <w:sz w:val="16"/>
                <w:szCs w:val="16"/>
                <w:color w:val="auto"/>
              </w:rPr>
              <w:t>foreign exchange gains or losses, and net changes in non-cash balances relating to operations.</w:t>
            </w:r>
          </w:p>
        </w:tc>
      </w:tr>
      <w:tr>
        <w:trPr>
          <w:trHeight w:val="245"/>
        </w:trPr>
        <w:tc>
          <w:tcPr>
            <w:tcW w:w="3240" w:type="dxa"/>
            <w:vAlign w:val="bottom"/>
          </w:tcPr>
          <w:p>
            <w:pPr>
              <w:spacing w:after="0"/>
              <w:rPr>
                <w:sz w:val="21"/>
                <w:szCs w:val="21"/>
                <w:color w:val="auto"/>
              </w:rPr>
            </w:pPr>
          </w:p>
        </w:tc>
        <w:tc>
          <w:tcPr>
            <w:tcW w:w="7980" w:type="dxa"/>
            <w:vAlign w:val="bottom"/>
            <w:gridSpan w:val="3"/>
          </w:tcPr>
          <w:p>
            <w:pPr>
              <w:ind w:left="380"/>
              <w:spacing w:after="0"/>
              <w:rPr>
                <w:sz w:val="20"/>
                <w:szCs w:val="20"/>
                <w:color w:val="auto"/>
              </w:rPr>
            </w:pPr>
            <w:r>
              <w:rPr>
                <w:rFonts w:ascii="Arial" w:cs="Arial" w:eastAsia="Arial" w:hAnsi="Arial"/>
                <w:sz w:val="16"/>
                <w:szCs w:val="16"/>
                <w:color w:val="auto"/>
              </w:rPr>
              <w:t>For the three-month period ended December 31, For the nine-month period ended December 31,</w:t>
            </w:r>
          </w:p>
        </w:tc>
      </w:tr>
      <w:tr>
        <w:trPr>
          <w:trHeight w:val="196"/>
        </w:trPr>
        <w:tc>
          <w:tcPr>
            <w:tcW w:w="3240" w:type="dxa"/>
            <w:vAlign w:val="bottom"/>
          </w:tcPr>
          <w:p>
            <w:pPr>
              <w:spacing w:after="0"/>
              <w:rPr>
                <w:sz w:val="17"/>
                <w:szCs w:val="17"/>
                <w:color w:val="auto"/>
              </w:rPr>
            </w:pPr>
          </w:p>
        </w:tc>
        <w:tc>
          <w:tcPr>
            <w:tcW w:w="7980" w:type="dxa"/>
            <w:vAlign w:val="bottom"/>
            <w:gridSpan w:val="3"/>
          </w:tcPr>
          <w:p>
            <w:pPr>
              <w:ind w:left="380"/>
              <w:spacing w:after="0"/>
              <w:rPr>
                <w:sz w:val="20"/>
                <w:szCs w:val="20"/>
                <w:color w:val="auto"/>
              </w:rPr>
            </w:pPr>
            <w:r>
              <w:rPr>
                <w:rFonts w:ascii="Arial" w:cs="Arial" w:eastAsia="Arial" w:hAnsi="Arial"/>
                <w:sz w:val="16"/>
                <w:szCs w:val="16"/>
                <w:color w:val="auto"/>
              </w:rPr>
              <w:t>2021, cash used in operating activities was $12,814 2021, cash used in operating activities was $35,486</w:t>
            </w:r>
          </w:p>
        </w:tc>
      </w:tr>
      <w:tr>
        <w:trPr>
          <w:trHeight w:val="196"/>
        </w:trPr>
        <w:tc>
          <w:tcPr>
            <w:tcW w:w="3240" w:type="dxa"/>
            <w:vAlign w:val="bottom"/>
          </w:tcPr>
          <w:p>
            <w:pPr>
              <w:spacing w:after="0"/>
              <w:rPr>
                <w:sz w:val="17"/>
                <w:szCs w:val="17"/>
                <w:color w:val="auto"/>
              </w:rPr>
            </w:pPr>
          </w:p>
        </w:tc>
        <w:tc>
          <w:tcPr>
            <w:tcW w:w="7980" w:type="dxa"/>
            <w:vAlign w:val="bottom"/>
            <w:gridSpan w:val="3"/>
          </w:tcPr>
          <w:p>
            <w:pPr>
              <w:ind w:left="380"/>
              <w:spacing w:after="0"/>
              <w:rPr>
                <w:sz w:val="20"/>
                <w:szCs w:val="20"/>
                <w:color w:val="auto"/>
              </w:rPr>
            </w:pPr>
            <w:r>
              <w:rPr>
                <w:rFonts w:ascii="Arial" w:cs="Arial" w:eastAsia="Arial" w:hAnsi="Arial"/>
                <w:sz w:val="16"/>
                <w:szCs w:val="16"/>
                <w:color w:val="auto"/>
              </w:rPr>
              <w:t>driven by a net loss for the period of $17,210 and an driven by a net loss for the period of $49,534, an</w:t>
            </w:r>
          </w:p>
        </w:tc>
      </w:tr>
      <w:tr>
        <w:trPr>
          <w:trHeight w:val="196"/>
        </w:trPr>
        <w:tc>
          <w:tcPr>
            <w:tcW w:w="3240" w:type="dxa"/>
            <w:vAlign w:val="bottom"/>
          </w:tcPr>
          <w:p>
            <w:pPr>
              <w:spacing w:after="0"/>
              <w:rPr>
                <w:sz w:val="17"/>
                <w:szCs w:val="17"/>
                <w:color w:val="auto"/>
              </w:rPr>
            </w:pPr>
          </w:p>
        </w:tc>
        <w:tc>
          <w:tcPr>
            <w:tcW w:w="7980" w:type="dxa"/>
            <w:vAlign w:val="bottom"/>
            <w:gridSpan w:val="3"/>
          </w:tcPr>
          <w:p>
            <w:pPr>
              <w:ind w:left="380"/>
              <w:spacing w:after="0"/>
              <w:rPr>
                <w:sz w:val="20"/>
                <w:szCs w:val="20"/>
                <w:color w:val="auto"/>
              </w:rPr>
            </w:pPr>
            <w:r>
              <w:rPr>
                <w:rFonts w:ascii="Arial" w:cs="Arial" w:eastAsia="Arial" w:hAnsi="Arial"/>
                <w:sz w:val="16"/>
                <w:szCs w:val="16"/>
                <w:color w:val="auto"/>
              </w:rPr>
              <w:t>increase in working capital of $875, partially offset increase in working capital of $2,854 and non-cash</w:t>
            </w:r>
          </w:p>
        </w:tc>
      </w:tr>
      <w:tr>
        <w:trPr>
          <w:trHeight w:val="196"/>
        </w:trPr>
        <w:tc>
          <w:tcPr>
            <w:tcW w:w="3240" w:type="dxa"/>
            <w:vAlign w:val="bottom"/>
          </w:tcPr>
          <w:p>
            <w:pPr>
              <w:spacing w:after="0"/>
              <w:rPr>
                <w:sz w:val="17"/>
                <w:szCs w:val="17"/>
                <w:color w:val="auto"/>
              </w:rPr>
            </w:pPr>
          </w:p>
        </w:tc>
        <w:tc>
          <w:tcPr>
            <w:tcW w:w="3140" w:type="dxa"/>
            <w:vAlign w:val="bottom"/>
          </w:tcPr>
          <w:p>
            <w:pPr>
              <w:ind w:left="380"/>
              <w:spacing w:after="0"/>
              <w:rPr>
                <w:sz w:val="20"/>
                <w:szCs w:val="20"/>
                <w:color w:val="auto"/>
              </w:rPr>
            </w:pPr>
            <w:r>
              <w:rPr>
                <w:rFonts w:ascii="Arial" w:cs="Arial" w:eastAsia="Arial" w:hAnsi="Arial"/>
                <w:sz w:val="16"/>
                <w:szCs w:val="16"/>
                <w:color w:val="auto"/>
              </w:rPr>
              <w:t>by  the  following  non-cash  items:</w:t>
            </w:r>
          </w:p>
        </w:tc>
        <w:tc>
          <w:tcPr>
            <w:tcW w:w="4840" w:type="dxa"/>
            <w:vAlign w:val="bottom"/>
            <w:gridSpan w:val="2"/>
          </w:tcPr>
          <w:p>
            <w:pPr>
              <w:jc w:val="right"/>
              <w:spacing w:after="0"/>
              <w:rPr>
                <w:sz w:val="20"/>
                <w:szCs w:val="20"/>
                <w:color w:val="auto"/>
              </w:rPr>
            </w:pPr>
            <w:r>
              <w:rPr>
                <w:rFonts w:ascii="Arial" w:cs="Arial" w:eastAsia="Arial" w:hAnsi="Arial"/>
                <w:sz w:val="16"/>
                <w:szCs w:val="16"/>
                <w:color w:val="auto"/>
              </w:rPr>
              <w:t>share-based unrealized foreign exchange gain of $143 partially</w:t>
            </w:r>
          </w:p>
        </w:tc>
      </w:tr>
      <w:tr>
        <w:trPr>
          <w:trHeight w:val="196"/>
        </w:trPr>
        <w:tc>
          <w:tcPr>
            <w:tcW w:w="3240" w:type="dxa"/>
            <w:vAlign w:val="bottom"/>
          </w:tcPr>
          <w:p>
            <w:pPr>
              <w:spacing w:after="0"/>
              <w:rPr>
                <w:sz w:val="17"/>
                <w:szCs w:val="17"/>
                <w:color w:val="auto"/>
              </w:rPr>
            </w:pPr>
          </w:p>
        </w:tc>
        <w:tc>
          <w:tcPr>
            <w:tcW w:w="3960" w:type="dxa"/>
            <w:vAlign w:val="bottom"/>
            <w:gridSpan w:val="2"/>
          </w:tcPr>
          <w:p>
            <w:pPr>
              <w:ind w:left="380"/>
              <w:spacing w:after="0"/>
              <w:rPr>
                <w:sz w:val="20"/>
                <w:szCs w:val="20"/>
                <w:color w:val="auto"/>
              </w:rPr>
            </w:pPr>
            <w:r>
              <w:rPr>
                <w:rFonts w:ascii="Arial" w:cs="Arial" w:eastAsia="Arial" w:hAnsi="Arial"/>
                <w:sz w:val="16"/>
                <w:szCs w:val="16"/>
                <w:color w:val="auto"/>
              </w:rPr>
              <w:t>compensation of $4,457, change in fair value</w:t>
            </w:r>
          </w:p>
        </w:tc>
        <w:tc>
          <w:tcPr>
            <w:tcW w:w="4020" w:type="dxa"/>
            <w:vAlign w:val="bottom"/>
          </w:tcPr>
          <w:p>
            <w:pPr>
              <w:jc w:val="right"/>
              <w:spacing w:after="0"/>
              <w:rPr>
                <w:sz w:val="20"/>
                <w:szCs w:val="20"/>
                <w:color w:val="auto"/>
              </w:rPr>
            </w:pPr>
            <w:r>
              <w:rPr>
                <w:rFonts w:ascii="Arial" w:cs="Arial" w:eastAsia="Arial" w:hAnsi="Arial"/>
                <w:sz w:val="16"/>
                <w:szCs w:val="16"/>
                <w:color w:val="auto"/>
              </w:rPr>
              <w:t>of offset by the following non-cash items: share-based</w:t>
            </w:r>
          </w:p>
        </w:tc>
      </w:tr>
      <w:tr>
        <w:trPr>
          <w:trHeight w:val="196"/>
        </w:trPr>
        <w:tc>
          <w:tcPr>
            <w:tcW w:w="3240" w:type="dxa"/>
            <w:vAlign w:val="bottom"/>
          </w:tcPr>
          <w:p>
            <w:pPr>
              <w:spacing w:after="0"/>
              <w:rPr>
                <w:sz w:val="17"/>
                <w:szCs w:val="17"/>
                <w:color w:val="auto"/>
              </w:rPr>
            </w:pPr>
          </w:p>
        </w:tc>
        <w:tc>
          <w:tcPr>
            <w:tcW w:w="7980" w:type="dxa"/>
            <w:vAlign w:val="bottom"/>
            <w:gridSpan w:val="3"/>
          </w:tcPr>
          <w:p>
            <w:pPr>
              <w:ind w:left="380"/>
              <w:spacing w:after="0"/>
              <w:rPr>
                <w:sz w:val="20"/>
                <w:szCs w:val="20"/>
                <w:color w:val="auto"/>
              </w:rPr>
            </w:pPr>
            <w:r>
              <w:rPr>
                <w:rFonts w:ascii="Arial" w:cs="Arial" w:eastAsia="Arial" w:hAnsi="Arial"/>
                <w:sz w:val="16"/>
                <w:szCs w:val="16"/>
                <w:color w:val="auto"/>
              </w:rPr>
              <w:t>contingent consideration of $695, unrealized foreign compensation of $14,687, change in fair value of</w:t>
            </w:r>
          </w:p>
        </w:tc>
      </w:tr>
      <w:tr>
        <w:trPr>
          <w:trHeight w:val="196"/>
        </w:trPr>
        <w:tc>
          <w:tcPr>
            <w:tcW w:w="3240" w:type="dxa"/>
            <w:vAlign w:val="bottom"/>
          </w:tcPr>
          <w:p>
            <w:pPr>
              <w:spacing w:after="0"/>
              <w:rPr>
                <w:sz w:val="17"/>
                <w:szCs w:val="17"/>
                <w:color w:val="auto"/>
              </w:rPr>
            </w:pPr>
          </w:p>
        </w:tc>
        <w:tc>
          <w:tcPr>
            <w:tcW w:w="3140" w:type="dxa"/>
            <w:vAlign w:val="bottom"/>
          </w:tcPr>
          <w:p>
            <w:pPr>
              <w:ind w:left="380"/>
              <w:spacing w:after="0"/>
              <w:rPr>
                <w:sz w:val="20"/>
                <w:szCs w:val="20"/>
                <w:color w:val="auto"/>
              </w:rPr>
            </w:pPr>
            <w:r>
              <w:rPr>
                <w:rFonts w:ascii="Arial" w:cs="Arial" w:eastAsia="Arial" w:hAnsi="Arial"/>
                <w:sz w:val="16"/>
                <w:szCs w:val="16"/>
                <w:color w:val="auto"/>
              </w:rPr>
              <w:t>exchange  loss  of  $16  contingent</w:t>
            </w:r>
          </w:p>
        </w:tc>
        <w:tc>
          <w:tcPr>
            <w:tcW w:w="4840" w:type="dxa"/>
            <w:vAlign w:val="bottom"/>
            <w:gridSpan w:val="2"/>
          </w:tcPr>
          <w:p>
            <w:pPr>
              <w:jc w:val="right"/>
              <w:spacing w:after="0"/>
              <w:rPr>
                <w:sz w:val="20"/>
                <w:szCs w:val="20"/>
                <w:color w:val="auto"/>
              </w:rPr>
            </w:pPr>
            <w:r>
              <w:rPr>
                <w:rFonts w:ascii="Arial" w:cs="Arial" w:eastAsia="Arial" w:hAnsi="Arial"/>
                <w:sz w:val="16"/>
                <w:szCs w:val="16"/>
                <w:color w:val="auto"/>
              </w:rPr>
              <w:t>consideration contingent  consideration  of  $1,944,  contingent</w:t>
            </w:r>
          </w:p>
        </w:tc>
      </w:tr>
      <w:tr>
        <w:trPr>
          <w:trHeight w:val="196"/>
        </w:trPr>
        <w:tc>
          <w:tcPr>
            <w:tcW w:w="3240" w:type="dxa"/>
            <w:vAlign w:val="bottom"/>
          </w:tcPr>
          <w:p>
            <w:pPr>
              <w:spacing w:after="0"/>
              <w:rPr>
                <w:sz w:val="17"/>
                <w:szCs w:val="17"/>
                <w:color w:val="auto"/>
              </w:rPr>
            </w:pPr>
          </w:p>
        </w:tc>
        <w:tc>
          <w:tcPr>
            <w:tcW w:w="3960" w:type="dxa"/>
            <w:vAlign w:val="bottom"/>
            <w:gridSpan w:val="2"/>
          </w:tcPr>
          <w:p>
            <w:pPr>
              <w:ind w:left="380"/>
              <w:spacing w:after="0"/>
              <w:rPr>
                <w:sz w:val="20"/>
                <w:szCs w:val="20"/>
                <w:color w:val="auto"/>
              </w:rPr>
            </w:pPr>
            <w:r>
              <w:rPr>
                <w:rFonts w:ascii="Arial" w:cs="Arial" w:eastAsia="Arial" w:hAnsi="Arial"/>
                <w:sz w:val="16"/>
                <w:szCs w:val="16"/>
                <w:color w:val="auto"/>
              </w:rPr>
              <w:t>accretion of $59 and depreciation of $44.</w:t>
            </w:r>
          </w:p>
        </w:tc>
        <w:tc>
          <w:tcPr>
            <w:tcW w:w="4020" w:type="dxa"/>
            <w:vAlign w:val="bottom"/>
          </w:tcPr>
          <w:p>
            <w:pPr>
              <w:jc w:val="right"/>
              <w:spacing w:after="0"/>
              <w:rPr>
                <w:sz w:val="20"/>
                <w:szCs w:val="20"/>
                <w:color w:val="auto"/>
              </w:rPr>
            </w:pPr>
            <w:r>
              <w:rPr>
                <w:rFonts w:ascii="Arial" w:cs="Arial" w:eastAsia="Arial" w:hAnsi="Arial"/>
                <w:sz w:val="16"/>
                <w:szCs w:val="16"/>
                <w:color w:val="auto"/>
              </w:rPr>
              <w:t>consideration accretion of $290 and depreciation of</w:t>
            </w:r>
          </w:p>
        </w:tc>
      </w:tr>
      <w:tr>
        <w:trPr>
          <w:trHeight w:val="196"/>
        </w:trPr>
        <w:tc>
          <w:tcPr>
            <w:tcW w:w="32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20" w:type="dxa"/>
            <w:vAlign w:val="bottom"/>
          </w:tcPr>
          <w:p>
            <w:pPr>
              <w:jc w:val="right"/>
              <w:ind w:right="3298"/>
              <w:spacing w:after="0"/>
              <w:rPr>
                <w:sz w:val="20"/>
                <w:szCs w:val="20"/>
                <w:color w:val="auto"/>
              </w:rPr>
            </w:pPr>
            <w:r>
              <w:rPr>
                <w:rFonts w:ascii="Arial" w:cs="Arial" w:eastAsia="Arial" w:hAnsi="Arial"/>
                <w:sz w:val="16"/>
                <w:szCs w:val="16"/>
                <w:color w:val="auto"/>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-1792605</wp:posOffset>
            </wp:positionV>
            <wp:extent cx="7122160" cy="2990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2160" cy="2990215"/>
                    </a:xfrm>
                    <a:prstGeom prst="rect">
                      <a:avLst/>
                    </a:prstGeom>
                    <a:noFill/>
                  </pic:spPr>
                </pic:pic>
              </a:graphicData>
            </a:graphic>
          </wp:anchor>
        </w:drawing>
      </w:r>
    </w:p>
    <w:p>
      <w:pPr>
        <w:sectPr>
          <w:pgSz w:w="11900" w:h="16838" w:orient="portrait"/>
          <w:cols w:equalWidth="0" w:num="1">
            <w:col w:w="11260"/>
          </w:cols>
          <w:pgMar w:left="320" w:top="755" w:right="319" w:bottom="1440" w:gutter="0" w:footer="0" w:header="0"/>
        </w:sectPr>
      </w:pPr>
    </w:p>
    <w:p>
      <w:pPr>
        <w:spacing w:after="0" w:line="41" w:lineRule="exact"/>
        <w:rPr>
          <w:sz w:val="20"/>
          <w:szCs w:val="20"/>
          <w:color w:val="auto"/>
        </w:rPr>
      </w:pPr>
    </w:p>
    <w:p>
      <w:pPr>
        <w:ind w:left="20"/>
        <w:spacing w:after="0"/>
        <w:tabs>
          <w:tab w:leader="none" w:pos="3600" w:val="left"/>
        </w:tabs>
        <w:rPr>
          <w:sz w:val="20"/>
          <w:szCs w:val="20"/>
          <w:color w:val="auto"/>
        </w:rPr>
      </w:pPr>
      <w:r>
        <w:rPr>
          <w:rFonts w:ascii="Arial" w:cs="Arial" w:eastAsia="Arial" w:hAnsi="Arial"/>
          <w:sz w:val="16"/>
          <w:szCs w:val="16"/>
          <w:b w:val="1"/>
          <w:bCs w:val="1"/>
          <w:color w:val="auto"/>
        </w:rPr>
        <w:t>Net cash used in investing activities</w:t>
      </w:r>
      <w:r>
        <w:rPr>
          <w:sz w:val="20"/>
          <w:szCs w:val="20"/>
          <w:color w:val="auto"/>
        </w:rPr>
        <w:tab/>
      </w:r>
      <w:r>
        <w:rPr>
          <w:rFonts w:ascii="Arial" w:cs="Arial" w:eastAsia="Arial" w:hAnsi="Arial"/>
          <w:sz w:val="16"/>
          <w:szCs w:val="16"/>
          <w:color w:val="auto"/>
        </w:rPr>
        <w:t>For the three-month period ended December 31,</w:t>
      </w:r>
    </w:p>
    <w:p>
      <w:pPr>
        <w:spacing w:after="0" w:line="32"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2021, cash flows were mainly driven by:</w:t>
      </w:r>
    </w:p>
    <w:p>
      <w:pPr>
        <w:spacing w:after="0" w:line="1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 purchase of intangible assets of $144, and</w:t>
      </w:r>
    </w:p>
    <w:p>
      <w:pPr>
        <w:spacing w:after="0" w:line="1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 purchase of equipment of $22.</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400"/>
        <w:spacing w:after="0" w:line="247" w:lineRule="auto"/>
        <w:rPr>
          <w:sz w:val="20"/>
          <w:szCs w:val="20"/>
          <w:color w:val="auto"/>
        </w:rPr>
      </w:pPr>
      <w:r>
        <w:rPr>
          <w:rFonts w:ascii="Arial" w:cs="Arial" w:eastAsia="Arial" w:hAnsi="Arial"/>
          <w:sz w:val="16"/>
          <w:szCs w:val="16"/>
          <w:color w:val="auto"/>
        </w:rPr>
        <w:t>For the nine-month period ended December 31, 2021, cash flows were mainly driven by:</w:t>
      </w:r>
    </w:p>
    <w:p>
      <w:pPr>
        <w:ind w:left="280" w:hanging="127"/>
        <w:spacing w:after="0"/>
        <w:tabs>
          <w:tab w:leader="none" w:pos="2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investment in RxLive Limited of $250,</w:t>
      </w:r>
    </w:p>
    <w:p>
      <w:pPr>
        <w:ind w:left="280" w:hanging="127"/>
        <w:spacing w:after="0"/>
        <w:tabs>
          <w:tab w:leader="none" w:pos="2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purchase of intangible assets of $307, and</w:t>
      </w:r>
    </w:p>
    <w:p>
      <w:pPr>
        <w:spacing w:after="0" w:line="11" w:lineRule="exact"/>
        <w:rPr>
          <w:rFonts w:ascii="Arial" w:cs="Arial" w:eastAsia="Arial" w:hAnsi="Arial"/>
          <w:sz w:val="16"/>
          <w:szCs w:val="16"/>
          <w:color w:val="auto"/>
        </w:rPr>
      </w:pPr>
    </w:p>
    <w:p>
      <w:pPr>
        <w:ind w:left="280" w:hanging="127"/>
        <w:spacing w:after="0"/>
        <w:tabs>
          <w:tab w:leader="none" w:pos="2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purchase of equipment of $92.</w:t>
      </w:r>
    </w:p>
    <w:p>
      <w:pPr>
        <w:spacing w:after="0" w:line="53" w:lineRule="exact"/>
        <w:rPr>
          <w:sz w:val="20"/>
          <w:szCs w:val="20"/>
          <w:color w:val="auto"/>
        </w:rPr>
      </w:pPr>
    </w:p>
    <w:p>
      <w:pPr>
        <w:sectPr>
          <w:pgSz w:w="11900" w:h="16838" w:orient="portrait"/>
          <w:cols w:equalWidth="0" w:num="2">
            <w:col w:w="7120" w:space="300"/>
            <w:col w:w="3840"/>
          </w:cols>
          <w:pgMar w:left="320" w:top="755" w:right="319" w:bottom="1440" w:gutter="0" w:footer="0" w:header="0"/>
          <w:type w:val="continuous"/>
        </w:sectPr>
      </w:pPr>
    </w:p>
    <w:p>
      <w:pPr>
        <w:jc w:val="both"/>
        <w:ind w:left="3620" w:right="60" w:hanging="3607"/>
        <w:spacing w:after="0" w:line="260" w:lineRule="auto"/>
        <w:tabs>
          <w:tab w:leader="none" w:pos="3600" w:val="left"/>
        </w:tabs>
        <w:rPr>
          <w:sz w:val="20"/>
          <w:szCs w:val="20"/>
          <w:color w:val="auto"/>
        </w:rPr>
      </w:pPr>
      <w:r>
        <w:rPr>
          <w:rFonts w:ascii="Arial" w:cs="Arial" w:eastAsia="Arial" w:hAnsi="Arial"/>
          <w:sz w:val="16"/>
          <w:szCs w:val="16"/>
          <w:b w:val="1"/>
          <w:bCs w:val="1"/>
          <w:color w:val="auto"/>
        </w:rPr>
        <w:t>Net cash from (used in) financing activities</w:t>
      </w:r>
      <w:r>
        <w:rPr>
          <w:sz w:val="20"/>
          <w:szCs w:val="20"/>
          <w:color w:val="auto"/>
        </w:rPr>
        <w:tab/>
      </w:r>
      <w:r>
        <w:rPr>
          <w:rFonts w:ascii="Arial" w:cs="Arial" w:eastAsia="Arial" w:hAnsi="Arial"/>
          <w:sz w:val="16"/>
          <w:szCs w:val="16"/>
          <w:color w:val="auto"/>
        </w:rPr>
        <w:t>For the nine-month period ended December 31, 2021, cash generated from financing activities were mainly related to the net proceeds of $31,508 received as a result of the issuance of common shares completed in August. In addition, the Company received $1,400 during the three-month period and $4,202 during the nine-month period, related to the exercise of warrants and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712216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2160" cy="7620"/>
                    </a:xfrm>
                    <a:prstGeom prst="rect">
                      <a:avLst/>
                    </a:prstGeom>
                    <a:noFill/>
                  </pic:spPr>
                </pic:pic>
              </a:graphicData>
            </a:graphic>
          </wp:anchor>
        </w:drawing>
      </w:r>
    </w:p>
    <w:p>
      <w:pPr>
        <w:spacing w:after="0" w:line="28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On August 3, 2021, the Company closed its overnight marketed offering of 10,147,600 Common Shares at a price of $3.40 per Common Share (the “</w:t>
      </w:r>
      <w:r>
        <w:rPr>
          <w:rFonts w:ascii="Arial" w:cs="Arial" w:eastAsia="Arial" w:hAnsi="Arial"/>
          <w:sz w:val="18"/>
          <w:szCs w:val="18"/>
          <w:b w:val="1"/>
          <w:bCs w:val="1"/>
          <w:color w:val="auto"/>
        </w:rPr>
        <w:t>Issue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 for aggregate gross proceeds of $34,502 (the “</w:t>
      </w:r>
      <w:r>
        <w:rPr>
          <w:rFonts w:ascii="Arial" w:cs="Arial" w:eastAsia="Arial" w:hAnsi="Arial"/>
          <w:sz w:val="18"/>
          <w:szCs w:val="18"/>
          <w:b w:val="1"/>
          <w:bCs w:val="1"/>
          <w:color w:val="auto"/>
        </w:rPr>
        <w:t>Public Offering</w:t>
      </w:r>
      <w:r>
        <w:rPr>
          <w:rFonts w:ascii="Arial" w:cs="Arial" w:eastAsia="Arial" w:hAnsi="Arial"/>
          <w:sz w:val="18"/>
          <w:szCs w:val="18"/>
          <w:color w:val="auto"/>
        </w:rPr>
        <w:t>”) pursuant to the July 2021 Prospectus. The Public Offering was co-led by Cantor</w:t>
      </w:r>
      <w:r>
        <w:rPr>
          <w:rFonts w:ascii="Arial" w:cs="Arial" w:eastAsia="Arial" w:hAnsi="Arial"/>
          <w:sz w:val="18"/>
          <w:szCs w:val="18"/>
          <w:b w:val="1"/>
          <w:bCs w:val="1"/>
          <w:color w:val="auto"/>
        </w:rPr>
        <w:t xml:space="preserve"> </w:t>
      </w:r>
      <w:r>
        <w:rPr>
          <w:rFonts w:ascii="Arial" w:cs="Arial" w:eastAsia="Arial" w:hAnsi="Arial"/>
          <w:sz w:val="18"/>
          <w:szCs w:val="18"/>
          <w:color w:val="auto"/>
        </w:rPr>
        <w:t>Fitzgerald Canada Corporation and Canaccord Genuity Corp., as joint bookrunners, on behalf of a syndicate of underwriters, which included H.C. Wainwright &amp; Co., LLC, Roth Canada, ULC, and Stifel Nicolaus Canada Inc. (collectively, the “</w:t>
      </w:r>
      <w:r>
        <w:rPr>
          <w:rFonts w:ascii="Arial" w:cs="Arial" w:eastAsia="Arial" w:hAnsi="Arial"/>
          <w:sz w:val="18"/>
          <w:szCs w:val="18"/>
          <w:b w:val="1"/>
          <w:bCs w:val="1"/>
          <w:color w:val="auto"/>
        </w:rPr>
        <w:t>Underwriters</w:t>
      </w:r>
      <w:r>
        <w:rPr>
          <w:rFonts w:ascii="Arial" w:cs="Arial" w:eastAsia="Arial" w:hAnsi="Arial"/>
          <w:sz w:val="18"/>
          <w:szCs w:val="18"/>
          <w:color w:val="auto"/>
        </w:rPr>
        <w:t>”). In consideration for their services, the Company paid to the Underwriters a cash commission equal to $2,240 and issued 658,860 compensation warrants of the Company (the “</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w:t>
      </w:r>
      <w:r>
        <w:rPr>
          <w:rFonts w:ascii="Arial" w:cs="Arial" w:eastAsia="Arial" w:hAnsi="Arial"/>
          <w:sz w:val="18"/>
          <w:szCs w:val="18"/>
          <w:b w:val="1"/>
          <w:bCs w:val="1"/>
          <w:color w:val="auto"/>
        </w:rPr>
        <w:t>Warrants</w:t>
      </w:r>
      <w:r>
        <w:rPr>
          <w:rFonts w:ascii="Arial" w:cs="Arial" w:eastAsia="Arial" w:hAnsi="Arial"/>
          <w:sz w:val="18"/>
          <w:szCs w:val="18"/>
          <w:color w:val="auto"/>
        </w:rPr>
        <w:t>”), with each Compensation Warrant being exercisable to acquire one Common Share at the Issue Price for a period of 24 months from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the Public Offering.</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at December 31, 2021, the Company had working capital of $63,079. The Company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8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Company intends to continue its rapid growth and expand its operations in the next twelve to twenty-four months. This growth, along with the expectation of operating at a loss for at minimum the next 12 months, will diminish the Company’s working capital. As such, further financings may be required to develop the Company’s facility and products,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320" w:top="755" w:right="319" w:bottom="1440" w:gutter="0" w:footer="0" w:header="0"/>
          <w:type w:val="continuous"/>
        </w:sectPr>
      </w:pPr>
    </w:p>
    <w:bookmarkStart w:id="68" w:name="page69"/>
    <w:bookmarkEnd w:id="68"/>
    <w:p>
      <w:pPr>
        <w:jc w:val="both"/>
        <w:spacing w:after="0" w:line="261" w:lineRule="auto"/>
        <w:rPr>
          <w:sz w:val="20"/>
          <w:szCs w:val="20"/>
          <w:color w:val="auto"/>
        </w:rPr>
      </w:pPr>
      <w:r>
        <w:rPr>
          <w:rFonts w:ascii="Arial" w:cs="Arial" w:eastAsia="Arial" w:hAnsi="Arial"/>
          <w:sz w:val="17"/>
          <w:szCs w:val="17"/>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58"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Company’s current expenditure obligations include commitments for those projects described in the section entitled “</w:t>
      </w:r>
      <w:r>
        <w:rPr>
          <w:rFonts w:ascii="Arial" w:cs="Arial" w:eastAsia="Arial" w:hAnsi="Arial"/>
          <w:sz w:val="17"/>
          <w:szCs w:val="17"/>
          <w:i w:val="1"/>
          <w:iCs w:val="1"/>
          <w:color w:val="auto"/>
        </w:rPr>
        <w:t>Major Objectives</w:t>
      </w:r>
      <w:r>
        <w:rPr>
          <w:rFonts w:ascii="Arial" w:cs="Arial" w:eastAsia="Arial" w:hAnsi="Arial"/>
          <w:sz w:val="17"/>
          <w:szCs w:val="17"/>
          <w:color w:val="auto"/>
        </w:rPr>
        <w:t>” in this MD&amp;A. The Company expects to continue funding these projects with available cash and cash equivalents, and 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5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constantly monitors and manages its capital resources to assess the liquidity necessary to fund operations and capacity expansion. As at December 31, 2021, the Company had a cash and cash equivalent balance of $63,580 and current liabilities of $6,065, of which $3,020 represent non-cash liabilities. The Company’s current resources are sufficient to settle its current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raise the capital necessary to become a fully operational enterprise.</w:t>
      </w:r>
    </w:p>
    <w:p>
      <w:pPr>
        <w:spacing w:after="0" w:line="197"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56"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As the Company has not yet achieved profitability, there are uncertainties regarding its ability to continue as a going concern.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“Risk Factors”.</w:t>
      </w:r>
    </w:p>
    <w:p>
      <w:pPr>
        <w:spacing w:after="0" w:line="157"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The Company raised capital pursuant to the February 2021 Prospectus and the July 2021 Prospectus to continue to support its strategic plan.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320" w:top="710" w:right="31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9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As at December 31, 2021, the Company had also entered into agreements for various studies which may require the Company to spend up to an additional US$6,070. The Company expects to pay this amount within the next 18 months, however the timing and certainty of the payments are contingent on availability of materials and successful completion of certain milestones. The Company has the right to cancel the preclinical studies at its discretion, in which case a cancellation fee may apply, however the Company is not liable to pay the full amount of the study.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out the outstanding share capital of the Company as at December 31, 2021 and as of the date of this MD&amp;A:</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4280" w:type="dxa"/>
            <w:vAlign w:val="bottom"/>
            <w:tcBorders>
              <w:top w:val="single" w:sz="8" w:color="auto"/>
              <w:left w:val="single" w:sz="8" w:color="auto"/>
              <w:bottom w:val="single" w:sz="8" w:color="DBDBDB"/>
              <w:right w:val="single" w:sz="8" w:color="auto"/>
            </w:tcBorders>
            <w:shd w:val="clear" w:color="auto" w:fill="DBDBDB"/>
          </w:tcPr>
          <w:p>
            <w:pPr>
              <w:ind w:left="1540"/>
              <w:spacing w:after="0"/>
              <w:rPr>
                <w:sz w:val="20"/>
                <w:szCs w:val="20"/>
                <w:color w:val="auto"/>
              </w:rPr>
            </w:pPr>
            <w:r>
              <w:rPr>
                <w:rFonts w:ascii="Arial" w:cs="Arial" w:eastAsia="Arial" w:hAnsi="Arial"/>
                <w:sz w:val="16"/>
                <w:szCs w:val="16"/>
                <w:b w:val="1"/>
                <w:bCs w:val="1"/>
                <w:color w:val="auto"/>
              </w:rPr>
              <w:t>Class of Security</w:t>
            </w:r>
          </w:p>
        </w:tc>
        <w:tc>
          <w:tcPr>
            <w:tcW w:w="3220" w:type="dxa"/>
            <w:vAlign w:val="bottom"/>
            <w:tcBorders>
              <w:top w:val="single" w:sz="8" w:color="auto"/>
              <w:bottom w:val="single" w:sz="8" w:color="DBDBDB"/>
              <w:right w:val="single" w:sz="8" w:color="auto"/>
            </w:tcBorders>
            <w:shd w:val="clear" w:color="auto" w:fill="DBDBDB"/>
          </w:tcPr>
          <w:p>
            <w:pPr>
              <w:jc w:val="right"/>
              <w:ind w:right="698"/>
              <w:spacing w:after="0"/>
              <w:rPr>
                <w:sz w:val="20"/>
                <w:szCs w:val="20"/>
                <w:color w:val="auto"/>
              </w:rPr>
            </w:pPr>
            <w:r>
              <w:rPr>
                <w:rFonts w:ascii="Arial" w:cs="Arial" w:eastAsia="Arial" w:hAnsi="Arial"/>
                <w:sz w:val="16"/>
                <w:szCs w:val="16"/>
                <w:b w:val="1"/>
                <w:bCs w:val="1"/>
                <w:color w:val="auto"/>
              </w:rPr>
              <w:t>As of December 31, 2021</w:t>
            </w:r>
          </w:p>
        </w:tc>
        <w:tc>
          <w:tcPr>
            <w:tcW w:w="3660" w:type="dxa"/>
            <w:vAlign w:val="bottom"/>
            <w:tcBorders>
              <w:top w:val="single" w:sz="8" w:color="auto"/>
              <w:bottom w:val="single" w:sz="8" w:color="DBDBDB"/>
              <w:right w:val="single" w:sz="8" w:color="auto"/>
            </w:tcBorders>
            <w:shd w:val="clear" w:color="auto" w:fill="DBDBDB"/>
          </w:tcPr>
          <w:p>
            <w:pPr>
              <w:jc w:val="right"/>
              <w:ind w:right="778"/>
              <w:spacing w:after="0"/>
              <w:rPr>
                <w:sz w:val="20"/>
                <w:szCs w:val="20"/>
                <w:color w:val="auto"/>
              </w:rPr>
            </w:pPr>
            <w:r>
              <w:rPr>
                <w:rFonts w:ascii="Arial" w:cs="Arial" w:eastAsia="Arial" w:hAnsi="Arial"/>
                <w:sz w:val="16"/>
                <w:szCs w:val="16"/>
                <w:b w:val="1"/>
                <w:bCs w:val="1"/>
                <w:color w:val="auto"/>
              </w:rPr>
              <w:t>As of the date of this MD&amp;A</w:t>
            </w:r>
          </w:p>
        </w:tc>
      </w:tr>
      <w:tr>
        <w:trPr>
          <w:trHeight w:val="211"/>
        </w:trPr>
        <w:tc>
          <w:tcPr>
            <w:tcW w:w="42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Common Shares</w:t>
            </w:r>
          </w:p>
        </w:tc>
        <w:tc>
          <w:tcPr>
            <w:tcW w:w="322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6"/>
                <w:szCs w:val="16"/>
                <w:color w:val="auto"/>
              </w:rPr>
              <w:t>162,634,058</w:t>
            </w:r>
          </w:p>
        </w:tc>
        <w:tc>
          <w:tcPr>
            <w:tcW w:w="36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163,220,858</w:t>
            </w:r>
          </w:p>
        </w:tc>
      </w:tr>
      <w:tr>
        <w:trPr>
          <w:trHeight w:val="25"/>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Stock options</w:t>
            </w:r>
          </w:p>
        </w:tc>
        <w:tc>
          <w:tcPr>
            <w:tcW w:w="32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27,876,902</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27,876,902</w:t>
            </w:r>
          </w:p>
        </w:tc>
      </w:tr>
      <w:tr>
        <w:trPr>
          <w:trHeight w:val="25"/>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Underwriters Warrants</w:t>
            </w:r>
          </w:p>
        </w:tc>
        <w:tc>
          <w:tcPr>
            <w:tcW w:w="32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868,740</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868,740</w:t>
            </w:r>
          </w:p>
        </w:tc>
      </w:tr>
      <w:tr>
        <w:trPr>
          <w:trHeight w:val="25"/>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Common Share purchase warrants</w:t>
            </w:r>
          </w:p>
        </w:tc>
        <w:tc>
          <w:tcPr>
            <w:tcW w:w="32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26,101,421</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26,101,421</w:t>
            </w:r>
          </w:p>
        </w:tc>
      </w:tr>
      <w:tr>
        <w:trPr>
          <w:trHeight w:val="25"/>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86"/>
        </w:trPr>
        <w:tc>
          <w:tcPr>
            <w:tcW w:w="4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 xml:space="preserve">Class B Shares (as defined below) </w:t>
            </w:r>
            <w:r>
              <w:rPr>
                <w:rFonts w:ascii="Arial" w:cs="Arial" w:eastAsia="Arial" w:hAnsi="Arial"/>
                <w:sz w:val="21"/>
                <w:szCs w:val="21"/>
                <w:color w:val="auto"/>
                <w:vertAlign w:val="superscript"/>
              </w:rPr>
              <w:t>(1)</w:t>
            </w:r>
          </w:p>
        </w:tc>
        <w:tc>
          <w:tcPr>
            <w:tcW w:w="32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1,066,826.0</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1,023,757.4</w:t>
            </w:r>
          </w:p>
        </w:tc>
      </w:tr>
      <w:tr>
        <w:trPr>
          <w:trHeight w:val="146"/>
        </w:trPr>
        <w:tc>
          <w:tcPr>
            <w:tcW w:w="4280" w:type="dxa"/>
            <w:vAlign w:val="bottom"/>
            <w:tcBorders>
              <w:left w:val="single" w:sz="8" w:color="auto"/>
              <w:bottom w:val="single" w:sz="8" w:color="auto"/>
              <w:right w:val="single" w:sz="8" w:color="auto"/>
            </w:tcBorders>
          </w:tcPr>
          <w:p>
            <w:pPr>
              <w:spacing w:after="0"/>
              <w:rPr>
                <w:sz w:val="12"/>
                <w:szCs w:val="12"/>
                <w:color w:val="auto"/>
              </w:rPr>
            </w:pPr>
          </w:p>
        </w:tc>
        <w:tc>
          <w:tcPr>
            <w:tcW w:w="3220" w:type="dxa"/>
            <w:vAlign w:val="bottom"/>
            <w:tcBorders>
              <w:bottom w:val="single" w:sz="8" w:color="auto"/>
              <w:right w:val="single" w:sz="8" w:color="auto"/>
            </w:tcBorders>
          </w:tcPr>
          <w:p>
            <w:pPr>
              <w:spacing w:after="0"/>
              <w:rPr>
                <w:sz w:val="12"/>
                <w:szCs w:val="12"/>
                <w:color w:val="auto"/>
              </w:rPr>
            </w:pPr>
          </w:p>
        </w:tc>
        <w:tc>
          <w:tcPr>
            <w:tcW w:w="3660" w:type="dxa"/>
            <w:vAlign w:val="bottom"/>
            <w:tcBorders>
              <w:bottom w:val="single" w:sz="8" w:color="auto"/>
              <w:right w:val="single" w:sz="8" w:color="auto"/>
            </w:tcBorders>
          </w:tcPr>
          <w:p>
            <w:pPr>
              <w:spacing w:after="0"/>
              <w:rPr>
                <w:sz w:val="12"/>
                <w:szCs w:val="1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Note:</w:t>
      </w:r>
    </w:p>
    <w:p>
      <w:pPr>
        <w:spacing w:after="0" w:line="48" w:lineRule="exact"/>
        <w:rPr>
          <w:sz w:val="20"/>
          <w:szCs w:val="20"/>
          <w:color w:val="auto"/>
        </w:rPr>
      </w:pPr>
    </w:p>
    <w:p>
      <w:pPr>
        <w:ind w:left="580" w:right="20" w:firstLine="5"/>
        <w:spacing w:after="0" w:line="275" w:lineRule="auto"/>
        <w:tabs>
          <w:tab w:leader="none" w:pos="8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Class B Shares are exchangeable for Common Shares, on the basis of 10 Common Shares for each Class B Share, at the option of the holder thereof, subject to customary adjustments.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Shares</w:t>
      </w:r>
    </w:p>
    <w:p>
      <w:pPr>
        <w:spacing w:after="0" w:line="19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authorized capital of the Company consists of an unlimited number of Common Shares without par value and an unlimited number of preferred shares. As of December 31, 2021, 162,634,058 Common Shares were outstanding and no preferred shares are issued and outstanding. As of the date of this MD&amp;A, 163,220,858 Common Shares are outstanding (see “Subsequent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As of December 31, 2021, options to purchase up to 27,876,902 Common Shares were outstanding under Cybin’s equity incentive plan. As of the date of this MD&amp;A, options to purchase up to 27,876,902 Common Shares are outstanding.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Underwriter’s Warrants</w:t>
      </w:r>
    </w:p>
    <w:p>
      <w:pPr>
        <w:spacing w:after="0" w:line="197"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As of December 31, 2021 and as of the date of this MD&amp;A, underwriter’s warrants to purchase up to 868,740 units of the Company at an exercise price of $2.25 per unit are outstanding, with each unit consisting of one Common Share and one half of one Common Share purchase warrants, with each Common Share purchase warrant being exercisable to acquire one Common Share at an exercise price of $3.25 per Common Share for a period of 36 months.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 Purchase Warrants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2021, warrants to purchase up to 26,101,421 Common Shares were outstanding, exercisable at weighted average exercise price of $1.20 per Common Share. As of the date of this MD&amp;A, warrants to purchase up to 26,101,421 Common Shares were outstanding, exercisable at a weighted average exercise price of $1.20 per Common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Shares</w:t>
      </w:r>
    </w:p>
    <w:p>
      <w:pPr>
        <w:spacing w:after="0" w:line="22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In connection with the Adelia Transaction (see “Acquisitions”), Cybin U.S. (a subsidiary of the Company) has issued 868,833 Class B Shares. The Class B Shares are exchangeable at the holder’s option for Common Shares on the basis of 10 Common Shares for 1 Class B Share, subject to customary adjustments. As of December 31, 2021 1,066,826 Class B Shares were outstanding and as of the date of this MD&amp;A, 1,023,757.4 Class B Shares were outstanding.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320" w:top="710"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December 4, 2020, Cybin entered into a contribution agreement, as amended on September 24, 2021, (the “</w:t>
      </w:r>
      <w:r>
        <w:rPr>
          <w:rFonts w:ascii="Arial" w:cs="Arial" w:eastAsia="Arial" w:hAnsi="Arial"/>
          <w:sz w:val="17"/>
          <w:szCs w:val="17"/>
          <w:b w:val="1"/>
          <w:bCs w:val="1"/>
          <w:color w:val="auto"/>
        </w:rPr>
        <w:t>Contribution Agreement</w:t>
      </w:r>
      <w:r>
        <w:rPr>
          <w:rFonts w:ascii="Arial" w:cs="Arial" w:eastAsia="Arial" w:hAnsi="Arial"/>
          <w:sz w:val="17"/>
          <w:szCs w:val="17"/>
          <w:color w:val="auto"/>
        </w:rPr>
        <w:t>”) with Cybin Corp., Cybin U.S. (the “</w:t>
      </w:r>
      <w:r>
        <w:rPr>
          <w:rFonts w:ascii="Arial" w:cs="Arial" w:eastAsia="Arial" w:hAnsi="Arial"/>
          <w:sz w:val="17"/>
          <w:szCs w:val="17"/>
          <w:b w:val="1"/>
          <w:bCs w:val="1"/>
          <w:color w:val="auto"/>
        </w:rPr>
        <w:t>Acquiror</w:t>
      </w:r>
      <w:r>
        <w:rPr>
          <w:rFonts w:ascii="Arial" w:cs="Arial" w:eastAsia="Arial" w:hAnsi="Arial"/>
          <w:sz w:val="17"/>
          <w:szCs w:val="17"/>
          <w:color w:val="auto"/>
        </w:rPr>
        <w:t>”), a newly formed fully-controlled subsidiary of Cybin created for the purposes of the acquisition (the “</w:t>
      </w:r>
      <w:r>
        <w:rPr>
          <w:rFonts w:ascii="Arial" w:cs="Arial" w:eastAsia="Arial" w:hAnsi="Arial"/>
          <w:sz w:val="17"/>
          <w:szCs w:val="17"/>
          <w:b w:val="1"/>
          <w:bCs w:val="1"/>
          <w:color w:val="auto"/>
        </w:rPr>
        <w:t>Adelia</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w:t>
      </w:r>
      <w:r>
        <w:rPr>
          <w:rFonts w:ascii="Arial" w:cs="Arial" w:eastAsia="Arial" w:hAnsi="Arial"/>
          <w:sz w:val="17"/>
          <w:szCs w:val="17"/>
          <w:color w:val="auto"/>
        </w:rPr>
        <w:t>”), and all of the shareholders of Adelia Therapeutics Inc. (the “</w:t>
      </w:r>
      <w:r>
        <w:rPr>
          <w:rFonts w:ascii="Arial" w:cs="Arial" w:eastAsia="Arial" w:hAnsi="Arial"/>
          <w:sz w:val="17"/>
          <w:szCs w:val="17"/>
          <w:b w:val="1"/>
          <w:bCs w:val="1"/>
          <w:color w:val="auto"/>
        </w:rPr>
        <w:t>Adelia Shareholders</w:t>
      </w:r>
      <w:r>
        <w:rPr>
          <w:rFonts w:ascii="Arial" w:cs="Arial" w:eastAsia="Arial" w:hAnsi="Arial"/>
          <w:sz w:val="17"/>
          <w:szCs w:val="17"/>
          <w:color w:val="auto"/>
        </w:rPr>
        <w:t>”) whereby the Acquiror has agreed to purchase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Adelia Shareholders all of the issued and outstanding common shares of Adelia (the “</w:t>
      </w:r>
      <w:r>
        <w:rPr>
          <w:rFonts w:ascii="Arial" w:cs="Arial" w:eastAsia="Arial" w:hAnsi="Arial"/>
          <w:sz w:val="17"/>
          <w:szCs w:val="17"/>
          <w:b w:val="1"/>
          <w:bCs w:val="1"/>
          <w:color w:val="auto"/>
        </w:rPr>
        <w:t>Adelia Shares</w:t>
      </w:r>
      <w:r>
        <w:rPr>
          <w:rFonts w:ascii="Arial" w:cs="Arial" w:eastAsia="Arial" w:hAnsi="Arial"/>
          <w:sz w:val="17"/>
          <w:szCs w:val="17"/>
          <w:color w:val="auto"/>
        </w:rPr>
        <w:t>”) in exchange for non-voting Class B common shares in the capital of the Acquiror (the “</w:t>
      </w:r>
      <w:r>
        <w:rPr>
          <w:rFonts w:ascii="Arial" w:cs="Arial" w:eastAsia="Arial" w:hAnsi="Arial"/>
          <w:sz w:val="17"/>
          <w:szCs w:val="17"/>
          <w:b w:val="1"/>
          <w:bCs w:val="1"/>
          <w:color w:val="auto"/>
        </w:rPr>
        <w:t>Class B Shares</w:t>
      </w:r>
      <w:r>
        <w:rPr>
          <w:rFonts w:ascii="Arial" w:cs="Arial" w:eastAsia="Arial" w:hAnsi="Arial"/>
          <w:sz w:val="17"/>
          <w:szCs w:val="17"/>
          <w:color w:val="auto"/>
        </w:rPr>
        <w:t>”). The Adelia Transaction closed on December 14, 2020 (the “</w:t>
      </w:r>
      <w:r>
        <w:rPr>
          <w:rFonts w:ascii="Arial" w:cs="Arial" w:eastAsia="Arial" w:hAnsi="Arial"/>
          <w:sz w:val="17"/>
          <w:szCs w:val="17"/>
          <w:b w:val="1"/>
          <w:bCs w:val="1"/>
          <w:color w:val="auto"/>
        </w:rPr>
        <w:t>Closing</w:t>
      </w:r>
      <w:r>
        <w:rPr>
          <w:rFonts w:ascii="Arial" w:cs="Arial" w:eastAsia="Arial" w:hAnsi="Arial"/>
          <w:sz w:val="17"/>
          <w:szCs w:val="17"/>
          <w:color w:val="auto"/>
        </w:rPr>
        <w:t>”).</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jc w:val="both"/>
        <w:spacing w:after="0" w:line="241" w:lineRule="auto"/>
        <w:rPr>
          <w:sz w:val="20"/>
          <w:szCs w:val="20"/>
          <w:color w:val="auto"/>
        </w:rPr>
      </w:pPr>
      <w:r>
        <w:rPr>
          <w:rFonts w:ascii="Arial" w:cs="Arial" w:eastAsia="Arial" w:hAnsi="Arial"/>
          <w:sz w:val="18"/>
          <w:szCs w:val="18"/>
          <w:color w:val="auto"/>
        </w:rPr>
        <w:t>The Class B Shares issued by the Acquiror to the Adelia Shareholders are exchangeable for Common Shares on a 10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are exchangeable prior to the first anniversary of the Closing and not more than: (i) 33 1/3% of the Class B Shares will be exchangeable prior to the second anniversary of Closing; (ii) 66 2/3% of the Class B Shares will be exchangeable prior to the third anniversary of Closing; and (iii) thereafter, 100% of the Class B Shares will be exchangeable ((i), (ii) and (iii), collectively, the “Hold Periods”). The Class B Shares issued to the Adelia Shareholders upon the Closing are exchangeable for a total of 8,688,330 Common Shares, resulting in an effective issue price of $1.24 per Cybin Share.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the occurrence of certain milestones as set out in the Contribution Agreement (each a “</w:t>
      </w:r>
      <w:r>
        <w:rPr>
          <w:rFonts w:ascii="Arial" w:cs="Arial" w:eastAsia="Arial" w:hAnsi="Arial"/>
          <w:sz w:val="17"/>
          <w:szCs w:val="17"/>
          <w:b w:val="1"/>
          <w:bCs w:val="1"/>
          <w:color w:val="auto"/>
        </w:rPr>
        <w:t>Milestone</w:t>
      </w:r>
      <w:r>
        <w:rPr>
          <w:rFonts w:ascii="Arial" w:cs="Arial" w:eastAsia="Arial" w:hAnsi="Arial"/>
          <w:sz w:val="17"/>
          <w:szCs w:val="17"/>
          <w:color w:val="auto"/>
        </w:rPr>
        <w:t>”), the Acquiror will issue to the Adelia Shareholders in accordance with their pro rata percentage, within five business days following the relevant date at which there is agreement as to the achievement of the Milestone (the “</w:t>
      </w:r>
      <w:r>
        <w:rPr>
          <w:rFonts w:ascii="Arial" w:cs="Arial" w:eastAsia="Arial" w:hAnsi="Arial"/>
          <w:sz w:val="17"/>
          <w:szCs w:val="17"/>
          <w:b w:val="1"/>
          <w:bCs w:val="1"/>
          <w:color w:val="auto"/>
        </w:rPr>
        <w:t>Milestone Determination Date</w:t>
      </w:r>
      <w:r>
        <w:rPr>
          <w:rFonts w:ascii="Arial" w:cs="Arial" w:eastAsia="Arial" w:hAnsi="Arial"/>
          <w:sz w:val="17"/>
          <w:szCs w:val="17"/>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$0.75; (ii) the 10 day volume weighted average trading price of the Common Shares on the Exchange (or, in the event that the Common Shares are no longer traded on the Exchange, such other nationally recognized exchange as the 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assuming all Milestones are met prior to the applicable deadlines. As of the date of this MD&amp;A, 213,604.4 Class B Shares had been issued on the achievement of Milestones, without taking into consideration the Class B Shares exchanged (see "Subsequent Events"). Pursuant to the Contribution Agreement, Cybin, the Acquiror and the Adelia Shareholders also entered into a support agreement dated December 14, 2020 (the “</w:t>
      </w:r>
      <w:r>
        <w:rPr>
          <w:rFonts w:ascii="Arial" w:cs="Arial" w:eastAsia="Arial" w:hAnsi="Arial"/>
          <w:sz w:val="17"/>
          <w:szCs w:val="17"/>
          <w:b w:val="1"/>
          <w:bCs w:val="1"/>
          <w:color w:val="auto"/>
        </w:rPr>
        <w:t>Support Agreement</w:t>
      </w:r>
      <w:r>
        <w:rPr>
          <w:rFonts w:ascii="Arial" w:cs="Arial" w:eastAsia="Arial" w:hAnsi="Arial"/>
          <w:sz w:val="17"/>
          <w:szCs w:val="17"/>
          <w:color w:val="auto"/>
        </w:rPr>
        <w:t>”),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January 11, 2021, the Company announced the achievement of the first Milestone for the period commencing November 15, 2020, as contemplated by the terms of the Contribution Agreement. The achievement included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710" w:right="339" w:bottom="1440" w:gutter="0" w:footer="0" w:header="0"/>
        </w:sectPr>
      </w:pPr>
    </w:p>
    <w:bookmarkStart w:id="71" w:name="page72"/>
    <w:bookmarkEnd w:id="71"/>
    <w:p>
      <w:pPr>
        <w:jc w:val="both"/>
        <w:ind w:right="20"/>
        <w:spacing w:after="0" w:line="249" w:lineRule="auto"/>
        <w:rPr>
          <w:sz w:val="20"/>
          <w:szCs w:val="20"/>
          <w:color w:val="auto"/>
        </w:rPr>
      </w:pPr>
      <w:r>
        <w:rPr>
          <w:rFonts w:ascii="Arial" w:cs="Arial" w:eastAsia="Arial" w:hAnsi="Arial"/>
          <w:sz w:val="18"/>
          <w:szCs w:val="18"/>
          <w:color w:val="auto"/>
        </w:rPr>
        <w:t>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an aggregate of 51,163 Class B Shares were issued to the Adelia Shareholders in satisfaction of $1,018 due to them upon meeting such Milestones.</w:t>
      </w:r>
    </w:p>
    <w:p>
      <w:pPr>
        <w:spacing w:after="0" w:line="193"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 due to them upon meeting such Milestones.</w:t>
      </w:r>
    </w:p>
    <w:p>
      <w:pPr>
        <w:spacing w:after="0" w:line="15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June 28, 2021 Adelia completed the remaining requirements of the second Milestone as listed in the Contribution Agreement. Accordingly, 15,777.1 Class B Shares were issued to the Adelia Shareholders, amounting to $458. The Class B Shares are exchangeable for a total of 157,771 Common Shares, representing an effective issue price of $2.90 per Common Share.</w:t>
      </w:r>
    </w:p>
    <w:p>
      <w:pPr>
        <w:spacing w:after="0" w:line="18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August 17, 2021, an additional 18,788.5 Class B Shares were issued to the Adelia Shareholders due to the achievement of certain requirements of the third and fourth Milestones, amounting to $633. The Class B Shares are exchangeable for a total of 187,886 Common Shares, representing an effective issue price of $3.37 per Common Share.</w:t>
      </w:r>
    </w:p>
    <w:p>
      <w:pPr>
        <w:spacing w:after="0" w:line="19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August 31, 2021, the remaining requirements of the third Milestone were achieved. Accordingly, 9,392.6 Class B Shares were issued to the Adelia Shareholders, amounting to $317. The Class B Shares are exchangeable for a total of 93,926 Common Shares, representing an effective issue price of $3.38 per Common Share.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December 31, 2021, an additional 28,903 Class B Shares were issued to the Adelia Shareholders on November 18, 2021 due to the achievement of certain requirements of the fourth and fifth milestones, amounting to $706. These Class B Shares are exchangeable for a total of 289,030 Common Shares, representing an effective issue price of $2.44 per Common Share.</w:t>
      </w:r>
    </w:p>
    <w:p>
      <w:pPr>
        <w:spacing w:after="0" w:line="18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During the three months ended December 31, 2021, an additional 31,721.5 Class B Shares were issued to the Adelia Shareholders on November 29, 2021 due to the achievement of certain requirements of the fourth and fifth milestones, amounting to $629. These Class B Shares are exchangeable for a total of 317,215 Common Shares, representing an effective issue price of $1.98 per Common Share.</w:t>
      </w:r>
    </w:p>
    <w:p>
      <w:pPr>
        <w:spacing w:after="0" w:line="18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Pursuant to the Contribution Agreement certain members of Adelia entered into advisory and/or executive employment arrangements with Cybin upon the Closing and, in such capacity, received, in the aggregate, a grant of options to purchase up to 2,244,100 to acquire Common Shares, pursuant to Cybin’s equity incentive plan, exercisable for a period of five (5) years and subject to vesting, at an exercise price of $1.74 per Cybin Share. An additional 555,900 options to acquire Common Shares were issued to eligible participants at the direction of the Adelia Shareholders following the Closing.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at December 31, 2021 and the date of this MD&amp;A, other than these contractual obligations and commitments disclosed in note 10 of the Interim Financial Statements, the Company does not have any off-balance sheet arrangements that have or are reasonably likely to have a current or future effect on the results of operations or financial condition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between related parties</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For the three and nine-month periods ended December 31, 2021, the key management personnel of the Company were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the Chief Executive Officer, Chief Financial Officer, Chief</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60"/>
          </w:cols>
          <w:pgMar w:left="320" w:top="710" w:right="319" w:bottom="1440" w:gutter="0" w:footer="0" w:header="0"/>
        </w:sectPr>
      </w:pPr>
    </w:p>
    <w:bookmarkStart w:id="72" w:name="page73"/>
    <w:bookmarkEnd w:id="72"/>
    <w:p>
      <w:pPr>
        <w:jc w:val="both"/>
        <w:spacing w:after="0" w:line="267" w:lineRule="auto"/>
        <w:rPr>
          <w:sz w:val="20"/>
          <w:szCs w:val="20"/>
          <w:color w:val="auto"/>
        </w:rPr>
      </w:pPr>
      <w:r>
        <w:rPr>
          <w:rFonts w:ascii="Arial" w:cs="Arial" w:eastAsia="Arial" w:hAnsi="Arial"/>
          <w:sz w:val="18"/>
          <w:szCs w:val="18"/>
          <w:color w:val="auto"/>
        </w:rPr>
        <w:t>Operating Officer, Chief Business Officer, Chief Compliance, Ethics &amp; Administrative Officer, Chief Legal Officer, Chief Innovation Officer, and Chief Scientific Officers.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Compensation for key management personnel of the Company for the three and nine-month periods ended December 31, 2021consisted of consulting fees, short term benefits and other compensation of $3,095 and $11,096, respectively (three and nine-month periods ended December 31, 2020 - $3,751 and $6,676).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The preparation of the Company’s consolidated financial statements requires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3 of the of the Company’s 2021 annual consolidated financial statements found on SEDAR at </w:t>
      </w:r>
      <w:r>
        <w:rPr>
          <w:rFonts w:ascii="Arial" w:cs="Arial" w:eastAsia="Arial" w:hAnsi="Arial"/>
          <w:sz w:val="16"/>
          <w:szCs w:val="16"/>
          <w:i w:val="1"/>
          <w:iCs w:val="1"/>
          <w:u w:val="single" w:color="auto"/>
          <w:color w:val="0563C1"/>
        </w:rPr>
        <w:t>www.sedar.com</w:t>
      </w:r>
      <w:r>
        <w:rPr>
          <w:rFonts w:ascii="Arial" w:cs="Arial" w:eastAsia="Arial" w:hAnsi="Arial"/>
          <w:sz w:val="16"/>
          <w:szCs w:val="16"/>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and interpretations not yet adopted</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The Company’s significant accounting policies are set out in note 2 of the of the Company’s 2021 annual consolidated financial statements found on SEDAR at </w:t>
      </w:r>
      <w:r>
        <w:rPr>
          <w:rFonts w:ascii="Arial" w:cs="Arial" w:eastAsia="Arial" w:hAnsi="Arial"/>
          <w:sz w:val="18"/>
          <w:szCs w:val="18"/>
          <w:i w:val="1"/>
          <w:iCs w:val="1"/>
          <w:u w:val="single" w:color="auto"/>
          <w:color w:val="0563C1"/>
        </w:rPr>
        <w:t>www.sedar.com</w:t>
      </w:r>
      <w:r>
        <w:rPr>
          <w:rFonts w:ascii="Arial" w:cs="Arial" w:eastAsia="Arial" w:hAnsi="Arial"/>
          <w:sz w:val="18"/>
          <w:szCs w:val="18"/>
          <w:color w:val="auto"/>
        </w:rPr>
        <w:t>.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Company’s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Management maintains appropriate information systems, procedures and controls to provide reasonable assurance that information that is publicly disclosed is complete, reliable and timely. The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and Chief Financial Officer (the “</w:t>
      </w:r>
      <w:r>
        <w:rPr>
          <w:rFonts w:ascii="Arial" w:cs="Arial" w:eastAsia="Arial" w:hAnsi="Arial"/>
          <w:sz w:val="18"/>
          <w:szCs w:val="18"/>
          <w:b w:val="1"/>
          <w:bCs w:val="1"/>
          <w:color w:val="auto"/>
        </w:rPr>
        <w:t>CFO</w:t>
      </w:r>
      <w:r>
        <w:rPr>
          <w:rFonts w:ascii="Arial" w:cs="Arial" w:eastAsia="Arial" w:hAnsi="Arial"/>
          <w:sz w:val="18"/>
          <w:szCs w:val="18"/>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187" w:lineRule="exact"/>
        <w:rPr>
          <w:sz w:val="20"/>
          <w:szCs w:val="20"/>
          <w:color w:val="auto"/>
        </w:rPr>
      </w:pPr>
    </w:p>
    <w:p>
      <w:pPr>
        <w:ind w:left="580" w:hanging="289"/>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maintenance of records in reasonable detail, that accurately and fairly reflect the transactions and dispositions of assets;</w:t>
      </w:r>
    </w:p>
    <w:p>
      <w:pPr>
        <w:spacing w:after="0" w:line="16" w:lineRule="exact"/>
        <w:rPr>
          <w:rFonts w:ascii="Arial" w:cs="Arial" w:eastAsia="Arial" w:hAnsi="Arial"/>
          <w:sz w:val="18"/>
          <w:szCs w:val="18"/>
          <w:color w:val="auto"/>
        </w:rPr>
      </w:pPr>
    </w:p>
    <w:p>
      <w:pPr>
        <w:ind w:left="580" w:hanging="289"/>
        <w:spacing w:after="0"/>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reasonable assurance that transactions are recorded as necessary to permit preparation of financial statements in accordance with applicable IFRS;</w:t>
      </w:r>
    </w:p>
    <w:p>
      <w:pPr>
        <w:spacing w:after="0" w:line="23" w:lineRule="exact"/>
        <w:rPr>
          <w:rFonts w:ascii="Arial" w:cs="Arial" w:eastAsia="Arial" w:hAnsi="Arial"/>
          <w:sz w:val="16"/>
          <w:szCs w:val="16"/>
          <w:color w:val="auto"/>
        </w:rPr>
      </w:pPr>
    </w:p>
    <w:p>
      <w:pPr>
        <w:ind w:left="580" w:hanging="289"/>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receipts and expenditures are only being made in accordance with authorizations of management or the Board; and</w:t>
      </w:r>
    </w:p>
    <w:p>
      <w:pPr>
        <w:ind w:left="580" w:hanging="289"/>
        <w:spacing w:after="0" w:line="248" w:lineRule="auto"/>
        <w:tabs>
          <w:tab w:leader="none" w:pos="5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9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During the period ended December 31, 2021, the Company did not make any significant changes to its internal controls over financial reporting that would have materially affected, or reasonably likely to materially affect, its internal controls over financial reporting.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71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Limitations of Disclosure Controls and Procedures and Internal Control over Financial Reporting</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January 6, 2022, the Company announced that Adelia achieved the Milestone identified as Year 2 Q1 (v), as contemplated by the terms of the Contribution Agreement. Accordingly, 15,611.4 Class B Shares having an aggregate value of $236 were issued to the Adelia Shareholders, at a price per share of $15.09.</w:t>
      </w:r>
    </w:p>
    <w:p>
      <w:pPr>
        <w:spacing w:after="0" w:line="18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On January 11, 2022, the Company announced that it had received IRB approval for a Cybin-sponsored feasibility study using the Kernel Flow technology to measure psychedelic effects on the brain.</w:t>
      </w:r>
    </w:p>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On January 21, 2022, pursuant to the terms of the Support Agreement, the Company issued 586,800 Common Shares to certain of the Adelia Shareholders in exchange for 58,680 Class B Shares held by such Adelia Shareholders.</w:t>
      </w:r>
    </w:p>
    <w:p>
      <w:pPr>
        <w:spacing w:after="0" w:line="1"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On January 27, 2022, the Company announced that Adelia achieved the Milestones identified as Y1, Q4 (iv), Y1, Q4 (v) and Y2, Q1 (vi), as contemplated by the terms of the Contribution Agreement. Accordingly, Class B Shares having an aggregate value of $551 became due to be issued to the Adelia Shareholders, at a price per share to be determined in accordance with the terms of the Contribution Agreement and applicable securities laws.</w:t>
      </w:r>
    </w:p>
    <w:p>
      <w:pPr>
        <w:spacing w:after="0" w:line="158"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On February 9, 2022, the Company announced that the U.S. Patent and Trademark Office has granted U.S. patent number 11,242,318 to the Company’s investigational deuterated DMT compound CYB004. The allowed claims include a range of deuterated forms of DMT and 5-MeO-DMT. The patent, which is expected to expire in 2041 before consideration of any patent term extensions, covers composition of matter and protects the CYB004 drug substance, a putative new chemical entity.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184"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In addition to the risks described herein, reference is made to the section entitled “Risk Factors” in the AIF, which is incorporated herein by reference. The risks described herein are not the only risks faced by the Company and securityholders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 may prove to be inaccurate</w:t>
      </w:r>
    </w:p>
    <w:p>
      <w:pPr>
        <w:spacing w:after="0" w:line="18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 Additional information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320" w:top="930" w:right="319" w:bottom="1440" w:gutter="0" w:footer="0" w:header="0"/>
        </w:sectPr>
      </w:pPr>
    </w:p>
    <w:bookmarkStart w:id="74" w:name="page75"/>
    <w:bookmarkEnd w:id="74"/>
    <w:p>
      <w:pPr>
        <w:ind w:right="360"/>
        <w:spacing w:after="0" w:line="467" w:lineRule="auto"/>
        <w:rPr>
          <w:sz w:val="20"/>
          <w:szCs w:val="20"/>
          <w:color w:val="auto"/>
        </w:rPr>
      </w:pPr>
      <w:r>
        <w:rPr>
          <w:rFonts w:ascii="Arial" w:cs="Arial" w:eastAsia="Arial" w:hAnsi="Arial"/>
          <w:sz w:val="18"/>
          <w:szCs w:val="18"/>
          <w:color w:val="auto"/>
        </w:rPr>
        <w:t xml:space="preserve">on the risks, assumptions and uncertainties can be found in this MD&amp;A under the heading “Cautionary Note Regarding Forward-Looking Information”. </w:t>
      </w:r>
      <w:r>
        <w:rPr>
          <w:rFonts w:ascii="Arial" w:cs="Arial" w:eastAsia="Arial" w:hAnsi="Arial"/>
          <w:sz w:val="18"/>
          <w:szCs w:val="18"/>
          <w:b w:val="1"/>
          <w:bCs w:val="1"/>
          <w:i w:val="1"/>
          <w:iCs w:val="1"/>
          <w:color w:val="auto"/>
        </w:rPr>
        <w:t>Potential Dilution</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need for Additional Financing</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continued development of the Company will require additional financing. The Company’s activities do have scope for flexibility in terms of the amount and timing of expenditures, and expenditures may be adjusted accordingly. However, further operations will require additional capital and will depend on the Company’s ability to obtain financing through debt, equity or other means. The Company’s ability to meet its obligations and maintain operations may be contingent upon successful completion of additional financing arrangements. There is no assurance that the Company will be successful in obtaining the required financing in the future or that such financing will be available on terms acceptable to the Company. In addition, any future financing may also be dilutive to existing shareholders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operating cash flow and going concern</w:t>
      </w:r>
    </w:p>
    <w:p>
      <w:pPr>
        <w:spacing w:after="0" w:line="221"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Company has negative cash flow from operating activities and has historically incurred net losses. There is no assurance that sufficient revenues will be generated in the near future.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or through loan financing. There is no assurance that additional capital or other types of financing will be available if needed or that these financings will be on terms at least as favourable to the Company as those previously obtained, or at all. The Company’s ability to successfully raise additional capital and maintain liquidity may by impaired by factors outside of its control, such as a shift in consumer attitudes towards certain therapeutic methods or a downturn in the economy.</w:t>
      </w:r>
    </w:p>
    <w:p>
      <w:pPr>
        <w:spacing w:after="0" w:line="197"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Any inclusion in the Company’s financial statements of a going concern opinion may negatively impact the Company's ability to raise future financing and achieve future revenue. The threat of the Company's ability to continue as a going concern will be removed only when, in the opinion of the Company's auditor, the Company's revenues have reached a level that is able to sustain its business operations. If the Company is unable to obtain additional financing from outside sources and eventually generate enough revenues, the Company may be forced to sell a portion or all of the Company's assets, or curtail or discontinue the Company's operations. If any of these events happen, you could lose all or part of your investment. The Company’s financial statements do not include any adjustments to the Company’s recorded assets or liabilities that might be necessary if the Company becomes unable to continue as a going concern.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Discretion over the Use of Proceeds</w:t>
      </w:r>
    </w:p>
    <w:p>
      <w:pPr>
        <w:spacing w:after="0" w:line="22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results and the effectiveness of the application of the net proceeds are uncertain. If the net proceeds are not applied effectively, the Company's business, prospects, financial position, financial condition or results of operations may suffer.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Growth</w:t>
      </w:r>
    </w:p>
    <w:p>
      <w:pPr>
        <w:spacing w:after="0" w:line="23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320" w:top="893" w:right="319" w:bottom="1440" w:gutter="0" w:footer="0" w:header="0"/>
        </w:sectPr>
      </w:pPr>
    </w:p>
    <w:bookmarkStart w:id="75" w:name="page76"/>
    <w:bookmarkEnd w:id="75"/>
    <w:p>
      <w:pPr>
        <w:jc w:val="both"/>
        <w:spacing w:after="0" w:line="281" w:lineRule="auto"/>
        <w:rPr>
          <w:sz w:val="20"/>
          <w:szCs w:val="20"/>
          <w:color w:val="auto"/>
        </w:rPr>
      </w:pPr>
      <w:r>
        <w:rPr>
          <w:rFonts w:ascii="Arial" w:cs="Arial" w:eastAsia="Arial" w:hAnsi="Arial"/>
          <w:sz w:val="18"/>
          <w:szCs w:val="18"/>
          <w:color w:val="auto"/>
        </w:rPr>
        <w:t>inability of the Company to deal with this growth may have a material adverse effect on the Company’s business, financial condition, results of operations and prospects.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Common Shares are Subject to Market Price Volatility</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market price of the Common Shares may be adversely affected by a variety of factors relating to the Company’s business, including fluctuations in the Company’s operating and financial results, the results of any public announcements made by the Company and the Company’s failure to meet analysts’ expectations. In addition, from time to time, the stock market experiences significant price and volume volatility that may affect the market price of the Common Shares for reasons unrelated to the Company’s performance. Additionally, the value of the Common Shares is subject to market value fluctuations based upon factors that influence the Company’s operations, such as legislative or regulatory developments, competition, technological change, global capital market activity and changes in interest and currency rates. There can be no assurance that the market price of the Common Shares will not experience significant fluctuations in the future, including fluctuations that are unrelated to the Company’s performance.</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value of Common Shares will be affected by the general creditworthiness of the Company. The AIF discusses, among other things, known material trends and events, and risks or uncertainties that are reasonably expected to have a material effect on the Company’s business, financial condition or results of operations.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market value of the Common Shares may also be affected by the Company’s financial results and political, economic, financial and other factors that can affect the capital markets generally, the stock exchanges on which the Common Shares are traded and the market segment of which the Company is a part.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History of Payment of Cash Dividends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never declared or paid cash dividends on the Common Shares. The Company intends to retain future earnings to finance the operation, development and expansion of the business. The Company does not anticipate paying cash dividends on the Common Shares in the foreseeable future. Payment of future cash dividends, if any, will be at the discretion of the Board and will depend on the Company’s financial condition, results of operations, contractual restrictions, capital requirements, business prospects and other factors that the Board considers relevant.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Research and Development Milestones</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There is no assurance that the Company’s anticipated milestones will be achieved within the time periods specified, or at all. The failure to achieve these milestones could negatively impact the Company’s ability to raise additional funds required for operations and research and development activities, and could, in turn, impact the financial viability of the Company. There is also no assurance that the Company’s research and development activities will continue to result in commercially viable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Coronavirus “COVID-19”</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outbreak of the novel strain of coronavirus, specifically identified as “COVID-19”, has resulted in governments worldwide enacting emergency measures to combat the spread of the virus. These measures, including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and its operating subsidiaries in future periods. However, depending on the length and severity of the pandemic, COVID-19 could impact the Company’s operations, could cause delays relating to approval from Health Canada, the FDA and equivalent organizations in other countries, could postpone research activities, and could impair the Company’s ability to raise funds depending on COVID-19s effect on capital markets.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722" w:right="339" w:bottom="1440" w:gutter="0" w:footer="0" w:header="0"/>
        </w:sectPr>
      </w:pPr>
    </w:p>
    <w:bookmarkStart w:id="76" w:name="page77"/>
    <w:bookmarkEnd w:id="76"/>
    <w:p>
      <w:pPr>
        <w:jc w:val="both"/>
        <w:spacing w:after="0" w:line="249" w:lineRule="auto"/>
        <w:rPr>
          <w:sz w:val="20"/>
          <w:szCs w:val="20"/>
          <w:color w:val="auto"/>
        </w:rPr>
      </w:pPr>
      <w:r>
        <w:rPr>
          <w:rFonts w:ascii="Arial" w:cs="Arial" w:eastAsia="Arial" w:hAnsi="Arial"/>
          <w:sz w:val="18"/>
          <w:szCs w:val="18"/>
          <w:color w:val="auto"/>
        </w:rPr>
        <w:t>The rapid development of the COVID-19 pandemic and the measures being taken by governments and private parties to respond to it are extremely fluid. While the Company has continuously sought to assess the potential impact of the pandemic on its operations, any assessment is subject to extreme uncertainty as to probability, severity and duration. The Company has attempted to assess the impact of the pandemic by identifying risks in the following principle areas:</w:t>
      </w:r>
    </w:p>
    <w:p>
      <w:pPr>
        <w:spacing w:after="0" w:line="164" w:lineRule="exact"/>
        <w:rPr>
          <w:sz w:val="20"/>
          <w:szCs w:val="20"/>
          <w:color w:val="auto"/>
        </w:rPr>
      </w:pPr>
    </w:p>
    <w:p>
      <w:pPr>
        <w:jc w:val="both"/>
        <w:ind w:left="580" w:hanging="289"/>
        <w:spacing w:after="0" w:line="261" w:lineRule="auto"/>
        <w:tabs>
          <w:tab w:leader="none" w:pos="569"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Mandatory Closure. </w:t>
      </w:r>
      <w:r>
        <w:rPr>
          <w:rFonts w:ascii="Arial" w:cs="Arial" w:eastAsia="Arial" w:hAnsi="Arial"/>
          <w:sz w:val="17"/>
          <w:szCs w:val="17"/>
          <w:color w:val="auto"/>
        </w:rPr>
        <w:t>In response to the pandemic, many provinces, states and localities have implemented mandatory shut-downs of business to</w:t>
      </w:r>
      <w:r>
        <w:rPr>
          <w:rFonts w:ascii="Arial" w:cs="Arial" w:eastAsia="Arial" w:hAnsi="Arial"/>
          <w:sz w:val="17"/>
          <w:szCs w:val="17"/>
          <w:b w:val="1"/>
          <w:bCs w:val="1"/>
          <w:color w:val="auto"/>
        </w:rPr>
        <w:t xml:space="preserve"> </w:t>
      </w:r>
      <w:r>
        <w:rPr>
          <w:rFonts w:ascii="Arial" w:cs="Arial" w:eastAsia="Arial" w:hAnsi="Arial"/>
          <w:sz w:val="17"/>
          <w:szCs w:val="17"/>
          <w:color w:val="auto"/>
        </w:rPr>
        <w:t>prevent the spread of COVID-19. In the locations where the Company operates or conducts research activity, these activities have been deemed an "essential service", and thus not subject to the mandatory closures applicable to nonessential businesses. The Company's ability to generate revenue and meet its milestones could be materially impacted by any shut down of operations or services.</w:t>
      </w:r>
    </w:p>
    <w:p>
      <w:pPr>
        <w:spacing w:after="0" w:line="1" w:lineRule="exact"/>
        <w:rPr>
          <w:rFonts w:ascii="Arial" w:cs="Arial" w:eastAsia="Arial" w:hAnsi="Arial"/>
          <w:sz w:val="17"/>
          <w:szCs w:val="17"/>
          <w:color w:val="auto"/>
        </w:rPr>
      </w:pPr>
    </w:p>
    <w:p>
      <w:pPr>
        <w:jc w:val="both"/>
        <w:ind w:left="580" w:hanging="289"/>
        <w:spacing w:after="0" w:line="271" w:lineRule="auto"/>
        <w:tabs>
          <w:tab w:leader="none" w:pos="569"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Research and Development Disruptions</w:t>
      </w:r>
      <w:r>
        <w:rPr>
          <w:rFonts w:ascii="Arial" w:cs="Arial" w:eastAsia="Arial" w:hAnsi="Arial"/>
          <w:sz w:val="16"/>
          <w:szCs w:val="16"/>
          <w:color w:val="auto"/>
        </w:rPr>
        <w:t>. The Company relies on a third parties for its research and development activities. If these third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are unable to continue operating due to mandatory closures or other effects of the pandemic, it may negatively impact the Company's ability to meet its milestones and may significantly delay development. At this time, the Company has not experienced any significant disruptions.</w:t>
      </w:r>
    </w:p>
    <w:p>
      <w:pPr>
        <w:jc w:val="both"/>
        <w:ind w:left="580" w:hanging="289"/>
        <w:spacing w:after="0" w:line="278" w:lineRule="auto"/>
        <w:tabs>
          <w:tab w:leader="none" w:pos="569"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Staffing Disruption</w:t>
      </w:r>
      <w:r>
        <w:rPr>
          <w:rFonts w:ascii="Arial" w:cs="Arial" w:eastAsia="Arial" w:hAnsi="Arial"/>
          <w:sz w:val="16"/>
          <w:szCs w:val="16"/>
          <w:color w:val="auto"/>
        </w:rPr>
        <w:t>. The Company is, for the time being, implementing among its staff where feasible "social distancing" measures recommended</w:t>
      </w:r>
      <w:r>
        <w:rPr>
          <w:rFonts w:ascii="Arial" w:cs="Arial" w:eastAsia="Arial" w:hAnsi="Arial"/>
          <w:sz w:val="16"/>
          <w:szCs w:val="16"/>
          <w:b w:val="1"/>
          <w:bCs w:val="1"/>
          <w:color w:val="auto"/>
        </w:rPr>
        <w:t xml:space="preserve"> </w:t>
      </w:r>
      <w:r>
        <w:rPr>
          <w:rFonts w:ascii="Arial" w:cs="Arial" w:eastAsia="Arial" w:hAnsi="Arial"/>
          <w:sz w:val="16"/>
          <w:szCs w:val="16"/>
          <w:color w:val="auto"/>
        </w:rPr>
        <w:t>by local authorities. The Company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Company may find it difficult to ensure that its operations remain staffed due to employees falling ill with COVID-19, becoming subject to quarantine, or deciding not to come to come to work on their own volition to avoid infection.</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actively addressing the risk to business continuity represented by each of the above factors through the implementation of a broad range of measures throughout its structure and is re-assessing its response to the COVID-19 pandemic on an ongoing basis. The above risks individually or collectively may have a material impact on the Company's ability to generate revenue.</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has sufficient cash on hand raised via equity financings to fund its operations for the next 12-months and meet its working capital requirements. It is anticipated that the long-term goals of the Company will require additional capital contributions via debt or equity financings. In the event that the impact of COVID-19 worsens and negatively affects capital markets generally, there is a risk that the Company may not be able to secure funding for these long-term objectives.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Operating History</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Achieving Publicly Announced Milestones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710" w:right="339" w:bottom="1440" w:gutter="0" w:footer="0" w:header="0"/>
        </w:sectPr>
      </w:pPr>
    </w:p>
    <w:bookmarkStart w:id="77" w:name="page78"/>
    <w:bookmarkEnd w:id="77"/>
    <w:p>
      <w:pPr>
        <w:jc w:val="both"/>
        <w:ind w:right="20"/>
        <w:spacing w:after="0" w:line="249" w:lineRule="auto"/>
        <w:rPr>
          <w:sz w:val="20"/>
          <w:szCs w:val="20"/>
          <w:color w:val="auto"/>
        </w:rPr>
      </w:pPr>
      <w:r>
        <w:rPr>
          <w:rFonts w:ascii="Arial" w:cs="Arial" w:eastAsia="Arial" w:hAnsi="Arial"/>
          <w:sz w:val="18"/>
          <w:szCs w:val="18"/>
          <w:color w:val="auto"/>
        </w:rPr>
        <w:t>filing of an application to obtain regulatory approval, or announcement of additional clinical trials for a prescription drug product candidate may ultimately vary from what is publicly disclosed. See “Safety and Efficacy of Products”, “Completion of Clinical Trials”, and “Nature of Regulatory Approvals” as discussed under this heading “Risk Factors” for further disclosure of risks and events that may affect the timing of certain events the Company may announce.</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Speculative Nature of Investment Risk</w:t>
      </w:r>
    </w:p>
    <w:p>
      <w:pPr>
        <w:spacing w:after="0" w:line="197"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Stage of the Industry and Product Development</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MOH, the FDA,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57"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4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MOH or FDA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60"/>
          </w:cols>
          <w:pgMar w:left="320" w:top="710" w:right="319" w:bottom="1440" w:gutter="0" w:footer="0" w:header="0"/>
        </w:sectPr>
      </w:pPr>
    </w:p>
    <w:bookmarkStart w:id="78" w:name="page79"/>
    <w:bookmarkEnd w:id="78"/>
    <w:p>
      <w:pPr>
        <w:jc w:val="both"/>
        <w:spacing w:after="0" w:line="286" w:lineRule="auto"/>
        <w:rPr>
          <w:sz w:val="20"/>
          <w:szCs w:val="20"/>
          <w:color w:val="auto"/>
        </w:rPr>
      </w:pPr>
      <w:r>
        <w:rPr>
          <w:rFonts w:ascii="Arial" w:cs="Arial" w:eastAsia="Arial" w:hAnsi="Arial"/>
          <w:sz w:val="16"/>
          <w:szCs w:val="16"/>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Company’s business relies on its ability to access, develop, and sell psilocybin. Psilocybin is a controlled substance in many jurisdictions, including in Canada under Schedule III of the </w:t>
      </w:r>
      <w:r>
        <w:rPr>
          <w:rFonts w:ascii="Arial" w:cs="Arial" w:eastAsia="Arial" w:hAnsi="Arial"/>
          <w:sz w:val="16"/>
          <w:szCs w:val="16"/>
          <w:i w:val="1"/>
          <w:iCs w:val="1"/>
          <w:color w:val="auto"/>
        </w:rPr>
        <w:t>Controlled Drugs and Substances Act</w:t>
      </w:r>
      <w:r>
        <w:rPr>
          <w:rFonts w:ascii="Arial" w:cs="Arial" w:eastAsia="Arial" w:hAnsi="Arial"/>
          <w:sz w:val="16"/>
          <w:szCs w:val="16"/>
          <w:color w:val="auto"/>
        </w:rPr>
        <w:t xml:space="preserve"> and in the United States. The Company may face difficulty accessing psilocybin and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has not been confirmed and requires further study and scientific rigour.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 and Uncertainties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Canada, certain psychedelic drugs, including psilocybin, are classified as Schedule III drugs under the CDSA and as such, medical and recreational use is illegal under Canadian federal laws. In the United States, certain psychedelic drugs, including psilocybin, are classified as Schedule I drugs under the CSA and the </w:t>
      </w:r>
      <w:r>
        <w:rPr>
          <w:rFonts w:ascii="Arial" w:cs="Arial" w:eastAsia="Arial" w:hAnsi="Arial"/>
          <w:sz w:val="16"/>
          <w:szCs w:val="16"/>
          <w:i w:val="1"/>
          <w:iCs w:val="1"/>
          <w:color w:val="auto"/>
        </w:rPr>
        <w:t>Controlled Substances Import and Export Act</w:t>
      </w:r>
      <w:r>
        <w:rPr>
          <w:rFonts w:ascii="Arial" w:cs="Arial" w:eastAsia="Arial" w:hAnsi="Arial"/>
          <w:sz w:val="16"/>
          <w:szCs w:val="16"/>
          <w:color w:val="auto"/>
        </w:rPr>
        <w:t xml:space="preserve"> and as such, medical and recreational use is illegal under the U.S. federal laws. 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loss of the necessary licences and permits for Schedule III drugs could have an adverse effect on the Company’s operations.</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success of the Company’s business is dependent on the reform of controlled substances laws pertaining to psilocybin. If controlled substances laws are not favourably reformed in Canada, the United States, the UK, and other global jurisdictions, the commercial opportunity that the Company is pursuing may be highly limited.</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makes no medical, treatment or health benefit claims about the Company’s proposed products. The FDA, Health Canada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710" w:right="339" w:bottom="1440" w:gutter="0" w:footer="0" w:header="0"/>
        </w:sectPr>
      </w:pPr>
    </w:p>
    <w:bookmarkStart w:id="79" w:name="page80"/>
    <w:bookmarkEnd w:id="79"/>
    <w:p>
      <w:pPr>
        <w:jc w:val="both"/>
        <w:spacing w:after="0" w:line="269" w:lineRule="auto"/>
        <w:rPr>
          <w:sz w:val="20"/>
          <w:szCs w:val="20"/>
          <w:color w:val="auto"/>
        </w:rPr>
      </w:pPr>
      <w:r>
        <w:rPr>
          <w:rFonts w:ascii="Arial" w:cs="Arial" w:eastAsia="Arial" w:hAnsi="Arial"/>
          <w:sz w:val="17"/>
          <w:szCs w:val="17"/>
          <w:color w:val="auto"/>
        </w:rPr>
        <w:t>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Plans for Growth</w:t>
      </w:r>
    </w:p>
    <w:p>
      <w:pPr>
        <w:spacing w:after="0" w:line="19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Company intends to grow rapidly and significantly expand its operations within the next 12 to 24 months. This growth will place a significant strain on the Company’s management systems and resources. The Company will not be able to implement its business strategy in a rapidly evolving market, without an effective planning and management process. In particular, the Company may be required to manage multiple relationships with various strategic industry participants and other third parties, which relationships could be strained in the event of rapid growth. Similarly, a large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Products</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5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Marketing and Sales Capabilities</w:t>
      </w:r>
    </w:p>
    <w:p>
      <w:pPr>
        <w:spacing w:after="0" w:line="197"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of Commercial Success</w:t>
      </w:r>
    </w:p>
    <w:p>
      <w:pPr>
        <w:spacing w:after="0" w:line="19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60"/>
          </w:cols>
          <w:pgMar w:left="320" w:top="710" w:right="31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No Profits or Significant Revenues</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Third Parties for Clinical Development Activities</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Third Party Relationships</w:t>
      </w:r>
    </w:p>
    <w:p>
      <w:pPr>
        <w:spacing w:after="0" w:line="197"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Contract Manufacturers</w:t>
      </w:r>
    </w:p>
    <w:p>
      <w:pPr>
        <w:spacing w:after="0" w:line="193"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The Company has limited manufacturing experience and relies on contract manufacturing organizations (“</w:t>
      </w:r>
      <w:r>
        <w:rPr>
          <w:rFonts w:ascii="Arial" w:cs="Arial" w:eastAsia="Arial" w:hAnsi="Arial"/>
          <w:sz w:val="17"/>
          <w:szCs w:val="17"/>
          <w:b w:val="1"/>
          <w:bCs w:val="1"/>
          <w:color w:val="auto"/>
        </w:rPr>
        <w:t>CMOs</w:t>
      </w:r>
      <w:r>
        <w:rPr>
          <w:rFonts w:ascii="Arial" w:cs="Arial" w:eastAsia="Arial" w:hAnsi="Arial"/>
          <w:sz w:val="17"/>
          <w:szCs w:val="17"/>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Health Canada and the FDA, in Canada and the U.S., respectively,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60"/>
          </w:cols>
          <w:pgMar w:left="320" w:top="710" w:right="319" w:bottom="1440" w:gutter="0" w:footer="0" w:header="0"/>
        </w:sectPr>
      </w:pPr>
    </w:p>
    <w:bookmarkStart w:id="81" w:name="page82"/>
    <w:bookmarkEnd w:id="81"/>
    <w:p>
      <w:pPr>
        <w:jc w:val="both"/>
        <w:spacing w:after="0" w:line="291" w:lineRule="auto"/>
        <w:rPr>
          <w:sz w:val="20"/>
          <w:szCs w:val="20"/>
          <w:color w:val="auto"/>
        </w:rPr>
      </w:pPr>
      <w:r>
        <w:rPr>
          <w:rFonts w:ascii="Arial" w:cs="Arial" w:eastAsia="Arial" w:hAnsi="Arial"/>
          <w:sz w:val="16"/>
          <w:szCs w:val="16"/>
          <w:color w:val="auto"/>
        </w:rPr>
        <w:t>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and Efficacy of Products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or other regulatory authorities, resulting in the Company being unable to derive any commercial revenue from them after investing significant amounts of capital in their development.</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Testing and Commercializing Products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710" w:right="339" w:bottom="1440" w:gutter="0" w:footer="0" w:header="0"/>
        </w:sectPr>
      </w:pPr>
    </w:p>
    <w:bookmarkStart w:id="82" w:name="page83"/>
    <w:bookmarkEnd w:id="82"/>
    <w:p>
      <w:pPr>
        <w:jc w:val="both"/>
        <w:ind w:right="20"/>
        <w:spacing w:after="0" w:line="247" w:lineRule="auto"/>
        <w:rPr>
          <w:sz w:val="20"/>
          <w:szCs w:val="20"/>
          <w:color w:val="auto"/>
        </w:rPr>
      </w:pPr>
      <w:r>
        <w:rPr>
          <w:rFonts w:ascii="Arial" w:cs="Arial" w:eastAsia="Arial" w:hAnsi="Arial"/>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170"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commencement and completion of clinical trials for the Company’s prescription drug product candidates may be delayed for a number of reasons, including but not limited, to:</w:t>
      </w:r>
    </w:p>
    <w:p>
      <w:pPr>
        <w:spacing w:after="0" w:line="151" w:lineRule="exact"/>
        <w:rPr>
          <w:sz w:val="20"/>
          <w:szCs w:val="20"/>
          <w:color w:val="auto"/>
        </w:rPr>
      </w:pPr>
    </w:p>
    <w:p>
      <w:pPr>
        <w:ind w:left="1160" w:hanging="282"/>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failure by regulatory authorities to grant permission to proceed or placing clinical trials on hold;</w:t>
      </w:r>
    </w:p>
    <w:p>
      <w:pPr>
        <w:spacing w:after="0" w:line="16" w:lineRule="exact"/>
        <w:rPr>
          <w:rFonts w:ascii="Arial" w:cs="Arial" w:eastAsia="Arial" w:hAnsi="Arial"/>
          <w:sz w:val="18"/>
          <w:szCs w:val="18"/>
          <w:color w:val="auto"/>
        </w:rPr>
      </w:pPr>
    </w:p>
    <w:p>
      <w:pPr>
        <w:ind w:left="1180" w:right="20" w:hanging="302"/>
        <w:spacing w:after="0" w:line="241" w:lineRule="auto"/>
        <w:tabs>
          <w:tab w:leader="none" w:pos="11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suspension or termination of clinical trials by regulators for many reasons, including concerns about patient safety or failure of the Company’s CMOs to comply with cGMP requirements;</w:t>
      </w:r>
    </w:p>
    <w:p>
      <w:pPr>
        <w:ind w:left="1180" w:right="20" w:hanging="302"/>
        <w:spacing w:after="0" w:line="241" w:lineRule="auto"/>
        <w:tabs>
          <w:tab w:leader="none" w:pos="11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changes to the Company’s manufacturing process that may be necessary or desired, delays or failure to obtain clinical supply from CMOs of the Company’s products necessary to conduct clinical trials;</w:t>
      </w:r>
    </w:p>
    <w:p>
      <w:pPr>
        <w:ind w:left="1180" w:right="20" w:hanging="302"/>
        <w:spacing w:after="0" w:line="241" w:lineRule="auto"/>
        <w:tabs>
          <w:tab w:leader="none" w:pos="11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prescription drug product candidates demonstrating a lack of safety or efficacy during clinical trials, reports of clinical testing on similar technologies and products raising safety or efficacy concerns;</w:t>
      </w:r>
    </w:p>
    <w:p>
      <w:pPr>
        <w:jc w:val="both"/>
        <w:ind w:left="1180" w:hanging="302"/>
        <w:spacing w:after="0" w:line="241" w:lineRule="auto"/>
        <w:tabs>
          <w:tab w:leader="none" w:pos="11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ind w:left="1160" w:hanging="282"/>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failure of the Company’s contract research organizations to satisfy their contractual duties or meet expected deadlines;</w:t>
      </w:r>
    </w:p>
    <w:p>
      <w:pPr>
        <w:ind w:left="1160" w:hanging="282"/>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inspections of clinical trial sites by regulatory authorities;</w:t>
      </w:r>
    </w:p>
    <w:p>
      <w:pPr>
        <w:ind w:left="1180" w:right="20" w:hanging="302"/>
        <w:spacing w:after="0" w:line="241" w:lineRule="auto"/>
        <w:tabs>
          <w:tab w:leader="none" w:pos="11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ind w:left="1180" w:right="20" w:hanging="302"/>
        <w:spacing w:after="0" w:line="241" w:lineRule="auto"/>
        <w:tabs>
          <w:tab w:leader="none" w:pos="11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ind w:left="1160" w:hanging="282"/>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failure to reach agreement on acceptable terms with prospective clinical trial sites.</w:t>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Prior to commencing clinical trials in Canada, the United States, the UK, or other jurisdictions, for any prescription drug product candidates developed by the Company, it may be required to have an allowed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17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Clinical Trials</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As the Company’s prescription drug product candidates advance from preclinical testing to clinical testing, and then through progressively larger and more complex clinical trials, the Company will need to enroll an increasing number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60"/>
          </w:cols>
          <w:pgMar w:left="320" w:top="710" w:right="319" w:bottom="1440" w:gutter="0" w:footer="0" w:header="0"/>
        </w:sectPr>
      </w:pPr>
    </w:p>
    <w:bookmarkStart w:id="83" w:name="page84"/>
    <w:bookmarkEnd w:id="83"/>
    <w:p>
      <w:pPr>
        <w:jc w:val="both"/>
        <w:spacing w:after="0" w:line="247" w:lineRule="auto"/>
        <w:rPr>
          <w:sz w:val="20"/>
          <w:szCs w:val="20"/>
          <w:color w:val="auto"/>
        </w:rPr>
      </w:pPr>
      <w:r>
        <w:rPr>
          <w:rFonts w:ascii="Arial" w:cs="Arial" w:eastAsia="Arial" w:hAnsi="Arial"/>
          <w:sz w:val="18"/>
          <w:szCs w:val="18"/>
          <w:color w:val="auto"/>
        </w:rPr>
        <w:t>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Grade Product Manufacturing</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Regulatory Approvals</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Company’s development and commercialization activities and prescription drug product candidates are significantly regulated by a number of governmental entities, including Health Canada and the FDA.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710" w:right="339" w:bottom="1440" w:gutter="0" w:footer="0" w:header="0"/>
        </w:sectPr>
      </w:pPr>
    </w:p>
    <w:bookmarkStart w:id="84" w:name="page85"/>
    <w:bookmarkEnd w:id="84"/>
    <w:p>
      <w:pPr>
        <w:jc w:val="both"/>
        <w:ind w:right="20"/>
        <w:spacing w:after="0" w:line="297" w:lineRule="auto"/>
        <w:rPr>
          <w:sz w:val="20"/>
          <w:szCs w:val="20"/>
          <w:color w:val="auto"/>
        </w:rPr>
      </w:pPr>
      <w:r>
        <w:rPr>
          <w:rFonts w:ascii="Arial" w:cs="Arial" w:eastAsia="Arial" w:hAnsi="Arial"/>
          <w:sz w:val="17"/>
          <w:szCs w:val="17"/>
          <w:color w:val="auto"/>
        </w:rPr>
        <w:t>associated with the Company’s prescription drug product candidates that garner approval, Health Canada, the MOH, the FDA or other regulatory authorities may impose a risk evaluation and mitigation strategy, thereby imposing certain restrictions on the sale and marketability of such products.</w:t>
      </w:r>
    </w:p>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 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Unfavourable Publicity or Consumer Perception</w:t>
      </w:r>
    </w:p>
    <w:p>
      <w:pPr>
        <w:spacing w:after="0" w:line="19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55"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psilocybin industry is highly dependent upon consumer perception regarding the medical benefits, safety, efficacy and quality of the psilocybin distributed for medical purposes to such consumers. There can be no assurance that future scientific research or findings on the medical benefits, viability, safety, efficacy and dosing of psilocybin or isolated constituents, regulatory proceedings, litigation, media attention or other research findings or publicity will be favourable to the industry or the Company or any particular product, or consistent with earlier publicity.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Media</w:t>
      </w:r>
    </w:p>
    <w:p>
      <w:pPr>
        <w:spacing w:after="0" w:line="19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There has been a recent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Biotechnology and Pharmaceutical Market Competition</w:t>
      </w:r>
    </w:p>
    <w:p>
      <w:pPr>
        <w:spacing w:after="0" w:line="19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60"/>
          </w:cols>
          <w:pgMar w:left="320" w:top="710" w:right="319" w:bottom="1440" w:gutter="0" w:footer="0" w:header="0"/>
        </w:sectPr>
      </w:pPr>
    </w:p>
    <w:bookmarkStart w:id="85" w:name="page86"/>
    <w:bookmarkEnd w:id="85"/>
    <w:p>
      <w:pPr>
        <w:jc w:val="both"/>
        <w:ind w:right="20"/>
        <w:spacing w:after="0" w:line="267" w:lineRule="auto"/>
        <w:rPr>
          <w:sz w:val="20"/>
          <w:szCs w:val="20"/>
          <w:color w:val="auto"/>
        </w:rPr>
      </w:pPr>
      <w:r>
        <w:rPr>
          <w:rFonts w:ascii="Arial" w:cs="Arial" w:eastAsia="Arial" w:hAnsi="Arial"/>
          <w:sz w:val="18"/>
          <w:szCs w:val="18"/>
          <w:color w:val="auto"/>
        </w:rPr>
        <w:t>candidates may be useful. Although there are no approved therapies that specifically target opioid addiction, some competitors use therapeutic approaches that may compete directly with the Company’s prescription drug product candidates.</w:t>
      </w:r>
    </w:p>
    <w:p>
      <w:pPr>
        <w:spacing w:after="0" w:line="1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68" w:lineRule="exact"/>
        <w:rPr>
          <w:sz w:val="20"/>
          <w:szCs w:val="20"/>
          <w:color w:val="auto"/>
        </w:rPr>
      </w:pPr>
    </w:p>
    <w:p>
      <w:pPr>
        <w:ind w:left="1180" w:right="20" w:hanging="302"/>
        <w:spacing w:after="0" w:line="250" w:lineRule="auto"/>
        <w:tabs>
          <w:tab w:leader="none" w:pos="116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efficacy and safety profile of its prescription drug product candidates relative to marketed products and other prescription drug product candidates in development;</w:t>
      </w:r>
    </w:p>
    <w:p>
      <w:pPr>
        <w:ind w:left="1160" w:hanging="282"/>
        <w:spacing w:after="0"/>
        <w:tabs>
          <w:tab w:leader="none" w:pos="11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Company’s ability to develop and maintain a competitive position in the product categories and technologies on which it focuses;</w:t>
      </w:r>
    </w:p>
    <w:p>
      <w:pPr>
        <w:spacing w:after="0" w:line="12" w:lineRule="exact"/>
        <w:rPr>
          <w:rFonts w:ascii="Arial" w:cs="Arial" w:eastAsia="Arial" w:hAnsi="Arial"/>
          <w:sz w:val="17"/>
          <w:szCs w:val="17"/>
          <w:color w:val="auto"/>
        </w:rPr>
      </w:pPr>
    </w:p>
    <w:p>
      <w:pPr>
        <w:ind w:left="1160" w:hanging="282"/>
        <w:spacing w:after="0"/>
        <w:tabs>
          <w:tab w:leader="none" w:pos="11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time it takes for the Company’s prescription drug product candidates to complete clinical development and receive marketing approval;</w:t>
      </w:r>
    </w:p>
    <w:p>
      <w:pPr>
        <w:spacing w:after="0" w:line="23" w:lineRule="exact"/>
        <w:rPr>
          <w:rFonts w:ascii="Arial" w:cs="Arial" w:eastAsia="Arial" w:hAnsi="Arial"/>
          <w:sz w:val="16"/>
          <w:szCs w:val="16"/>
          <w:color w:val="auto"/>
        </w:rPr>
      </w:pPr>
    </w:p>
    <w:p>
      <w:pPr>
        <w:ind w:left="1160" w:hanging="282"/>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ability to obtain required regulatory approvals;</w:t>
      </w:r>
    </w:p>
    <w:p>
      <w:pPr>
        <w:ind w:left="1160" w:hanging="282"/>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ability to commercialize any of its prescription drug product candidates that receive regulatory approval;</w:t>
      </w:r>
    </w:p>
    <w:p>
      <w:pPr>
        <w:ind w:left="1160" w:hanging="282"/>
        <w:spacing w:after="0"/>
        <w:tabs>
          <w:tab w:leader="none" w:pos="11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Company’s ability to establish, maintain and protect intellectual property rights related to its prescription drug product candidates; and</w:t>
      </w:r>
    </w:p>
    <w:p>
      <w:pPr>
        <w:spacing w:after="0" w:line="23" w:lineRule="exact"/>
        <w:rPr>
          <w:rFonts w:ascii="Arial" w:cs="Arial" w:eastAsia="Arial" w:hAnsi="Arial"/>
          <w:sz w:val="16"/>
          <w:szCs w:val="16"/>
          <w:color w:val="auto"/>
        </w:rPr>
      </w:pPr>
    </w:p>
    <w:p>
      <w:pPr>
        <w:ind w:left="1180" w:hanging="302"/>
        <w:spacing w:after="0" w:line="248" w:lineRule="auto"/>
        <w:tabs>
          <w:tab w:leader="none" w:pos="116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acceptance of any of the Company’s prescription drug product candidates that receive regulatory approval by physicians and other healthcare providers and payers.</w:t>
      </w:r>
    </w:p>
    <w:p>
      <w:pPr>
        <w:spacing w:after="0" w:line="19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inspired compounds.</w:t>
      </w:r>
    </w:p>
    <w:p>
      <w:pPr>
        <w:spacing w:after="0" w:line="143"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51"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Key Executives and Scientists</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The Company also enters into agreements with physicians and institutions who will recruit patients into the Company’s clinical trials on its behalf in the ordinary course of its business. Notwithstanding these arrangements, the Company faces significant competition for these types of personnel from other companies, research and academic institutions, government entities and other organizations.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320" w:top="710" w:right="319" w:bottom="1440" w:gutter="0" w:footer="0" w:header="0"/>
        </w:sectPr>
      </w:pPr>
    </w:p>
    <w:bookmarkStart w:id="86" w:name="page87"/>
    <w:bookmarkEnd w:id="86"/>
    <w:p>
      <w:pPr>
        <w:jc w:val="both"/>
        <w:ind w:right="20"/>
        <w:spacing w:after="0" w:line="267" w:lineRule="auto"/>
        <w:rPr>
          <w:sz w:val="20"/>
          <w:szCs w:val="20"/>
          <w:color w:val="auto"/>
        </w:rPr>
      </w:pPr>
      <w:r>
        <w:rPr>
          <w:rFonts w:ascii="Arial" w:cs="Arial" w:eastAsia="Arial" w:hAnsi="Arial"/>
          <w:sz w:val="18"/>
          <w:szCs w:val="18"/>
          <w:color w:val="auto"/>
        </w:rPr>
        <w:t>The Company cannot predict its success in hiring or retaining the personnel it requires for continued growth. The loss of the services of any of the Company’s executive officers or other key personnel could potentially harm its business, operating results or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Misconduct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and the FDA regulations, provide accurate information to Health Canada and the FDA,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Expansion and Growth</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70"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Results of External Clinical Trials or Studies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9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60"/>
          </w:cols>
          <w:pgMar w:left="320" w:top="710" w:right="319" w:bottom="1440" w:gutter="0" w:footer="0" w:header="0"/>
        </w:sectPr>
      </w:pPr>
    </w:p>
    <w:bookmarkStart w:id="87" w:name="page88"/>
    <w:bookmarkEnd w:id="87"/>
    <w:p>
      <w:pPr>
        <w:jc w:val="both"/>
        <w:spacing w:after="0" w:line="267" w:lineRule="auto"/>
        <w:rPr>
          <w:sz w:val="20"/>
          <w:szCs w:val="20"/>
          <w:color w:val="auto"/>
        </w:rPr>
      </w:pPr>
      <w:r>
        <w:rPr>
          <w:rFonts w:ascii="Arial" w:cs="Arial" w:eastAsia="Arial" w:hAnsi="Arial"/>
          <w:sz w:val="18"/>
          <w:szCs w:val="18"/>
          <w:color w:val="auto"/>
        </w:rPr>
        <w:t>such potential claims will not be asserted against it. A successful liability claim or series of claims brought against the Company could have a material adverse effect on its business, financial condition and results of operations.</w:t>
      </w:r>
    </w:p>
    <w:p>
      <w:pPr>
        <w:spacing w:after="0" w:line="15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16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Enforcing Contracts</w:t>
      </w:r>
    </w:p>
    <w:p>
      <w:pPr>
        <w:spacing w:after="0" w:line="197"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127"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Recalls</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lose a significant amount of sales and may not be able to replace those sales at an acceptable margin or at all. In addition, a product recall may require significant management attention.</w:t>
      </w:r>
    </w:p>
    <w:p>
      <w:pPr>
        <w:spacing w:after="0" w:line="17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Supply Chain Interruption</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is susceptible to risks relating to distributor and supply chain interruptions. Distribution in Canada and other jurisdictions will be largely accomplished through independent contractors, therefore, an interruption (e.g., a labour strike) for any length of time affecting such independent contractors may have a significant impact on the Company’s ability to sell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Difficulty to Forecast</w:t>
      </w:r>
    </w:p>
    <w:p>
      <w:pPr>
        <w:spacing w:after="0" w:line="19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60"/>
          </w:cols>
          <w:pgMar w:left="320" w:top="710" w:right="31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technological change or other factors could have a material adverse effect on the business, results of operations and financial condition of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Promoting the Brand</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Viability</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 Further, the Company’s business involves the growing of an agricultural product and is subject to the risks inherent in the agricultural business, such as insects, plant diseases and similar agricultural risks.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of Quality Control Systems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Key Inputs</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Examples of potential risks include, but are not limited to, the risk that crops may become diseased or victim to insects or other pests and contamination, or subject to extreme weather conditions such as excess rainfall, freezing temperature, or drought, all of which could result in low crop yields, decreased availability of mushrooms, and higher acquisition prices. Any inability to secure required supplies and services or to do so on appropriate terms could have a materially adverse impact on the business, financial condition and operating results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Arising from Fraudulent or Illegal Activity</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710" w:right="339" w:bottom="1440" w:gutter="0" w:footer="0" w:header="0"/>
        </w:sectPr>
      </w:pPr>
    </w:p>
    <w:bookmarkStart w:id="89" w:name="page90"/>
    <w:bookmarkEnd w:id="89"/>
    <w:p>
      <w:pPr>
        <w:jc w:val="both"/>
        <w:ind w:right="20"/>
        <w:spacing w:after="0" w:line="259" w:lineRule="auto"/>
        <w:rPr>
          <w:sz w:val="20"/>
          <w:szCs w:val="20"/>
          <w:color w:val="auto"/>
        </w:rPr>
      </w:pPr>
      <w:r>
        <w:rPr>
          <w:rFonts w:ascii="Arial" w:cs="Arial" w:eastAsia="Arial" w:hAnsi="Arial"/>
          <w:sz w:val="17"/>
          <w:szCs w:val="17"/>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Risk and Insurance Coverage</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Operating as Public Company</w:t>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Growth</w:t>
      </w:r>
    </w:p>
    <w:p>
      <w:pPr>
        <w:spacing w:after="0" w:line="197"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170"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60"/>
          </w:cols>
          <w:pgMar w:left="320" w:top="710" w:right="319" w:bottom="1440" w:gutter="0" w:footer="0" w:header="0"/>
        </w:sectPr>
      </w:pPr>
    </w:p>
    <w:bookmarkStart w:id="90" w:name="page91"/>
    <w:bookmarkEnd w:id="90"/>
    <w:p>
      <w:pPr>
        <w:jc w:val="both"/>
        <w:ind w:right="20"/>
        <w:spacing w:after="0" w:line="249" w:lineRule="auto"/>
        <w:rPr>
          <w:sz w:val="20"/>
          <w:szCs w:val="20"/>
          <w:color w:val="auto"/>
        </w:rPr>
      </w:pPr>
      <w:r>
        <w:rPr>
          <w:rFonts w:ascii="Arial" w:cs="Arial" w:eastAsia="Arial" w:hAnsi="Arial"/>
          <w:sz w:val="18"/>
          <w:szCs w:val="18"/>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directors of the Company are required to act honestly, in good faith and in the best interests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Operations</w:t>
      </w:r>
    </w:p>
    <w:p>
      <w:pPr>
        <w:spacing w:after="0" w:line="19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addition to operations carried out in Canada, the Company intends to carry out international operations through an office in Ireland. As a result, the Company may be subject to political, economic and other uncertainties, including, but not limited to, cancellation or modification of contract rights, foreign exchange restrictions, currency fluctuations, export quotas, royalty and tax increases and other risks arising out of foreign governmental sovereignty over the areas in which the Company’s operations are conducted, as well as risks of loss due to civil strife, acts of war, guerrilla activities and insurrections.</w:t>
      </w:r>
    </w:p>
    <w:p>
      <w:pPr>
        <w:spacing w:after="0" w:line="13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2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and Privacy Risk</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162"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15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Arial" w:cs="Arial" w:eastAsia="Arial" w:hAnsi="Arial"/>
          <w:sz w:val="18"/>
          <w:szCs w:val="18"/>
          <w:i w:val="1"/>
          <w:iCs w:val="1"/>
          <w:color w:val="auto"/>
        </w:rPr>
        <w:t>Personal Information Protection and Electronics Documents Act</w:t>
      </w:r>
      <w:r>
        <w:rPr>
          <w:rFonts w:ascii="Arial" w:cs="Arial" w:eastAsia="Arial" w:hAnsi="Arial"/>
          <w:sz w:val="18"/>
          <w:szCs w:val="18"/>
          <w:color w:val="auto"/>
        </w:rPr>
        <w:t xml:space="preserve"> (Canada) (“</w:t>
      </w:r>
      <w:r>
        <w:rPr>
          <w:rFonts w:ascii="Arial" w:cs="Arial" w:eastAsia="Arial" w:hAnsi="Arial"/>
          <w:sz w:val="18"/>
          <w:szCs w:val="18"/>
          <w:b w:val="1"/>
          <w:bCs w:val="1"/>
          <w:color w:val="auto"/>
        </w:rPr>
        <w:t>PIPEDA</w:t>
      </w:r>
      <w:r>
        <w:rPr>
          <w:rFonts w:ascii="Arial" w:cs="Arial" w:eastAsia="Arial" w:hAnsi="Arial"/>
          <w:sz w:val="18"/>
          <w:szCs w:val="18"/>
          <w:color w:val="auto"/>
        </w:rPr>
        <w:t>”) and where applicable, provincial legislation governing personal health information, protect medical records and other personal health information by limited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320" w:top="710" w:right="319" w:bottom="1440" w:gutter="0" w:footer="0" w:header="0"/>
        </w:sectPr>
      </w:pPr>
    </w:p>
    <w:bookmarkStart w:id="91" w:name="page92"/>
    <w:bookmarkEnd w:id="91"/>
    <w:p>
      <w:pPr>
        <w:jc w:val="both"/>
        <w:ind w:right="20"/>
        <w:spacing w:after="0" w:line="267" w:lineRule="auto"/>
        <w:rPr>
          <w:sz w:val="20"/>
          <w:szCs w:val="20"/>
          <w:color w:val="auto"/>
        </w:rPr>
      </w:pPr>
      <w:r>
        <w:rPr>
          <w:rFonts w:ascii="Arial" w:cs="Arial" w:eastAsia="Arial" w:hAnsi="Arial"/>
          <w:sz w:val="18"/>
          <w:szCs w:val="18"/>
          <w:color w:val="auto"/>
        </w:rPr>
        <w:t>could be subject to sanctions and civil or criminal penalties, which could increase its liabilities, harm its reputation and have a material adverse effect on the Company’s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 and Risks</w:t>
      </w:r>
    </w:p>
    <w:p>
      <w:pPr>
        <w:spacing w:after="0" w:line="197"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56"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Amendments to current laws, regulations and permits governing the production of cannabis oil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Protection</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Failure to register trademarks for the Company or its products could require the Company to rebrand its products resulting in a material adverse impact on its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Law Reform</w:t>
      </w:r>
    </w:p>
    <w:p>
      <w:pPr>
        <w:spacing w:after="0" w:line="19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60"/>
          </w:cols>
          <w:pgMar w:left="320" w:top="710" w:right="3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Patent Litigation and Intellectual Property</w:t>
      </w:r>
    </w:p>
    <w:p>
      <w:pPr>
        <w:spacing w:after="0" w:line="197"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Corporation’s patents may be invalidated (although at this time the Company does not have any issued patents). The Company could also become involved in interference or impeachment proceedings in connection with one or more of its patents or patent applications to determine priority of invention.</w:t>
      </w:r>
    </w:p>
    <w:p>
      <w:pPr>
        <w:spacing w:after="0" w:line="156"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65"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of Intellectual Property</w:t>
      </w:r>
    </w:p>
    <w:p>
      <w:pPr>
        <w:spacing w:after="0" w:line="19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60"/>
          </w:cols>
          <w:pgMar w:left="320" w:top="710" w:right="319" w:bottom="1440" w:gutter="0" w:footer="0" w:header="0"/>
        </w:sectPr>
      </w:pPr>
    </w:p>
    <w:bookmarkStart w:id="93" w:name="page94"/>
    <w:bookmarkEnd w:id="93"/>
    <w:p>
      <w:pPr>
        <w:ind w:left="2"/>
        <w:spacing w:after="0"/>
        <w:rPr>
          <w:sz w:val="20"/>
          <w:szCs w:val="20"/>
          <w:color w:val="auto"/>
        </w:rPr>
      </w:pPr>
      <w:r>
        <w:rPr>
          <w:rFonts w:ascii="Arial" w:cs="Arial" w:eastAsia="Arial" w:hAnsi="Arial"/>
          <w:sz w:val="18"/>
          <w:szCs w:val="18"/>
          <w:b w:val="1"/>
          <w:bCs w:val="1"/>
          <w:i w:val="1"/>
          <w:iCs w:val="1"/>
          <w:color w:val="auto"/>
        </w:rPr>
        <w:t>Third-Party Licences</w:t>
      </w:r>
    </w:p>
    <w:p>
      <w:pPr>
        <w:spacing w:after="0" w:line="197" w:lineRule="exact"/>
        <w:rPr>
          <w:sz w:val="20"/>
          <w:szCs w:val="20"/>
          <w:color w:val="auto"/>
        </w:rPr>
      </w:pPr>
    </w:p>
    <w:p>
      <w:pPr>
        <w:jc w:val="both"/>
        <w:ind w:left="2" w:right="20"/>
        <w:spacing w:after="0" w:line="262" w:lineRule="auto"/>
        <w:rPr>
          <w:sz w:val="20"/>
          <w:szCs w:val="20"/>
          <w:color w:val="auto"/>
        </w:rPr>
      </w:pPr>
      <w:r>
        <w:rPr>
          <w:rFonts w:ascii="Arial" w:cs="Arial" w:eastAsia="Arial" w:hAnsi="Arial"/>
          <w:sz w:val="17"/>
          <w:szCs w:val="17"/>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57"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Risks Related to the Common Shares</w:t>
      </w:r>
    </w:p>
    <w:p>
      <w:pPr>
        <w:spacing w:after="0" w:line="201"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Market for the Common Shares</w:t>
      </w:r>
    </w:p>
    <w:p>
      <w:pPr>
        <w:spacing w:after="0" w:line="197" w:lineRule="exact"/>
        <w:rPr>
          <w:sz w:val="20"/>
          <w:szCs w:val="20"/>
          <w:color w:val="auto"/>
        </w:rPr>
      </w:pPr>
    </w:p>
    <w:p>
      <w:pPr>
        <w:jc w:val="both"/>
        <w:ind w:left="2"/>
        <w:spacing w:after="0" w:line="273" w:lineRule="auto"/>
        <w:rPr>
          <w:sz w:val="20"/>
          <w:szCs w:val="20"/>
          <w:color w:val="auto"/>
        </w:rPr>
      </w:pPr>
      <w:r>
        <w:rPr>
          <w:rFonts w:ascii="Arial" w:cs="Arial" w:eastAsia="Arial" w:hAnsi="Arial"/>
          <w:sz w:val="16"/>
          <w:szCs w:val="16"/>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w:t>
      </w:r>
    </w:p>
    <w:p>
      <w:pPr>
        <w:spacing w:after="0" w:line="5" w:lineRule="exact"/>
        <w:rPr>
          <w:sz w:val="20"/>
          <w:szCs w:val="20"/>
          <w:color w:val="auto"/>
        </w:rPr>
      </w:pPr>
    </w:p>
    <w:p>
      <w:pPr>
        <w:jc w:val="both"/>
        <w:ind w:left="2" w:right="20" w:hanging="2"/>
        <w:spacing w:after="0" w:line="271" w:lineRule="auto"/>
        <w:tabs>
          <w:tab w:leader="none" w:pos="4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litigation involving the Company, its industry, or both; (ix) regulatory developments; (x) general economic conditions and trends; (xi) major catastrophic events; (xii) escrow releases, sales of large blocks of the Common Shares; (xiii) departures of key employees or members of management; or</w:t>
      </w:r>
    </w:p>
    <w:p>
      <w:pPr>
        <w:ind w:left="402" w:hanging="402"/>
        <w:spacing w:after="0"/>
        <w:tabs>
          <w:tab w:leader="none" w:pos="40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adverse impact on the Company from any of the other risks cited herein.</w:t>
      </w:r>
    </w:p>
    <w:p>
      <w:pPr>
        <w:spacing w:after="0" w:line="181"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Significant Sales of the Common Shares</w:t>
      </w:r>
    </w:p>
    <w:p>
      <w:pPr>
        <w:spacing w:after="0" w:line="197" w:lineRule="exact"/>
        <w:rPr>
          <w:sz w:val="20"/>
          <w:szCs w:val="20"/>
          <w:color w:val="auto"/>
        </w:rPr>
      </w:pPr>
    </w:p>
    <w:p>
      <w:pPr>
        <w:jc w:val="both"/>
        <w:ind w:left="2" w:right="20"/>
        <w:spacing w:after="0" w:line="265" w:lineRule="auto"/>
        <w:rPr>
          <w:sz w:val="20"/>
          <w:szCs w:val="20"/>
          <w:color w:val="auto"/>
        </w:rPr>
      </w:pPr>
      <w:r>
        <w:rPr>
          <w:rFonts w:ascii="Arial" w:cs="Arial" w:eastAsia="Arial" w:hAnsi="Arial"/>
          <w:sz w:val="17"/>
          <w:szCs w:val="17"/>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56"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Volatile Market Price for the Common Shares</w:t>
      </w:r>
    </w:p>
    <w:p>
      <w:pPr>
        <w:spacing w:after="0" w:line="197" w:lineRule="exact"/>
        <w:rPr>
          <w:sz w:val="20"/>
          <w:szCs w:val="20"/>
          <w:color w:val="auto"/>
        </w:rPr>
      </w:pPr>
    </w:p>
    <w:p>
      <w:pPr>
        <w:jc w:val="both"/>
        <w:ind w:left="2" w:right="20"/>
        <w:spacing w:after="0" w:line="247" w:lineRule="auto"/>
        <w:rPr>
          <w:sz w:val="20"/>
          <w:szCs w:val="20"/>
          <w:color w:val="auto"/>
        </w:rPr>
      </w:pPr>
      <w:r>
        <w:rPr>
          <w:rFonts w:ascii="Arial" w:cs="Arial" w:eastAsia="Arial" w:hAnsi="Arial"/>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70"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62"/>
          </w:cols>
          <w:pgMar w:left="318" w:top="710" w:right="319" w:bottom="1440" w:gutter="0" w:footer="0" w:header="0"/>
        </w:sectPr>
      </w:pPr>
    </w:p>
    <w:bookmarkStart w:id="94" w:name="page95"/>
    <w:bookmarkEnd w:id="94"/>
    <w:p>
      <w:pPr>
        <w:jc w:val="both"/>
        <w:ind w:right="20"/>
        <w:spacing w:after="0" w:line="245" w:lineRule="auto"/>
        <w:rPr>
          <w:sz w:val="20"/>
          <w:szCs w:val="20"/>
          <w:color w:val="auto"/>
        </w:rPr>
      </w:pPr>
      <w:r>
        <w:rPr>
          <w:rFonts w:ascii="Arial" w:cs="Arial" w:eastAsia="Arial" w:hAnsi="Arial"/>
          <w:sz w:val="18"/>
          <w:szCs w:val="18"/>
          <w:color w:val="auto"/>
        </w:rPr>
        <w:t>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72"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Issues</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There may be income tax consequences in relation to the Common Shares, which will vary according to circumstances. Independent advice from tax and legal advisers should be obtained.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Dividends</w:t>
      </w:r>
    </w:p>
    <w:p>
      <w:pPr>
        <w:spacing w:after="0" w:line="19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on the Company has been filed electronically through SEDAR and is available online at </w:t>
      </w:r>
      <w:r>
        <w:rPr>
          <w:rFonts w:ascii="Arial" w:cs="Arial" w:eastAsia="Arial" w:hAnsi="Arial"/>
          <w:sz w:val="18"/>
          <w:szCs w:val="18"/>
          <w:i w:val="1"/>
          <w:iCs w:val="1"/>
          <w:u w:val="single" w:color="auto"/>
          <w:color w:val="0563C1"/>
        </w:rPr>
        <w:t>www.sedar.com</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60"/>
          </w:cols>
          <w:pgMar w:left="320" w:top="710" w:right="319" w:bottom="1440" w:gutter="0" w:footer="0" w:header="0"/>
        </w:sectPr>
      </w:pPr>
    </w:p>
    <w:bookmarkStart w:id="95" w:name="page96"/>
    <w:bookmarkEnd w:id="95"/>
    <w:p>
      <w:pPr>
        <w:jc w:val="center"/>
        <w:spacing w:after="0"/>
        <w:rPr>
          <w:sz w:val="20"/>
          <w:szCs w:val="20"/>
          <w:color w:val="auto"/>
        </w:rPr>
      </w:pPr>
      <w:r>
        <w:rPr>
          <w:rFonts w:ascii="Arial" w:cs="Arial" w:eastAsia="Arial" w:hAnsi="Arial"/>
          <w:sz w:val="16"/>
          <w:szCs w:val="16"/>
          <w:b w:val="1"/>
          <w:bCs w:val="1"/>
          <w:color w:val="auto"/>
        </w:rPr>
        <w:t>FORM 52-109F2</w:t>
      </w:r>
    </w:p>
    <w:p>
      <w:pPr>
        <w:jc w:val="center"/>
        <w:spacing w:after="0" w:line="207" w:lineRule="auto"/>
        <w:rPr>
          <w:sz w:val="20"/>
          <w:szCs w:val="20"/>
          <w:color w:val="auto"/>
        </w:rPr>
      </w:pPr>
      <w:r>
        <w:rPr>
          <w:rFonts w:ascii="Arial" w:cs="Arial" w:eastAsia="Arial" w:hAnsi="Arial"/>
          <w:sz w:val="16"/>
          <w:szCs w:val="16"/>
          <w:b w:val="1"/>
          <w:bCs w:val="1"/>
          <w:color w:val="auto"/>
        </w:rPr>
        <w:t>CERTIFICATION OF INTERIM FILINGS</w:t>
      </w:r>
    </w:p>
    <w:p>
      <w:pPr>
        <w:jc w:val="center"/>
        <w:spacing w:after="0"/>
        <w:rPr>
          <w:sz w:val="20"/>
          <w:szCs w:val="20"/>
          <w:color w:val="auto"/>
        </w:rPr>
      </w:pPr>
      <w:r>
        <w:rPr>
          <w:rFonts w:ascii="Arial" w:cs="Arial" w:eastAsia="Arial" w:hAnsi="Arial"/>
          <w:sz w:val="16"/>
          <w:szCs w:val="16"/>
          <w:b w:val="1"/>
          <w:bCs w:val="1"/>
          <w:color w:val="auto"/>
        </w:rPr>
        <w:t>FULL CERTIFICATE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 Greg Cavers, as Chief Financial Officer of Cybin Inc. (formerly, Clarmin Explorations Inc.), certify the following:</w:t>
      </w:r>
    </w:p>
    <w:p>
      <w:pPr>
        <w:spacing w:after="0" w:line="171" w:lineRule="exact"/>
        <w:rPr>
          <w:sz w:val="20"/>
          <w:szCs w:val="20"/>
          <w:color w:val="auto"/>
        </w:rPr>
      </w:pPr>
    </w:p>
    <w:p>
      <w:pPr>
        <w:ind w:left="580" w:hanging="289"/>
        <w:spacing w:after="0" w:line="238"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Review: </w:t>
      </w:r>
      <w:r>
        <w:rPr>
          <w:rFonts w:ascii="Arial" w:cs="Arial" w:eastAsia="Arial" w:hAnsi="Arial"/>
          <w:sz w:val="16"/>
          <w:szCs w:val="16"/>
          <w:color w:val="auto"/>
        </w:rPr>
        <w:t>I have reviewed the interim financial statements and interim MD&amp;A (together, the “interim filings”) of Cybin Inc. (formerly, Clarmin Explorations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“issuer”) for the interim period ended December 31, 2021.</w:t>
      </w:r>
    </w:p>
    <w:p>
      <w:pPr>
        <w:spacing w:after="0" w:line="173" w:lineRule="exact"/>
        <w:rPr>
          <w:rFonts w:ascii="Arial" w:cs="Arial" w:eastAsia="Arial" w:hAnsi="Arial"/>
          <w:sz w:val="16"/>
          <w:szCs w:val="16"/>
          <w:color w:val="auto"/>
        </w:rPr>
      </w:pPr>
    </w:p>
    <w:p>
      <w:pPr>
        <w:jc w:val="both"/>
        <w:ind w:left="580" w:hanging="289"/>
        <w:spacing w:after="0" w:line="228"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No misrepresentations</w:t>
      </w:r>
      <w:r>
        <w:rPr>
          <w:rFonts w:ascii="Arial" w:cs="Arial" w:eastAsia="Arial" w:hAnsi="Arial"/>
          <w:sz w:val="16"/>
          <w:szCs w:val="16"/>
          <w:color w:val="auto"/>
        </w:rPr>
        <w:t>: Based on my knowledge, having exercised reasonable diligence, the interim filings do not contain any untrue statement of a material fact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omit to state a material fact required to be stated or that is necessary to make a statement not misleading in light of the circumstances under which it was made, with respect to the period covered by the interim filings.</w:t>
      </w:r>
    </w:p>
    <w:p>
      <w:pPr>
        <w:spacing w:after="0" w:line="172" w:lineRule="exact"/>
        <w:rPr>
          <w:rFonts w:ascii="Arial" w:cs="Arial" w:eastAsia="Arial" w:hAnsi="Arial"/>
          <w:sz w:val="16"/>
          <w:szCs w:val="16"/>
          <w:color w:val="auto"/>
        </w:rPr>
      </w:pPr>
    </w:p>
    <w:p>
      <w:pPr>
        <w:jc w:val="both"/>
        <w:ind w:left="580" w:hanging="289"/>
        <w:spacing w:after="0" w:line="228"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presentation: </w:t>
      </w:r>
      <w:r>
        <w:rPr>
          <w:rFonts w:ascii="Arial" w:cs="Arial" w:eastAsia="Arial" w:hAnsi="Arial"/>
          <w:sz w:val="16"/>
          <w:szCs w:val="16"/>
          <w:color w:val="auto"/>
        </w:rPr>
        <w:t>Based on my knowledge, having exercised reasonable diligence, the interim financial statements together with the other financial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2" w:lineRule="exact"/>
        <w:rPr>
          <w:rFonts w:ascii="Arial" w:cs="Arial" w:eastAsia="Arial" w:hAnsi="Arial"/>
          <w:sz w:val="16"/>
          <w:szCs w:val="16"/>
          <w:color w:val="auto"/>
        </w:rPr>
      </w:pPr>
    </w:p>
    <w:p>
      <w:pPr>
        <w:jc w:val="both"/>
        <w:ind w:left="580" w:hanging="289"/>
        <w:spacing w:after="0" w:line="228"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Responsibility: </w:t>
      </w:r>
      <w:r>
        <w:rPr>
          <w:rFonts w:ascii="Arial" w:cs="Arial" w:eastAsia="Arial" w:hAnsi="Arial"/>
          <w:sz w:val="16"/>
          <w:szCs w:val="16"/>
          <w:color w:val="auto"/>
        </w:rPr>
        <w:t>The issuer’s other certifying officer(s) and I are responsible for establishing and maintaining disclosure controls and procedures (DC&amp;P)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control over financial reporting (ICFR), as those terms are defined in National Instrument 52-109 Certification of Disclosure in Issuers’ Annual and Interim Filings, for the issuer.</w:t>
      </w:r>
    </w:p>
    <w:p>
      <w:pPr>
        <w:spacing w:after="0" w:line="172" w:lineRule="exact"/>
        <w:rPr>
          <w:rFonts w:ascii="Arial" w:cs="Arial" w:eastAsia="Arial" w:hAnsi="Arial"/>
          <w:sz w:val="16"/>
          <w:szCs w:val="16"/>
          <w:color w:val="auto"/>
        </w:rPr>
      </w:pPr>
    </w:p>
    <w:p>
      <w:pPr>
        <w:ind w:left="580" w:hanging="289"/>
        <w:spacing w:after="0" w:line="238"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 </w:t>
      </w:r>
      <w:r>
        <w:rPr>
          <w:rFonts w:ascii="Arial" w:cs="Arial" w:eastAsia="Arial" w:hAnsi="Arial"/>
          <w:sz w:val="16"/>
          <w:szCs w:val="16"/>
          <w:color w:val="auto"/>
        </w:rPr>
        <w:t>Subject to the limitations, if any, described in paragraphs 5.2 and 5.3, the issuer’s other certifying officer(s) and I have, as at the end of the period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interim filings</w:t>
      </w:r>
    </w:p>
    <w:p>
      <w:pPr>
        <w:spacing w:after="0" w:line="173" w:lineRule="exact"/>
        <w:rPr>
          <w:rFonts w:ascii="Arial" w:cs="Arial" w:eastAsia="Arial" w:hAnsi="Arial"/>
          <w:sz w:val="16"/>
          <w:szCs w:val="16"/>
          <w:color w:val="auto"/>
        </w:rPr>
      </w:pPr>
    </w:p>
    <w:p>
      <w:pPr>
        <w:ind w:left="1180" w:hanging="302"/>
        <w:spacing w:after="0"/>
        <w:tabs>
          <w:tab w:leader="none" w:pos="11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DC&amp;P, or caused it to be designed under our supervision, to provide reasonable assurance that</w:t>
      </w:r>
    </w:p>
    <w:p>
      <w:pPr>
        <w:spacing w:after="0" w:line="195" w:lineRule="exact"/>
        <w:rPr>
          <w:rFonts w:ascii="Arial" w:cs="Arial" w:eastAsia="Arial" w:hAnsi="Arial"/>
          <w:sz w:val="16"/>
          <w:szCs w:val="16"/>
          <w:color w:val="auto"/>
        </w:rPr>
      </w:pPr>
    </w:p>
    <w:p>
      <w:pPr>
        <w:ind w:left="1760" w:hanging="294"/>
        <w:spacing w:after="0" w:line="238" w:lineRule="auto"/>
        <w:tabs>
          <w:tab w:leader="none" w:pos="1760" w:val="left"/>
        </w:tabs>
        <w:numPr>
          <w:ilvl w:val="2"/>
          <w:numId w:val="67"/>
        </w:numPr>
        <w:rPr>
          <w:rFonts w:ascii="Arial" w:cs="Arial" w:eastAsia="Arial" w:hAnsi="Arial"/>
          <w:sz w:val="16"/>
          <w:szCs w:val="16"/>
          <w:color w:val="auto"/>
        </w:rPr>
      </w:pPr>
      <w:r>
        <w:rPr>
          <w:rFonts w:ascii="Arial" w:cs="Arial" w:eastAsia="Arial" w:hAnsi="Arial"/>
          <w:sz w:val="16"/>
          <w:szCs w:val="16"/>
          <w:color w:val="auto"/>
        </w:rPr>
        <w:t>material information relating to the issuer is made known to us by others, particularly during the period in which the interim filings are being prepared; and</w:t>
      </w:r>
    </w:p>
    <w:p>
      <w:pPr>
        <w:spacing w:after="0" w:line="173" w:lineRule="exact"/>
        <w:rPr>
          <w:rFonts w:ascii="Arial" w:cs="Arial" w:eastAsia="Arial" w:hAnsi="Arial"/>
          <w:sz w:val="16"/>
          <w:szCs w:val="16"/>
          <w:color w:val="auto"/>
        </w:rPr>
      </w:pPr>
    </w:p>
    <w:p>
      <w:pPr>
        <w:ind w:left="1760" w:hanging="294"/>
        <w:spacing w:after="0" w:line="238" w:lineRule="auto"/>
        <w:tabs>
          <w:tab w:leader="none" w:pos="1760" w:val="left"/>
        </w:tabs>
        <w:numPr>
          <w:ilvl w:val="2"/>
          <w:numId w:val="67"/>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73" w:lineRule="exact"/>
        <w:rPr>
          <w:rFonts w:ascii="Arial" w:cs="Arial" w:eastAsia="Arial" w:hAnsi="Arial"/>
          <w:sz w:val="16"/>
          <w:szCs w:val="16"/>
          <w:color w:val="auto"/>
        </w:rPr>
      </w:pPr>
    </w:p>
    <w:p>
      <w:pPr>
        <w:ind w:left="1180" w:hanging="302"/>
        <w:spacing w:after="0" w:line="238" w:lineRule="auto"/>
        <w:tabs>
          <w:tab w:leader="none" w:pos="11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3" w:lineRule="exact"/>
        <w:rPr>
          <w:sz w:val="20"/>
          <w:szCs w:val="20"/>
          <w:color w:val="auto"/>
        </w:rPr>
      </w:pPr>
    </w:p>
    <w:p>
      <w:pPr>
        <w:ind w:left="580" w:hanging="293"/>
        <w:spacing w:after="0" w:line="238" w:lineRule="auto"/>
        <w:tabs>
          <w:tab w:leader="none" w:pos="5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 Control – 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Framework (2013) issued by The Committee of Sponsoring Organization of the Treadway Commission (COSO).</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b w:val="1"/>
          <w:bCs w:val="1"/>
          <w:i w:val="1"/>
          <w:iCs w:val="1"/>
          <w:color w:val="auto"/>
        </w:rPr>
        <w:t>N/A.</w:t>
      </w:r>
    </w:p>
    <w:p>
      <w:pPr>
        <w:spacing w:after="0" w:line="19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b w:val="1"/>
          <w:bCs w:val="1"/>
          <w:i w:val="1"/>
          <w:iCs w:val="1"/>
          <w:color w:val="auto"/>
        </w:rPr>
        <w:t>N/A.</w:t>
      </w:r>
    </w:p>
    <w:p>
      <w:pPr>
        <w:spacing w:after="0" w:line="195" w:lineRule="exact"/>
        <w:rPr>
          <w:sz w:val="20"/>
          <w:szCs w:val="20"/>
          <w:color w:val="auto"/>
        </w:rPr>
      </w:pPr>
    </w:p>
    <w:p>
      <w:pPr>
        <w:ind w:left="580" w:hanging="289"/>
        <w:spacing w:after="0" w:line="238" w:lineRule="auto"/>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 beginning on October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 2021 and ended on December 31, 2021 that has materially affected, or is reasonably likely to materially affect, the issuer’s ICFR.</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10, 2022.</w:t>
      </w:r>
    </w:p>
    <w:p>
      <w:pPr>
        <w:spacing w:after="0" w:line="220" w:lineRule="exact"/>
        <w:rPr>
          <w:sz w:val="20"/>
          <w:szCs w:val="20"/>
          <w:color w:val="auto"/>
        </w:rPr>
      </w:pPr>
    </w:p>
    <w:p>
      <w:pPr>
        <w:ind w:left="60" w:right="10000" w:hanging="1"/>
        <w:spacing w:after="0" w:line="297" w:lineRule="auto"/>
        <w:tabs>
          <w:tab w:leader="none" w:pos="273" w:val="left"/>
        </w:tabs>
        <w:numPr>
          <w:ilvl w:val="0"/>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"Greg Cavers" </w:t>
      </w:r>
      <w:r>
        <w:rPr>
          <w:rFonts w:ascii="Arial" w:cs="Arial" w:eastAsia="Arial" w:hAnsi="Arial"/>
          <w:sz w:val="15"/>
          <w:szCs w:val="15"/>
          <w:color w:val="auto"/>
        </w:rPr>
        <w:t>Greg Cavers</w:t>
      </w:r>
    </w:p>
    <w:p>
      <w:pPr>
        <w:spacing w:after="0" w:line="1" w:lineRule="exact"/>
        <w:rPr>
          <w:rFonts w:ascii="Arial" w:cs="Arial" w:eastAsia="Arial" w:hAnsi="Arial"/>
          <w:sz w:val="15"/>
          <w:szCs w:val="15"/>
          <w:color w:val="auto"/>
        </w:rPr>
      </w:pPr>
    </w:p>
    <w:p>
      <w:pPr>
        <w:ind w:left="60"/>
        <w:spacing w:after="0"/>
        <w:rPr>
          <w:rFonts w:ascii="Arial" w:cs="Arial" w:eastAsia="Arial" w:hAnsi="Arial"/>
          <w:sz w:val="15"/>
          <w:szCs w:val="15"/>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-255905</wp:posOffset>
            </wp:positionV>
            <wp:extent cx="195707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7070" cy="762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auto"/>
        </w:rPr>
        <w:t>FORM 52-109F2</w:t>
      </w:r>
    </w:p>
    <w:p>
      <w:pPr>
        <w:jc w:val="center"/>
        <w:spacing w:after="0" w:line="207" w:lineRule="auto"/>
        <w:rPr>
          <w:sz w:val="20"/>
          <w:szCs w:val="20"/>
          <w:color w:val="auto"/>
        </w:rPr>
      </w:pPr>
      <w:r>
        <w:rPr>
          <w:rFonts w:ascii="Arial" w:cs="Arial" w:eastAsia="Arial" w:hAnsi="Arial"/>
          <w:sz w:val="16"/>
          <w:szCs w:val="16"/>
          <w:b w:val="1"/>
          <w:bCs w:val="1"/>
          <w:color w:val="auto"/>
        </w:rPr>
        <w:t>CERTIFICATION OF INTERIM FILINGS</w:t>
      </w:r>
    </w:p>
    <w:p>
      <w:pPr>
        <w:jc w:val="center"/>
        <w:spacing w:after="0"/>
        <w:rPr>
          <w:sz w:val="20"/>
          <w:szCs w:val="20"/>
          <w:color w:val="auto"/>
        </w:rPr>
      </w:pPr>
      <w:r>
        <w:rPr>
          <w:rFonts w:ascii="Arial" w:cs="Arial" w:eastAsia="Arial" w:hAnsi="Arial"/>
          <w:sz w:val="16"/>
          <w:szCs w:val="16"/>
          <w:b w:val="1"/>
          <w:bCs w:val="1"/>
          <w:color w:val="auto"/>
        </w:rPr>
        <w:t>FULL CERTIFICATE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Douglas Drysdale, as Chief Executive Officer of Cybin Inc. (formerly, Clarmin Explorations Inc.), certify the following:</w:t>
      </w:r>
    </w:p>
    <w:p>
      <w:pPr>
        <w:spacing w:after="0" w:line="195" w:lineRule="exact"/>
        <w:rPr>
          <w:sz w:val="20"/>
          <w:szCs w:val="20"/>
          <w:color w:val="auto"/>
        </w:rPr>
      </w:pPr>
    </w:p>
    <w:p>
      <w:pPr>
        <w:ind w:left="580" w:hanging="289"/>
        <w:spacing w:after="0" w:line="238" w:lineRule="auto"/>
        <w:tabs>
          <w:tab w:leader="none" w:pos="58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Review: </w:t>
      </w:r>
      <w:r>
        <w:rPr>
          <w:rFonts w:ascii="Arial" w:cs="Arial" w:eastAsia="Arial" w:hAnsi="Arial"/>
          <w:sz w:val="16"/>
          <w:szCs w:val="16"/>
          <w:color w:val="auto"/>
        </w:rPr>
        <w:t>I have reviewed the interim financial statements and interim MD&amp;A (together, the “interim filings”) of Cybin Inc. (formerly, Clarmin Explorations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“issuer”) for the interim period ended December 31, 2021.</w:t>
      </w:r>
    </w:p>
    <w:p>
      <w:pPr>
        <w:spacing w:after="0" w:line="173" w:lineRule="exact"/>
        <w:rPr>
          <w:rFonts w:ascii="Arial" w:cs="Arial" w:eastAsia="Arial" w:hAnsi="Arial"/>
          <w:sz w:val="16"/>
          <w:szCs w:val="16"/>
          <w:color w:val="auto"/>
        </w:rPr>
      </w:pPr>
    </w:p>
    <w:p>
      <w:pPr>
        <w:jc w:val="both"/>
        <w:ind w:left="580" w:hanging="289"/>
        <w:spacing w:after="0" w:line="228" w:lineRule="auto"/>
        <w:tabs>
          <w:tab w:leader="none" w:pos="58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No misrepresentations</w:t>
      </w:r>
      <w:r>
        <w:rPr>
          <w:rFonts w:ascii="Arial" w:cs="Arial" w:eastAsia="Arial" w:hAnsi="Arial"/>
          <w:sz w:val="16"/>
          <w:szCs w:val="16"/>
          <w:color w:val="auto"/>
        </w:rPr>
        <w:t>: Based on my knowledge, having exercised reasonable diligence, the interim filings do not contain any untrue statement of a material fact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omit to state a material fact required to be stated or that is necessary to make a statement not misleading in light of the circumstances under which it was made, with respect to the period covered by the interim filings.</w:t>
      </w:r>
    </w:p>
    <w:p>
      <w:pPr>
        <w:spacing w:after="0" w:line="172" w:lineRule="exact"/>
        <w:rPr>
          <w:rFonts w:ascii="Arial" w:cs="Arial" w:eastAsia="Arial" w:hAnsi="Arial"/>
          <w:sz w:val="16"/>
          <w:szCs w:val="16"/>
          <w:color w:val="auto"/>
        </w:rPr>
      </w:pPr>
    </w:p>
    <w:p>
      <w:pPr>
        <w:jc w:val="both"/>
        <w:ind w:left="580" w:hanging="289"/>
        <w:spacing w:after="0" w:line="228" w:lineRule="auto"/>
        <w:tabs>
          <w:tab w:leader="none" w:pos="58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presentation: </w:t>
      </w:r>
      <w:r>
        <w:rPr>
          <w:rFonts w:ascii="Arial" w:cs="Arial" w:eastAsia="Arial" w:hAnsi="Arial"/>
          <w:sz w:val="16"/>
          <w:szCs w:val="16"/>
          <w:color w:val="auto"/>
        </w:rPr>
        <w:t>Based on my knowledge, having exercised reasonable diligence, the interim financial statements together with the other financial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2" w:lineRule="exact"/>
        <w:rPr>
          <w:rFonts w:ascii="Arial" w:cs="Arial" w:eastAsia="Arial" w:hAnsi="Arial"/>
          <w:sz w:val="16"/>
          <w:szCs w:val="16"/>
          <w:color w:val="auto"/>
        </w:rPr>
      </w:pPr>
    </w:p>
    <w:p>
      <w:pPr>
        <w:jc w:val="both"/>
        <w:ind w:left="580" w:hanging="289"/>
        <w:spacing w:after="0" w:line="228" w:lineRule="auto"/>
        <w:tabs>
          <w:tab w:leader="none" w:pos="58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Responsibility: </w:t>
      </w:r>
      <w:r>
        <w:rPr>
          <w:rFonts w:ascii="Arial" w:cs="Arial" w:eastAsia="Arial" w:hAnsi="Arial"/>
          <w:sz w:val="16"/>
          <w:szCs w:val="16"/>
          <w:color w:val="auto"/>
        </w:rPr>
        <w:t>The issuer’s other certifying officer(s) and I are responsible for establishing and maintaining disclosure controls and procedures (DC&amp;P)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control over financial reporting (ICFR), as those terms are defined in National Instrument 52-109 Certification of Disclosure in Issuers’ Annual and Interim Filings, for the issuer.</w:t>
      </w:r>
    </w:p>
    <w:p>
      <w:pPr>
        <w:spacing w:after="0" w:line="172" w:lineRule="exact"/>
        <w:rPr>
          <w:rFonts w:ascii="Arial" w:cs="Arial" w:eastAsia="Arial" w:hAnsi="Arial"/>
          <w:sz w:val="16"/>
          <w:szCs w:val="16"/>
          <w:color w:val="auto"/>
        </w:rPr>
      </w:pPr>
    </w:p>
    <w:p>
      <w:pPr>
        <w:ind w:left="580" w:hanging="289"/>
        <w:spacing w:after="0" w:line="238" w:lineRule="auto"/>
        <w:tabs>
          <w:tab w:leader="none" w:pos="58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 </w:t>
      </w:r>
      <w:r>
        <w:rPr>
          <w:rFonts w:ascii="Arial" w:cs="Arial" w:eastAsia="Arial" w:hAnsi="Arial"/>
          <w:sz w:val="16"/>
          <w:szCs w:val="16"/>
          <w:color w:val="auto"/>
        </w:rPr>
        <w:t>Subject to the limitations, if any, described in paragraphs 5.2 and 5.3, the issuer’s other certifying officer(s) and I have, as at the end of the period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interim filings</w:t>
      </w:r>
    </w:p>
    <w:p>
      <w:pPr>
        <w:spacing w:after="0" w:line="173" w:lineRule="exact"/>
        <w:rPr>
          <w:rFonts w:ascii="Arial" w:cs="Arial" w:eastAsia="Arial" w:hAnsi="Arial"/>
          <w:sz w:val="16"/>
          <w:szCs w:val="16"/>
          <w:color w:val="auto"/>
        </w:rPr>
      </w:pPr>
    </w:p>
    <w:p>
      <w:pPr>
        <w:ind w:left="1180" w:hanging="302"/>
        <w:spacing w:after="0"/>
        <w:tabs>
          <w:tab w:leader="none" w:pos="11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DC&amp;P, or caused it to be designed under our supervision, to provide reasonable assurance that</w:t>
      </w:r>
    </w:p>
    <w:p>
      <w:pPr>
        <w:spacing w:after="0" w:line="195" w:lineRule="exact"/>
        <w:rPr>
          <w:rFonts w:ascii="Arial" w:cs="Arial" w:eastAsia="Arial" w:hAnsi="Arial"/>
          <w:sz w:val="16"/>
          <w:szCs w:val="16"/>
          <w:color w:val="auto"/>
        </w:rPr>
      </w:pPr>
    </w:p>
    <w:p>
      <w:pPr>
        <w:ind w:left="1760" w:hanging="294"/>
        <w:spacing w:after="0" w:line="238" w:lineRule="auto"/>
        <w:tabs>
          <w:tab w:leader="none" w:pos="1760" w:val="left"/>
        </w:tabs>
        <w:numPr>
          <w:ilvl w:val="2"/>
          <w:numId w:val="70"/>
        </w:numPr>
        <w:rPr>
          <w:rFonts w:ascii="Arial" w:cs="Arial" w:eastAsia="Arial" w:hAnsi="Arial"/>
          <w:sz w:val="16"/>
          <w:szCs w:val="16"/>
          <w:color w:val="auto"/>
        </w:rPr>
      </w:pPr>
      <w:r>
        <w:rPr>
          <w:rFonts w:ascii="Arial" w:cs="Arial" w:eastAsia="Arial" w:hAnsi="Arial"/>
          <w:sz w:val="16"/>
          <w:szCs w:val="16"/>
          <w:color w:val="auto"/>
        </w:rPr>
        <w:t>material information relating to the issuer is made known to us by others, particularly during the period in which the interim filings are being prepared; and</w:t>
      </w:r>
    </w:p>
    <w:p>
      <w:pPr>
        <w:spacing w:after="0" w:line="173" w:lineRule="exact"/>
        <w:rPr>
          <w:rFonts w:ascii="Arial" w:cs="Arial" w:eastAsia="Arial" w:hAnsi="Arial"/>
          <w:sz w:val="16"/>
          <w:szCs w:val="16"/>
          <w:color w:val="auto"/>
        </w:rPr>
      </w:pPr>
    </w:p>
    <w:p>
      <w:pPr>
        <w:ind w:left="1760" w:hanging="294"/>
        <w:spacing w:after="0" w:line="238" w:lineRule="auto"/>
        <w:tabs>
          <w:tab w:leader="none" w:pos="1760" w:val="left"/>
        </w:tabs>
        <w:numPr>
          <w:ilvl w:val="2"/>
          <w:numId w:val="70"/>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73" w:lineRule="exact"/>
        <w:rPr>
          <w:rFonts w:ascii="Arial" w:cs="Arial" w:eastAsia="Arial" w:hAnsi="Arial"/>
          <w:sz w:val="16"/>
          <w:szCs w:val="16"/>
          <w:color w:val="auto"/>
        </w:rPr>
      </w:pPr>
    </w:p>
    <w:p>
      <w:pPr>
        <w:ind w:left="1180" w:hanging="302"/>
        <w:spacing w:after="0" w:line="238" w:lineRule="auto"/>
        <w:tabs>
          <w:tab w:leader="none" w:pos="11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3" w:lineRule="exact"/>
        <w:rPr>
          <w:sz w:val="20"/>
          <w:szCs w:val="20"/>
          <w:color w:val="auto"/>
        </w:rPr>
      </w:pPr>
    </w:p>
    <w:p>
      <w:pPr>
        <w:ind w:left="580" w:hanging="293"/>
        <w:spacing w:after="0" w:line="238" w:lineRule="auto"/>
        <w:tabs>
          <w:tab w:leader="none" w:pos="5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 Control – 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Framework (2013) issued by The Committee of Sponsoring Organization of the Treadway Commission (COSO).</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b w:val="1"/>
          <w:bCs w:val="1"/>
          <w:i w:val="1"/>
          <w:iCs w:val="1"/>
          <w:color w:val="auto"/>
        </w:rPr>
        <w:t>N/A.</w:t>
      </w:r>
    </w:p>
    <w:p>
      <w:pPr>
        <w:spacing w:after="0" w:line="19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b w:val="1"/>
          <w:bCs w:val="1"/>
          <w:i w:val="1"/>
          <w:iCs w:val="1"/>
          <w:color w:val="auto"/>
        </w:rPr>
        <w:t>N/A.</w:t>
      </w:r>
    </w:p>
    <w:p>
      <w:pPr>
        <w:spacing w:after="0" w:line="195" w:lineRule="exact"/>
        <w:rPr>
          <w:sz w:val="20"/>
          <w:szCs w:val="20"/>
          <w:color w:val="auto"/>
        </w:rPr>
      </w:pPr>
    </w:p>
    <w:p>
      <w:pPr>
        <w:ind w:left="580" w:hanging="289"/>
        <w:spacing w:after="0" w:line="238" w:lineRule="auto"/>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 beginning on October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 2021 and ended on December 31, 2021 that has materially affected, or is reasonably likely to materially affect, the issuer’s ICFR.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10, 2022.</w:t>
      </w:r>
    </w:p>
    <w:p>
      <w:pPr>
        <w:spacing w:after="0" w:line="244" w:lineRule="exact"/>
        <w:rPr>
          <w:sz w:val="20"/>
          <w:szCs w:val="20"/>
          <w:color w:val="auto"/>
        </w:rPr>
      </w:pPr>
    </w:p>
    <w:p>
      <w:pPr>
        <w:ind w:left="60" w:right="9620" w:hanging="1"/>
        <w:spacing w:after="0" w:line="322" w:lineRule="auto"/>
        <w:tabs>
          <w:tab w:leader="none" w:pos="273" w:val="left"/>
        </w:tabs>
        <w:numPr>
          <w:ilvl w:val="0"/>
          <w:numId w:val="72"/>
        </w:numPr>
        <w:rPr>
          <w:rFonts w:ascii="Arial" w:cs="Arial" w:eastAsia="Arial" w:hAnsi="Arial"/>
          <w:sz w:val="15"/>
          <w:szCs w:val="15"/>
          <w:color w:val="auto"/>
        </w:rPr>
      </w:pPr>
      <w:r>
        <w:rPr>
          <w:rFonts w:ascii="Arial" w:cs="Arial" w:eastAsia="Arial" w:hAnsi="Arial"/>
          <w:sz w:val="15"/>
          <w:szCs w:val="15"/>
          <w:i w:val="1"/>
          <w:iCs w:val="1"/>
          <w:color w:val="auto"/>
        </w:rPr>
        <w:t xml:space="preserve">"Douglas Drysdale" </w:t>
      </w:r>
      <w:r>
        <w:rPr>
          <w:rFonts w:ascii="Arial" w:cs="Arial" w:eastAsia="Arial" w:hAnsi="Arial"/>
          <w:sz w:val="15"/>
          <w:szCs w:val="15"/>
          <w:color w:val="auto"/>
        </w:rPr>
        <w:t>Douglas Drysdale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-307975</wp:posOffset>
            </wp:positionV>
            <wp:extent cx="195707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57070" cy="762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1817370</wp:posOffset>
            </wp:positionH>
            <wp:positionV relativeFrom="page">
              <wp:posOffset>1122045</wp:posOffset>
            </wp:positionV>
            <wp:extent cx="1600200" cy="10096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600200" cy="100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
        <w:spacing w:after="0"/>
        <w:rPr>
          <w:sz w:val="20"/>
          <w:szCs w:val="20"/>
          <w:color w:val="auto"/>
        </w:rPr>
      </w:pPr>
      <w:r>
        <w:rPr>
          <w:rFonts w:ascii="Arial" w:cs="Arial" w:eastAsia="Arial" w:hAnsi="Arial"/>
          <w:sz w:val="23"/>
          <w:szCs w:val="23"/>
          <w:b w:val="1"/>
          <w:bCs w:val="1"/>
          <w:color w:val="auto"/>
        </w:rPr>
        <w:t>Cybin Inc. Reports Third Quarter Financial Results and Recent Business Highlights</w:t>
      </w:r>
    </w:p>
    <w:p>
      <w:pPr>
        <w:spacing w:after="0" w:line="47" w:lineRule="exact"/>
        <w:rPr>
          <w:sz w:val="20"/>
          <w:szCs w:val="20"/>
          <w:color w:val="auto"/>
        </w:rPr>
      </w:pPr>
    </w:p>
    <w:p>
      <w:pPr>
        <w:jc w:val="center"/>
        <w:ind w:left="340" w:right="1020"/>
        <w:spacing w:after="0" w:line="315" w:lineRule="auto"/>
        <w:rPr>
          <w:sz w:val="20"/>
          <w:szCs w:val="20"/>
          <w:color w:val="auto"/>
        </w:rPr>
      </w:pPr>
      <w:r>
        <w:rPr>
          <w:rFonts w:ascii="Arial" w:cs="Arial" w:eastAsia="Arial" w:hAnsi="Arial"/>
          <w:sz w:val="18"/>
          <w:szCs w:val="18"/>
          <w:i w:val="1"/>
          <w:iCs w:val="1"/>
          <w:color w:val="auto"/>
        </w:rPr>
        <w:t>- Completed Scientific Advice meeting with UK MHRA to support Phase 1/2a trial of CYB003 planned for mid-2022 - - Company to host conference call at 8:30am EST today –</w:t>
      </w:r>
    </w:p>
    <w:p>
      <w:pPr>
        <w:spacing w:after="0" w:line="113" w:lineRule="exact"/>
        <w:rPr>
          <w:sz w:val="20"/>
          <w:szCs w:val="20"/>
          <w:color w:val="auto"/>
        </w:rPr>
      </w:pPr>
    </w:p>
    <w:p>
      <w:pPr>
        <w:jc w:val="both"/>
        <w:ind w:left="2"/>
        <w:spacing w:after="0" w:line="268"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February 10, 2022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0563C1"/>
        </w:rPr>
        <w:t>NEO:CYBN</w:t>
      </w:r>
      <w:r>
        <w:rPr>
          <w:rFonts w:ascii="Arial" w:cs="Arial" w:eastAsia="Arial" w:hAnsi="Arial"/>
          <w:sz w:val="18"/>
          <w:szCs w:val="18"/>
          <w:color w:val="auto"/>
        </w:rPr>
        <w:t>) (</w:t>
      </w:r>
      <w:r>
        <w:rPr>
          <w:rFonts w:ascii="Arial" w:cs="Arial" w:eastAsia="Arial" w:hAnsi="Arial"/>
          <w:sz w:val="18"/>
          <w:szCs w:val="18"/>
          <w:u w:val="single" w:color="auto"/>
          <w:color w:val="0563C1"/>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progressing “Psychedelics to Therapeutics</w:t>
      </w:r>
      <w:r>
        <w:rPr>
          <w:rFonts w:ascii="Arial" w:cs="Arial" w:eastAsia="Arial" w:hAnsi="Arial"/>
          <w:sz w:val="23"/>
          <w:szCs w:val="23"/>
          <w:color w:val="auto"/>
          <w:vertAlign w:val="superscript"/>
        </w:rPr>
        <w:t>TM</w:t>
      </w:r>
      <w:r>
        <w:rPr>
          <w:rFonts w:ascii="Arial" w:cs="Arial" w:eastAsia="Arial" w:hAnsi="Arial"/>
          <w:sz w:val="18"/>
          <w:szCs w:val="18"/>
          <w:color w:val="auto"/>
        </w:rPr>
        <w:t>”, today reported unaudited financial results for its third quarter ended December 31, 2021.</w:t>
      </w:r>
    </w:p>
    <w:p>
      <w:pPr>
        <w:spacing w:after="0" w:line="206" w:lineRule="exact"/>
        <w:rPr>
          <w:sz w:val="20"/>
          <w:szCs w:val="20"/>
          <w:color w:val="auto"/>
        </w:rPr>
      </w:pPr>
    </w:p>
    <w:p>
      <w:pPr>
        <w:jc w:val="both"/>
        <w:ind w:left="2"/>
        <w:spacing w:after="0" w:line="285" w:lineRule="auto"/>
        <w:rPr>
          <w:sz w:val="20"/>
          <w:szCs w:val="20"/>
          <w:color w:val="auto"/>
        </w:rPr>
      </w:pPr>
      <w:r>
        <w:rPr>
          <w:rFonts w:ascii="Arial" w:cs="Arial" w:eastAsia="Arial" w:hAnsi="Arial"/>
          <w:sz w:val="18"/>
          <w:szCs w:val="18"/>
          <w:color w:val="auto"/>
        </w:rPr>
        <w:t>“During the quarter, we continued to make tremendous progress advancing our proprietary psychedelic-based molecules toward clinical development - reaching regulatory milestones, completing numerous preclinical studies, and establishing reliable supply chains in the U.S. and the UK,” said Doug Drysdale, Chief Executive Officer of Cybin. “Looking ahead, we believe that 2022 will be a pivotal year for Cybin with multiple therapeutic programs currently on track to enter clinical development that are supported by our promising and differentiated preclinical data. With patients always top of mind, we remain committed to our goal of developing accessible, safe, and effective treatments for mental illness, at a time when the need is greater than ever."</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Recent Business and Pipeline Highlights:</w:t>
      </w:r>
    </w:p>
    <w:p>
      <w:pPr>
        <w:spacing w:after="0" w:line="197" w:lineRule="exact"/>
        <w:rPr>
          <w:sz w:val="20"/>
          <w:szCs w:val="20"/>
          <w:color w:val="auto"/>
        </w:rPr>
      </w:pPr>
    </w:p>
    <w:p>
      <w:pPr>
        <w:jc w:val="both"/>
        <w:ind w:left="302" w:hanging="302"/>
        <w:spacing w:after="0" w:line="278" w:lineRule="auto"/>
        <w:tabs>
          <w:tab w:leader="none" w:pos="291"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Continued to advance CYB003 towards clinical development for the potential treatment of major depressive disorder (“MDD”) and alcohol use disorder (“AUD”). </w:t>
      </w:r>
      <w:r>
        <w:rPr>
          <w:rFonts w:ascii="Arial" w:cs="Arial" w:eastAsia="Arial" w:hAnsi="Arial"/>
          <w:sz w:val="18"/>
          <w:szCs w:val="18"/>
          <w:color w:val="auto"/>
        </w:rPr>
        <w:t>The Company recently participated in a productive Scientific Advice Meeting with the UK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and Healthcare Products Regulatory Agency (“MHRA”) to gain alignment and support on next steps for advancing its first-in-human Phase 1/2a trial of CYB003 for MDD into clinical development. Cybin plans to submit regulatory applications in the second quarter of CY2022, followed by initiation of the Phase 1/2a trial in mid-CY2022.</w:t>
      </w:r>
    </w:p>
    <w:p>
      <w:pPr>
        <w:spacing w:after="0" w:line="171" w:lineRule="exact"/>
        <w:rPr>
          <w:rFonts w:ascii="Arial" w:cs="Arial" w:eastAsia="Arial" w:hAnsi="Arial"/>
          <w:sz w:val="18"/>
          <w:szCs w:val="18"/>
          <w:color w:val="auto"/>
        </w:rPr>
      </w:pPr>
    </w:p>
    <w:p>
      <w:pPr>
        <w:ind w:left="302" w:hanging="302"/>
        <w:spacing w:after="0" w:line="305" w:lineRule="auto"/>
        <w:tabs>
          <w:tab w:leader="none" w:pos="291"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Completed more than 140 pre-clinical studies supporting the advancement of CYB003, CYB004, and other proprietary psychedelic molecules toward regulatory filings, </w:t>
      </w:r>
      <w:r>
        <w:rPr>
          <w:rFonts w:ascii="Arial" w:cs="Arial" w:eastAsia="Arial" w:hAnsi="Arial"/>
          <w:sz w:val="18"/>
          <w:szCs w:val="18"/>
          <w:color w:val="auto"/>
        </w:rPr>
        <w:t>marking more than 50 new preclinical studies completed in January 2022 alone and</w:t>
      </w:r>
    </w:p>
    <w:p>
      <w:pPr>
        <w:sectPr>
          <w:pgSz w:w="11900" w:h="16838" w:orient="portrait"/>
          <w:cols w:equalWidth="0" w:num="1">
            <w:col w:w="11242"/>
          </w:cols>
          <w:pgMar w:left="318" w:top="1440" w:right="339" w:bottom="1440" w:gutter="0" w:footer="0" w:header="0"/>
        </w:sectPr>
      </w:pPr>
    </w:p>
    <w:bookmarkStart w:id="98" w:name="page99"/>
    <w:bookmarkEnd w:id="98"/>
    <w:p>
      <w:pPr>
        <w:spacing w:after="0" w:line="91" w:lineRule="exact"/>
        <w:rPr>
          <w:sz w:val="20"/>
          <w:szCs w:val="20"/>
          <w:color w:val="auto"/>
        </w:rPr>
      </w:pPr>
    </w:p>
    <w:p>
      <w:pPr>
        <w:ind w:left="302"/>
        <w:spacing w:after="0" w:line="280" w:lineRule="auto"/>
        <w:rPr>
          <w:sz w:val="20"/>
          <w:szCs w:val="20"/>
          <w:color w:val="auto"/>
        </w:rPr>
      </w:pPr>
      <w:r>
        <w:rPr>
          <w:rFonts w:ascii="Arial" w:cs="Arial" w:eastAsia="Arial" w:hAnsi="Arial"/>
          <w:sz w:val="18"/>
          <w:szCs w:val="18"/>
          <w:color w:val="auto"/>
        </w:rPr>
        <w:t>demonstrating Cybin’s commitment to progressing psychedelics into therapeutics and bringing these potential treatments to patients as quickly as possible.</w:t>
      </w:r>
    </w:p>
    <w:p>
      <w:pPr>
        <w:spacing w:after="0" w:line="168" w:lineRule="exact"/>
        <w:rPr>
          <w:sz w:val="20"/>
          <w:szCs w:val="20"/>
          <w:color w:val="auto"/>
        </w:rPr>
      </w:pPr>
    </w:p>
    <w:p>
      <w:pPr>
        <w:jc w:val="both"/>
        <w:ind w:left="302" w:hanging="302"/>
        <w:spacing w:after="0" w:line="281" w:lineRule="auto"/>
        <w:tabs>
          <w:tab w:leader="none" w:pos="291"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Received U.S. patent for CYB004 confirming a key accomplishment in strengthening the Company’s IP portfolio. </w:t>
      </w:r>
      <w:r>
        <w:rPr>
          <w:rFonts w:ascii="Arial" w:cs="Arial" w:eastAsia="Arial" w:hAnsi="Arial"/>
          <w:sz w:val="18"/>
          <w:szCs w:val="18"/>
          <w:color w:val="auto"/>
        </w:rPr>
        <w:t>The patent</w:t>
      </w:r>
      <w:r>
        <w:rPr>
          <w:rFonts w:ascii="Arial" w:cs="Arial" w:eastAsia="Arial" w:hAnsi="Arial"/>
          <w:sz w:val="18"/>
          <w:szCs w:val="18"/>
          <w:b w:val="1"/>
          <w:bCs w:val="1"/>
          <w:color w:val="auto"/>
        </w:rPr>
        <w:t xml:space="preserve"> </w:t>
      </w:r>
      <w:r>
        <w:rPr>
          <w:rFonts w:ascii="Arial" w:cs="Arial" w:eastAsia="Arial" w:hAnsi="Arial"/>
          <w:sz w:val="18"/>
          <w:szCs w:val="18"/>
          <w:color w:val="auto"/>
        </w:rPr>
        <w:t>covers CYB004, the Company’s proprietary deuterated dimethyltryptamine (“DMT”) compound and a range of deuterated forms of DMT and 5-MeO-DMT and protects the CYB004 drug substance as a putative new chemical entity. Cybin plans to submit a regulatory application in the second quarter of CY2022 for a pilot study of CYB004, which is expected to begin in the third quarter of CY2022.</w:t>
      </w:r>
    </w:p>
    <w:p>
      <w:pPr>
        <w:spacing w:after="0" w:line="155" w:lineRule="exact"/>
        <w:rPr>
          <w:rFonts w:ascii="Arial" w:cs="Arial" w:eastAsia="Arial" w:hAnsi="Arial"/>
          <w:sz w:val="18"/>
          <w:szCs w:val="18"/>
          <w:color w:val="auto"/>
        </w:rPr>
      </w:pPr>
    </w:p>
    <w:p>
      <w:pPr>
        <w:jc w:val="both"/>
        <w:ind w:left="302" w:hanging="302"/>
        <w:spacing w:after="0" w:line="287" w:lineRule="auto"/>
        <w:tabs>
          <w:tab w:leader="none" w:pos="291"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Cybin-sponsored Kernel Flow Phase 1 feasibility study received Institutional Review Board (“IRB”) Approval. </w:t>
      </w:r>
      <w:r>
        <w:rPr>
          <w:rFonts w:ascii="Arial" w:cs="Arial" w:eastAsia="Arial" w:hAnsi="Arial"/>
          <w:sz w:val="18"/>
          <w:szCs w:val="18"/>
          <w:color w:val="auto"/>
        </w:rPr>
        <w:t>The feasibility study</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evaluating Kernel Flow, a wearable, quantitative neuroimaging technology, to measure ketamine’s psychedelic effects on hemodynamics in the cerebral cortex, is expected to begin in the first quarter of CY2022.</w:t>
      </w:r>
    </w:p>
    <w:p>
      <w:pPr>
        <w:spacing w:after="0" w:line="162" w:lineRule="exact"/>
        <w:rPr>
          <w:rFonts w:ascii="Arial" w:cs="Arial" w:eastAsia="Arial" w:hAnsi="Arial"/>
          <w:sz w:val="18"/>
          <w:szCs w:val="18"/>
          <w:color w:val="auto"/>
        </w:rPr>
      </w:pPr>
    </w:p>
    <w:p>
      <w:pPr>
        <w:jc w:val="both"/>
        <w:ind w:left="302" w:hanging="302"/>
        <w:spacing w:after="0" w:line="281" w:lineRule="auto"/>
        <w:tabs>
          <w:tab w:leader="none" w:pos="291"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Announced Investigational New Drug (“IND”) and IRB approvals for co-funded investigator-initiated Phase 2 clinical trial evaluating psychedelic-assisted psychotherapy utilizing the EMBARK psychedelic facilitator training program. </w:t>
      </w:r>
      <w:r>
        <w:rPr>
          <w:rFonts w:ascii="Arial" w:cs="Arial" w:eastAsia="Arial" w:hAnsi="Arial"/>
          <w:sz w:val="18"/>
          <w:szCs w:val="18"/>
          <w:color w:val="auto"/>
        </w:rPr>
        <w:t>The trial, which</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conducted at the University of Washington, will assess psychedelic-assisted psychotherapy with psilocybin treatment in frontline clinicians experiencing COVID-related distress and began enrolling in the fourth quarter of CY2021.</w:t>
      </w:r>
    </w:p>
    <w:p>
      <w:pPr>
        <w:spacing w:after="0" w:line="168" w:lineRule="exact"/>
        <w:rPr>
          <w:rFonts w:ascii="Arial" w:cs="Arial" w:eastAsia="Arial" w:hAnsi="Arial"/>
          <w:sz w:val="18"/>
          <w:szCs w:val="18"/>
          <w:color w:val="auto"/>
        </w:rPr>
      </w:pPr>
    </w:p>
    <w:p>
      <w:pPr>
        <w:ind w:left="302" w:hanging="302"/>
        <w:spacing w:after="0" w:line="305" w:lineRule="auto"/>
        <w:tabs>
          <w:tab w:leader="none" w:pos="291"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Awarded grant to support the first psychedelic treatment clinic at Lenox Hill Hospital, part of Northwell Health, </w:t>
      </w:r>
      <w:r>
        <w:rPr>
          <w:rFonts w:ascii="Arial" w:cs="Arial" w:eastAsia="Arial" w:hAnsi="Arial"/>
          <w:sz w:val="18"/>
          <w:szCs w:val="18"/>
          <w:color w:val="auto"/>
        </w:rPr>
        <w:t>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for patients in underserved communities on the Upper East Side of Manhattan, New York.</w:t>
      </w:r>
    </w:p>
    <w:p>
      <w:pPr>
        <w:spacing w:after="0" w:line="34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Third-Quarter Financial Highlights</w:t>
      </w:r>
    </w:p>
    <w:p>
      <w:pPr>
        <w:spacing w:after="0" w:line="231" w:lineRule="exact"/>
        <w:rPr>
          <w:sz w:val="20"/>
          <w:szCs w:val="20"/>
          <w:color w:val="auto"/>
        </w:rPr>
      </w:pPr>
    </w:p>
    <w:p>
      <w:pPr>
        <w:ind w:left="282" w:hanging="282"/>
        <w:spacing w:after="0"/>
        <w:tabs>
          <w:tab w:leader="none" w:pos="282"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Cash and cash equivalents totaled to C$63.6 million as of December 31, 2021.</w:t>
      </w:r>
    </w:p>
    <w:p>
      <w:pPr>
        <w:spacing w:after="0" w:line="221" w:lineRule="exact"/>
        <w:rPr>
          <w:rFonts w:ascii="Arial" w:cs="Arial" w:eastAsia="Arial" w:hAnsi="Arial"/>
          <w:sz w:val="18"/>
          <w:szCs w:val="18"/>
          <w:color w:val="auto"/>
        </w:rPr>
      </w:pPr>
    </w:p>
    <w:p>
      <w:pPr>
        <w:ind w:left="382" w:hanging="285"/>
        <w:spacing w:after="0" w:line="280" w:lineRule="auto"/>
        <w:tabs>
          <w:tab w:leader="none" w:pos="372" w:val="left"/>
        </w:tabs>
        <w:numPr>
          <w:ilvl w:val="1"/>
          <w:numId w:val="75"/>
        </w:numPr>
        <w:rPr>
          <w:rFonts w:ascii="Arial" w:cs="Arial" w:eastAsia="Arial" w:hAnsi="Arial"/>
          <w:sz w:val="18"/>
          <w:szCs w:val="18"/>
          <w:color w:val="auto"/>
        </w:rPr>
      </w:pPr>
      <w:r>
        <w:rPr>
          <w:rFonts w:ascii="Arial" w:cs="Arial" w:eastAsia="Arial" w:hAnsi="Arial"/>
          <w:sz w:val="18"/>
          <w:szCs w:val="18"/>
          <w:color w:val="auto"/>
        </w:rPr>
        <w:t>Cash-based operating expenses totaled C$12 million for the quarter ended December 31, 2021, of which C$2.5 million were one-time, non-recurring costs. Non-cash expenses totaled C$5.2 million for a net loss of C$17.2 million.</w:t>
      </w:r>
    </w:p>
    <w:p>
      <w:pPr>
        <w:spacing w:after="0" w:line="35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Conference Call and Webcast Details</w:t>
      </w:r>
    </w:p>
    <w:p>
      <w:pPr>
        <w:sectPr>
          <w:pgSz w:w="11900" w:h="16838" w:orient="portrait"/>
          <w:cols w:equalWidth="0" w:num="1">
            <w:col w:w="11242"/>
          </w:cols>
          <w:pgMar w:left="318" w:top="1440" w:right="339" w:bottom="1440" w:gutter="0" w:footer="0" w:header="0"/>
        </w:sectPr>
      </w:pPr>
    </w:p>
    <w:p>
      <w:pPr>
        <w:spacing w:after="0" w:line="329" w:lineRule="exact"/>
        <w:rPr>
          <w:sz w:val="20"/>
          <w:szCs w:val="20"/>
          <w:color w:val="auto"/>
        </w:rPr>
      </w:pPr>
    </w:p>
    <w:p>
      <w:pPr>
        <w:ind w:left="2"/>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Thursday, February 10, 2022</w:t>
      </w:r>
    </w:p>
    <w:p>
      <w:pPr>
        <w:spacing w:after="0" w:line="200" w:lineRule="exact"/>
        <w:rPr>
          <w:sz w:val="20"/>
          <w:szCs w:val="20"/>
          <w:color w:val="auto"/>
        </w:rPr>
      </w:pPr>
    </w:p>
    <w:p>
      <w:pPr>
        <w:sectPr>
          <w:pgSz w:w="11900" w:h="16838" w:orient="portrait"/>
          <w:cols w:equalWidth="0" w:num="2">
            <w:col w:w="522" w:space="380"/>
            <w:col w:w="10340"/>
          </w:cols>
          <w:pgMar w:left="318" w:top="1440" w:right="339" w:bottom="1440" w:gutter="0" w:footer="0" w:header="0"/>
          <w:type w:val="continuous"/>
        </w:sectPr>
      </w:pPr>
    </w:p>
    <w:p>
      <w:pPr>
        <w:spacing w:after="0" w:line="20" w:lineRule="exact"/>
        <w:rPr>
          <w:sz w:val="20"/>
          <w:szCs w:val="20"/>
          <w:color w:val="auto"/>
        </w:rPr>
      </w:pPr>
    </w:p>
    <w:p>
      <w:pPr>
        <w:ind w:left="2"/>
        <w:spacing w:after="0"/>
        <w:rPr>
          <w:sz w:val="20"/>
          <w:szCs w:val="20"/>
          <w:color w:val="auto"/>
        </w:rPr>
      </w:pPr>
      <w:r>
        <w:rPr>
          <w:rFonts w:ascii="Arial" w:cs="Arial" w:eastAsia="Arial" w:hAnsi="Arial"/>
          <w:sz w:val="17"/>
          <w:szCs w:val="17"/>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8:30 a.m. (EST)</w:t>
      </w:r>
    </w:p>
    <w:p>
      <w:pPr>
        <w:spacing w:after="0" w:line="200" w:lineRule="exact"/>
        <w:rPr>
          <w:sz w:val="20"/>
          <w:szCs w:val="20"/>
          <w:color w:val="auto"/>
        </w:rPr>
      </w:pPr>
    </w:p>
    <w:p>
      <w:pPr>
        <w:sectPr>
          <w:pgSz w:w="11900" w:h="16838" w:orient="portrait"/>
          <w:cols w:equalWidth="0" w:num="2">
            <w:col w:w="482" w:space="400"/>
            <w:col w:w="10360"/>
          </w:cols>
          <w:pgMar w:left="318" w:top="1440" w:right="339" w:bottom="1440" w:gutter="0" w:footer="0" w:header="0"/>
          <w:type w:val="continuous"/>
        </w:sectPr>
      </w:pPr>
    </w:p>
    <w:p>
      <w:pPr>
        <w:spacing w:after="0" w:line="20" w:lineRule="exact"/>
        <w:rPr>
          <w:sz w:val="20"/>
          <w:szCs w:val="20"/>
          <w:color w:val="auto"/>
        </w:rPr>
      </w:pPr>
    </w:p>
    <w:p>
      <w:pPr>
        <w:ind w:left="2"/>
        <w:spacing w:after="0"/>
        <w:tabs>
          <w:tab w:leader="none" w:pos="822" w:val="left"/>
        </w:tabs>
        <w:rPr>
          <w:sz w:val="20"/>
          <w:szCs w:val="20"/>
          <w:color w:val="auto"/>
        </w:rPr>
      </w:pPr>
      <w:r>
        <w:rPr>
          <w:rFonts w:ascii="Arial" w:cs="Arial" w:eastAsia="Arial" w:hAnsi="Arial"/>
          <w:sz w:val="18"/>
          <w:szCs w:val="18"/>
          <w:color w:val="auto"/>
        </w:rPr>
        <w:t>DIAL-IN</w:t>
      </w:r>
      <w:r>
        <w:rPr>
          <w:sz w:val="20"/>
          <w:szCs w:val="20"/>
          <w:color w:val="auto"/>
        </w:rPr>
        <w:tab/>
      </w:r>
      <w:r>
        <w:rPr>
          <w:rFonts w:ascii="Arial" w:cs="Arial" w:eastAsia="Arial" w:hAnsi="Arial"/>
          <w:sz w:val="17"/>
          <w:szCs w:val="17"/>
          <w:color w:val="auto"/>
        </w:rPr>
        <w:t>1-844-200-6205 (U.S. toll free) or 1-833-950-0062 (Canada toll free)</w:t>
      </w:r>
    </w:p>
    <w:p>
      <w:pPr>
        <w:spacing w:after="0" w:line="209" w:lineRule="exact"/>
        <w:rPr>
          <w:sz w:val="20"/>
          <w:szCs w:val="20"/>
          <w:color w:val="auto"/>
        </w:rPr>
      </w:pPr>
    </w:p>
    <w:p>
      <w:pPr>
        <w:ind w:left="2"/>
        <w:spacing w:after="0"/>
        <w:tabs>
          <w:tab w:leader="none" w:pos="902" w:val="left"/>
        </w:tabs>
        <w:rPr>
          <w:sz w:val="20"/>
          <w:szCs w:val="20"/>
          <w:color w:val="auto"/>
        </w:rPr>
      </w:pPr>
      <w:r>
        <w:rPr>
          <w:rFonts w:ascii="Arial" w:cs="Arial" w:eastAsia="Arial" w:hAnsi="Arial"/>
          <w:sz w:val="18"/>
          <w:szCs w:val="18"/>
          <w:color w:val="auto"/>
        </w:rPr>
        <w:t>CODE</w:t>
      </w:r>
      <w:r>
        <w:rPr>
          <w:sz w:val="20"/>
          <w:szCs w:val="20"/>
          <w:color w:val="auto"/>
        </w:rPr>
        <w:tab/>
      </w:r>
      <w:r>
        <w:rPr>
          <w:rFonts w:ascii="Arial" w:cs="Arial" w:eastAsia="Arial" w:hAnsi="Arial"/>
          <w:sz w:val="18"/>
          <w:szCs w:val="18"/>
          <w:color w:val="auto"/>
        </w:rPr>
        <w:t>868712</w:t>
      </w:r>
    </w:p>
    <w:p>
      <w:pPr>
        <w:sectPr>
          <w:pgSz w:w="11900" w:h="16838" w:orient="portrait"/>
          <w:cols w:equalWidth="0" w:num="1">
            <w:col w:w="11242"/>
          </w:cols>
          <w:pgMar w:left="318" w:top="1440" w:right="339" w:bottom="1440" w:gutter="0" w:footer="0" w:header="0"/>
          <w:type w:val="continuous"/>
        </w:sectPr>
      </w:pPr>
    </w:p>
    <w:p>
      <w:pPr>
        <w:spacing w:after="0" w:line="148" w:lineRule="exact"/>
        <w:rPr>
          <w:sz w:val="20"/>
          <w:szCs w:val="20"/>
          <w:color w:val="auto"/>
        </w:rPr>
      </w:pPr>
    </w:p>
    <w:p>
      <w:pPr>
        <w:ind w:left="2"/>
        <w:spacing w:after="0"/>
        <w:tabs>
          <w:tab w:leader="none" w:pos="1062" w:val="left"/>
        </w:tabs>
        <w:rPr>
          <w:sz w:val="20"/>
          <w:szCs w:val="20"/>
          <w:color w:val="auto"/>
        </w:rPr>
      </w:pPr>
      <w:r>
        <w:rPr>
          <w:rFonts w:ascii="Arial" w:cs="Arial" w:eastAsia="Arial" w:hAnsi="Arial"/>
          <w:sz w:val="17"/>
          <w:szCs w:val="17"/>
          <w:color w:val="auto"/>
        </w:rPr>
        <w:t>WEBCAST</w:t>
      </w:r>
      <w:r>
        <w:rPr>
          <w:sz w:val="20"/>
          <w:szCs w:val="20"/>
          <w:color w:val="auto"/>
        </w:rPr>
        <w:tab/>
      </w:r>
      <w:r>
        <w:rPr>
          <w:rFonts w:ascii="Arial" w:cs="Arial" w:eastAsia="Arial" w:hAnsi="Arial"/>
          <w:sz w:val="17"/>
          <w:szCs w:val="17"/>
          <w:u w:val="single" w:color="auto"/>
          <w:color w:val="0000FF"/>
        </w:rPr>
        <w:t>https://events.q4inc.com/attendee/296855699</w:t>
      </w:r>
    </w:p>
    <w:p>
      <w:pPr>
        <w:sectPr>
          <w:pgSz w:w="11900" w:h="16838" w:orient="portrait"/>
          <w:cols w:equalWidth="0" w:num="1">
            <w:col w:w="11242"/>
          </w:cols>
          <w:pgMar w:left="318" w:top="1440" w:right="339" w:bottom="1440" w:gutter="0" w:footer="0" w:header="0"/>
          <w:type w:val="continuous"/>
        </w:sectPr>
      </w:pPr>
    </w:p>
    <w:bookmarkStart w:id="99" w:name="page100"/>
    <w:bookmarkEnd w:id="99"/>
    <w:p>
      <w:pPr>
        <w:spacing w:after="0" w:line="10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color w:val="auto"/>
        </w:rPr>
        <w:t xml:space="preserve">The live and archived webcast will also be available on the investor relations section of the Company’s website under the </w:t>
      </w:r>
      <w:r>
        <w:rPr>
          <w:rFonts w:ascii="Arial" w:cs="Arial" w:eastAsia="Arial" w:hAnsi="Arial"/>
          <w:sz w:val="18"/>
          <w:szCs w:val="18"/>
          <w:u w:val="single" w:color="auto"/>
          <w:color w:val="0000FF"/>
        </w:rPr>
        <w:t>Events &amp;</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Presentations</w:t>
      </w:r>
      <w:r>
        <w:rPr>
          <w:rFonts w:ascii="Arial" w:cs="Arial" w:eastAsia="Arial" w:hAnsi="Arial"/>
          <w:sz w:val="18"/>
          <w:szCs w:val="18"/>
          <w:color w:val="0000FF"/>
        </w:rPr>
        <w:t xml:space="preserve"> </w:t>
      </w:r>
      <w:r>
        <w:rPr>
          <w:rFonts w:ascii="Arial" w:cs="Arial" w:eastAsia="Arial" w:hAnsi="Arial"/>
          <w:sz w:val="18"/>
          <w:szCs w:val="18"/>
          <w:color w:val="000000"/>
        </w:rPr>
        <w:t>page.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60"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development of innovative drug delivery systems, statements regarding the potential benefits of the Company’s novel deuterated psilocybin analog, CYB003, statements regarding the Company’s completion of preclinical studies of CYB003 in Q1 2022</w:t>
      </w:r>
      <w:r>
        <w:rPr>
          <w:rFonts w:ascii="Arial" w:cs="Arial" w:eastAsia="Arial" w:hAnsi="Arial"/>
          <w:sz w:val="23"/>
          <w:szCs w:val="23"/>
          <w:color w:val="auto"/>
          <w:vertAlign w:val="superscript"/>
        </w:rPr>
        <w:t>i</w:t>
      </w:r>
      <w:r>
        <w:rPr>
          <w:rFonts w:ascii="Arial" w:cs="Arial" w:eastAsia="Arial" w:hAnsi="Arial"/>
          <w:sz w:val="18"/>
          <w:szCs w:val="18"/>
          <w:color w:val="auto"/>
        </w:rPr>
        <w:t xml:space="preserve"> and its plan to submit regulatory applications in the second quarter of CY2022, followed by initiation of the related Phase 1/2a trial in mid-CY2022, statements regarding the Company’s EMBARK Psychedelic Facilitator Training Program being conducted at the University of Washington, statements regarding the anticipated results of using Kernel Flow technology in the Company’s research and the expected commencement date of the feasibility study, and statements regarding submission of a clinical trial application for a pilot study of CYB004.</w:t>
      </w:r>
    </w:p>
    <w:p>
      <w:pPr>
        <w:spacing w:after="0" w:line="210" w:lineRule="exact"/>
        <w:rPr>
          <w:sz w:val="20"/>
          <w:szCs w:val="20"/>
          <w:color w:val="auto"/>
        </w:rPr>
      </w:pPr>
    </w:p>
    <w:p>
      <w:pPr>
        <w:jc w:val="both"/>
        <w:ind w:right="100"/>
        <w:spacing w:after="0" w:line="270"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w:t>
      </w:r>
    </w:p>
    <w:p>
      <w:pPr>
        <w:sectPr>
          <w:pgSz w:w="11900" w:h="16838" w:orient="portrait"/>
          <w:cols w:equalWidth="0" w:num="1">
            <w:col w:w="11260"/>
          </w:cols>
          <w:pgMar w:left="320" w:top="1440" w:right="319" w:bottom="1440" w:gutter="0" w:footer="0" w:header="0"/>
        </w:sectPr>
      </w:pPr>
    </w:p>
    <w:bookmarkStart w:id="100" w:name="page101"/>
    <w:bookmarkEnd w:id="100"/>
    <w:p>
      <w:pPr>
        <w:jc w:val="both"/>
        <w:ind w:left="2" w:right="80"/>
        <w:spacing w:after="0" w:line="270" w:lineRule="auto"/>
        <w:rPr>
          <w:sz w:val="20"/>
          <w:szCs w:val="20"/>
          <w:color w:val="auto"/>
        </w:rPr>
      </w:pPr>
      <w:r>
        <w:rPr>
          <w:rFonts w:ascii="Arial" w:cs="Arial" w:eastAsia="Arial" w:hAnsi="Arial"/>
          <w:sz w:val="18"/>
          <w:szCs w:val="18"/>
          <w:color w:val="auto"/>
        </w:rPr>
        <w:t xml:space="preserve">may impose restrictions in the markets where the Company operates; and the risk factors set out in each of the Company's management's discussion and analysis for the three and nine month periods ended December 31, 2021, the Company’s annual information form for the year ended March 31, 2021, and the Company's listing statement dated November 9, 2020, which are available under the Company's profile on </w:t>
      </w:r>
      <w:r>
        <w:rPr>
          <w:rFonts w:ascii="Arial" w:cs="Arial" w:eastAsia="Arial" w:hAnsi="Arial"/>
          <w:sz w:val="18"/>
          <w:szCs w:val="18"/>
          <w:u w:val="single" w:color="auto"/>
          <w:color w:val="0000FF"/>
        </w:rPr>
        <w:t>www.sedar.com</w:t>
      </w:r>
      <w:r>
        <w:rPr>
          <w:rFonts w:ascii="Arial" w:cs="Arial" w:eastAsia="Arial" w:hAnsi="Arial"/>
          <w:sz w:val="18"/>
          <w:szCs w:val="18"/>
          <w:color w:val="auto"/>
        </w:rPr>
        <w:t xml:space="preserve"> and with the U.S. Securities and Exchange Commission on EDGAR at </w:t>
      </w:r>
      <w:r>
        <w:rPr>
          <w:rFonts w:ascii="Arial" w:cs="Arial" w:eastAsia="Arial" w:hAnsi="Arial"/>
          <w:sz w:val="18"/>
          <w:szCs w:val="18"/>
          <w:u w:val="single" w:color="auto"/>
          <w:color w:val="0000FF"/>
        </w:rPr>
        <w:t>www.sec.gov</w:t>
      </w:r>
      <w:r>
        <w:rPr>
          <w:rFonts w:ascii="Arial" w:cs="Arial" w:eastAsia="Arial" w:hAnsi="Arial"/>
          <w:sz w:val="18"/>
          <w:szCs w:val="18"/>
          <w:color w:val="auto"/>
        </w:rPr>
        <w:t>. Although the forward- 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 looking statements of beliefs, opinions, projections, or other factors, should they change, except as required by law.</w:t>
      </w:r>
    </w:p>
    <w:p>
      <w:pPr>
        <w:spacing w:after="0" w:line="228" w:lineRule="exact"/>
        <w:rPr>
          <w:sz w:val="20"/>
          <w:szCs w:val="20"/>
          <w:color w:val="auto"/>
        </w:rPr>
      </w:pPr>
    </w:p>
    <w:p>
      <w:pPr>
        <w:jc w:val="both"/>
        <w:ind w:left="2" w:right="80"/>
        <w:spacing w:after="0" w:line="270"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1" w:lineRule="exact"/>
        <w:rPr>
          <w:sz w:val="20"/>
          <w:szCs w:val="20"/>
          <w:color w:val="auto"/>
        </w:rPr>
      </w:pPr>
    </w:p>
    <w:p>
      <w:pPr>
        <w:ind w:left="2"/>
        <w:spacing w:after="0" w:line="315" w:lineRule="auto"/>
        <w:rPr>
          <w:sz w:val="20"/>
          <w:szCs w:val="20"/>
          <w:color w:val="auto"/>
        </w:rPr>
      </w:pPr>
      <w:r>
        <w:rPr>
          <w:rFonts w:ascii="Arial" w:cs="Arial" w:eastAsia="Arial" w:hAnsi="Arial"/>
          <w:sz w:val="18"/>
          <w:szCs w:val="18"/>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6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Investor &amp; Media Contact:</w:t>
      </w:r>
    </w:p>
    <w:p>
      <w:pPr>
        <w:spacing w:after="0" w:line="280" w:lineRule="exact"/>
        <w:rPr>
          <w:sz w:val="20"/>
          <w:szCs w:val="20"/>
          <w:color w:val="auto"/>
        </w:rPr>
      </w:pPr>
    </w:p>
    <w:p>
      <w:pPr>
        <w:ind w:left="2"/>
        <w:spacing w:after="0"/>
        <w:rPr>
          <w:sz w:val="20"/>
          <w:szCs w:val="20"/>
          <w:color w:val="auto"/>
        </w:rPr>
      </w:pPr>
      <w:r>
        <w:rPr>
          <w:rFonts w:ascii="Arial" w:cs="Arial" w:eastAsia="Arial" w:hAnsi="Arial"/>
          <w:sz w:val="18"/>
          <w:szCs w:val="18"/>
          <w:color w:val="auto"/>
        </w:rPr>
        <w:t>Leah Gibson</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8"/>
          <w:szCs w:val="18"/>
          <w:color w:val="auto"/>
        </w:rPr>
        <w:t>Vice President, Investor Relations</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8"/>
          <w:szCs w:val="18"/>
          <w:color w:val="auto"/>
        </w:rPr>
        <w:t>Cybin Inc.</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0000FF"/>
        </w:rPr>
        <w:t>leah@cybin.com</w:t>
      </w:r>
    </w:p>
    <w:p>
      <w:pPr>
        <w:spacing w:after="0" w:line="393" w:lineRule="exact"/>
        <w:rPr>
          <w:sz w:val="20"/>
          <w:szCs w:val="20"/>
          <w:color w:val="auto"/>
        </w:rPr>
      </w:pPr>
    </w:p>
    <w:p>
      <w:pPr>
        <w:ind w:left="82" w:hanging="82"/>
        <w:spacing w:after="0"/>
        <w:tabs>
          <w:tab w:leader="none" w:pos="82" w:val="left"/>
        </w:tabs>
        <w:numPr>
          <w:ilvl w:val="0"/>
          <w:numId w:val="76"/>
        </w:numPr>
        <w:rPr>
          <w:rFonts w:ascii="Arial" w:cs="Arial" w:eastAsia="Arial" w:hAnsi="Arial"/>
          <w:sz w:val="23"/>
          <w:szCs w:val="23"/>
          <w:color w:val="auto"/>
          <w:vertAlign w:val="superscript"/>
        </w:rPr>
      </w:pPr>
      <w:r>
        <w:rPr>
          <w:rFonts w:ascii="Arial" w:cs="Arial" w:eastAsia="Arial" w:hAnsi="Arial"/>
          <w:sz w:val="18"/>
          <w:szCs w:val="18"/>
          <w:color w:val="auto"/>
        </w:rPr>
        <w:t>Based on a calendar year-end</w:t>
      </w:r>
    </w:p>
    <w:sectPr>
      <w:pgSz w:w="11900" w:h="16838" w:orient="portrait"/>
      <w:cols w:equalWidth="0" w:num="1">
        <w:col w:w="11242"/>
      </w:cols>
      <w:pgMar w:left="318" w:top="13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decimal"/>
      <w:start w:val="1"/>
    </w:lvl>
  </w:abstractNum>
  <w:abstractNum w:abstractNumId="1">
    <w:nsid w:val="5E884ADC"/>
    <w:multiLevelType w:val="hybridMultilevel"/>
    <w:lvl w:ilvl="0">
      <w:lvlJc w:val="left"/>
      <w:lvlText w:val="%1."/>
      <w:numFmt w:val="decimal"/>
      <w:start w:val="2"/>
    </w:lvl>
  </w:abstractNum>
  <w:abstractNum w:abstractNumId="2">
    <w:nsid w:val="51EAD36B"/>
    <w:multiLevelType w:val="hybridMultilevel"/>
    <w:lvl w:ilvl="0">
      <w:lvlJc w:val="left"/>
      <w:lvlText w:val="1"/>
      <w:numFmt w:val="bullet"/>
      <w:start w:val="1"/>
    </w:lvl>
  </w:abstractNum>
  <w:abstractNum w:abstractNumId="3">
    <w:nsid w:val="2D517796"/>
    <w:multiLevelType w:val="hybridMultilevel"/>
    <w:lvl w:ilvl="0">
      <w:lvlJc w:val="left"/>
      <w:lvlText w:val="%1."/>
      <w:numFmt w:val="decimal"/>
      <w:start w:val="3"/>
    </w:lvl>
  </w:abstractNum>
  <w:abstractNum w:abstractNumId="4">
    <w:nsid w:val="580BD78F"/>
    <w:multiLevelType w:val="hybridMultilevel"/>
    <w:lvl w:ilvl="0">
      <w:lvlJc w:val="left"/>
      <w:lvlText w:val="%1."/>
      <w:numFmt w:val="decimal"/>
      <w:start w:val="6"/>
    </w:lvl>
  </w:abstractNum>
  <w:abstractNum w:abstractNumId="5">
    <w:nsid w:val="153EA438"/>
    <w:multiLevelType w:val="hybridMultilevel"/>
    <w:lvl w:ilvl="0">
      <w:lvlJc w:val="left"/>
      <w:lvlText w:val="%1."/>
      <w:numFmt w:val="decimal"/>
      <w:start w:val="7"/>
    </w:lvl>
    <w:lvl w:ilvl="1">
      <w:lvlJc w:val="left"/>
      <w:lvlText w:val="%2)"/>
      <w:numFmt w:val="lowerLetter"/>
      <w:start w:val="1"/>
    </w:lvl>
  </w:abstractNum>
  <w:abstractNum w:abstractNumId="6">
    <w:nsid w:val="3855585C"/>
    <w:multiLevelType w:val="hybridMultilevel"/>
    <w:lvl w:ilvl="0">
      <w:lvlJc w:val="left"/>
      <w:lvlText w:val="%1)"/>
      <w:numFmt w:val="lowerLetter"/>
      <w:start w:val="2"/>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1)"/>
      <w:numFmt w:val="lowerLetter"/>
      <w:start w:val="4"/>
    </w:lvl>
  </w:abstractNum>
  <w:abstractNum w:abstractNumId="9">
    <w:nsid w:val="2A487CB0"/>
    <w:multiLevelType w:val="hybridMultilevel"/>
    <w:lvl w:ilvl="0">
      <w:lvlJc w:val="left"/>
      <w:lvlText w:val="%1."/>
      <w:numFmt w:val="decimal"/>
      <w:start w:val="8"/>
    </w:lvl>
  </w:abstractNum>
  <w:abstractNum w:abstractNumId="10">
    <w:nsid w:val="1D4ED43B"/>
    <w:multiLevelType w:val="hybridMultilevel"/>
    <w:lvl w:ilvl="0">
      <w:lvlJc w:val="left"/>
      <w:lvlText w:val="%1"/>
      <w:numFmt w:val="decimal"/>
      <w:start w:val="1"/>
    </w:lvl>
    <w:lvl w:ilvl="1">
      <w:lvlJc w:val="left"/>
      <w:lvlText w:val="(%2)"/>
      <w:numFmt w:val="decimal"/>
      <w:start w:val="1"/>
    </w:lvl>
  </w:abstractNum>
  <w:abstractNum w:abstractNumId="11">
    <w:nsid w:val="725A06FB"/>
    <w:multiLevelType w:val="hybridMultilevel"/>
    <w:lvl w:ilvl="0">
      <w:lvlJc w:val="left"/>
      <w:lvlText w:val="%1."/>
      <w:numFmt w:val="decimal"/>
      <w:start w:val="9"/>
    </w:lvl>
    <w:lvl w:ilvl="1">
      <w:lvlJc w:val="left"/>
      <w:lvlText w:val="%2"/>
      <w:numFmt w:val="decimal"/>
      <w:start w:val="1"/>
    </w:lvl>
  </w:abstractNum>
  <w:abstractNum w:abstractNumId="12">
    <w:nsid w:val="2CD89A32"/>
    <w:multiLevelType w:val="hybridMultilevel"/>
    <w:lvl w:ilvl="0">
      <w:lvlJc w:val="left"/>
      <w:lvlText w:val="%1."/>
      <w:numFmt w:val="decimal"/>
      <w:start w:val="10"/>
    </w:lvl>
  </w:abstractNum>
  <w:abstractNum w:abstractNumId="13">
    <w:nsid w:val="57E4CCAF"/>
    <w:multiLevelType w:val="hybridMultilevel"/>
    <w:lvl w:ilvl="0">
      <w:lvlJc w:val="left"/>
      <w:lvlText w:val="%1."/>
      <w:numFmt w:val="decimal"/>
      <w:start w:val="11"/>
    </w:lvl>
  </w:abstractNum>
  <w:abstractNum w:abstractNumId="14">
    <w:nsid w:val="7A6D8D3C"/>
    <w:multiLevelType w:val="hybridMultilevel"/>
    <w:lvl w:ilvl="0">
      <w:lvlJc w:val="left"/>
      <w:lvlText w:val="%1."/>
      <w:numFmt w:val="decimal"/>
      <w:start w:val="12"/>
    </w:lvl>
  </w:abstractNum>
  <w:abstractNum w:abstractNumId="15">
    <w:nsid w:val="4B588F54"/>
    <w:multiLevelType w:val="hybridMultilevel"/>
    <w:lvl w:ilvl="0">
      <w:lvlJc w:val="left"/>
      <w:lvlText w:val="%1."/>
      <w:numFmt w:val="decimal"/>
      <w:start w:val="13"/>
    </w:lvl>
  </w:abstractNum>
  <w:abstractNum w:abstractNumId="16">
    <w:nsid w:val="542289EC"/>
    <w:multiLevelType w:val="hybridMultilevel"/>
    <w:lvl w:ilvl="0">
      <w:lvlJc w:val="left"/>
      <w:lvlText w:val="%1."/>
      <w:numFmt w:val="decimal"/>
      <w:start w:val="14"/>
    </w:lvl>
  </w:abstractNum>
  <w:abstractNum w:abstractNumId="17">
    <w:nsid w:val="6DE91B18"/>
    <w:multiLevelType w:val="hybridMultilevel"/>
    <w:lvl w:ilvl="0">
      <w:lvlJc w:val="left"/>
      <w:lvlText w:val="%1."/>
      <w:numFmt w:val="decimal"/>
      <w:start w:val="15"/>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1"/>
      <w:numFmt w:val="bullet"/>
      <w:start w:val="1"/>
    </w:lvl>
  </w:abstractNum>
  <w:abstractNum w:abstractNumId="26">
    <w:nsid w:val="79A1DEAA"/>
    <w:multiLevelType w:val="hybridMultilevel"/>
    <w:lvl w:ilvl="0">
      <w:lvlJc w:val="left"/>
      <w:lvlText w:val="4"/>
      <w:numFmt w:val="bullet"/>
      <w:start w:val="1"/>
    </w:lvl>
  </w:abstractNum>
  <w:abstractNum w:abstractNumId="27">
    <w:nsid w:val="75C6C33A"/>
    <w:multiLevelType w:val="hybridMultilevel"/>
    <w:lvl w:ilvl="0">
      <w:lvlJc w:val="left"/>
      <w:lvlText w:val="%1."/>
      <w:numFmt w:val="lowerLetter"/>
      <w:start w:val="1"/>
    </w:lvl>
  </w:abstractNum>
  <w:abstractNum w:abstractNumId="28">
    <w:nsid w:val="12E685FB"/>
    <w:multiLevelType w:val="hybridMultilevel"/>
    <w:lvl w:ilvl="0">
      <w:lvlJc w:val="left"/>
      <w:lvlText w:val="7"/>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9"/>
      <w:numFmt w:val="bullet"/>
      <w:start w:val="1"/>
    </w:lvl>
  </w:abstractNum>
  <w:abstractNum w:abstractNumId="31">
    <w:nsid w:val="374A3FE6"/>
    <w:multiLevelType w:val="hybridMultilevel"/>
    <w:lvl w:ilvl="0">
      <w:lvlJc w:val="left"/>
      <w:lvlText w:val="%1"/>
      <w:numFmt w:val="decimal"/>
      <w:start w:val="10"/>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decimal"/>
      <w:start w:val="12"/>
    </w:lvl>
  </w:abstractNum>
  <w:abstractNum w:abstractNumId="34">
    <w:nsid w:val="649BB77C"/>
    <w:multiLevelType w:val="hybridMultilevel"/>
    <w:lvl w:ilvl="0">
      <w:lvlJc w:val="left"/>
      <w:lvlText w:val="%1"/>
      <w:numFmt w:val="decimal"/>
      <w:start w:val="14"/>
    </w:lvl>
  </w:abstractNum>
  <w:abstractNum w:abstractNumId="35">
    <w:nsid w:val="275AC794"/>
    <w:multiLevelType w:val="hybridMultilevel"/>
    <w:lvl w:ilvl="0">
      <w:lvlJc w:val="left"/>
      <w:lvlText w:val="%1"/>
      <w:numFmt w:val="decimal"/>
      <w:start w:val="18"/>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10"/>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3"/>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decimal"/>
      <w:start w:val="10"/>
    </w:lvl>
  </w:abstractNum>
  <w:abstractNum w:abstractNumId="43">
    <w:nsid w:val="741226BB"/>
    <w:multiLevelType w:val="hybridMultilevel"/>
    <w:lvl w:ilvl="0">
      <w:lvlJc w:val="left"/>
      <w:lvlText w:val="(%1)"/>
      <w:numFmt w:val="decimal"/>
      <w:start w:val="14"/>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1"/>
      <w:numFmt w:val="decimal"/>
      <w:start w:val="19"/>
    </w:lvl>
  </w:abstractNum>
  <w:abstractNum w:abstractNumId="47">
    <w:nsid w:val="61574095"/>
    <w:multiLevelType w:val="hybridMultilevel"/>
    <w:lvl w:ilvl="0">
      <w:lvlJc w:val="left"/>
      <w:lvlText w:val="%1"/>
      <w:numFmt w:val="decimal"/>
      <w:start w:val="20"/>
    </w:lvl>
  </w:abstractNum>
  <w:abstractNum w:abstractNumId="48">
    <w:nsid w:val="7E0C57B1"/>
    <w:multiLevelType w:val="hybridMultilevel"/>
    <w:lvl w:ilvl="0">
      <w:lvlJc w:val="left"/>
      <w:lvlText w:val="%1"/>
      <w:numFmt w:val="decimal"/>
      <w:start w:val="22"/>
    </w:lvl>
  </w:abstractNum>
  <w:abstractNum w:abstractNumId="49">
    <w:nsid w:val="77AE35EB"/>
    <w:multiLevelType w:val="hybridMultilevel"/>
    <w:lvl w:ilvl="0">
      <w:lvlJc w:val="left"/>
      <w:lvlText w:val="%1)"/>
      <w:numFmt w:val="decimal"/>
      <w:start w:val="811"/>
    </w:lvl>
  </w:abstractNum>
  <w:abstractNum w:abstractNumId="50">
    <w:nsid w:val="579BE4F1"/>
    <w:multiLevelType w:val="hybridMultilevel"/>
    <w:lvl w:ilvl="0">
      <w:lvlJc w:val="left"/>
      <w:lvlText w:val="%1"/>
      <w:numFmt w:val="decimal"/>
      <w:start w:val="23"/>
    </w:lvl>
  </w:abstractNum>
  <w:abstractNum w:abstractNumId="51">
    <w:nsid w:val="310C50B3"/>
    <w:multiLevelType w:val="hybridMultilevel"/>
    <w:lvl w:ilvl="0">
      <w:lvlJc w:val="left"/>
      <w:lvlText w:val="%1"/>
      <w:numFmt w:val="decimal"/>
      <w:start w:val="24"/>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1"/>
      <w:numFmt w:val="decimal"/>
      <w:start w:val="27"/>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1)"/>
      <w:numFmt w:val="decimal"/>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1)"/>
      <w:numFmt w:val="lowerRoman"/>
      <w:start w:val="8"/>
    </w:lvl>
  </w:abstractNum>
  <w:abstractNum w:abstractNumId="65">
    <w:nsid w:val="799D0247"/>
    <w:multiLevelType w:val="hybridMultilevel"/>
    <w:lvl w:ilvl="0">
      <w:lvlJc w:val="left"/>
      <w:lvlText w:val="(%1)"/>
      <w:numFmt w:val="lowerRoman"/>
      <w:start w:val="14"/>
    </w:lvl>
  </w:abstractNum>
  <w:abstractNum w:abstractNumId="66">
    <w:nsid w:val="6B9476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7">
    <w:nsid w:val="42C296BD"/>
    <w:multiLevelType w:val="hybridMultilevel"/>
    <w:lvl w:ilvl="0">
      <w:lvlJc w:val="left"/>
      <w:lvlText w:val="%1."/>
      <w:numFmt w:val="decimal"/>
      <w:start w:val="6"/>
    </w:lvl>
  </w:abstractNum>
  <w:abstractNum w:abstractNumId="68">
    <w:nsid w:val="168E121F"/>
    <w:multiLevelType w:val="hybridMultilevel"/>
    <w:lvl w:ilvl="0">
      <w:lvlJc w:val="left"/>
      <w:lvlText w:val="(%1)"/>
      <w:numFmt w:val="lowerLetter"/>
      <w:start w:val="19"/>
    </w:lvl>
  </w:abstractNum>
  <w:abstractNum w:abstractNumId="69">
    <w:nsid w:val="1EBA5D2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0">
    <w:nsid w:val="661E3F1E"/>
    <w:multiLevelType w:val="hybridMultilevel"/>
    <w:lvl w:ilvl="0">
      <w:lvlJc w:val="left"/>
      <w:lvlText w:val="%1."/>
      <w:numFmt w:val="decimal"/>
      <w:start w:val="6"/>
    </w:lvl>
  </w:abstractNum>
  <w:abstractNum w:abstractNumId="71">
    <w:nsid w:val="5DC79EA8"/>
    <w:multiLevelType w:val="hybridMultilevel"/>
    <w:lvl w:ilvl="0">
      <w:lvlJc w:val="left"/>
      <w:lvlText w:val="(%1)"/>
      <w:numFmt w:val="lowerLetter"/>
      <w:start w:val="19"/>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
      <w:numFmt w:val="bullet"/>
      <w:start w:val="1"/>
    </w:lvl>
    <w:lvl w:ilvl="1">
      <w:lvlJc w:val="left"/>
      <w:lvlText w:val="•"/>
      <w:numFmt w:val="bullet"/>
      <w:start w:val="1"/>
    </w:lvl>
  </w:abstractNum>
  <w:abstractNum w:abstractNumId="75">
    <w:nsid w:val="613EFDC5"/>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2022-02-10T06:33:27Z</dcterms:created>
  <dcterms:modified xsi:type="dcterms:W3CDTF">2022-02-10T06:33:27Z</dcterms:modified>
</cp:coreProperties>
</file>