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6-K</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For the month of September, 2024.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001-40673</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Cybin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17"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4"/>
          <w:szCs w:val="14"/>
          <w:color w:val="auto"/>
        </w:rPr>
        <w:t xml:space="preserve">Form 20-F </w:t>
      </w:r>
      <w:r>
        <w:rPr>
          <w:rFonts w:ascii="Times New Roman" w:cs="Times New Roman" w:eastAsia="Times New Roman" w:hAnsi="Times New Roman"/>
          <w:sz w:val="19"/>
          <w:szCs w:val="19"/>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7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Exhibits 99.1, 99.2 and 99.3 of this Form 6-K are hereby incorporated by reference into the Registration Statement on Form F-10 (File No. 333-272706) and the Registration Statement on Form F-10 (File No. 333-276333) of the Company, as amended or supplemented.</w:t>
      </w:r>
    </w:p>
    <w:p>
      <w:pPr>
        <w:sectPr>
          <w:pgSz w:w="11900" w:h="16838" w:orient="portrait"/>
          <w:cols w:equalWidth="0" w:num="1">
            <w:col w:w="11280"/>
          </w:cols>
          <w:pgMar w:left="300" w:top="1300" w:right="319" w:bottom="1440" w:gutter="0" w:footer="0" w:header="0"/>
        </w:sectPr>
      </w:pPr>
    </w:p>
    <w:bookmarkStart w:id="1" w:name="page2"/>
    <w:bookmarkEnd w:id="1"/>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7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CYBIN INC.</w:t>
            </w:r>
          </w:p>
        </w:tc>
      </w:tr>
      <w:tr>
        <w:trPr>
          <w:trHeight w:val="202"/>
        </w:trPr>
        <w:tc>
          <w:tcPr>
            <w:tcW w:w="5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(Registrant)</w:t>
            </w:r>
          </w:p>
        </w:tc>
        <w:tc>
          <w:tcPr>
            <w:tcW w:w="3940" w:type="dxa"/>
            <w:vAlign w:val="bottom"/>
          </w:tcPr>
          <w:p>
            <w:pPr>
              <w:spacing w:after="0"/>
              <w:rPr>
                <w:sz w:val="17"/>
                <w:szCs w:val="17"/>
                <w:color w:val="auto"/>
              </w:rPr>
            </w:pPr>
          </w:p>
        </w:tc>
      </w:tr>
      <w:tr>
        <w:trPr>
          <w:trHeight w:val="409"/>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19, 2024</w:t>
            </w: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/s/ Doug Drysdale</w:t>
            </w:r>
          </w:p>
        </w:tc>
      </w:tr>
      <w:tr>
        <w:trPr>
          <w:trHeight w:val="187"/>
        </w:trPr>
        <w:tc>
          <w:tcPr>
            <w:tcW w:w="5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Doug Drysdale</w:t>
            </w:r>
          </w:p>
        </w:tc>
      </w:tr>
      <w:tr>
        <w:trPr>
          <w:trHeight w:val="202"/>
        </w:trPr>
        <w:tc>
          <w:tcPr>
            <w:tcW w:w="5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0860"/>
          </w:cols>
          <w:pgMar w:left="320" w:top="1141" w:right="719" w:bottom="1440" w:gutter="0" w:footer="0" w:header="0"/>
        </w:sectPr>
      </w:pPr>
    </w:p>
    <w:bookmarkStart w:id="2" w:name="page3"/>
    <w:bookmarkEnd w:id="2"/>
    <w:p>
      <w:pPr>
        <w:jc w:val="right"/>
        <w:ind w:right="3959"/>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9"/>
              </w:rPr>
              <w:t>99.1</w:t>
            </w:r>
          </w:p>
        </w:tc>
        <w:tc>
          <w:tcPr>
            <w:tcW w:w="3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Material Change Report dated on September 19, 2024</w:t>
            </w:r>
          </w:p>
        </w:tc>
      </w:tr>
      <w:tr>
        <w:trPr>
          <w:trHeight w:val="182"/>
        </w:trPr>
        <w:tc>
          <w:tcPr>
            <w:tcW w:w="11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9"/>
              </w:rPr>
              <w:t>99.2</w:t>
            </w:r>
          </w:p>
        </w:tc>
        <w:tc>
          <w:tcPr>
            <w:tcW w:w="2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Cybin Share Consolidation Press Release</w:t>
            </w:r>
          </w:p>
        </w:tc>
        <w:tc>
          <w:tcPr>
            <w:tcW w:w="700" w:type="dxa"/>
            <w:vAlign w:val="bottom"/>
          </w:tcPr>
          <w:p>
            <w:pPr>
              <w:spacing w:after="0"/>
              <w:rPr>
                <w:sz w:val="15"/>
                <w:szCs w:val="15"/>
                <w:color w:val="auto"/>
              </w:rPr>
            </w:pPr>
          </w:p>
        </w:tc>
      </w:tr>
      <w:tr>
        <w:trPr>
          <w:trHeight w:val="182"/>
        </w:trPr>
        <w:tc>
          <w:tcPr>
            <w:tcW w:w="11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9"/>
              </w:rPr>
              <w:t>99.3</w:t>
            </w:r>
          </w:p>
        </w:tc>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Certificate and Articles of Amendment</w:t>
            </w:r>
          </w:p>
        </w:tc>
      </w:tr>
      <w:tr>
        <w:trPr>
          <w:trHeight w:val="182"/>
        </w:trPr>
        <w:tc>
          <w:tcPr>
            <w:tcW w:w="114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9"/>
              </w:rPr>
              <w:t>99.4</w:t>
            </w:r>
          </w:p>
        </w:tc>
        <w:tc>
          <w:tcPr>
            <w:tcW w:w="2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Letter of Transmittal</w:t>
            </w:r>
          </w:p>
        </w:tc>
        <w:tc>
          <w:tcPr>
            <w:tcW w:w="8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0139"/>
          </w:cols>
          <w:pgMar w:left="320" w:top="114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FORM 51-102F3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pacing w:after="0" w:line="19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u w:val="single" w:color="auto"/>
          <w:color w:val="auto"/>
        </w:rPr>
        <w:t>Name and Address of Company</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Cybin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100 King Street West, Suite 5600</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Toronto, Ontario</w:t>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M5X 1C9</w:t>
      </w:r>
    </w:p>
    <w:p>
      <w:pPr>
        <w:spacing w:after="0" w:line="17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u w:val="single" w:color="auto"/>
          <w:color w:val="auto"/>
        </w:rPr>
        <w:t>Date of Material Change</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September 19, 2024</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u w:val="single" w:color="auto"/>
          <w:color w:val="auto"/>
        </w:rPr>
        <w:t>News Release</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 press release disclosing the material change was disseminated on September 19, 2024 through BusinessWire.</w:t>
      </w:r>
    </w:p>
    <w:p>
      <w:pPr>
        <w:spacing w:after="0" w:line="19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u w:val="single" w:color="auto"/>
          <w:color w:val="auto"/>
        </w:rPr>
        <w:t>Summary of Material Change</w:t>
      </w:r>
    </w:p>
    <w:p>
      <w:pPr>
        <w:spacing w:after="0" w:line="200" w:lineRule="exact"/>
        <w:rPr>
          <w:sz w:val="20"/>
          <w:szCs w:val="20"/>
          <w:color w:val="auto"/>
        </w:rPr>
      </w:pPr>
    </w:p>
    <w:p>
      <w:pPr>
        <w:jc w:val="both"/>
        <w:ind w:left="1020"/>
        <w:spacing w:after="0" w:line="259" w:lineRule="auto"/>
        <w:rPr>
          <w:sz w:val="20"/>
          <w:szCs w:val="20"/>
          <w:color w:val="auto"/>
        </w:rPr>
      </w:pPr>
      <w:r>
        <w:rPr>
          <w:rFonts w:ascii="Times New Roman" w:cs="Times New Roman" w:eastAsia="Times New Roman" w:hAnsi="Times New Roman"/>
          <w:sz w:val="16"/>
          <w:szCs w:val="16"/>
          <w:color w:val="auto"/>
        </w:rPr>
        <w:t>On September 19, 2024, the Company announced that it had filed articles of amendment to consolidate the Company’s issued and outstanding common shares (the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on the basis one new Common Share for every 38 existing Common Shares (the “</w:t>
      </w:r>
      <w:r>
        <w:rPr>
          <w:rFonts w:ascii="Times New Roman" w:cs="Times New Roman" w:eastAsia="Times New Roman" w:hAnsi="Times New Roman"/>
          <w:sz w:val="16"/>
          <w:szCs w:val="16"/>
          <w:b w:val="1"/>
          <w:bCs w:val="1"/>
          <w:color w:val="auto"/>
        </w:rPr>
        <w:t>Consolidation</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4"/>
          <w:szCs w:val="14"/>
          <w:b w:val="1"/>
          <w:bCs w:val="1"/>
          <w:u w:val="single" w:color="auto"/>
          <w:color w:val="auto"/>
        </w:rPr>
        <w:t>Full Description of Material Change</w:t>
      </w:r>
    </w:p>
    <w:p>
      <w:pPr>
        <w:spacing w:after="0" w:line="189" w:lineRule="exact"/>
        <w:rPr>
          <w:sz w:val="20"/>
          <w:szCs w:val="20"/>
          <w:color w:val="auto"/>
        </w:rPr>
      </w:pPr>
    </w:p>
    <w:p>
      <w:pPr>
        <w:jc w:val="both"/>
        <w:ind w:left="1020"/>
        <w:spacing w:after="0" w:line="307" w:lineRule="auto"/>
        <w:rPr>
          <w:sz w:val="20"/>
          <w:szCs w:val="20"/>
          <w:color w:val="auto"/>
        </w:rPr>
      </w:pPr>
      <w:r>
        <w:rPr>
          <w:rFonts w:ascii="Times New Roman" w:cs="Times New Roman" w:eastAsia="Times New Roman" w:hAnsi="Times New Roman"/>
          <w:sz w:val="14"/>
          <w:szCs w:val="14"/>
          <w:color w:val="auto"/>
        </w:rPr>
        <w:t>The Consolidation is effective as of September 19, 2024. As a result of the Consolidation, the 759,692,495 Common Shares issued and outstanding prior to the Consolidation have been reduced to approximately 19,991,907 Common Shares. Each shareholder’s percentage ownership in the Company and proportional voting power remains unchanged after the Consolidation, except for minor changes and adjustments resulting from the treatment of any fractional Common Shares.</w:t>
      </w:r>
    </w:p>
    <w:p>
      <w:pPr>
        <w:spacing w:after="0" w:line="136"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16"/>
          <w:szCs w:val="16"/>
          <w:color w:val="auto"/>
        </w:rPr>
        <w:t>The Company did not issue fractional post-Consolidation Common Shares. Where the Consolidation would otherwise result in a shareholder being entitled to a fractional Common Share, the number of post-Consolidation Common Shares issued to such shareholder was rounded to the nearest whole number of post-Consolidation Common Shares.</w:t>
      </w:r>
    </w:p>
    <w:p>
      <w:pPr>
        <w:spacing w:after="0" w:line="169" w:lineRule="exact"/>
        <w:rPr>
          <w:sz w:val="20"/>
          <w:szCs w:val="20"/>
          <w:color w:val="auto"/>
        </w:rPr>
      </w:pPr>
    </w:p>
    <w:p>
      <w:pPr>
        <w:jc w:val="both"/>
        <w:ind w:left="1020"/>
        <w:spacing w:after="0" w:line="259" w:lineRule="auto"/>
        <w:rPr>
          <w:sz w:val="20"/>
          <w:szCs w:val="20"/>
          <w:color w:val="auto"/>
        </w:rPr>
      </w:pPr>
      <w:r>
        <w:rPr>
          <w:rFonts w:ascii="Times New Roman" w:cs="Times New Roman" w:eastAsia="Times New Roman" w:hAnsi="Times New Roman"/>
          <w:sz w:val="16"/>
          <w:szCs w:val="16"/>
          <w:color w:val="auto"/>
        </w:rPr>
        <w:t>The board of directors of the Company approved the consolidation ratio for the Consolidation on August 27, 2024. Shareholder approval of the Consolidation was obtained at the Company’s annual and special meeting of shareholders held on August 27, 2024.</w:t>
      </w:r>
    </w:p>
    <w:p>
      <w:pPr>
        <w:spacing w:after="0" w:line="165"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16"/>
          <w:szCs w:val="16"/>
          <w:color w:val="auto"/>
        </w:rPr>
        <w:t>In connection with the Consolidation, the Company will send letters of transmittal to registered holders of its Common Shares for use in transmitting their existing share certificates (“</w:t>
      </w:r>
      <w:r>
        <w:rPr>
          <w:rFonts w:ascii="Times New Roman" w:cs="Times New Roman" w:eastAsia="Times New Roman" w:hAnsi="Times New Roman"/>
          <w:sz w:val="16"/>
          <w:szCs w:val="16"/>
          <w:b w:val="1"/>
          <w:bCs w:val="1"/>
          <w:color w:val="auto"/>
        </w:rPr>
        <w:t>Existing Certificates</w:t>
      </w:r>
      <w:r>
        <w:rPr>
          <w:rFonts w:ascii="Times New Roman" w:cs="Times New Roman" w:eastAsia="Times New Roman" w:hAnsi="Times New Roman"/>
          <w:sz w:val="16"/>
          <w:szCs w:val="16"/>
          <w:color w:val="auto"/>
        </w:rPr>
        <w:t>”) to the Company’s registrar and transfer agent, Odyssey Trust Company, in exchange for new certificates (“</w:t>
      </w:r>
      <w:r>
        <w:rPr>
          <w:rFonts w:ascii="Times New Roman" w:cs="Times New Roman" w:eastAsia="Times New Roman" w:hAnsi="Times New Roman"/>
          <w:sz w:val="16"/>
          <w:szCs w:val="16"/>
          <w:b w:val="1"/>
          <w:bCs w:val="1"/>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Certificates</w:t>
      </w:r>
      <w:r>
        <w:rPr>
          <w:rFonts w:ascii="Times New Roman" w:cs="Times New Roman" w:eastAsia="Times New Roman" w:hAnsi="Times New Roman"/>
          <w:sz w:val="16"/>
          <w:szCs w:val="16"/>
          <w:color w:val="auto"/>
        </w:rPr>
        <w:t>”) representing the number of post-Consolidation Common Shares to which such</w:t>
      </w:r>
    </w:p>
    <w:p>
      <w:pPr>
        <w:sectPr>
          <w:pgSz w:w="11900" w:h="16838" w:orient="portrait"/>
          <w:cols w:equalWidth="0" w:num="1">
            <w:col w:w="11280"/>
          </w:cols>
          <w:pgMar w:left="300" w:top="88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369" w:lineRule="exact"/>
        <w:rPr>
          <w:sz w:val="20"/>
          <w:szCs w:val="20"/>
          <w:color w:val="auto"/>
        </w:rPr>
      </w:pPr>
    </w:p>
    <w:p>
      <w:pPr>
        <w:jc w:val="both"/>
        <w:ind w:left="1020"/>
        <w:spacing w:after="0" w:line="254" w:lineRule="auto"/>
        <w:rPr>
          <w:sz w:val="20"/>
          <w:szCs w:val="20"/>
          <w:color w:val="auto"/>
        </w:rPr>
      </w:pPr>
      <w:r>
        <w:rPr>
          <w:rFonts w:ascii="Times New Roman" w:cs="Times New Roman" w:eastAsia="Times New Roman" w:hAnsi="Times New Roman"/>
          <w:sz w:val="16"/>
          <w:szCs w:val="16"/>
          <w:color w:val="auto"/>
        </w:rPr>
        <w:t>shareholder is entitled as a result of the Consolidation. No delivery of a New Certificate to a shareholder will be made until the shareholder has surrendered its Existing Certificates. Until surrendered, each Existing Certificate shall be deemed for all purposes to represent the number of post-Consolidation Common Shares to which the holder is entitled as a result of the Consolidation.</w:t>
      </w:r>
    </w:p>
    <w:p>
      <w:pPr>
        <w:spacing w:after="0" w:line="169" w:lineRule="exact"/>
        <w:rPr>
          <w:sz w:val="20"/>
          <w:szCs w:val="20"/>
          <w:color w:val="auto"/>
        </w:rPr>
      </w:pPr>
    </w:p>
    <w:p>
      <w:pPr>
        <w:jc w:val="both"/>
        <w:ind w:left="1020"/>
        <w:spacing w:after="0" w:line="259" w:lineRule="auto"/>
        <w:rPr>
          <w:sz w:val="20"/>
          <w:szCs w:val="20"/>
          <w:color w:val="auto"/>
        </w:rPr>
      </w:pPr>
      <w:r>
        <w:rPr>
          <w:rFonts w:ascii="Times New Roman" w:cs="Times New Roman" w:eastAsia="Times New Roman" w:hAnsi="Times New Roman"/>
          <w:sz w:val="16"/>
          <w:szCs w:val="16"/>
          <w:color w:val="auto"/>
        </w:rPr>
        <w:t>The exercise price and number of Common Shares issuable upon exercise of the Company’s outstanding Common Share purchase warrants and options have been adjusted in accordance with the Consolidation.</w:t>
      </w:r>
    </w:p>
    <w:p>
      <w:pPr>
        <w:spacing w:after="0" w:line="16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u w:val="single" w:color="auto"/>
          <w:color w:val="auto"/>
        </w:rPr>
        <w:t>Reliance on subsection 7.1(2) of National Instrument 51-102</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Confidentiality is not requested.</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4"/>
          <w:szCs w:val="14"/>
          <w:b w:val="1"/>
          <w:bCs w:val="1"/>
          <w:u w:val="single" w:color="auto"/>
          <w:color w:val="auto"/>
        </w:rPr>
        <w:t>Omitted Information</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No information has been omitted in respect of the material change.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4"/>
          <w:szCs w:val="14"/>
          <w:b w:val="1"/>
          <w:bCs w:val="1"/>
          <w:u w:val="single" w:color="auto"/>
          <w:color w:val="auto"/>
        </w:rPr>
        <w:t>Executive Officer</w:t>
      </w:r>
    </w:p>
    <w:p>
      <w:pPr>
        <w:spacing w:after="0" w:line="200" w:lineRule="exact"/>
        <w:rPr>
          <w:sz w:val="20"/>
          <w:szCs w:val="20"/>
          <w:color w:val="auto"/>
        </w:rPr>
      </w:pPr>
    </w:p>
    <w:p>
      <w:pPr>
        <w:jc w:val="both"/>
        <w:ind w:left="1020"/>
        <w:spacing w:after="0" w:line="273" w:lineRule="auto"/>
        <w:rPr>
          <w:sz w:val="20"/>
          <w:szCs w:val="20"/>
          <w:color w:val="auto"/>
        </w:rPr>
      </w:pPr>
      <w:r>
        <w:rPr>
          <w:rFonts w:ascii="Times New Roman" w:cs="Times New Roman" w:eastAsia="Times New Roman" w:hAnsi="Times New Roman"/>
          <w:sz w:val="16"/>
          <w:szCs w:val="16"/>
          <w:color w:val="auto"/>
        </w:rPr>
        <w:t>Further information regarding the matters described in this report may be obtained from Douglas Drysdale, Chief Executive Officer of the Company, who is knowledgeable about the details of the material change and may be contacted at 1-866-292-4601.</w:t>
      </w:r>
    </w:p>
    <w:p>
      <w:pPr>
        <w:spacing w:after="0" w:line="14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4"/>
          <w:szCs w:val="14"/>
          <w:b w:val="1"/>
          <w:bCs w:val="1"/>
          <w:u w:val="single" w:color="auto"/>
          <w:color w:val="auto"/>
        </w:rPr>
        <w:t>Date of Report</w:t>
      </w:r>
    </w:p>
    <w:p>
      <w:pPr>
        <w:spacing w:after="0" w:line="2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September 19, 2024</w:t>
      </w:r>
    </w:p>
    <w:p>
      <w:pPr>
        <w:sectPr>
          <w:pgSz w:w="11900" w:h="16838" w:orient="portrait"/>
          <w:cols w:equalWidth="0" w:num="1">
            <w:col w:w="11280"/>
          </w:cols>
          <w:pgMar w:left="300" w:top="131"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3083560</wp:posOffset>
            </wp:positionH>
            <wp:positionV relativeFrom="page">
              <wp:posOffset>735965</wp:posOffset>
            </wp:positionV>
            <wp:extent cx="1388110" cy="808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8110" cy="80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Cybin Announces Completion of Previously Announced Share Consolidation</w:t>
      </w:r>
    </w:p>
    <w:p>
      <w:pPr>
        <w:spacing w:after="0" w:line="3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TORONTO, CANADA </w:t>
      </w:r>
      <w:r>
        <w:rPr>
          <w:rFonts w:ascii="Times New Roman" w:cs="Times New Roman" w:eastAsia="Times New Roman" w:hAnsi="Times New Roman"/>
          <w:sz w:val="16"/>
          <w:szCs w:val="16"/>
          <w:color w:val="auto"/>
        </w:rPr>
        <w:t>– September 19, 2024 – Cybin Inc. (NYSE American: CYBN) (Cboe CA:CYBN) (“</w:t>
      </w:r>
      <w:r>
        <w:rPr>
          <w:rFonts w:ascii="Times New Roman" w:cs="Times New Roman" w:eastAsia="Times New Roman" w:hAnsi="Times New Roman"/>
          <w:sz w:val="16"/>
          <w:szCs w:val="16"/>
          <w:b w:val="1"/>
          <w:bCs w:val="1"/>
          <w:color w:val="auto"/>
        </w:rPr>
        <w:t>Cybin</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 clinical-stage breakthrough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neuropsychiatry company committed to revolutionizing mental healthcare by developing new and innovative next-generation treatment options, is pleased to announce that it has filed articles of amendment to consolidate the Company’s issued and outstanding common shares (the “</w:t>
      </w:r>
      <w:r>
        <w:rPr>
          <w:rFonts w:ascii="Times New Roman" w:cs="Times New Roman" w:eastAsia="Times New Roman" w:hAnsi="Times New Roman"/>
          <w:sz w:val="16"/>
          <w:szCs w:val="16"/>
          <w:b w:val="1"/>
          <w:bCs w:val="1"/>
          <w:color w:val="auto"/>
        </w:rPr>
        <w:t>Common Shares</w:t>
      </w:r>
      <w:r>
        <w:rPr>
          <w:rFonts w:ascii="Times New Roman" w:cs="Times New Roman" w:eastAsia="Times New Roman" w:hAnsi="Times New Roman"/>
          <w:sz w:val="16"/>
          <w:szCs w:val="16"/>
          <w:color w:val="auto"/>
        </w:rPr>
        <w:t>”) on the basis of one new Common Share for every 38 existing Common Shares (the “</w:t>
      </w:r>
      <w:r>
        <w:rPr>
          <w:rFonts w:ascii="Times New Roman" w:cs="Times New Roman" w:eastAsia="Times New Roman" w:hAnsi="Times New Roman"/>
          <w:sz w:val="16"/>
          <w:szCs w:val="16"/>
          <w:b w:val="1"/>
          <w:bCs w:val="1"/>
          <w:color w:val="auto"/>
        </w:rPr>
        <w:t>Consolidation</w:t>
      </w:r>
      <w:r>
        <w:rPr>
          <w:rFonts w:ascii="Times New Roman" w:cs="Times New Roman" w:eastAsia="Times New Roman" w:hAnsi="Times New Roman"/>
          <w:sz w:val="16"/>
          <w:szCs w:val="16"/>
          <w:color w:val="auto"/>
        </w:rPr>
        <w:t>”). The Consolidation is effective immediately and trading of the Common Shares reflecting the Consolidation will commence at the opening of trading today.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a result of the Consolidation, the 759,692,495 Common Shares issued and outstanding prior to the Consolidation have been reduced to approximately 19,991,907 Common Shares, subject to adjustment for treatment of fractional Common Shares. Each shareholder’s percentage ownership in the Company and proportional voting power remains unchanged after the Consolidation, except for minor changes and adjustments resulting from the treatment of any fractional Common Shares.</w:t>
      </w:r>
    </w:p>
    <w:p>
      <w:pPr>
        <w:spacing w:after="0" w:line="1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exercise price and number of Common Shares issuable upon exercise of the Company’s outstanding Common Share purchase warrants and options have been adjusted in accordance with the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Cybin</w:t>
      </w:r>
    </w:p>
    <w:p>
      <w:pPr>
        <w:spacing w:after="0" w:line="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Cybin is a clinical-stage breakthrough neuropsychiatry company on a mission to create safe and effective next-generation therapeutics to address the large unmet need for new and innovative treatment options for people who suffer from mental health conditions.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psilocin program for the treatment of major depressive disorder and CYB004, a proprietary deuterated dimethyltryptamine program for generalized anxiety disorder and has a research pipeline of investigational psychedelic-based compounds</w:t>
      </w:r>
      <w:r>
        <w:rPr>
          <w:rFonts w:ascii="Times New Roman" w:cs="Times New Roman" w:eastAsia="Times New Roman" w:hAnsi="Times New Roman"/>
          <w:sz w:val="16"/>
          <w:szCs w:val="16"/>
          <w:b w:val="1"/>
          <w:bCs w:val="1"/>
          <w:color w:val="auto"/>
        </w:rPr>
        <w:t>.</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ectPr>
          <w:pgSz w:w="11900" w:h="16838" w:orient="portrait"/>
          <w:cols w:equalWidth="0" w:num="1">
            <w:col w:w="11280"/>
          </w:cols>
          <w:pgMar w:left="300" w:top="144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Cautionary Notes and Forward-Looking Statements</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Times New Roman" w:cs="Times New Roman" w:eastAsia="Times New Roman" w:hAnsi="Times New Roman"/>
          <w:sz w:val="14"/>
          <w:szCs w:val="14"/>
          <w:u w:val="single" w:color="auto"/>
          <w:color w:val="0000FF"/>
        </w:rPr>
        <w:t>www.sedarplus.ca</w:t>
      </w:r>
      <w:r>
        <w:rPr>
          <w:rFonts w:ascii="Times New Roman" w:cs="Times New Roman" w:eastAsia="Times New Roman" w:hAnsi="Times New Roman"/>
          <w:sz w:val="14"/>
          <w:szCs w:val="14"/>
          <w:color w:val="auto"/>
        </w:rPr>
        <w:t xml:space="preserve"> and with the U.S. Securities and Exchange Commission on EDGAR at </w:t>
      </w:r>
      <w:r>
        <w:rPr>
          <w:rFonts w:ascii="Times New Roman" w:cs="Times New Roman" w:eastAsia="Times New Roman" w:hAnsi="Times New Roman"/>
          <w:sz w:val="14"/>
          <w:szCs w:val="14"/>
          <w:u w:val="single" w:color="auto"/>
          <w:color w:val="0000FF"/>
        </w:rPr>
        <w:t>www.sec.gov</w:t>
      </w:r>
      <w:r>
        <w:rPr>
          <w:rFonts w:ascii="Times New Roman" w:cs="Times New Roman" w:eastAsia="Times New Roman" w:hAnsi="Times New Roman"/>
          <w:sz w:val="14"/>
          <w:szCs w:val="14"/>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3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Cybin makes no medical, treatment or health benefit claims about Cybin’s proposed products. The U.S. Food and Drug Administration, Health Canada or other similar regulatory authorities have not evaluated claims regarding psilocin, psilocybin, psychedelic tryptamine, tryptamine derivatives or other psychedelic compounds. The efficacy of such products has not been confirmed by approved research. There is no assurance that the use of psilocin,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&amp; Media Contact: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Gabriel Fahel</w:t>
      </w:r>
    </w:p>
    <w:p>
      <w:pPr>
        <w:sectPr>
          <w:pgSz w:w="11900" w:h="16838" w:orient="portrait"/>
          <w:cols w:equalWidth="0" w:num="1">
            <w:col w:w="11280"/>
          </w:cols>
          <w:pgMar w:left="300" w:top="114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Chief Legal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Cybin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1-866-292-4601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irteam@cybin.com – or – media@cybin.com</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61689835.2</w:t>
      </w:r>
    </w:p>
    <w:p>
      <w:pPr>
        <w:sectPr>
          <w:pgSz w:w="11900" w:h="16838" w:orient="portrait"/>
          <w:cols w:equalWidth="0" w:num="1">
            <w:col w:w="10159"/>
          </w:cols>
          <w:pgMar w:left="300" w:top="1150"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center"/>
        <w:ind w:right="-139"/>
        <w:spacing w:after="0"/>
        <w:rPr>
          <w:sz w:val="20"/>
          <w:szCs w:val="20"/>
          <w:color w:val="auto"/>
        </w:rPr>
      </w:pPr>
      <w:r>
        <w:rPr>
          <w:rFonts w:ascii="Arial" w:cs="Arial" w:eastAsia="Arial" w:hAnsi="Arial"/>
          <w:sz w:val="17"/>
          <w:szCs w:val="17"/>
          <w:b w:val="1"/>
          <w:bCs w:val="1"/>
          <w:color w:val="auto"/>
        </w:rPr>
        <w:t>CYBIN INC</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LETTER OF TRANSMITTAL</w:t>
      </w:r>
    </w:p>
    <w:p>
      <w:pPr>
        <w:spacing w:after="0" w:line="197"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b w:val="1"/>
          <w:bCs w:val="1"/>
          <w:color w:val="auto"/>
        </w:rPr>
        <w:t>TO:</w:t>
        <w:tab/>
        <w:t>ODYSSEY TRUST COMPANY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undersigned hereby represents and warrants that the undersigned is the owner of the number of common shares (“</w:t>
      </w:r>
      <w:r>
        <w:rPr>
          <w:rFonts w:ascii="Arial" w:cs="Arial" w:eastAsia="Arial" w:hAnsi="Arial"/>
          <w:sz w:val="13"/>
          <w:szCs w:val="13"/>
          <w:b w:val="1"/>
          <w:bCs w:val="1"/>
          <w:color w:val="auto"/>
        </w:rPr>
        <w:t>common shares</w:t>
      </w:r>
      <w:r>
        <w:rPr>
          <w:rFonts w:ascii="Arial" w:cs="Arial" w:eastAsia="Arial" w:hAnsi="Arial"/>
          <w:sz w:val="13"/>
          <w:szCs w:val="13"/>
          <w:color w:val="auto"/>
        </w:rPr>
        <w:t>”) of Cybin Inc. (“CYBN”) which shares are represented by the shares described below and delivered herewith and the undersigned has good title to the shares represented below, free and clear of all liens, charges and encumbrances, and has full power and authority to herewith deposit such shares.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060" w:type="dxa"/>
            <w:vAlign w:val="bottom"/>
            <w:tcBorders>
              <w:top w:val="single" w:sz="8" w:color="auto"/>
              <w:left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1"/>
                <w:szCs w:val="11"/>
                <w:color w:val="auto"/>
              </w:rPr>
              <w:t>Certificate Number or DRS Account Number</w:t>
            </w:r>
          </w:p>
        </w:tc>
        <w:tc>
          <w:tcPr>
            <w:tcW w:w="3240" w:type="dxa"/>
            <w:vAlign w:val="bottom"/>
            <w:tcBorders>
              <w:top w:val="single" w:sz="8" w:color="auto"/>
              <w:bottom w:val="single" w:sz="8" w:color="auto"/>
              <w:right w:val="single" w:sz="8" w:color="auto"/>
            </w:tcBorders>
          </w:tcPr>
          <w:p>
            <w:pPr>
              <w:ind w:left="1140"/>
              <w:spacing w:after="0"/>
              <w:rPr>
                <w:sz w:val="20"/>
                <w:szCs w:val="20"/>
                <w:color w:val="auto"/>
              </w:rPr>
            </w:pPr>
            <w:r>
              <w:rPr>
                <w:rFonts w:ascii="Arial" w:cs="Arial" w:eastAsia="Arial" w:hAnsi="Arial"/>
                <w:sz w:val="11"/>
                <w:szCs w:val="11"/>
                <w:color w:val="auto"/>
              </w:rPr>
              <w:t>Number of Shares</w:t>
            </w:r>
          </w:p>
        </w:tc>
        <w:tc>
          <w:tcPr>
            <w:tcW w:w="4820" w:type="dxa"/>
            <w:vAlign w:val="bottom"/>
            <w:tcBorders>
              <w:top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1"/>
                <w:szCs w:val="11"/>
                <w:color w:val="auto"/>
              </w:rPr>
              <w:t>Registered in the Name of</w:t>
            </w:r>
          </w:p>
        </w:tc>
      </w:tr>
      <w:tr>
        <w:trPr>
          <w:trHeight w:val="201"/>
        </w:trPr>
        <w:tc>
          <w:tcPr>
            <w:tcW w:w="3060" w:type="dxa"/>
            <w:vAlign w:val="bottom"/>
            <w:tcBorders>
              <w:left w:val="single" w:sz="8" w:color="auto"/>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r>
      <w:tr>
        <w:trPr>
          <w:trHeight w:val="192"/>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c>
          <w:tcPr>
            <w:tcW w:w="4820" w:type="dxa"/>
            <w:vAlign w:val="bottom"/>
            <w:tcBorders>
              <w:bottom w:val="single" w:sz="8" w:color="auto"/>
              <w:right w:val="single" w:sz="8" w:color="auto"/>
            </w:tcBorders>
          </w:tcPr>
          <w:p>
            <w:pPr>
              <w:spacing w:after="0"/>
              <w:rPr>
                <w:sz w:val="16"/>
                <w:szCs w:val="16"/>
                <w:color w:val="auto"/>
              </w:rPr>
            </w:pPr>
          </w:p>
        </w:tc>
      </w:tr>
      <w:tr>
        <w:trPr>
          <w:trHeight w:val="192"/>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c>
          <w:tcPr>
            <w:tcW w:w="4820" w:type="dxa"/>
            <w:vAlign w:val="bottom"/>
            <w:tcBorders>
              <w:bottom w:val="single" w:sz="8" w:color="auto"/>
              <w:right w:val="single" w:sz="8" w:color="auto"/>
            </w:tcBorders>
          </w:tcPr>
          <w:p>
            <w:pPr>
              <w:spacing w:after="0"/>
              <w:rPr>
                <w:sz w:val="16"/>
                <w:szCs w:val="16"/>
                <w:color w:val="auto"/>
              </w:rPr>
            </w:pPr>
          </w:p>
        </w:tc>
      </w:tr>
      <w:tr>
        <w:trPr>
          <w:trHeight w:val="192"/>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c>
          <w:tcPr>
            <w:tcW w:w="4820" w:type="dxa"/>
            <w:vAlign w:val="bottom"/>
            <w:tcBorders>
              <w:bottom w:val="single" w:sz="8" w:color="auto"/>
              <w:right w:val="single" w:sz="8" w:color="auto"/>
            </w:tcBorders>
          </w:tcPr>
          <w:p>
            <w:pPr>
              <w:spacing w:after="0"/>
              <w:rPr>
                <w:sz w:val="16"/>
                <w:szCs w:val="16"/>
                <w:color w:val="auto"/>
              </w:rPr>
            </w:pPr>
          </w:p>
        </w:tc>
      </w:tr>
    </w:tbl>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above-listed shares are hereby surrendered in exchange for consolidated common shares of CYBN on the basis of thirty eight (38) old common shares of CYBN for one (1) post-consolidated share of CYBN. CYBN will not issue any fractional common shares as a result of the consolidation. If, as a result of the consolidation, the shareholder would otherwise be entitled to a fractional post-consolidation common share, such fractional post-consolidation common share that is less than 1/2 of one post-consolidation common share will be cancelled and each fractional post-consolidation common share that is at least 1/2 of one post-consolidation common share will be rounded up to one whole post-consolidation common share.</w:t>
      </w:r>
    </w:p>
    <w:p>
      <w:pPr>
        <w:spacing w:after="0" w:line="165" w:lineRule="exact"/>
        <w:rPr>
          <w:sz w:val="20"/>
          <w:szCs w:val="20"/>
          <w:color w:val="auto"/>
        </w:rPr>
      </w:pPr>
    </w:p>
    <w:p>
      <w:pPr>
        <w:jc w:val="both"/>
        <w:ind w:right="20"/>
        <w:spacing w:after="0" w:line="292" w:lineRule="auto"/>
        <w:rPr>
          <w:sz w:val="20"/>
          <w:szCs w:val="20"/>
          <w:color w:val="auto"/>
        </w:rPr>
      </w:pPr>
      <w:r>
        <w:rPr>
          <w:rFonts w:ascii="Arial" w:cs="Arial" w:eastAsia="Arial" w:hAnsi="Arial"/>
          <w:sz w:val="12"/>
          <w:szCs w:val="12"/>
          <w:color w:val="auto"/>
        </w:rPr>
        <w:t>The undersigned authorizes and directs Odyssey Trust Company to issue a Direct Registration System (“</w:t>
      </w:r>
      <w:r>
        <w:rPr>
          <w:rFonts w:ascii="Arial" w:cs="Arial" w:eastAsia="Arial" w:hAnsi="Arial"/>
          <w:sz w:val="12"/>
          <w:szCs w:val="12"/>
          <w:b w:val="1"/>
          <w:bCs w:val="1"/>
          <w:color w:val="auto"/>
        </w:rPr>
        <w:t>DRS</w:t>
      </w:r>
      <w:r>
        <w:rPr>
          <w:rFonts w:ascii="Arial" w:cs="Arial" w:eastAsia="Arial" w:hAnsi="Arial"/>
          <w:sz w:val="12"/>
          <w:szCs w:val="12"/>
          <w:color w:val="auto"/>
        </w:rPr>
        <w:t>”) statement for the consolidated common shares to which the undersigned is entitled as indicated below and to e-mail such advice to the e-mail address indicated below or, if no instructions are given, in the name and to the address if any, of the undersigned as it appears on the share register maintained by Odyssey Trust Company. In the event that a DRS statement is not available, a CYBN stock certificate will be issued and mailed to the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040245" cy="707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245" cy="707390"/>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1"/>
          <w:szCs w:val="11"/>
          <w:color w:val="auto"/>
        </w:rPr>
        <w:t xml:space="preserve">To be registered in the name of </w:t>
      </w:r>
      <w:r>
        <w:rPr>
          <w:rFonts w:ascii="Arial" w:cs="Arial" w:eastAsia="Arial" w:hAnsi="Arial"/>
          <w:sz w:val="11"/>
          <w:szCs w:val="11"/>
          <w:b w:val="1"/>
          <w:bCs w:val="1"/>
          <w:color w:val="auto"/>
        </w:rPr>
        <w:t>(please print)</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1"/>
          <w:szCs w:val="11"/>
          <w:color w:val="auto"/>
        </w:rPr>
        <w:t xml:space="preserve">Name of authorized representative </w:t>
      </w:r>
      <w:r>
        <w:rPr>
          <w:rFonts w:ascii="Arial" w:cs="Arial" w:eastAsia="Arial" w:hAnsi="Arial"/>
          <w:sz w:val="11"/>
          <w:szCs w:val="11"/>
          <w:b w:val="1"/>
          <w:bCs w:val="1"/>
          <w:color w:val="auto"/>
        </w:rPr>
        <w:t>(if applicable)</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Address</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City Province Postal Code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1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Telephone</w:t>
            </w:r>
          </w:p>
        </w:tc>
        <w:tc>
          <w:tcPr>
            <w:tcW w:w="48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E-mail (*)</w:t>
            </w:r>
          </w:p>
        </w:tc>
        <w:tc>
          <w:tcPr>
            <w:tcW w:w="3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SIN / TIN</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 By providing an email address, the undersigned consents to electronic delivery by the Transfer Agent.</w:t>
      </w:r>
    </w:p>
    <w:p>
      <w:pPr>
        <w:spacing w:after="0" w:line="10" w:lineRule="exact"/>
        <w:rPr>
          <w:sz w:val="20"/>
          <w:szCs w:val="20"/>
          <w:color w:val="auto"/>
        </w:rPr>
      </w:pPr>
    </w:p>
    <w:p>
      <w:pPr>
        <w:ind w:left="180" w:hanging="175"/>
        <w:spacing w:after="0"/>
        <w:tabs>
          <w:tab w:leader="none" w:pos="180" w:val="left"/>
        </w:tabs>
        <w:numPr>
          <w:ilvl w:val="0"/>
          <w:numId w:val="1"/>
        </w:numPr>
        <w:rPr>
          <w:rFonts w:ascii="Times New Roman" w:cs="Times New Roman" w:eastAsia="Times New Roman" w:hAnsi="Times New Roman"/>
          <w:sz w:val="20"/>
          <w:szCs w:val="20"/>
          <w:b w:val="1"/>
          <w:bCs w:val="1"/>
          <w:color w:val="auto"/>
        </w:rPr>
      </w:pPr>
      <w:r>
        <w:rPr>
          <w:rFonts w:ascii="Arial" w:cs="Arial" w:eastAsia="Arial" w:hAnsi="Arial"/>
          <w:sz w:val="11"/>
          <w:szCs w:val="11"/>
          <w:b w:val="1"/>
          <w:bCs w:val="1"/>
          <w:color w:val="auto"/>
        </w:rPr>
        <w:t>Please issue a physical share certificate instead of a DRS statement</w:t>
      </w:r>
    </w:p>
    <w:p>
      <w:pPr>
        <w:spacing w:after="0" w:line="185" w:lineRule="exact"/>
        <w:rPr>
          <w:sz w:val="20"/>
          <w:szCs w:val="20"/>
          <w:color w:val="auto"/>
        </w:rPr>
      </w:pPr>
    </w:p>
    <w:p>
      <w:pPr>
        <w:spacing w:after="0"/>
        <w:tabs>
          <w:tab w:leader="none" w:pos="3160" w:val="left"/>
        </w:tabs>
        <w:rPr>
          <w:sz w:val="20"/>
          <w:szCs w:val="20"/>
          <w:color w:val="auto"/>
        </w:rPr>
      </w:pPr>
      <w:r>
        <w:rPr>
          <w:rFonts w:ascii="Arial" w:cs="Arial" w:eastAsia="Arial" w:hAnsi="Arial"/>
          <w:sz w:val="11"/>
          <w:szCs w:val="11"/>
          <w:color w:val="auto"/>
        </w:rPr>
        <w:t xml:space="preserve">Date: </w:t>
      </w:r>
      <w:r>
        <w:rPr>
          <w:rFonts w:ascii="Arial" w:cs="Arial" w:eastAsia="Arial" w:hAnsi="Arial"/>
          <w:sz w:val="15"/>
          <w:szCs w:val="15"/>
          <w:color w:val="auto"/>
        </w:rPr>
        <w:t>___________________________</w:t>
      </w:r>
      <w:r>
        <w:rPr>
          <w:sz w:val="20"/>
          <w:szCs w:val="20"/>
          <w:color w:val="auto"/>
        </w:rPr>
        <w:tab/>
      </w:r>
      <w:r>
        <w:rPr>
          <w:rFonts w:ascii="Arial" w:cs="Arial" w:eastAsia="Arial" w:hAnsi="Arial"/>
          <w:sz w:val="14"/>
          <w:szCs w:val="14"/>
          <w:color w:val="auto"/>
        </w:rPr>
        <w:t>__________________________________________</w:t>
      </w:r>
    </w:p>
    <w:p>
      <w:pPr>
        <w:spacing w:after="0" w:line="61"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Signature of Shareholder(s) or Authorized Representative</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11"/>
          <w:szCs w:val="11"/>
          <w:i w:val="1"/>
          <w:iCs w:val="1"/>
          <w:color w:val="auto"/>
        </w:rPr>
        <w:t>(See additional requirement for authorized representative under instruction 1d)</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 GUARANTEE</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(if required under Instruction 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6600825</wp:posOffset>
            </wp:positionH>
            <wp:positionV relativeFrom="paragraph">
              <wp:posOffset>78740</wp:posOffset>
            </wp:positionV>
            <wp:extent cx="159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385" cy="6985"/>
                    </a:xfrm>
                    <a:prstGeom prst="rect">
                      <a:avLst/>
                    </a:prstGeom>
                    <a:noFill/>
                  </pic:spPr>
                </pic:pic>
              </a:graphicData>
            </a:graphic>
          </wp:anchor>
        </w:drawing>
      </w:r>
    </w:p>
    <w:p>
      <w:pPr>
        <w:spacing w:after="0" w:line="119"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6600825</wp:posOffset>
            </wp:positionH>
            <wp:positionV relativeFrom="paragraph">
              <wp:posOffset>327660</wp:posOffset>
            </wp:positionV>
            <wp:extent cx="159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385" cy="698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Name of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6600825</wp:posOffset>
            </wp:positionH>
            <wp:positionV relativeFrom="paragraph">
              <wp:posOffset>327660</wp:posOffset>
            </wp:positionV>
            <wp:extent cx="1593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385" cy="698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Address / Telephone</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INSTRUCTIONS FOR COMPLETING THE LETTER OF TRANSMITTAL</w:t>
      </w:r>
    </w:p>
    <w:p>
      <w:pPr>
        <w:spacing w:after="0" w:line="395" w:lineRule="exact"/>
        <w:rPr>
          <w:sz w:val="20"/>
          <w:szCs w:val="20"/>
          <w:color w:val="auto"/>
        </w:rPr>
      </w:pPr>
    </w:p>
    <w:p>
      <w:pPr>
        <w:ind w:left="500" w:hanging="495"/>
        <w:spacing w:after="0"/>
        <w:tabs>
          <w:tab w:leader="none" w:pos="5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Use of Letter of Transmittal</w:t>
      </w:r>
    </w:p>
    <w:p>
      <w:pPr>
        <w:sectPr>
          <w:pgSz w:w="11900" w:h="16838" w:orient="portrait"/>
          <w:cols w:equalWidth="0" w:num="1">
            <w:col w:w="11160"/>
          </w:cols>
          <w:pgMar w:left="300" w:top="638" w:right="439" w:bottom="1440" w:gutter="0" w:footer="0" w:header="0"/>
        </w:sectPr>
      </w:pPr>
    </w:p>
    <w:bookmarkStart w:id="13" w:name="page14"/>
    <w:bookmarkEnd w:id="13"/>
    <w:p>
      <w:pPr>
        <w:ind w:left="260" w:right="420" w:hanging="255"/>
        <w:spacing w:after="0" w:line="271" w:lineRule="auto"/>
        <w:tabs>
          <w:tab w:leader="none" w:pos="25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Each shareholder holding share certificates </w:t>
      </w:r>
      <w:r>
        <w:rPr>
          <w:rFonts w:ascii="Arial" w:cs="Arial" w:eastAsia="Arial" w:hAnsi="Arial"/>
          <w:sz w:val="11"/>
          <w:szCs w:val="11"/>
          <w:u w:val="single" w:color="auto"/>
          <w:color w:val="auto"/>
        </w:rPr>
        <w:t>or DRS</w:t>
      </w:r>
      <w:r>
        <w:rPr>
          <w:rFonts w:ascii="Arial" w:cs="Arial" w:eastAsia="Arial" w:hAnsi="Arial"/>
          <w:sz w:val="11"/>
          <w:szCs w:val="11"/>
          <w:color w:val="auto"/>
        </w:rPr>
        <w:t xml:space="preserve"> of CYBN must send or deliver this Letter of Transmittal duly completed and signed together with the share certificates </w:t>
      </w:r>
      <w:r>
        <w:rPr>
          <w:rFonts w:ascii="Arial" w:cs="Arial" w:eastAsia="Arial" w:hAnsi="Arial"/>
          <w:sz w:val="11"/>
          <w:szCs w:val="11"/>
          <w:u w:val="single" w:color="auto"/>
          <w:color w:val="auto"/>
        </w:rPr>
        <w:t>or DRS</w:t>
      </w:r>
      <w:r>
        <w:rPr>
          <w:rFonts w:ascii="Arial" w:cs="Arial" w:eastAsia="Arial" w:hAnsi="Arial"/>
          <w:sz w:val="11"/>
          <w:szCs w:val="11"/>
          <w:color w:val="auto"/>
        </w:rPr>
        <w:t xml:space="preserve"> described herein to Odyssey Trust Company (“</w:t>
      </w:r>
      <w:r>
        <w:rPr>
          <w:rFonts w:ascii="Arial" w:cs="Arial" w:eastAsia="Arial" w:hAnsi="Arial"/>
          <w:sz w:val="11"/>
          <w:szCs w:val="11"/>
          <w:b w:val="1"/>
          <w:bCs w:val="1"/>
          <w:color w:val="auto"/>
        </w:rPr>
        <w:t>Odyssey</w:t>
      </w:r>
      <w:r>
        <w:rPr>
          <w:rFonts w:ascii="Arial" w:cs="Arial" w:eastAsia="Arial" w:hAnsi="Arial"/>
          <w:sz w:val="11"/>
          <w:szCs w:val="11"/>
          <w:color w:val="auto"/>
        </w:rPr>
        <w:t>”) at the office listed below. The method of delivery to Odyssey is at the option and risk of the shareholder, but if mail is used, registered mail is recommended.</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u w:val="single" w:color="auto"/>
          <w:color w:val="auto"/>
        </w:rPr>
        <w:t>Shares registered</w:t>
      </w:r>
      <w:r>
        <w:rPr>
          <w:rFonts w:ascii="Arial" w:cs="Arial" w:eastAsia="Arial" w:hAnsi="Arial"/>
          <w:sz w:val="11"/>
          <w:szCs w:val="11"/>
          <w:color w:val="auto"/>
        </w:rPr>
        <w:t xml:space="preserve"> in the name of the person by whom (or on whose behalf) the Letter of Transmittal is signed need not be endorsed or accompanied by any share transfer power of attorney.</w:t>
      </w:r>
    </w:p>
    <w:p>
      <w:pPr>
        <w:ind w:left="260" w:right="20" w:hanging="255"/>
        <w:spacing w:after="0" w:line="262" w:lineRule="auto"/>
        <w:tabs>
          <w:tab w:leader="none" w:pos="248" w:val="left"/>
        </w:tabs>
        <w:numPr>
          <w:ilvl w:val="0"/>
          <w:numId w:val="3"/>
        </w:numPr>
        <w:rPr>
          <w:rFonts w:ascii="Arial" w:cs="Arial" w:eastAsia="Arial" w:hAnsi="Arial"/>
          <w:sz w:val="11"/>
          <w:szCs w:val="11"/>
          <w:color w:val="auto"/>
        </w:rPr>
      </w:pPr>
      <w:r>
        <w:rPr>
          <w:rFonts w:ascii="Arial" w:cs="Arial" w:eastAsia="Arial" w:hAnsi="Arial"/>
          <w:sz w:val="11"/>
          <w:szCs w:val="11"/>
          <w:u w:val="single" w:color="auto"/>
          <w:color w:val="auto"/>
        </w:rPr>
        <w:t>Shares not registered</w:t>
      </w:r>
      <w:r>
        <w:rPr>
          <w:rFonts w:ascii="Arial" w:cs="Arial" w:eastAsia="Arial" w:hAnsi="Arial"/>
          <w:sz w:val="11"/>
          <w:szCs w:val="11"/>
          <w:color w:val="auto"/>
        </w:rPr>
        <w:t xml:space="preserve"> in the name of the person by whom (or on whose behalf) the Letter of Transmittal is signed must be endorsed by the registered holder thereof or deposited together with a share transfer power of attorney properly completed by the registered holder. Such signature must be guaranteed by an Eligible Institution or in some other manner satisfactory to Odyssey. An Eligible Institution means a Canadian schedule 1 chartered bank, a member of the Securities Transfer Agent Medallion Program (STAMP), a member of the Stock Exchanges Medallion Program (SEMP) or a member of the New York Stock Exchange Inc. Medallion Signature Program (MSP). Members of these programs are usually members of a recognized stock exchange in Canada and the United States, members of the Investment Industry Regulatory Organization of Canada, members of the Financial Industry Regulatory Authority or banks and trust companies in the United States. A signature guarantee will also be accepted from a Canadian Schedule 1 chartered bank that is not participating in a Medallion Signature Guarantee Program and makes available its list of authorized signing officers to the Transfer Agent. Currently, signature guarantees are accepted from Bank of Nova Scotia, Royal Bank of Canada and TD Bank.</w:t>
      </w:r>
    </w:p>
    <w:p>
      <w:pPr>
        <w:spacing w:after="0" w:line="126" w:lineRule="exact"/>
        <w:rPr>
          <w:rFonts w:ascii="Arial" w:cs="Arial" w:eastAsia="Arial" w:hAnsi="Arial"/>
          <w:sz w:val="11"/>
          <w:szCs w:val="11"/>
          <w:color w:val="auto"/>
        </w:rPr>
      </w:pPr>
    </w:p>
    <w:p>
      <w:pPr>
        <w:ind w:left="260" w:right="140" w:hanging="255"/>
        <w:spacing w:after="0" w:line="255" w:lineRule="auto"/>
        <w:tabs>
          <w:tab w:leader="none" w:pos="254" w:val="left"/>
        </w:tabs>
        <w:numPr>
          <w:ilvl w:val="0"/>
          <w:numId w:val="3"/>
        </w:numPr>
        <w:rPr>
          <w:rFonts w:ascii="Arial" w:cs="Arial" w:eastAsia="Arial" w:hAnsi="Arial"/>
          <w:sz w:val="11"/>
          <w:szCs w:val="11"/>
          <w:color w:val="auto"/>
        </w:rPr>
      </w:pPr>
      <w:r>
        <w:rPr>
          <w:rFonts w:ascii="Arial" w:cs="Arial" w:eastAsia="Arial" w:hAnsi="Arial"/>
          <w:sz w:val="11"/>
          <w:szCs w:val="11"/>
          <w:color w:val="auto"/>
        </w:rPr>
        <w:t>Where the Letter of Transmittal is executed on behalf of a corporation, partnership, association or by an agent, executor, administrator, trustee, guardian or any person acting in an authorized representative capacity, the Letter of Transmittal must be accompanied by satisfactory evidence of the representative’s authority to sign and dated within the last 6 months. Examples include extracts from the following documents: Corporate Resolution, LLC Agreement, Corporate Registry, Partnership Agreement or Trust Agreement.</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CYBN reserves the right if it so elects in its absolute discretion to instruct Odyssey to waive any defect or irregularity contained in any Letter of Transmittal received by it.</w:t>
      </w:r>
    </w:p>
    <w:p>
      <w:pPr>
        <w:spacing w:after="0" w:line="188" w:lineRule="exact"/>
        <w:rPr>
          <w:sz w:val="20"/>
          <w:szCs w:val="20"/>
          <w:color w:val="auto"/>
        </w:rPr>
      </w:pPr>
    </w:p>
    <w:p>
      <w:pPr>
        <w:ind w:left="500" w:hanging="495"/>
        <w:spacing w:after="0"/>
        <w:tabs>
          <w:tab w:leader="none" w:pos="5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Lost Share Certificates</w:t>
      </w:r>
    </w:p>
    <w:p>
      <w:pPr>
        <w:spacing w:after="0" w:line="20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If a share certificate has been lost or destroyed, the Letter of Transmittal must be completed as fully as possible and forwarded to Odyssey together with a letter stating the loss. Odyssey will respond with the replacement requirements, which must be properly completed and returned prior to effecting the exchange.</w:t>
      </w:r>
    </w:p>
    <w:p>
      <w:pPr>
        <w:spacing w:after="0" w:line="154" w:lineRule="exact"/>
        <w:rPr>
          <w:sz w:val="20"/>
          <w:szCs w:val="20"/>
          <w:color w:val="auto"/>
        </w:rPr>
      </w:pPr>
    </w:p>
    <w:p>
      <w:pPr>
        <w:ind w:left="500" w:hanging="495"/>
        <w:spacing w:after="0"/>
        <w:tabs>
          <w:tab w:leader="none" w:pos="5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20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Additional copies of the Letter of Transmittal may be obtained from Odyssey at the office listed below. Any questions should be directed Odyssey by e-mail to corp.actions@odysseytrust.com. Enclose all certificates in the envelope provided and send it with the completed form to Odyssey.</w:t>
      </w:r>
    </w:p>
    <w:p>
      <w:pPr>
        <w:spacing w:after="0" w:line="158"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1"/>
          <w:szCs w:val="11"/>
          <w:color w:val="auto"/>
        </w:rPr>
        <w:t>By Mail:</w:t>
      </w:r>
      <w:r>
        <w:rPr>
          <w:sz w:val="20"/>
          <w:szCs w:val="20"/>
          <w:color w:val="auto"/>
        </w:rPr>
        <w:tab/>
      </w:r>
      <w:r>
        <w:rPr>
          <w:rFonts w:ascii="Arial" w:cs="Arial" w:eastAsia="Arial" w:hAnsi="Arial"/>
          <w:sz w:val="11"/>
          <w:szCs w:val="11"/>
          <w:color w:val="auto"/>
        </w:rPr>
        <w:t>Trader’s Bank Building</w:t>
      </w:r>
    </w:p>
    <w:p>
      <w:pPr>
        <w:spacing w:after="0" w:line="21"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1"/>
          <w:szCs w:val="11"/>
          <w:color w:val="auto"/>
        </w:rPr>
        <w:t>Hand or Courier</w:t>
        <w:tab/>
        <w:t>702 – 67 Yonge St</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Toronto, ON M5E 1J8</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Attn: Corporate Actions</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1"/>
          <w:szCs w:val="11"/>
          <w:b w:val="1"/>
          <w:bCs w:val="1"/>
          <w:color w:val="auto"/>
        </w:rPr>
        <w:t xml:space="preserve">Privacy Notice: </w:t>
      </w:r>
      <w:r>
        <w:rPr>
          <w:rFonts w:ascii="Arial" w:cs="Arial" w:eastAsia="Arial" w:hAnsi="Arial"/>
          <w:sz w:val="11"/>
          <w:szCs w:val="11"/>
          <w:color w:val="auto"/>
        </w:rPr>
        <w:t>At Odyssey Trust Company, we take your privacy seriously. When providing services to you, we receive non-public, personal information about you. We receive this information through transactions we perform</w:t>
      </w:r>
      <w:r>
        <w:rPr>
          <w:rFonts w:ascii="Arial" w:cs="Arial" w:eastAsia="Arial" w:hAnsi="Arial"/>
          <w:sz w:val="11"/>
          <w:szCs w:val="11"/>
          <w:b w:val="1"/>
          <w:bCs w:val="1"/>
          <w:color w:val="auto"/>
        </w:rPr>
        <w:t xml:space="preserve"> </w:t>
      </w:r>
      <w:r>
        <w:rPr>
          <w:rFonts w:ascii="Arial" w:cs="Arial" w:eastAsia="Arial" w:hAnsi="Arial"/>
          <w:sz w:val="11"/>
          <w:szCs w:val="11"/>
          <w:color w:val="auto"/>
        </w:rPr>
        <w:t>for you or an issuer in which you hold securities, from enrolment forms and through other communications with you. We may also receive information about you by virtue of your transactions with affiliates of Odyssey Trust Company or other parties. This information may include your name, social insurance number, securities ownership information and other financial information. With respect to both current and former customers, Odyssey Trust Company does not share non-public personal information with any non-affiliated third party except as necessary to process a transaction, service your account or as permitted by law. Our affiliates and outside service providers with whom we share information are legally bound not to disclose the information in any manner, unless permitted by law or other governmental process. We strive to restrict access to your personal information to those employees who need to know the information to provide our services to you, and we maintain physical, electronic and procedural safeguards to protect your personal information. Odyssey Trust Company realizes that you entrust us with confidential personal and financial information and we take that trust very seriously. By providing your personal information to us and signing this form, we will assume, unless we hear from you to the contrary, that you have consented and are consenting to this use and disclosure. A complete copy of our Privacy Code may be accessed at www.odysseytrust.com, or you may request a copy in writing Attn: Chief Privacy Officer, Odyssey Trust Company at 350 – 409 Granville St, Vancouver, BC, V6C 1T2.</w:t>
      </w:r>
    </w:p>
    <w:sectPr>
      <w:pgSz w:w="11900" w:h="16838" w:orient="portrait"/>
      <w:cols w:equalWidth="0" w:num="1">
        <w:col w:w="11280"/>
      </w:cols>
      <w:pgMar w:left="300" w:top="6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2024-09-20T05:10:17Z</dcterms:created>
  <dcterms:modified xsi:type="dcterms:W3CDTF">2024-09-20T05:10:17Z</dcterms:modified>
</cp:coreProperties>
</file>