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 No. 333-272706</w:t>
      </w:r>
    </w:p>
    <w:p>
      <w:pPr>
        <w:spacing w:after="0" w:line="188" w:lineRule="exact"/>
        <w:rPr>
          <w:sz w:val="24"/>
          <w:szCs w:val="24"/>
          <w:color w:val="auto"/>
        </w:rPr>
      </w:pPr>
    </w:p>
    <w:p>
      <w:pPr>
        <w:jc w:val="both"/>
        <w:spacing w:after="0" w:line="279" w:lineRule="auto"/>
        <w:rPr>
          <w:sz w:val="20"/>
          <w:szCs w:val="20"/>
          <w:color w:val="auto"/>
        </w:rPr>
      </w:pPr>
      <w:r>
        <w:rPr>
          <w:rFonts w:ascii="Arial" w:cs="Arial" w:eastAsia="Arial" w:hAnsi="Arial"/>
          <w:sz w:val="19"/>
          <w:szCs w:val="19"/>
          <w:i w:val="1"/>
          <w:iCs w:val="1"/>
          <w:color w:val="auto"/>
        </w:rPr>
        <w:t>This prospectus supplement (the "</w:t>
      </w:r>
      <w:r>
        <w:rPr>
          <w:rFonts w:ascii="Arial" w:cs="Arial" w:eastAsia="Arial" w:hAnsi="Arial"/>
          <w:sz w:val="19"/>
          <w:szCs w:val="19"/>
          <w:b w:val="1"/>
          <w:bCs w:val="1"/>
          <w:i w:val="1"/>
          <w:iCs w:val="1"/>
          <w:color w:val="auto"/>
        </w:rPr>
        <w:t>Prospectus Supplement</w:t>
      </w:r>
      <w:r>
        <w:rPr>
          <w:rFonts w:ascii="Arial" w:cs="Arial" w:eastAsia="Arial" w:hAnsi="Arial"/>
          <w:sz w:val="19"/>
          <w:szCs w:val="19"/>
          <w:i w:val="1"/>
          <w:iCs w:val="1"/>
          <w:color w:val="auto"/>
        </w:rPr>
        <w:t>"), together with the short form base shelf prospectus dated August 17, 2023 to which it relates, as amended or supplemented (the "</w:t>
      </w:r>
      <w:r>
        <w:rPr>
          <w:rFonts w:ascii="Arial" w:cs="Arial" w:eastAsia="Arial" w:hAnsi="Arial"/>
          <w:sz w:val="19"/>
          <w:szCs w:val="19"/>
          <w:b w:val="1"/>
          <w:bCs w:val="1"/>
          <w:i w:val="1"/>
          <w:iCs w:val="1"/>
          <w:color w:val="auto"/>
        </w:rPr>
        <w:t>Base Shelf Prospectus</w:t>
      </w:r>
      <w:r>
        <w:rPr>
          <w:rFonts w:ascii="Arial" w:cs="Arial" w:eastAsia="Arial" w:hAnsi="Arial"/>
          <w:sz w:val="19"/>
          <w:szCs w:val="19"/>
          <w:i w:val="1"/>
          <w:iCs w:val="1"/>
          <w:color w:val="auto"/>
        </w:rPr>
        <w:t>"), and each document deemed to be incorporated by reference into this Prospectus Supplement and the Base Shelf Prospectus, as amended or supplemented (collectively, the "</w:t>
      </w:r>
      <w:r>
        <w:rPr>
          <w:rFonts w:ascii="Arial" w:cs="Arial" w:eastAsia="Arial" w:hAnsi="Arial"/>
          <w:sz w:val="19"/>
          <w:szCs w:val="19"/>
          <w:b w:val="1"/>
          <w:bCs w:val="1"/>
          <w:i w:val="1"/>
          <w:iCs w:val="1"/>
          <w:color w:val="auto"/>
        </w:rPr>
        <w:t>Prospectus</w:t>
      </w:r>
      <w:r>
        <w:rPr>
          <w:rFonts w:ascii="Arial" w:cs="Arial" w:eastAsia="Arial" w:hAnsi="Arial"/>
          <w:sz w:val="19"/>
          <w:szCs w:val="19"/>
          <w:i w:val="1"/>
          <w:iCs w:val="1"/>
          <w:color w:val="auto"/>
        </w:rPr>
        <w:t xml:space="preserve">"), constitutes a public offering of these securities only in those jurisdictions where they may be lawfully offered for sale and only by persons permitted to sell such securities. </w:t>
      </w:r>
      <w:r>
        <w:rPr>
          <w:rFonts w:ascii="Arial" w:cs="Arial" w:eastAsia="Arial" w:hAnsi="Arial"/>
          <w:sz w:val="19"/>
          <w:szCs w:val="19"/>
          <w:b w:val="1"/>
          <w:bCs w:val="1"/>
          <w:i w:val="1"/>
          <w:iCs w:val="1"/>
          <w:color w:val="auto"/>
        </w:rPr>
        <w:t>No securities regulatory authority has expressed</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an opinion about these securities and it is an offence to claim otherwise.</w:t>
      </w:r>
    </w:p>
    <w:p>
      <w:pPr>
        <w:spacing w:after="0" w:line="150" w:lineRule="exact"/>
        <w:rPr>
          <w:sz w:val="24"/>
          <w:szCs w:val="24"/>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 xml:space="preserve">Information has been incorporated by reference in the Prospectus from documents filed with securities commissions or similar authorities in Canada. </w:t>
      </w:r>
      <w:r>
        <w:rPr>
          <w:rFonts w:ascii="Arial" w:cs="Arial" w:eastAsia="Arial" w:hAnsi="Arial"/>
          <w:sz w:val="19"/>
          <w:szCs w:val="19"/>
          <w:i w:val="1"/>
          <w:iCs w:val="1"/>
          <w:color w:val="auto"/>
        </w:rPr>
        <w:t>Copies of the documents incorporated herein by reference may be obtained on request without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charge from the Secretary of Cybin Inc. at 100 King Street West, Suite 5600, Toronto, Ontario M5X 1C9, telephone 1-866-292-4601, and are also available electronically at </w:t>
      </w:r>
      <w:r>
        <w:rPr>
          <w:rFonts w:ascii="Arial" w:cs="Arial" w:eastAsia="Arial" w:hAnsi="Arial"/>
          <w:sz w:val="19"/>
          <w:szCs w:val="19"/>
          <w:i w:val="1"/>
          <w:iCs w:val="1"/>
          <w:u w:val="single" w:color="auto"/>
          <w:color w:val="0563C1"/>
        </w:rPr>
        <w:t>www.sedar.com</w:t>
      </w:r>
      <w:r>
        <w:rPr>
          <w:rFonts w:ascii="Arial" w:cs="Arial" w:eastAsia="Arial" w:hAnsi="Arial"/>
          <w:sz w:val="19"/>
          <w:szCs w:val="19"/>
          <w:i w:val="1"/>
          <w:iCs w:val="1"/>
          <w:color w:val="auto"/>
        </w:rPr>
        <w:t xml:space="preserve"> and </w:t>
      </w:r>
      <w:r>
        <w:rPr>
          <w:rFonts w:ascii="Arial" w:cs="Arial" w:eastAsia="Arial" w:hAnsi="Arial"/>
          <w:sz w:val="19"/>
          <w:szCs w:val="19"/>
          <w:i w:val="1"/>
          <w:iCs w:val="1"/>
          <w:u w:val="single" w:color="auto"/>
          <w:color w:val="0563C1"/>
        </w:rPr>
        <w:t>wwspecialw.sec.gov/edgar</w:t>
      </w:r>
      <w:r>
        <w:rPr>
          <w:rFonts w:ascii="Arial" w:cs="Arial" w:eastAsia="Arial" w:hAnsi="Arial"/>
          <w:sz w:val="19"/>
          <w:szCs w:val="19"/>
          <w:i w:val="1"/>
          <w:iCs w:val="1"/>
          <w:color w:val="auto"/>
        </w:rPr>
        <w:t>.</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THE SHORT FORM BASE SHELF PROSPECTUS DATED AUGUST 17, 2023</w:t>
      </w:r>
    </w:p>
    <w:p>
      <w:pPr>
        <w:spacing w:after="0" w:line="195" w:lineRule="exact"/>
        <w:rPr>
          <w:sz w:val="24"/>
          <w:szCs w:val="24"/>
          <w:color w:val="auto"/>
        </w:rPr>
      </w:pPr>
    </w:p>
    <w:p>
      <w:pPr>
        <w:spacing w:after="0"/>
        <w:tabs>
          <w:tab w:leader="none" w:pos="10020" w:val="left"/>
        </w:tabs>
        <w:rPr>
          <w:sz w:val="20"/>
          <w:szCs w:val="20"/>
          <w:color w:val="auto"/>
        </w:rPr>
      </w:pPr>
      <w:r>
        <w:rPr>
          <w:rFonts w:ascii="Arial" w:cs="Arial" w:eastAsia="Arial" w:hAnsi="Arial"/>
          <w:sz w:val="18"/>
          <w:szCs w:val="18"/>
          <w:i w:val="1"/>
          <w:iCs w:val="1"/>
          <w:u w:val="single" w:color="auto"/>
          <w:color w:val="auto"/>
        </w:rPr>
        <w:t>New Issue</w:t>
      </w:r>
      <w:r>
        <w:rPr>
          <w:sz w:val="20"/>
          <w:szCs w:val="20"/>
          <w:color w:val="auto"/>
        </w:rPr>
        <w:tab/>
      </w:r>
      <w:r>
        <w:rPr>
          <w:rFonts w:ascii="Arial" w:cs="Arial" w:eastAsia="Arial" w:hAnsi="Arial"/>
          <w:sz w:val="16"/>
          <w:szCs w:val="16"/>
          <w:color w:val="auto"/>
        </w:rPr>
        <w:t>August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306070</wp:posOffset>
            </wp:positionV>
            <wp:extent cx="1405890"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24,264,706 Common Shares</w:t>
      </w:r>
    </w:p>
    <w:p>
      <w:pPr>
        <w:spacing w:after="0" w:line="206" w:lineRule="exact"/>
        <w:rPr>
          <w:sz w:val="24"/>
          <w:szCs w:val="24"/>
          <w:color w:val="auto"/>
        </w:rPr>
      </w:pPr>
    </w:p>
    <w:p>
      <w:pPr>
        <w:jc w:val="both"/>
        <w:spacing w:after="0" w:line="275" w:lineRule="auto"/>
        <w:rPr>
          <w:sz w:val="20"/>
          <w:szCs w:val="20"/>
          <w:color w:val="auto"/>
        </w:rPr>
      </w:pPr>
      <w:r>
        <w:rPr>
          <w:rFonts w:ascii="Arial" w:cs="Arial" w:eastAsia="Arial" w:hAnsi="Arial"/>
          <w:sz w:val="19"/>
          <w:szCs w:val="19"/>
          <w:color w:val="auto"/>
        </w:rPr>
        <w:t>This Prospectus Supplement to the Base Shelf Prospectus of Cybin Inc.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Corporation</w:t>
      </w:r>
      <w:r>
        <w:rPr>
          <w:rFonts w:ascii="Arial" w:cs="Arial" w:eastAsia="Arial" w:hAnsi="Arial"/>
          <w:sz w:val="19"/>
          <w:szCs w:val="19"/>
          <w:color w:val="auto"/>
        </w:rPr>
        <w:t>") relates to: (i) 24,264,706 common shares of Cybin (the "</w:t>
      </w:r>
      <w:r>
        <w:rPr>
          <w:rFonts w:ascii="Arial" w:cs="Arial" w:eastAsia="Arial" w:hAnsi="Arial"/>
          <w:sz w:val="19"/>
          <w:szCs w:val="19"/>
          <w:b w:val="1"/>
          <w:bCs w:val="1"/>
          <w:color w:val="auto"/>
        </w:rPr>
        <w:t>Warrant Shares</w:t>
      </w:r>
      <w:r>
        <w:rPr>
          <w:rFonts w:ascii="Arial" w:cs="Arial" w:eastAsia="Arial" w:hAnsi="Arial"/>
          <w:sz w:val="19"/>
          <w:szCs w:val="19"/>
          <w:color w:val="auto"/>
        </w:rPr>
        <w:t>"), issuable from time to time upon the exercise of 24,264,706 common share purchase warrants (the "</w:t>
      </w:r>
      <w:r>
        <w:rPr>
          <w:rFonts w:ascii="Arial" w:cs="Arial" w:eastAsia="Arial" w:hAnsi="Arial"/>
          <w:sz w:val="19"/>
          <w:szCs w:val="19"/>
          <w:b w:val="1"/>
          <w:bCs w:val="1"/>
          <w:color w:val="auto"/>
        </w:rPr>
        <w:t>Warrants</w:t>
      </w:r>
      <w:r>
        <w:rPr>
          <w:rFonts w:ascii="Arial" w:cs="Arial" w:eastAsia="Arial" w:hAnsi="Arial"/>
          <w:sz w:val="19"/>
          <w:szCs w:val="19"/>
          <w:color w:val="auto"/>
        </w:rPr>
        <w:t>") expected to be issued by the Corporation pursuant to the Unit Offering (defined below); and</w:t>
      </w:r>
    </w:p>
    <w:p>
      <w:pPr>
        <w:spacing w:after="0" w:line="2" w:lineRule="exact"/>
        <w:rPr>
          <w:sz w:val="24"/>
          <w:szCs w:val="24"/>
          <w:color w:val="auto"/>
        </w:rPr>
      </w:pPr>
    </w:p>
    <w:p>
      <w:pPr>
        <w:jc w:val="both"/>
        <w:ind w:firstLine="8"/>
        <w:spacing w:after="0" w:line="234" w:lineRule="auto"/>
        <w:tabs>
          <w:tab w:leader="none" w:pos="348" w:val="left"/>
        </w:tabs>
        <w:numPr>
          <w:ilvl w:val="0"/>
          <w:numId w:val="1"/>
        </w:numPr>
        <w:rPr>
          <w:rFonts w:ascii="Arial" w:cs="Arial" w:eastAsia="Arial" w:hAnsi="Arial"/>
          <w:sz w:val="22"/>
          <w:szCs w:val="22"/>
          <w:color w:val="auto"/>
        </w:rPr>
      </w:pPr>
      <w:r>
        <w:rPr>
          <w:rFonts w:ascii="Arial" w:cs="Arial" w:eastAsia="Arial" w:hAnsi="Arial"/>
          <w:sz w:val="22"/>
          <w:szCs w:val="22"/>
          <w:color w:val="auto"/>
        </w:rPr>
        <w:t>such indeterminate number of additional Warrant Shares (the "</w:t>
      </w:r>
      <w:r>
        <w:rPr>
          <w:rFonts w:ascii="Arial" w:cs="Arial" w:eastAsia="Arial" w:hAnsi="Arial"/>
          <w:sz w:val="22"/>
          <w:szCs w:val="22"/>
          <w:b w:val="1"/>
          <w:bCs w:val="1"/>
          <w:color w:val="auto"/>
        </w:rPr>
        <w:t>Anti-Dilution Warrant Shares</w:t>
      </w:r>
      <w:r>
        <w:rPr>
          <w:rFonts w:ascii="Arial" w:cs="Arial" w:eastAsia="Arial" w:hAnsi="Arial"/>
          <w:sz w:val="22"/>
          <w:szCs w:val="22"/>
          <w:color w:val="auto"/>
        </w:rPr>
        <w:t>") that may be issuable by reason of the anti-dilution provisions contained in a warrant indenture (the "</w:t>
      </w:r>
      <w:r>
        <w:rPr>
          <w:rFonts w:ascii="Arial" w:cs="Arial" w:eastAsia="Arial" w:hAnsi="Arial"/>
          <w:sz w:val="22"/>
          <w:szCs w:val="22"/>
          <w:b w:val="1"/>
          <w:bCs w:val="1"/>
          <w:color w:val="auto"/>
        </w:rPr>
        <w:t>Warrant Indenture</w:t>
      </w:r>
      <w:r>
        <w:rPr>
          <w:rFonts w:ascii="Arial" w:cs="Arial" w:eastAsia="Arial" w:hAnsi="Arial"/>
          <w:sz w:val="22"/>
          <w:szCs w:val="22"/>
          <w:color w:val="auto"/>
        </w:rPr>
        <w:t>") to be entered into between the Corporation and Odyssey Trust Company (the "</w:t>
      </w:r>
      <w:r>
        <w:rPr>
          <w:rFonts w:ascii="Arial" w:cs="Arial" w:eastAsia="Arial" w:hAnsi="Arial"/>
          <w:sz w:val="22"/>
          <w:szCs w:val="22"/>
          <w:b w:val="1"/>
          <w:bCs w:val="1"/>
          <w:color w:val="auto"/>
        </w:rPr>
        <w:t>Warrant Agent</w:t>
      </w:r>
      <w:r>
        <w:rPr>
          <w:rFonts w:ascii="Arial" w:cs="Arial" w:eastAsia="Arial" w:hAnsi="Arial"/>
          <w:sz w:val="22"/>
          <w:szCs w:val="22"/>
          <w:color w:val="auto"/>
        </w:rPr>
        <w:t>") (the "</w:t>
      </w:r>
      <w:r>
        <w:rPr>
          <w:rFonts w:ascii="Arial" w:cs="Arial" w:eastAsia="Arial" w:hAnsi="Arial"/>
          <w:sz w:val="22"/>
          <w:szCs w:val="22"/>
          <w:b w:val="1"/>
          <w:bCs w:val="1"/>
          <w:color w:val="auto"/>
        </w:rPr>
        <w:t>Offering</w:t>
      </w:r>
      <w:r>
        <w:rPr>
          <w:rFonts w:ascii="Arial" w:cs="Arial" w:eastAsia="Arial" w:hAnsi="Arial"/>
          <w:sz w:val="22"/>
          <w:szCs w:val="22"/>
          <w:color w:val="auto"/>
        </w:rPr>
        <w:t>").</w:t>
      </w:r>
    </w:p>
    <w:p>
      <w:pPr>
        <w:spacing w:after="0" w:line="187" w:lineRule="exact"/>
        <w:rPr>
          <w:sz w:val="24"/>
          <w:szCs w:val="24"/>
          <w:color w:val="auto"/>
        </w:rPr>
      </w:pPr>
    </w:p>
    <w:p>
      <w:pPr>
        <w:jc w:val="both"/>
        <w:spacing w:after="0" w:line="272" w:lineRule="auto"/>
        <w:rPr>
          <w:sz w:val="20"/>
          <w:szCs w:val="20"/>
          <w:color w:val="auto"/>
        </w:rPr>
      </w:pPr>
      <w:r>
        <w:rPr>
          <w:rFonts w:ascii="Arial" w:cs="Arial" w:eastAsia="Arial" w:hAnsi="Arial"/>
          <w:sz w:val="19"/>
          <w:szCs w:val="19"/>
          <w:color w:val="auto"/>
        </w:rPr>
        <w:t>The Corporation filed a preliminary prospectus supplement dated July 31, 2023 and a final prospectus supplement dated August 1, 2023 (the "</w:t>
      </w:r>
      <w:r>
        <w:rPr>
          <w:rFonts w:ascii="Arial" w:cs="Arial" w:eastAsia="Arial" w:hAnsi="Arial"/>
          <w:sz w:val="19"/>
          <w:szCs w:val="19"/>
          <w:b w:val="1"/>
          <w:bCs w:val="1"/>
          <w:color w:val="auto"/>
        </w:rPr>
        <w:t>Former Canadian Unit Supplement</w:t>
      </w:r>
      <w:r>
        <w:rPr>
          <w:rFonts w:ascii="Arial" w:cs="Arial" w:eastAsia="Arial" w:hAnsi="Arial"/>
          <w:sz w:val="19"/>
          <w:szCs w:val="19"/>
          <w:color w:val="auto"/>
        </w:rPr>
        <w:t>") to its short form base shelf prospectus dated July 5, 2021 (the "</w:t>
      </w:r>
      <w:r>
        <w:rPr>
          <w:rFonts w:ascii="Arial" w:cs="Arial" w:eastAsia="Arial" w:hAnsi="Arial"/>
          <w:sz w:val="19"/>
          <w:szCs w:val="19"/>
          <w:b w:val="1"/>
          <w:bCs w:val="1"/>
          <w:color w:val="auto"/>
        </w:rPr>
        <w:t>2021 Base</w:t>
      </w:r>
      <w:r>
        <w:rPr>
          <w:rFonts w:ascii="Arial" w:cs="Arial" w:eastAsia="Arial" w:hAnsi="Arial"/>
          <w:sz w:val="19"/>
          <w:szCs w:val="19"/>
          <w:color w:val="auto"/>
        </w:rPr>
        <w:t xml:space="preserve"> </w:t>
      </w:r>
      <w:r>
        <w:rPr>
          <w:rFonts w:ascii="Arial" w:cs="Arial" w:eastAsia="Arial" w:hAnsi="Arial"/>
          <w:sz w:val="19"/>
          <w:szCs w:val="19"/>
          <w:b w:val="1"/>
          <w:bCs w:val="1"/>
          <w:color w:val="auto"/>
        </w:rPr>
        <w:t>Shelf</w:t>
      </w:r>
      <w:r>
        <w:rPr>
          <w:rFonts w:ascii="Arial" w:cs="Arial" w:eastAsia="Arial" w:hAnsi="Arial"/>
          <w:sz w:val="19"/>
          <w:szCs w:val="19"/>
          <w:color w:val="auto"/>
        </w:rPr>
        <w:t>"), with the securities commission or similar regulatory authority in each of the provinces of Canada, other than Québec,</w:t>
      </w:r>
      <w:r>
        <w:rPr>
          <w:rFonts w:ascii="Arial" w:cs="Arial" w:eastAsia="Arial" w:hAnsi="Arial"/>
          <w:sz w:val="19"/>
          <w:szCs w:val="19"/>
          <w:b w:val="1"/>
          <w:bCs w:val="1"/>
          <w:color w:val="auto"/>
        </w:rPr>
        <w:t xml:space="preserve"> </w:t>
      </w:r>
      <w:r>
        <w:rPr>
          <w:rFonts w:ascii="Arial" w:cs="Arial" w:eastAsia="Arial" w:hAnsi="Arial"/>
          <w:sz w:val="19"/>
          <w:szCs w:val="19"/>
          <w:color w:val="auto"/>
        </w:rPr>
        <w:t>and in connection therewith a preliminary prospectus supplement dated July 31, 2023 and a final prospectus supplement dated August 1, 2023 (the "</w:t>
      </w:r>
      <w:r>
        <w:rPr>
          <w:rFonts w:ascii="Arial" w:cs="Arial" w:eastAsia="Arial" w:hAnsi="Arial"/>
          <w:sz w:val="19"/>
          <w:szCs w:val="19"/>
          <w:b w:val="1"/>
          <w:bCs w:val="1"/>
          <w:color w:val="auto"/>
        </w:rPr>
        <w:t>Former US Unit Supplement</w:t>
      </w:r>
      <w:r>
        <w:rPr>
          <w:rFonts w:ascii="Arial" w:cs="Arial" w:eastAsia="Arial" w:hAnsi="Arial"/>
          <w:sz w:val="19"/>
          <w:szCs w:val="19"/>
          <w:color w:val="auto"/>
        </w:rPr>
        <w:t>") to its registration statement on Form F-10 (File No. 333-259994) (the "</w:t>
      </w:r>
      <w:r>
        <w:rPr>
          <w:rFonts w:ascii="Arial" w:cs="Arial" w:eastAsia="Arial" w:hAnsi="Arial"/>
          <w:sz w:val="19"/>
          <w:szCs w:val="19"/>
          <w:b w:val="1"/>
          <w:bCs w:val="1"/>
          <w:color w:val="auto"/>
        </w:rPr>
        <w:t>Former Registration Statement</w:t>
      </w:r>
      <w:r>
        <w:rPr>
          <w:rFonts w:ascii="Arial" w:cs="Arial" w:eastAsia="Arial" w:hAnsi="Arial"/>
          <w:sz w:val="19"/>
          <w:szCs w:val="19"/>
          <w:color w:val="auto"/>
        </w:rPr>
        <w:t>") in the United States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relating to the offering (the "</w:t>
      </w:r>
      <w:r>
        <w:rPr>
          <w:rFonts w:ascii="Arial" w:cs="Arial" w:eastAsia="Arial" w:hAnsi="Arial"/>
          <w:sz w:val="19"/>
          <w:szCs w:val="19"/>
          <w:b w:val="1"/>
          <w:bCs w:val="1"/>
          <w:color w:val="auto"/>
        </w:rPr>
        <w:t>Unit Offering</w:t>
      </w:r>
      <w:r>
        <w:rPr>
          <w:rFonts w:ascii="Arial" w:cs="Arial" w:eastAsia="Arial" w:hAnsi="Arial"/>
          <w:sz w:val="19"/>
          <w:szCs w:val="19"/>
          <w:color w:val="auto"/>
        </w:rPr>
        <w:t>") by the Corporation to the public in Canada and the United States of 24,264,706 units ("</w:t>
      </w:r>
      <w:r>
        <w:rPr>
          <w:rFonts w:ascii="Arial" w:cs="Arial" w:eastAsia="Arial" w:hAnsi="Arial"/>
          <w:sz w:val="19"/>
          <w:szCs w:val="19"/>
          <w:b w:val="1"/>
          <w:bCs w:val="1"/>
          <w:color w:val="auto"/>
        </w:rPr>
        <w:t>Units</w:t>
      </w:r>
      <w:r>
        <w:rPr>
          <w:rFonts w:ascii="Arial" w:cs="Arial" w:eastAsia="Arial" w:hAnsi="Arial"/>
          <w:sz w:val="19"/>
          <w:szCs w:val="19"/>
          <w:color w:val="auto"/>
        </w:rPr>
        <w:t>") of the Corporation at a price of US$0.34 per Unit, for aggregate gross proceeds of US$8,250,000. Each Unit was comprised of one common share of the Corporation (a "</w:t>
      </w:r>
      <w:r>
        <w:rPr>
          <w:rFonts w:ascii="Arial" w:cs="Arial" w:eastAsia="Arial" w:hAnsi="Arial"/>
          <w:sz w:val="19"/>
          <w:szCs w:val="19"/>
          <w:b w:val="1"/>
          <w:bCs w:val="1"/>
          <w:color w:val="auto"/>
        </w:rPr>
        <w:t>Common Share</w:t>
      </w:r>
      <w:r>
        <w:rPr>
          <w:rFonts w:ascii="Arial" w:cs="Arial" w:eastAsia="Arial" w:hAnsi="Arial"/>
          <w:sz w:val="19"/>
          <w:szCs w:val="19"/>
          <w:color w:val="auto"/>
        </w:rPr>
        <w:t>") and one Warrant. Each Warrant shall be exercisable to acquire one Warrant Share, subject to adjustment in certain circumstances, at an exercise price of US$0.40 for a period of 60 months from the closing of the Unit Offering (the "</w:t>
      </w:r>
      <w:r>
        <w:rPr>
          <w:rFonts w:ascii="Arial" w:cs="Arial" w:eastAsia="Arial" w:hAnsi="Arial"/>
          <w:sz w:val="19"/>
          <w:szCs w:val="19"/>
          <w:b w:val="1"/>
          <w:bCs w:val="1"/>
          <w:color w:val="auto"/>
        </w:rPr>
        <w:t>Warrant Expiry Date</w:t>
      </w:r>
      <w:r>
        <w:rPr>
          <w:rFonts w:ascii="Arial" w:cs="Arial" w:eastAsia="Arial" w:hAnsi="Arial"/>
          <w:sz w:val="19"/>
          <w:szCs w:val="19"/>
          <w:color w:val="auto"/>
        </w:rPr>
        <w:t>"), subject to acceleration in certain circumstances. The Warrants were issued and subject to the terms of the Warrant Indenture. The Common Shares underlying the Units (the "</w:t>
      </w:r>
      <w:r>
        <w:rPr>
          <w:rFonts w:ascii="Arial" w:cs="Arial" w:eastAsia="Arial" w:hAnsi="Arial"/>
          <w:sz w:val="19"/>
          <w:szCs w:val="19"/>
          <w:b w:val="1"/>
          <w:bCs w:val="1"/>
          <w:color w:val="auto"/>
        </w:rPr>
        <w:t>Unit Shares</w:t>
      </w:r>
      <w:r>
        <w:rPr>
          <w:rFonts w:ascii="Arial" w:cs="Arial" w:eastAsia="Arial" w:hAnsi="Arial"/>
          <w:sz w:val="19"/>
          <w:szCs w:val="19"/>
          <w:color w:val="auto"/>
        </w:rPr>
        <w:t>") and Warrants underlying the Units were separated immediately upon closing of the Unit Offering.</w:t>
      </w:r>
    </w:p>
    <w:p>
      <w:pPr>
        <w:spacing w:after="0" w:line="156" w:lineRule="exact"/>
        <w:rPr>
          <w:sz w:val="24"/>
          <w:szCs w:val="24"/>
          <w:color w:val="auto"/>
        </w:rPr>
      </w:pPr>
    </w:p>
    <w:p>
      <w:pPr>
        <w:jc w:val="both"/>
        <w:spacing w:after="0" w:line="273" w:lineRule="auto"/>
        <w:rPr>
          <w:sz w:val="20"/>
          <w:szCs w:val="20"/>
          <w:color w:val="auto"/>
        </w:rPr>
      </w:pPr>
      <w:r>
        <w:rPr>
          <w:rFonts w:ascii="Arial" w:cs="Arial" w:eastAsia="Arial" w:hAnsi="Arial"/>
          <w:sz w:val="19"/>
          <w:szCs w:val="19"/>
          <w:color w:val="auto"/>
        </w:rPr>
        <w:t>The Unit Offering was made in each of the provinces of Canada, other than Québec, and in the United States. The Units were issued pursuant to an underwriting agreement dated August 1, 2023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among the Corporation and Cantor Fitzgerald &amp; Co. as sole bookrunner and lead underwriter (the "</w:t>
      </w:r>
      <w:r>
        <w:rPr>
          <w:rFonts w:ascii="Arial" w:cs="Arial" w:eastAsia="Arial" w:hAnsi="Arial"/>
          <w:sz w:val="19"/>
          <w:szCs w:val="19"/>
          <w:b w:val="1"/>
          <w:bCs w:val="1"/>
          <w:color w:val="auto"/>
        </w:rPr>
        <w:t>Lead Underwriter</w:t>
      </w:r>
      <w:r>
        <w:rPr>
          <w:rFonts w:ascii="Arial" w:cs="Arial" w:eastAsia="Arial" w:hAnsi="Arial"/>
          <w:sz w:val="19"/>
          <w:szCs w:val="19"/>
          <w:color w:val="auto"/>
        </w:rPr>
        <w:t>"), on behalf of itself and A.G.P./Alliance Global Partners, as lead manager (together with the Lead Underwriter, the "</w:t>
      </w:r>
      <w:r>
        <w:rPr>
          <w:rFonts w:ascii="Arial" w:cs="Arial" w:eastAsia="Arial" w:hAnsi="Arial"/>
          <w:sz w:val="19"/>
          <w:szCs w:val="19"/>
          <w:b w:val="1"/>
          <w:bCs w:val="1"/>
          <w:color w:val="auto"/>
        </w:rPr>
        <w:t>Underwriters</w:t>
      </w:r>
      <w:r>
        <w:rPr>
          <w:rFonts w:ascii="Arial" w:cs="Arial" w:eastAsia="Arial" w:hAnsi="Arial"/>
          <w:sz w:val="19"/>
          <w:szCs w:val="19"/>
          <w:color w:val="auto"/>
        </w:rPr>
        <w:t>"), relating to the Units offered under the Unit Offering. The Units were offered in Canada and the United States through the Underwriters either directly or through their respective U.S. or Canadian broker-dealer affiliates or agents. The Unit Offering was made concurrently in the United States under the terms of the Former Registration Statement filed with the SEC under the Securities Act of 1933, as amended (the "</w:t>
      </w:r>
      <w:r>
        <w:rPr>
          <w:rFonts w:ascii="Arial" w:cs="Arial" w:eastAsia="Arial" w:hAnsi="Arial"/>
          <w:sz w:val="19"/>
          <w:szCs w:val="19"/>
          <w:b w:val="1"/>
          <w:bCs w:val="1"/>
          <w:color w:val="auto"/>
        </w:rPr>
        <w:t>U.S. Securities Act</w:t>
      </w:r>
      <w:r>
        <w:rPr>
          <w:rFonts w:ascii="Arial" w:cs="Arial" w:eastAsia="Arial" w:hAnsi="Arial"/>
          <w:sz w:val="19"/>
          <w:szCs w:val="19"/>
          <w:color w:val="auto"/>
        </w:rPr>
        <w:t>"). The Units were offered in the United States by Cantor Fitzgerald &amp; Co., and A.G.P./Alliance Global Partners under the Former US Unit Supplement filed with the SEC, and in Canada by Cantor Fitzgerald Canada Corporation under the Former Canadian Unit Supplement filed with the Ontario Securities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77" w:right="339" w:bottom="859"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9"/>
          <w:szCs w:val="19"/>
          <w:color w:val="auto"/>
        </w:rPr>
        <w:t>Following the expiration of the 2021 Base Shelf, 25-months after the 2021 Base Shelf was filed, the Corporation filed the Base Shelf Prospectus relating to the offering for sale from time to time by the Corporation of up to $160,000,000 in the aggregate of:</w:t>
      </w:r>
    </w:p>
    <w:p>
      <w:pPr>
        <w:jc w:val="both"/>
        <w:ind w:firstLine="8"/>
        <w:spacing w:after="0" w:line="275" w:lineRule="auto"/>
        <w:tabs>
          <w:tab w:leader="none" w:pos="281" w:val="left"/>
        </w:tabs>
        <w:numPr>
          <w:ilvl w:val="0"/>
          <w:numId w:val="2"/>
        </w:numPr>
        <w:rPr>
          <w:rFonts w:ascii="Arial" w:cs="Arial" w:eastAsia="Arial" w:hAnsi="Arial"/>
          <w:sz w:val="19"/>
          <w:szCs w:val="19"/>
          <w:color w:val="auto"/>
        </w:rPr>
      </w:pPr>
      <w:r>
        <w:rPr>
          <w:rFonts w:ascii="Arial" w:cs="Arial" w:eastAsia="Arial" w:hAnsi="Arial"/>
          <w:sz w:val="19"/>
          <w:szCs w:val="19"/>
          <w:color w:val="auto"/>
        </w:rPr>
        <w:t>Common Shares; (ii) warrants to purchase other securities of the Corporation; (iii) units comprising of one or more of the other securities, (iv) senior and subordinated unsecured debt securities, including debt securities convertible or exchangeable into other securities of the Corporation, and (v) subscription receipts. The Offering of the Warrant Shares in this Prospectus Supplement pursuant to the Offering, is being made concurrently in Canada under the terms of the Prospectus and in the United States under the Corporation's Registration Statement on Form F-10, as amended (File No. 333-272706)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filed with the SEC, of which this Prospectus Supplement forms a part. See "</w:t>
      </w:r>
      <w:r>
        <w:rPr>
          <w:rFonts w:ascii="Arial" w:cs="Arial" w:eastAsia="Arial" w:hAnsi="Arial"/>
          <w:sz w:val="19"/>
          <w:szCs w:val="19"/>
          <w:i w:val="1"/>
          <w:iCs w:val="1"/>
          <w:color w:val="auto"/>
        </w:rPr>
        <w:t>Plan of Distribution</w:t>
      </w:r>
      <w:r>
        <w:rPr>
          <w:rFonts w:ascii="Arial" w:cs="Arial" w:eastAsia="Arial" w:hAnsi="Arial"/>
          <w:sz w:val="19"/>
          <w:szCs w:val="19"/>
          <w:color w:val="auto"/>
        </w:rPr>
        <w: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Common Shares are listed on the Neo Exchange Inc., now operating as Cboe Canada (the "</w:t>
      </w:r>
      <w:r>
        <w:rPr>
          <w:rFonts w:ascii="Arial" w:cs="Arial" w:eastAsia="Arial" w:hAnsi="Arial"/>
          <w:sz w:val="19"/>
          <w:szCs w:val="19"/>
          <w:b w:val="1"/>
          <w:bCs w:val="1"/>
          <w:color w:val="auto"/>
        </w:rPr>
        <w:t>NEO</w:t>
      </w:r>
      <w:r>
        <w:rPr>
          <w:rFonts w:ascii="Arial" w:cs="Arial" w:eastAsia="Arial" w:hAnsi="Arial"/>
          <w:sz w:val="19"/>
          <w:szCs w:val="19"/>
          <w:color w:val="auto"/>
        </w:rPr>
        <w:t>") under the trading symbol "CYBN", and in the United States on the NYSE American LLC (the "</w:t>
      </w:r>
      <w:r>
        <w:rPr>
          <w:rFonts w:ascii="Arial" w:cs="Arial" w:eastAsia="Arial" w:hAnsi="Arial"/>
          <w:sz w:val="19"/>
          <w:szCs w:val="19"/>
          <w:b w:val="1"/>
          <w:bCs w:val="1"/>
          <w:color w:val="auto"/>
        </w:rPr>
        <w:t>NYSE American</w:t>
      </w:r>
      <w:r>
        <w:rPr>
          <w:rFonts w:ascii="Arial" w:cs="Arial" w:eastAsia="Arial" w:hAnsi="Arial"/>
          <w:sz w:val="19"/>
          <w:szCs w:val="19"/>
          <w:color w:val="auto"/>
        </w:rPr>
        <w:t>") under the symbol "CYBN". On August 17, 2023, the last trading day prior to the date hereof, the closing prices of the Common Shares listed on the NEO and NYSE American were $0.44 and US$0.3275, respectively. The Corporation has applied to list the Warrant Shares offered by this Prospectus Supplement on the NEO and the NYSE American.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This may affect the pricing of the securities in the secondary market, the transparency and availability of trading prices, the liquidity of the securities, and the extent of issuer regulation.</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Prospective investors should be aware that the acquisition of the Warrant Shares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Warrant Shares pursuant to this Offering. Investors should read the tax discussion in this Prospectus Supplement and consult their own tax advisors with respect to their own particular circumstances. See "</w:t>
      </w:r>
      <w:r>
        <w:rPr>
          <w:rFonts w:ascii="Arial" w:cs="Arial" w:eastAsia="Arial" w:hAnsi="Arial"/>
          <w:sz w:val="19"/>
          <w:szCs w:val="19"/>
          <w:b w:val="1"/>
          <w:bCs w:val="1"/>
          <w:i w:val="1"/>
          <w:iCs w:val="1"/>
          <w:color w:val="auto"/>
        </w:rPr>
        <w:t>Certain Canadian Federal Income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Tax Considerations</w:t>
      </w:r>
      <w:r>
        <w:rPr>
          <w:rFonts w:ascii="Arial" w:cs="Arial" w:eastAsia="Arial" w:hAnsi="Arial"/>
          <w:sz w:val="19"/>
          <w:szCs w:val="19"/>
          <w:b w:val="1"/>
          <w:bCs w:val="1"/>
          <w:color w:val="auto"/>
        </w:rPr>
        <w:t>", "</w:t>
      </w:r>
      <w:r>
        <w:rPr>
          <w:rFonts w:ascii="Arial" w:cs="Arial" w:eastAsia="Arial" w:hAnsi="Arial"/>
          <w:sz w:val="19"/>
          <w:szCs w:val="19"/>
          <w:b w:val="1"/>
          <w:bCs w:val="1"/>
          <w:i w:val="1"/>
          <w:iCs w:val="1"/>
          <w:color w:val="auto"/>
        </w:rPr>
        <w:t>Certain United States Federal Income Tax Considerations</w:t>
      </w:r>
      <w:r>
        <w:rPr>
          <w:rFonts w:ascii="Arial" w:cs="Arial" w:eastAsia="Arial" w:hAnsi="Arial"/>
          <w:sz w:val="19"/>
          <w:szCs w:val="19"/>
          <w:b w:val="1"/>
          <w:bCs w:val="1"/>
          <w:color w:val="auto"/>
        </w:rPr>
        <w:t>" and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Corporation is not making any offer of the Warrant Shares in any jurisdiction where the offer is not permitted by law.</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An investment in the Warrant Shares is highly speculative and involves significant risks that investors should consider before purchasing such Securities. Investors should carefully review the "Risk Factors" section of this Prospectus Supplement, the Base Shelf Prospectus and the documents incorporated by reference herein and therein as well as the information under the heading "Cautionary Note Regarding Forward-Looking Information".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both"/>
        <w:spacing w:after="0" w:line="249" w:lineRule="auto"/>
        <w:rPr>
          <w:sz w:val="20"/>
          <w:szCs w:val="20"/>
          <w:color w:val="auto"/>
        </w:rPr>
      </w:pPr>
      <w:r>
        <w:rPr>
          <w:rFonts w:ascii="Arial" w:cs="Arial" w:eastAsia="Arial" w:hAnsi="Arial"/>
          <w:sz w:val="21"/>
          <w:szCs w:val="21"/>
          <w:b w:val="1"/>
          <w:bCs w:val="1"/>
          <w:color w:val="auto"/>
        </w:rPr>
        <w:t>This Prospectus Supplement registers the offering of the securities to which it relates under the U.S. Securities Act in accordance with the MJDS. This Prospectus Supplement does not qualify in any of the provinces or territories of Canada the distribution of the Warrant Shares to which it relates. The Warrant Shares to which this Prospectus Supplement relates will be sold directly by the Corporation to holders of Warrants upon any exercise of such Warrants. No underwriters, dealers or agents have been involved in the preparation of this Prospectus Supplement or the accompanying Base Shelf Prospectus, nor will be involved in these sales.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The enforcement by investors of civil liabilities under the United States federal securities laws may be affected adversely by the fact that the Corporation is incorporated under the laws of the province of Ontario, Canada, that the majority of its officers and directors are residents of Canada and that a substantial portion of the assets of the Corporation and said persons are located outside the United States. See "</w:t>
      </w:r>
      <w:r>
        <w:rPr>
          <w:rFonts w:ascii="Arial" w:cs="Arial" w:eastAsia="Arial" w:hAnsi="Arial"/>
          <w:sz w:val="19"/>
          <w:szCs w:val="19"/>
          <w:b w:val="1"/>
          <w:bCs w:val="1"/>
          <w:i w:val="1"/>
          <w:iCs w:val="1"/>
          <w:color w:val="auto"/>
        </w:rPr>
        <w:t>Enforceability of Civil Liabilities by U.S. Investors."</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financial information of the Corporation incorporated by reference in the Prospectus is presented in Canadian dollars. Unless otherwise noted herein, all references to "US$" are to United States dollars and all references to "C$" or "$", are to Canadian dollars. See "</w:t>
      </w:r>
      <w:r>
        <w:rPr>
          <w:rFonts w:ascii="Arial" w:cs="Arial" w:eastAsia="Arial" w:hAnsi="Arial"/>
          <w:sz w:val="22"/>
          <w:szCs w:val="22"/>
          <w:i w:val="1"/>
          <w:iCs w:val="1"/>
          <w:color w:val="auto"/>
        </w:rPr>
        <w:t>Currency and Exchange Rate</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The Corporation's head and registered office is located at 100 King Street West, Suite 5600, Toronto, ON M5X 1C9.</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THESE SECURITIES HAVE NOT BEEN APPROVED OR DISAPPROVED BY THE SEC OR BY ANY STATE OR CANADIAN SECURITIES COMMISSION OR REGULATORY AUTHORITY, NOR HAS THE SEC OR ANY STATE OR CANADIAN SECURITIES COMMISSION PASSED UPON THE ACCURACY OR ADEQUACY OF THIS PROSPECTUS SUPPLEMENT OR THE ACCOMPANYING PROSPECTUS. ANY REPRESENTATION TO THE CONTRARY IS A CRIMINAL OFFENCE.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Supplement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60" w:type="dxa"/>
            <w:vAlign w:val="bottom"/>
            <w:gridSpan w:val="27"/>
            <w:shd w:val="clear" w:color="auto" w:fill="EEEEEE"/>
          </w:tcPr>
          <w:p>
            <w:pPr>
              <w:spacing w:after="0"/>
              <w:rPr>
                <w:sz w:val="20"/>
                <w:szCs w:val="20"/>
                <w:color w:val="auto"/>
              </w:rPr>
            </w:pPr>
            <w:r>
              <w:rPr>
                <w:rFonts w:ascii="Arial" w:cs="Arial" w:eastAsia="Arial" w:hAnsi="Arial"/>
                <w:sz w:val="18"/>
                <w:szCs w:val="18"/>
                <w:color w:val="0000EE"/>
              </w:rPr>
              <w:t>ABOUT THIS PROSPECTUS</w:t>
            </w:r>
          </w:p>
        </w:tc>
        <w:tc>
          <w:tcPr>
            <w:tcW w:w="2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0000EE"/>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CAUTIONARY STATEMENT REGARDING FORWARD-LOOKING INFORMATION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CURRENCY AND EXCHANGE RATE INFORMATION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TRADING PRICE AND VOLUME</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PRIOR SALES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CERTAIN CANADIAN INCOME TAX CONSIDERATIONS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CERTAIN UNITED STATES FEDERAL INCOME TAX CONSIDERATIONS TO U.S. HOLDERS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EXPERTS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ADDITIONAL INFORMATION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0000EE"/>
            </w:tcBorders>
            <w:gridSpan w:val="22"/>
            <w:shd w:val="clear" w:color="auto" w:fill="EEEEEE"/>
          </w:tcPr>
          <w:p>
            <w:pPr>
              <w:spacing w:after="0" w:line="176" w:lineRule="exact"/>
              <w:rPr>
                <w:sz w:val="20"/>
                <w:szCs w:val="20"/>
                <w:color w:val="auto"/>
              </w:rPr>
            </w:pPr>
            <w:r>
              <w:rPr>
                <w:rFonts w:ascii="Arial" w:cs="Arial" w:eastAsia="Arial" w:hAnsi="Arial"/>
                <w:sz w:val="18"/>
                <w:szCs w:val="18"/>
                <w:color w:val="0000EE"/>
                <w:w w:val="98"/>
              </w:rPr>
              <w:t>ENFORCEABILITY OF CIVIL LIABILITIES BY U.S. INVESTORS</w:t>
            </w:r>
          </w:p>
        </w:tc>
        <w:tc>
          <w:tcPr>
            <w:tcW w:w="4040" w:type="dxa"/>
            <w:vAlign w:val="bottom"/>
            <w:tcBorders>
              <w:bottom w:val="single" w:sz="8" w:color="EEEEEE"/>
            </w:tcBorders>
            <w:gridSpan w:val="5"/>
            <w:shd w:val="clear" w:color="auto" w:fill="EEEEEE"/>
          </w:tcPr>
          <w:p>
            <w:pPr>
              <w:spacing w:after="0"/>
              <w:rPr>
                <w:sz w:val="17"/>
                <w:szCs w:val="17"/>
                <w:color w:val="auto"/>
              </w:rPr>
            </w:pPr>
          </w:p>
        </w:tc>
        <w:tc>
          <w:tcPr>
            <w:tcW w:w="190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79"/>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9"/>
        </w:trPr>
        <w:tc>
          <w:tcPr>
            <w:tcW w:w="9160" w:type="dxa"/>
            <w:vAlign w:val="bottom"/>
            <w:gridSpan w:val="27"/>
          </w:tcPr>
          <w:p>
            <w:pPr>
              <w:spacing w:after="0"/>
              <w:rPr>
                <w:sz w:val="20"/>
                <w:szCs w:val="20"/>
                <w:color w:val="auto"/>
              </w:rPr>
            </w:pPr>
            <w:r>
              <w:rPr>
                <w:rFonts w:ascii="Arial" w:cs="Arial" w:eastAsia="Arial" w:hAnsi="Arial"/>
                <w:sz w:val="22"/>
                <w:szCs w:val="22"/>
                <w:b w:val="1"/>
                <w:bCs w:val="1"/>
                <w:color w:val="auto"/>
              </w:rPr>
              <w:t>Base Shelf Prospectus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GENERAL MATTERS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CAUTIONARY NOTE REGARDING FORWARD-LOOKING INFORMATION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TRADEMARKS AND SERVICE MARKS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MARKETING MATERIALS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MARKET AND INDUSTRY DATA</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REGULATORY OVERVIEW</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COMPLIANCE PROGRAM</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DIVIDEND POLICY</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208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9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78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78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560" w:type="dxa"/>
            <w:vAlign w:val="bottom"/>
            <w:shd w:val="clear" w:color="auto" w:fill="EEEEEE"/>
          </w:tcPr>
          <w:p>
            <w:pPr>
              <w:spacing w:after="0"/>
              <w:rPr>
                <w:sz w:val="5"/>
                <w:szCs w:val="5"/>
                <w:color w:val="auto"/>
              </w:rPr>
            </w:pPr>
          </w:p>
        </w:tc>
        <w:tc>
          <w:tcPr>
            <w:tcW w:w="800" w:type="dxa"/>
            <w:vAlign w:val="bottom"/>
            <w:shd w:val="clear" w:color="auto" w:fill="EEEEEE"/>
          </w:tcPr>
          <w:p>
            <w:pPr>
              <w:spacing w:after="0"/>
              <w:rPr>
                <w:sz w:val="5"/>
                <w:szCs w:val="5"/>
                <w:color w:val="auto"/>
              </w:rPr>
            </w:pPr>
          </w:p>
        </w:tc>
        <w:tc>
          <w:tcPr>
            <w:tcW w:w="1900" w:type="dxa"/>
            <w:vAlign w:val="bottom"/>
            <w:shd w:val="clear" w:color="auto" w:fill="EEEEEE"/>
          </w:tcPr>
          <w:p>
            <w:pPr>
              <w:spacing w:after="0"/>
              <w:rPr>
                <w:sz w:val="5"/>
                <w:szCs w:val="5"/>
                <w:color w:val="auto"/>
              </w:rPr>
            </w:pPr>
          </w:p>
        </w:tc>
        <w:tc>
          <w:tcPr>
            <w:tcW w:w="190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2"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gridSpan w:val="4"/>
            <w:shd w:val="clear" w:color="auto" w:fill="EEEEEE"/>
          </w:tcPr>
          <w:p>
            <w:pPr>
              <w:spacing w:after="0"/>
              <w:rPr>
                <w:sz w:val="20"/>
                <w:szCs w:val="20"/>
                <w:color w:val="auto"/>
              </w:rPr>
            </w:pPr>
            <w:r>
              <w:rPr>
                <w:rFonts w:ascii="Arial" w:cs="Arial" w:eastAsia="Arial" w:hAnsi="Arial"/>
                <w:sz w:val="18"/>
                <w:szCs w:val="18"/>
                <w:color w:val="0000EE"/>
              </w:rPr>
              <w:t>CERTAIN FEDERAL INCOME TAX CONSIDERATIONS</w:t>
            </w:r>
          </w:p>
        </w:tc>
        <w:tc>
          <w:tcPr>
            <w:tcW w:w="3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0000EE"/>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340" w:type="dxa"/>
            <w:vAlign w:val="bottom"/>
            <w:tcBorders>
              <w:top w:val="single" w:sz="8" w:color="EEEEEE"/>
            </w:tcBorders>
          </w:tcPr>
          <w:p>
            <w:pPr>
              <w:spacing w:after="0"/>
              <w:rPr>
                <w:sz w:val="18"/>
                <w:szCs w:val="18"/>
                <w:color w:val="auto"/>
              </w:rPr>
            </w:pPr>
          </w:p>
        </w:tc>
        <w:tc>
          <w:tcPr>
            <w:tcW w:w="33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0000EE"/>
              </w:rPr>
              <w:t>LEGAL MATTERS</w:t>
            </w:r>
          </w:p>
        </w:tc>
        <w:tc>
          <w:tcPr>
            <w:tcW w:w="35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0000EE"/>
            </w:tcBorders>
          </w:tcPr>
          <w:p>
            <w:pPr>
              <w:spacing w:after="0"/>
              <w:rPr>
                <w:sz w:val="18"/>
                <w:szCs w:val="18"/>
                <w:color w:val="auto"/>
              </w:rPr>
            </w:pPr>
          </w:p>
        </w:tc>
        <w:tc>
          <w:tcPr>
            <w:tcW w:w="26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3340" w:type="dxa"/>
            <w:vAlign w:val="bottom"/>
            <w:tcBorders>
              <w:top w:val="single" w:sz="8" w:color="EEEEEE"/>
            </w:tcBorders>
          </w:tcPr>
          <w:p>
            <w:pPr>
              <w:spacing w:after="0"/>
              <w:rPr>
                <w:sz w:val="18"/>
                <w:szCs w:val="18"/>
                <w:color w:val="auto"/>
              </w:rPr>
            </w:pPr>
          </w:p>
        </w:tc>
        <w:tc>
          <w:tcPr>
            <w:tcW w:w="33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70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35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0000EE"/>
            </w:tcBorders>
            <w:shd w:val="clear" w:color="auto" w:fill="EEEEEE"/>
          </w:tcPr>
          <w:p>
            <w:pPr>
              <w:spacing w:after="0" w:line="20" w:lineRule="exact"/>
              <w:rPr>
                <w:sz w:val="1"/>
                <w:szCs w:val="1"/>
                <w:color w:val="auto"/>
              </w:rPr>
            </w:pPr>
          </w:p>
        </w:tc>
        <w:tc>
          <w:tcPr>
            <w:tcW w:w="260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3340" w:type="dxa"/>
            <w:vAlign w:val="bottom"/>
            <w:tcBorders>
              <w:top w:val="single" w:sz="8" w:color="EEEEEE"/>
            </w:tcBorders>
            <w:shd w:val="clear" w:color="auto" w:fill="EEEEEE"/>
          </w:tcPr>
          <w:p>
            <w:pPr>
              <w:spacing w:after="0" w:line="20" w:lineRule="exact"/>
              <w:rPr>
                <w:sz w:val="1"/>
                <w:szCs w:val="1"/>
                <w:color w:val="auto"/>
              </w:rPr>
            </w:pPr>
          </w:p>
        </w:tc>
        <w:tc>
          <w:tcPr>
            <w:tcW w:w="33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ABOUT THIS PROSPECTUS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document consists of two parts. The first part is this Prospectus Supplement, which describes certain terms of the Warrant Shares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Warrant Shares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authorized anyone to provide investors with different or additional information. The Corporation is not, and the Underwriters are not, making an offer to sell Warrant Shares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filed the Base Shelf Prospectus with the securities commissions in all Canadian provinces and territories (the "</w:t>
      </w:r>
      <w:r>
        <w:rPr>
          <w:rFonts w:ascii="Arial" w:cs="Arial" w:eastAsia="Arial" w:hAnsi="Arial"/>
          <w:sz w:val="19"/>
          <w:szCs w:val="19"/>
          <w:b w:val="1"/>
          <w:bCs w:val="1"/>
          <w:color w:val="auto"/>
        </w:rPr>
        <w:t>Canadian Qualifying Jurisdictions</w:t>
      </w:r>
      <w:r>
        <w:rPr>
          <w:rFonts w:ascii="Arial" w:cs="Arial" w:eastAsia="Arial" w:hAnsi="Arial"/>
          <w:sz w:val="19"/>
          <w:szCs w:val="19"/>
          <w:color w:val="auto"/>
        </w:rPr>
        <w:t xml:space="preserve">") in order to qualify the offering of the securities described in the Base Shelf Prospectus in accordance with National Instrument 44-102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The Ontario Securities Commission issued a receipt dated August 17, 2023 in respect of the final Base Shelf Prospectus as the principal regulatory authority under Multilateral Instrument 11-102 </w:t>
      </w:r>
      <w:r>
        <w:rPr>
          <w:rFonts w:ascii="Arial" w:cs="Arial" w:eastAsia="Arial" w:hAnsi="Arial"/>
          <w:sz w:val="19"/>
          <w:szCs w:val="19"/>
          <w:i w:val="1"/>
          <w:iCs w:val="1"/>
          <w:color w:val="auto"/>
        </w:rPr>
        <w:t>Passport System</w:t>
      </w:r>
      <w:r>
        <w:rPr>
          <w:rFonts w:ascii="Arial" w:cs="Arial" w:eastAsia="Arial" w:hAnsi="Arial"/>
          <w:sz w:val="19"/>
          <w:szCs w:val="19"/>
          <w:color w:val="auto"/>
        </w:rPr>
        <w:t xml:space="preserve">, and each of the other commissions in the Canadian Qualifying Jurisdictions is deemed to have issued a receipt under National Policy 11-202 </w:t>
      </w:r>
      <w:r>
        <w:rPr>
          <w:rFonts w:ascii="Arial" w:cs="Arial" w:eastAsia="Arial" w:hAnsi="Arial"/>
          <w:sz w:val="19"/>
          <w:szCs w:val="19"/>
          <w:i w:val="1"/>
          <w:iCs w:val="1"/>
          <w:color w:val="auto"/>
        </w:rPr>
        <w:t>Process for Prospectus Review in Multiple Jurisdictions</w:t>
      </w:r>
      <w:r>
        <w:rPr>
          <w:rFonts w:ascii="Arial" w:cs="Arial" w:eastAsia="Arial" w:hAnsi="Arial"/>
          <w:sz w:val="19"/>
          <w:szCs w:val="19"/>
          <w:color w:val="auto"/>
        </w:rPr>
        <w:t>.</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Base Shelf Prospectus also forms part of the Registration Statement that the Corporation filed with the SEC on June 16, 2023, as amended on August 17, 2023, under the U.S. Securities Act utilizing the MJDS. The Registration Statement became effective under the U.S. Securities Act on August 17, 2023. The Registration Statement incorporates the Base Shelf Prospectus with certain modifications and deletions permitted by Form F-10. This Prospectus Supplement is being filed by the Corporation, with certain modifications and deletions permitted by Form F-10, with the SEC in accordance with the instructions to Form F-10.</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Unless otherwise indicated or the context otherwise requires, all references in this Prospectus Supplement to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except as otherwise indicated or as the context otherwise indicates, mean Cybin Inc. and its subsidiaries and associated corporations</w:t>
      </w:r>
      <w:r>
        <w:rPr>
          <w:rFonts w:ascii="Arial" w:cs="Arial" w:eastAsia="Arial" w:hAnsi="Arial"/>
          <w:sz w:val="22"/>
          <w:szCs w:val="22"/>
          <w:i w:val="1"/>
          <w:iCs w:val="1"/>
          <w:color w:val="auto"/>
        </w:rPr>
        <w: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INFORMATION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Some of the risks which could affect future results and could cause results to differ materially from those expressed in the forward-looking statements contained herein include: completion of the Offering and receipt of all regulatory and stock exchange approvals; listing of the Unit Shares and Warrant Shares issuable under the Offering; the net proceeds, if any, from sales under this Prospectus Supplement; the Corporation's use of proceeds and business objectives and milestones and the anticipated timing of execution, see </w:t>
      </w:r>
      <w:r>
        <w:rPr>
          <w:rFonts w:ascii="Arial" w:cs="Arial" w:eastAsia="Arial" w:hAnsi="Arial"/>
          <w:sz w:val="19"/>
          <w:szCs w:val="19"/>
          <w:i w:val="1"/>
          <w:iCs w:val="1"/>
          <w:color w:val="auto"/>
        </w:rPr>
        <w:t>"Use of Proceeds"</w:t>
      </w:r>
      <w:r>
        <w:rPr>
          <w:rFonts w:ascii="Arial" w:cs="Arial" w:eastAsia="Arial" w:hAnsi="Arial"/>
          <w:sz w:val="19"/>
          <w:szCs w:val="19"/>
          <w:color w:val="auto"/>
        </w:rPr>
        <w:t>; effects of the coronavirus "COVID-19"; limited operating history; achieving publicly announced 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Securities is highly speculative; completion of the Offering; negative operating cash flow and going concern; discretion in the use of proceeds; potential dilution; trading market; significant sales of Common Shares; positive return not guaranteed; the Corporation's expectation that it will be a "passive foreign investment company"; speculative nature of Warrants.</w:t>
      </w:r>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ind w:left="660" w:hanging="331"/>
        <w:spacing w:after="0" w:line="239"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6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 w:lineRule="exact"/>
        <w:rPr>
          <w:rFonts w:ascii="Arial" w:cs="Arial" w:eastAsia="Arial" w:hAnsi="Arial"/>
          <w:sz w:val="22"/>
          <w:szCs w:val="22"/>
          <w:color w:val="auto"/>
        </w:rPr>
      </w:pPr>
    </w:p>
    <w:p>
      <w:pPr>
        <w:ind w:left="680" w:hanging="351"/>
        <w:spacing w:after="0"/>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24" w:lineRule="exact"/>
        <w:rPr>
          <w:rFonts w:ascii="Arial" w:cs="Arial" w:eastAsia="Arial" w:hAnsi="Arial"/>
          <w:sz w:val="19"/>
          <w:szCs w:val="19"/>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22"/>
          <w:szCs w:val="22"/>
          <w:color w:val="auto"/>
        </w:rPr>
      </w:pPr>
    </w:p>
    <w:p>
      <w:pPr>
        <w:ind w:left="660" w:right="2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ind w:left="660" w:hanging="331"/>
        <w:spacing w:after="0" w:line="236" w:lineRule="auto"/>
        <w:tabs>
          <w:tab w:leader="none" w:pos="67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the United Kingdom, Canada, the Netherlands, Ireland and other jurisdictions in which the Corporation operates.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addition to the factors set out above and those identified under the heading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Arial" w:cs="Arial" w:eastAsia="Arial" w:hAnsi="Arial"/>
          <w:sz w:val="21"/>
          <w:szCs w:val="21"/>
          <w:color w:val="auto"/>
        </w:rPr>
        <w:t>Investors should read this entire</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ssecurities of the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This Prospectus Supplement is deemed to be incorporated by reference in the Base Shelf Prospectus solely for the purpose of the Offering.</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As at the date hereof, the following documents of the Corporation filed with the securities commissions or similar authorities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Canada are incorporated by reference in this Prospectus Supplement:</w:t>
      </w:r>
    </w:p>
    <w:p>
      <w:pPr>
        <w:spacing w:after="0" w:line="182" w:lineRule="exact"/>
        <w:rPr>
          <w:sz w:val="20"/>
          <w:szCs w:val="20"/>
          <w:color w:val="auto"/>
        </w:rPr>
      </w:pPr>
    </w:p>
    <w:p>
      <w:pPr>
        <w:ind w:left="520" w:hanging="256"/>
        <w:spacing w:after="0" w:line="256"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27, 2023 (the "</w:t>
      </w:r>
      <w:r>
        <w:rPr>
          <w:rFonts w:ascii="Arial" w:cs="Arial" w:eastAsia="Arial" w:hAnsi="Arial"/>
          <w:sz w:val="22"/>
          <w:szCs w:val="22"/>
          <w:b w:val="1"/>
          <w:bCs w:val="1"/>
          <w:color w:val="auto"/>
        </w:rPr>
        <w:t>Annual Information Form</w:t>
      </w:r>
      <w:r>
        <w:rPr>
          <w:rFonts w:ascii="Arial" w:cs="Arial" w:eastAsia="Arial" w:hAnsi="Arial"/>
          <w:sz w:val="22"/>
          <w:szCs w:val="22"/>
          <w:color w:val="auto"/>
        </w:rPr>
        <w:t>") for the year ended March 31, 2023;</w:t>
      </w:r>
    </w:p>
    <w:p>
      <w:pPr>
        <w:spacing w:after="0" w:line="168"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audited consolidated financial statements of the Corporation and the notes thereto as at and for the fiscal years ended March 31, 2023 and 2022, together with the auditor's report thereon;</w:t>
      </w:r>
    </w:p>
    <w:p>
      <w:pPr>
        <w:spacing w:after="0" w:line="174" w:lineRule="exact"/>
        <w:rPr>
          <w:rFonts w:ascii="Arial" w:cs="Arial" w:eastAsia="Arial" w:hAnsi="Arial"/>
          <w:sz w:val="22"/>
          <w:szCs w:val="22"/>
          <w:color w:val="auto"/>
        </w:rPr>
      </w:pPr>
    </w:p>
    <w:p>
      <w:pPr>
        <w:ind w:left="540" w:hanging="27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year ended March 31, 2023;</w:t>
      </w:r>
    </w:p>
    <w:p>
      <w:pPr>
        <w:spacing w:after="0" w:line="206"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unaudited interim condensed consolidated financial statements of the Corporation and the notes thereto for the three months ended June 30, 2023 (the "</w:t>
      </w:r>
      <w:r>
        <w:rPr>
          <w:rFonts w:ascii="Arial" w:cs="Arial" w:eastAsia="Arial" w:hAnsi="Arial"/>
          <w:sz w:val="22"/>
          <w:szCs w:val="22"/>
          <w:b w:val="1"/>
          <w:bCs w:val="1"/>
          <w:color w:val="auto"/>
        </w:rPr>
        <w:t>Interim Financial Statements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520" w:hanging="256"/>
        <w:spacing w:after="0" w:line="256"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three months ended June 30, 2023 (the "</w:t>
      </w:r>
      <w:r>
        <w:rPr>
          <w:rFonts w:ascii="Arial" w:cs="Arial" w:eastAsia="Arial" w:hAnsi="Arial"/>
          <w:sz w:val="22"/>
          <w:szCs w:val="22"/>
          <w:b w:val="1"/>
          <w:bCs w:val="1"/>
          <w:color w:val="auto"/>
        </w:rPr>
        <w:t>Interim</w:t>
      </w:r>
      <w:r>
        <w:rPr>
          <w:rFonts w:ascii="Arial" w:cs="Arial" w:eastAsia="Arial" w:hAnsi="Arial"/>
          <w:sz w:val="22"/>
          <w:szCs w:val="22"/>
          <w:color w:val="auto"/>
        </w:rPr>
        <w:t xml:space="preserve"> </w:t>
      </w:r>
      <w:r>
        <w:rPr>
          <w:rFonts w:ascii="Arial" w:cs="Arial" w:eastAsia="Arial" w:hAnsi="Arial"/>
          <w:sz w:val="22"/>
          <w:szCs w:val="22"/>
          <w:b w:val="1"/>
          <w:bCs w:val="1"/>
          <w:color w:val="auto"/>
        </w:rPr>
        <w:t>MD&amp;A</w:t>
      </w:r>
      <w:r>
        <w:rPr>
          <w:rFonts w:ascii="Arial" w:cs="Arial" w:eastAsia="Arial" w:hAnsi="Arial"/>
          <w:sz w:val="22"/>
          <w:szCs w:val="22"/>
          <w:color w:val="auto"/>
        </w:rPr>
        <w:t>"); and</w:t>
      </w:r>
    </w:p>
    <w:p>
      <w:pPr>
        <w:spacing w:after="0" w:line="168"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4"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material change report dated May 31, 2023 relating to the Purchase Agreement (as defined below) with Lincoln Park (as defined below);</w:t>
      </w:r>
    </w:p>
    <w:p>
      <w:pPr>
        <w:spacing w:after="0" w:line="168" w:lineRule="exact"/>
        <w:rPr>
          <w:rFonts w:ascii="Arial" w:cs="Arial" w:eastAsia="Arial" w:hAnsi="Arial"/>
          <w:sz w:val="22"/>
          <w:szCs w:val="22"/>
          <w:color w:val="auto"/>
        </w:rPr>
      </w:pPr>
    </w:p>
    <w:p>
      <w:pPr>
        <w:jc w:val="both"/>
        <w:ind w:left="520" w:hanging="256"/>
        <w:spacing w:after="0" w:line="239"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material change report dated August 8, 2023 relating to the public offering (the "</w:t>
      </w:r>
      <w:r>
        <w:rPr>
          <w:rFonts w:ascii="Arial" w:cs="Arial" w:eastAsia="Arial" w:hAnsi="Arial"/>
          <w:sz w:val="22"/>
          <w:szCs w:val="22"/>
          <w:b w:val="1"/>
          <w:bCs w:val="1"/>
          <w:color w:val="auto"/>
        </w:rPr>
        <w:t>August 2023 Unit Offering</w:t>
      </w:r>
      <w:r>
        <w:rPr>
          <w:rFonts w:ascii="Arial" w:cs="Arial" w:eastAsia="Arial" w:hAnsi="Arial"/>
          <w:sz w:val="22"/>
          <w:szCs w:val="22"/>
          <w:color w:val="auto"/>
        </w:rPr>
        <w:t>") of 24,264,706 units of the Corporation (the "</w:t>
      </w:r>
      <w:r>
        <w:rPr>
          <w:rFonts w:ascii="Arial" w:cs="Arial" w:eastAsia="Arial" w:hAnsi="Arial"/>
          <w:sz w:val="22"/>
          <w:szCs w:val="22"/>
          <w:b w:val="1"/>
          <w:bCs w:val="1"/>
          <w:color w:val="auto"/>
        </w:rPr>
        <w:t>Units</w:t>
      </w:r>
      <w:r>
        <w:rPr>
          <w:rFonts w:ascii="Arial" w:cs="Arial" w:eastAsia="Arial" w:hAnsi="Arial"/>
          <w:sz w:val="22"/>
          <w:szCs w:val="22"/>
          <w:color w:val="auto"/>
        </w:rPr>
        <w:t>") at a price of US$0.34 per Unit for gross proceeds of US$8,250,000 pursuant to a prospectus supplement dated August 1, 2023 to the Corporation's short form base shelf prospectus dated July 5, 2021 ("</w:t>
      </w:r>
      <w:r>
        <w:rPr>
          <w:rFonts w:ascii="Arial" w:cs="Arial" w:eastAsia="Arial" w:hAnsi="Arial"/>
          <w:sz w:val="22"/>
          <w:szCs w:val="22"/>
          <w:b w:val="1"/>
          <w:bCs w:val="1"/>
          <w:color w:val="auto"/>
        </w:rPr>
        <w:t>2021 Base Shelf Prospectus</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ind w:left="540" w:hanging="27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statement of executive compensation of the Corporation dated August 18, 2023.</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Any document of the type referred to in Section 11.1 of Form 44-101F1 - </w:t>
      </w:r>
      <w:r>
        <w:rPr>
          <w:rFonts w:ascii="Arial" w:cs="Arial" w:eastAsia="Arial" w:hAnsi="Arial"/>
          <w:sz w:val="22"/>
          <w:szCs w:val="22"/>
          <w:i w:val="1"/>
          <w:iCs w:val="1"/>
          <w:color w:val="auto"/>
        </w:rPr>
        <w:t>Short Form Prospectus Distributions</w:t>
      </w:r>
      <w:r>
        <w:rPr>
          <w:rFonts w:ascii="Arial" w:cs="Arial" w:eastAsia="Arial" w:hAnsi="Arial"/>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to the extent any such document is included in any report on Form 6-K furnished to the SEC or in any report on Form 40-F or 20-F, as applicable, (or any respective successor form) filed with the SEC subsequent to the date of this Prospectus Supplement, such document shall be deemed to be incorporated by reference as exhibits to the Registration Statement of which this Prospectus Supplement forms a part (in the case of any report on Form 6-K, if and to the extent expressly set forth in such report). In addition, any other report on Form 6-K and the exhibits thereto filed or furnished by the Corporation with the SEC, and any other reports filed, under the United States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from the date of this Prospectus Supplement shall be deemed to be incorporated by reference as exhibits to the Registration Statement of which this Prospectus Supplement forms a part, but only if and to the extent expressly so provided in any such report.</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Copies of the documents incorporated by reference herein will be available electronically on the Corporation's SEDAR profile, which can be accessed at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from the Corporation's EDGAR profile at </w:t>
      </w:r>
      <w:r>
        <w:rPr>
          <w:rFonts w:ascii="Arial" w:cs="Arial" w:eastAsia="Arial" w:hAnsi="Arial"/>
          <w:sz w:val="19"/>
          <w:szCs w:val="19"/>
          <w:u w:val="single" w:color="auto"/>
          <w:color w:val="0563C1"/>
        </w:rPr>
        <w:t>www.sec.gov</w:t>
      </w:r>
      <w:r>
        <w:rPr>
          <w:rFonts w:ascii="Arial" w:cs="Arial" w:eastAsia="Arial" w:hAnsi="Arial"/>
          <w:sz w:val="19"/>
          <w:szCs w:val="19"/>
          <w:color w:val="auto"/>
        </w:rPr>
        <w:t>. The Corporation's filings through SEDAR and EDGAR are not incorporated by reference in the Prospectus except as specifically set out herein.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documents have been or will be filed with the SEC as part of Registration Statement: (i) the documents set out under the heading "Documents Incorporated by Reference" in this Prospectus Supplement and the Base Shelf Prospectus; (ii) the consents of the Corporation's auditor and legal counsels; (iii) powers of attorney from certain of the Corporation's directors and officers (included on the signature page of the Registration Statement); and (iv) the Underwriting Agreement among the Corporation and the Lead Underwriter.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CURRENCY AND EXCHANGE RATE INFORMATION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for the periods indicated, the high, low, average and period-end rates of exchange for US$1.00, expressed in Canadian dollars, posted by the Bank of Canada:</w:t>
      </w:r>
    </w:p>
    <w:p>
      <w:pPr>
        <w:spacing w:after="0" w:line="178"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4"/>
        </w:trPr>
        <w:tc>
          <w:tcPr>
            <w:tcW w:w="3400" w:type="dxa"/>
            <w:vAlign w:val="bottom"/>
            <w:tcBorders>
              <w:bottom w:val="single" w:sz="8" w:color="E6EFFF"/>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09"/>
        </w:trPr>
        <w:tc>
          <w:tcPr>
            <w:tcW w:w="3400" w:type="dxa"/>
            <w:vAlign w:val="bottom"/>
            <w:shd w:val="clear" w:color="auto" w:fill="E6EFFF"/>
          </w:tcPr>
          <w:p>
            <w:pPr>
              <w:ind w:left="20"/>
              <w:spacing w:after="0"/>
              <w:rPr>
                <w:sz w:val="20"/>
                <w:szCs w:val="20"/>
                <w:color w:val="auto"/>
              </w:rPr>
            </w:pPr>
            <w:r>
              <w:rPr>
                <w:rFonts w:ascii="Arial" w:cs="Arial" w:eastAsia="Arial" w:hAnsi="Arial"/>
                <w:sz w:val="18"/>
                <w:szCs w:val="18"/>
                <w:color w:val="auto"/>
              </w:rPr>
              <w:t>Highest rate during the period</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C$1.3856</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Lowest rate during the period</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C$1.2540</w:t>
            </w:r>
          </w:p>
        </w:tc>
      </w:tr>
      <w:tr>
        <w:trPr>
          <w:trHeight w:val="216"/>
        </w:trPr>
        <w:tc>
          <w:tcPr>
            <w:tcW w:w="3400" w:type="dxa"/>
            <w:vAlign w:val="bottom"/>
            <w:shd w:val="clear" w:color="auto" w:fill="E6EFFF"/>
          </w:tcPr>
          <w:p>
            <w:pPr>
              <w:ind w:left="20"/>
              <w:spacing w:after="0"/>
              <w:rPr>
                <w:sz w:val="20"/>
                <w:szCs w:val="20"/>
                <w:color w:val="auto"/>
              </w:rPr>
            </w:pPr>
            <w:r>
              <w:rPr>
                <w:rFonts w:ascii="Arial" w:cs="Arial" w:eastAsia="Arial" w:hAnsi="Arial"/>
                <w:sz w:val="18"/>
                <w:szCs w:val="18"/>
                <w:color w:val="auto"/>
              </w:rPr>
              <w:t>Average rate for the period</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C$1.3283</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Rate at the end of the period</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C$1.3544</w:t>
            </w: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August 17, 2023, the daily average exchange rate posted by the Bank of Canada for conversion of U.S. dollars into Canadian dollars was US$1.00 = C$1.3524 (the "</w:t>
      </w:r>
      <w:r>
        <w:rPr>
          <w:rFonts w:ascii="Arial" w:cs="Arial" w:eastAsia="Arial" w:hAnsi="Arial"/>
          <w:sz w:val="22"/>
          <w:szCs w:val="22"/>
          <w:b w:val="1"/>
          <w:bCs w:val="1"/>
          <w:color w:val="auto"/>
        </w:rPr>
        <w:t>2023 Rate</w:t>
      </w:r>
      <w:r>
        <w:rPr>
          <w:rFonts w:ascii="Arial" w:cs="Arial" w:eastAsia="Arial" w:hAnsi="Arial"/>
          <w:sz w:val="22"/>
          <w:szCs w:val="22"/>
          <w:color w:val="auto"/>
        </w:rPr>
        <w:t>"). Unless otherwise indicated, currency translation in this Prospectus Supplement reflects the 2023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This summary does not contain all the information that may be important to an investor in deciding whether to invest in the Securities.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and novel formulation approaches and treatment regimens.</w:t>
      </w:r>
      <w:r>
        <w:rPr>
          <w:rFonts w:ascii="Arial" w:cs="Arial" w:eastAsia="Arial" w:hAnsi="Arial"/>
          <w:sz w:val="35"/>
          <w:szCs w:val="3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357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43" w:lineRule="exact"/>
        <w:rPr>
          <w:sz w:val="20"/>
          <w:szCs w:val="20"/>
          <w:color w:val="auto"/>
        </w:rPr>
      </w:pPr>
    </w:p>
    <w:p>
      <w:pPr>
        <w:jc w:val="both"/>
        <w:ind w:firstLine="8"/>
        <w:spacing w:after="0" w:line="224" w:lineRule="auto"/>
        <w:tabs>
          <w:tab w:leader="none" w:pos="164" w:val="left"/>
        </w:tabs>
        <w:numPr>
          <w:ilvl w:val="0"/>
          <w:numId w:val="5"/>
        </w:numPr>
        <w:rPr>
          <w:rFonts w:ascii="Arial" w:cs="Arial" w:eastAsia="Arial" w:hAnsi="Arial"/>
          <w:sz w:val="35"/>
          <w:szCs w:val="35"/>
          <w:color w:val="auto"/>
          <w:vertAlign w:val="superscript"/>
        </w:rPr>
      </w:pPr>
      <w:r>
        <w:rPr>
          <w:rFonts w:ascii="Arial" w:cs="Arial" w:eastAsia="Arial" w:hAnsi="Arial"/>
          <w:sz w:val="21"/>
          <w:szCs w:val="21"/>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863"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psilocybin analog, CYB004, a deuterated version of N, N-dimethyltryptamine, CYB005, phenethylamine derivatives, and an expansive list of preclinical molecules to facilitate future drug development opportunities.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Advancement of Mental Healthcare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Across its extensive research and development programs, the Corporation is evaluating a wide array of novel, synthetic psychedelic active pharmaceutical ingredients intended to be delivered through innovative drug delivery systems including orally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disintegrating tablets</w:t>
      </w:r>
      <w:r>
        <w:rPr>
          <w:rFonts w:ascii="Arial" w:cs="Arial" w:eastAsia="Arial" w:hAnsi="Arial"/>
          <w:sz w:val="35"/>
          <w:szCs w:val="35"/>
          <w:color w:val="auto"/>
          <w:vertAlign w:val="superscript"/>
        </w:rPr>
        <w:t>2</w:t>
      </w:r>
      <w:r>
        <w:rPr>
          <w:rFonts w:ascii="Arial" w:cs="Arial" w:eastAsia="Arial" w:hAnsi="Arial"/>
          <w:sz w:val="22"/>
          <w:szCs w:val="22"/>
          <w:color w:val="auto"/>
        </w:rPr>
        <w:t>, via inhalation, via intravenous, and intramuscular, or subcutaneous administration</w:t>
      </w:r>
      <w:r>
        <w:rPr>
          <w:rFonts w:ascii="Arial" w:cs="Arial" w:eastAsia="Arial" w:hAnsi="Arial"/>
          <w:sz w:val="35"/>
          <w:szCs w:val="35"/>
          <w:color w:val="auto"/>
          <w:vertAlign w:val="superscript"/>
        </w:rPr>
        <w:t>3.</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35"/>
          <w:szCs w:val="35"/>
          <w:color w:val="auto"/>
          <w:vertAlign w:val="superscript"/>
        </w:rPr>
        <w:t>4</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5</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6</w:t>
      </w:r>
      <w:r>
        <w:rPr>
          <w:rFonts w:ascii="Arial" w:cs="Arial" w:eastAsia="Arial" w:hAnsi="Arial"/>
          <w:sz w:val="22"/>
          <w:szCs w:val="22"/>
          <w:color w:val="auto"/>
        </w:rPr>
        <w:t>.</w:t>
      </w:r>
    </w:p>
    <w:p>
      <w:pPr>
        <w:spacing w:after="0" w:line="3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Interim MD&amp;A incorporated by reference into this Prospectus Supplement.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Other than as set forth below and generally in this Prospectus Supplement, the Base Shelf Prospectus or the documents incorporated by reference herein, there have been no material developments in the business of the Corporation since August 14, 2023, the date of the Corporation's most recently issued Interim Financial Statements and Interim MD&amp;A.</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and treatment-resistant depression.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357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3" w:lineRule="exact"/>
        <w:rPr>
          <w:sz w:val="20"/>
          <w:szCs w:val="20"/>
          <w:color w:val="auto"/>
        </w:rPr>
      </w:pPr>
    </w:p>
    <w:p>
      <w:pPr>
        <w:ind w:left="160" w:hanging="152"/>
        <w:spacing w:after="0"/>
        <w:tabs>
          <w:tab w:leader="none" w:pos="160" w:val="left"/>
        </w:tabs>
        <w:numPr>
          <w:ilvl w:val="0"/>
          <w:numId w:val="6"/>
        </w:numPr>
        <w:rPr>
          <w:rFonts w:ascii="Arial" w:cs="Arial" w:eastAsia="Arial" w:hAnsi="Arial"/>
          <w:sz w:val="36"/>
          <w:szCs w:val="36"/>
          <w:color w:val="auto"/>
          <w:vertAlign w:val="superscript"/>
        </w:rPr>
      </w:pPr>
      <w:r>
        <w:rPr>
          <w:rFonts w:ascii="Arial" w:cs="Arial" w:eastAsia="Arial" w:hAnsi="Arial"/>
          <w:sz w:val="22"/>
          <w:szCs w:val="22"/>
          <w:color w:val="auto"/>
        </w:rPr>
        <w:t>See footnote 1.</w:t>
      </w:r>
    </w:p>
    <w:p>
      <w:pPr>
        <w:spacing w:after="0" w:line="40" w:lineRule="exact"/>
        <w:rPr>
          <w:rFonts w:ascii="Arial" w:cs="Arial" w:eastAsia="Arial" w:hAnsi="Arial"/>
          <w:sz w:val="36"/>
          <w:szCs w:val="36"/>
          <w:color w:val="auto"/>
          <w:vertAlign w:val="superscript"/>
        </w:rPr>
      </w:pP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3</w:t>
      </w:r>
      <w:r>
        <w:rPr>
          <w:rFonts w:ascii="Arial" w:cs="Arial" w:eastAsia="Arial" w:hAnsi="Arial"/>
          <w:sz w:val="21"/>
          <w:szCs w:val="21"/>
          <w:color w:val="auto"/>
        </w:rPr>
        <w:t xml:space="preserve"> See footnote 1.</w:t>
      </w: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4</w:t>
      </w:r>
      <w:r>
        <w:rPr>
          <w:rFonts w:ascii="Arial" w:cs="Arial" w:eastAsia="Arial" w:hAnsi="Arial"/>
          <w:sz w:val="21"/>
          <w:szCs w:val="21"/>
          <w:color w:val="auto"/>
        </w:rPr>
        <w:t xml:space="preserve"> See footnote 1.</w:t>
      </w: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5</w:t>
      </w:r>
      <w:r>
        <w:rPr>
          <w:rFonts w:ascii="Arial" w:cs="Arial" w:eastAsia="Arial" w:hAnsi="Arial"/>
          <w:sz w:val="21"/>
          <w:szCs w:val="21"/>
          <w:color w:val="auto"/>
        </w:rPr>
        <w:t xml:space="preserve"> See footnote 1</w:t>
      </w:r>
      <w:r>
        <w:rPr>
          <w:rFonts w:ascii="Arial" w:cs="Arial" w:eastAsia="Arial" w:hAnsi="Arial"/>
          <w:sz w:val="21"/>
          <w:szCs w:val="21"/>
          <w:b w:val="1"/>
          <w:bCs w:val="1"/>
          <w:color w:val="auto"/>
        </w:rPr>
        <w:t>.</w:t>
      </w:r>
    </w:p>
    <w:p>
      <w:pPr>
        <w:spacing w:after="0"/>
        <w:rPr>
          <w:rFonts w:ascii="Arial" w:cs="Arial" w:eastAsia="Arial" w:hAnsi="Arial"/>
          <w:sz w:val="36"/>
          <w:szCs w:val="36"/>
          <w:color w:val="auto"/>
          <w:vertAlign w:val="superscript"/>
        </w:rPr>
      </w:pPr>
      <w:r>
        <w:rPr>
          <w:rFonts w:ascii="Arial" w:cs="Arial" w:eastAsia="Arial" w:hAnsi="Arial"/>
          <w:sz w:val="35"/>
          <w:szCs w:val="35"/>
          <w:color w:val="auto"/>
          <w:vertAlign w:val="superscript"/>
        </w:rPr>
        <w:t>6</w:t>
      </w:r>
      <w:r>
        <w:rPr>
          <w:rFonts w:ascii="Arial" w:cs="Arial" w:eastAsia="Arial" w:hAnsi="Arial"/>
          <w:sz w:val="22"/>
          <w:szCs w:val="22"/>
          <w:color w:val="auto"/>
        </w:rPr>
        <w:t xml:space="preserve"> See footnote 1</w:t>
      </w:r>
      <w:r>
        <w:rPr>
          <w:rFonts w:ascii="Arial" w:cs="Arial" w:eastAsia="Arial" w:hAnsi="Arial"/>
          <w:sz w:val="22"/>
          <w:szCs w:val="22"/>
          <w:b w:val="1"/>
          <w:bCs w:val="1"/>
          <w:color w:val="auto"/>
        </w:rPr>
        <w: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both"/>
        <w:spacing w:after="0" w:line="241" w:lineRule="auto"/>
        <w:rPr>
          <w:sz w:val="20"/>
          <w:szCs w:val="20"/>
          <w:color w:val="auto"/>
        </w:rPr>
      </w:pPr>
      <w:r>
        <w:rPr>
          <w:rFonts w:ascii="Arial" w:cs="Arial" w:eastAsia="Arial" w:hAnsi="Arial"/>
          <w:sz w:val="22"/>
          <w:szCs w:val="22"/>
          <w:color w:val="auto"/>
        </w:rPr>
        <w:t>On August 17, 2023, the Corporation announced that it has initiated preparations for good manufacturing practices production of a capsule formulation of CYB003, its proprietary deuterated psilocybin analog in development for the potential treatment of Major Depressive Disorder.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Intercorporate Relationship</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124460</wp:posOffset>
            </wp:positionV>
            <wp:extent cx="3162935" cy="3351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629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80" w:right="1400" w:hanging="288"/>
        <w:spacing w:after="0" w:line="289" w:lineRule="auto"/>
        <w:tabs>
          <w:tab w:leader="none" w:pos="1519"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shareholders of Adelia Therapeutics Inc. ("</w:t>
      </w:r>
      <w:r>
        <w:rPr>
          <w:rFonts w:ascii="Arial" w:cs="Arial" w:eastAsia="Arial" w:hAnsi="Arial"/>
          <w:sz w:val="19"/>
          <w:szCs w:val="19"/>
          <w:b w:val="1"/>
          <w:bCs w:val="1"/>
          <w:color w:val="auto"/>
        </w:rPr>
        <w:t>Adelia</w:t>
      </w:r>
      <w:r>
        <w:rPr>
          <w:rFonts w:ascii="Arial" w:cs="Arial" w:eastAsia="Arial" w:hAnsi="Arial"/>
          <w:sz w:val="19"/>
          <w:szCs w:val="19"/>
          <w:color w:val="auto"/>
        </w:rPr>
        <w:t>") hold certain non-voting securities of Cybin U.S. issued in connection with the acquisition of Adelia on December 14, 2020 (the "</w:t>
      </w:r>
      <w:r>
        <w:rPr>
          <w:rFonts w:ascii="Arial" w:cs="Arial" w:eastAsia="Arial" w:hAnsi="Arial"/>
          <w:sz w:val="19"/>
          <w:szCs w:val="19"/>
          <w:b w:val="1"/>
          <w:bCs w:val="1"/>
          <w:color w:val="auto"/>
        </w:rPr>
        <w:t>Adelia Transaction</w:t>
      </w:r>
      <w:r>
        <w:rPr>
          <w:rFonts w:ascii="Arial" w:cs="Arial" w:eastAsia="Arial" w:hAnsi="Arial"/>
          <w:sz w:val="19"/>
          <w:szCs w:val="19"/>
          <w:color w:val="auto"/>
        </w:rPr>
        <w:t>"). For additional information in respect of the Adelia Transaction, please see the Annual Information Form incorporated by reference in this Prospectus Supplement.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 BEING DISTRIBUTED</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is authorized to issue an unlimited number of Common Shares and an unlimited number of preferred shares. As at August 17, 2023, the Corporation had 234,683,234 Common Shares and nil preferred shares issued and outstanding.</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Warrant Shares are Common Shares and therefore have all of the rights, privileges, restrictions and conditions of other Common Shares of the Corporation. 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Corporation will receive all proceeds of the full exercise price of US$0.40 per Warrant Share upon issuance of the Warrant Shares upon any exercise of the Warrants from time to time. Assuming that all of the Warrants are exercised prior to the Warrant Expiry Date for cash and that no adjustment based on anti-dilution provisions contained in the Warrant Indenture has taken place, the proceeds to the Corporation will be US$9,705,882.40. There is no assurance as to how many Warrants will be exercised, if any. Accordingly, there is no assurance as to how many Warrant Shares will be issued pursuant to this Prospectus Supplement, if any, or the proceeds of such offering. It is currently anticipated that the net proceeds received from the exercise of Warrants for the progression of the Corporation's CYB003 and CYB004 programs, and general corporate and working capital purposes.</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use of the net proceeds is subject to change due to the influence of many evolving variables, including those as described under </w:t>
      </w:r>
      <w:r>
        <w:rPr>
          <w:rFonts w:ascii="Arial" w:cs="Arial" w:eastAsia="Arial" w:hAnsi="Arial"/>
          <w:sz w:val="19"/>
          <w:szCs w:val="19"/>
          <w:i w:val="1"/>
          <w:iCs w:val="1"/>
          <w:color w:val="auto"/>
        </w:rPr>
        <w:t>"Stage of Development of Principal Products"</w:t>
      </w:r>
      <w:r>
        <w:rPr>
          <w:rFonts w:ascii="Arial" w:cs="Arial" w:eastAsia="Arial" w:hAnsi="Arial"/>
          <w:sz w:val="19"/>
          <w:szCs w:val="19"/>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Arial" w:cs="Arial" w:eastAsia="Arial" w:hAnsi="Arial"/>
          <w:sz w:val="19"/>
          <w:szCs w:val="19"/>
          <w:i w:val="1"/>
          <w:iCs w:val="1"/>
          <w:color w:val="auto"/>
        </w:rPr>
        <w:t xml:space="preserve">"Cautionary Statement Regarding Forward-Looking Statements" </w:t>
      </w:r>
      <w:r>
        <w:rPr>
          <w:rFonts w:ascii="Arial" w:cs="Arial" w:eastAsia="Arial" w:hAnsi="Arial"/>
          <w:sz w:val="19"/>
          <w:szCs w:val="19"/>
          <w:color w:val="auto"/>
        </w:rPr>
        <w:t>and</w:t>
      </w:r>
      <w:r>
        <w:rPr>
          <w:rFonts w:ascii="Arial" w:cs="Arial" w:eastAsia="Arial" w:hAnsi="Arial"/>
          <w:sz w:val="19"/>
          <w:szCs w:val="19"/>
          <w:i w:val="1"/>
          <w:iCs w:val="1"/>
          <w:color w:val="auto"/>
        </w:rPr>
        <w:t xml:space="preserve"> "Risk Factors"</w:t>
      </w:r>
      <w:r>
        <w:rPr>
          <w:rFonts w:ascii="Arial" w:cs="Arial" w:eastAsia="Arial" w:hAnsi="Arial"/>
          <w:sz w:val="19"/>
          <w:szCs w:val="19"/>
          <w:color w:val="auto"/>
        </w:rPr>
        <w:t>.</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Arial" w:cs="Arial" w:eastAsia="Arial" w:hAnsi="Arial"/>
          <w:sz w:val="22"/>
          <w:szCs w:val="22"/>
          <w:i w:val="1"/>
          <w:iCs w:val="1"/>
          <w:color w:val="auto"/>
        </w:rPr>
        <w:t>"Risk Factors - Risks Related to the Offering - Discretion in</w:t>
      </w:r>
      <w:r>
        <w:rPr>
          <w:rFonts w:ascii="Arial" w:cs="Arial" w:eastAsia="Arial" w:hAnsi="Arial"/>
          <w:sz w:val="22"/>
          <w:szCs w:val="22"/>
          <w:color w:val="auto"/>
        </w:rPr>
        <w:t xml:space="preserve"> </w:t>
      </w:r>
      <w:r>
        <w:rPr>
          <w:rFonts w:ascii="Arial" w:cs="Arial" w:eastAsia="Arial" w:hAnsi="Arial"/>
          <w:sz w:val="22"/>
          <w:szCs w:val="22"/>
          <w:i w:val="1"/>
          <w:iCs w:val="1"/>
          <w:color w:val="auto"/>
        </w:rPr>
        <w:t>the Use of Proceeds"</w:t>
      </w:r>
      <w:r>
        <w:rPr>
          <w:rFonts w:ascii="Arial" w:cs="Arial" w:eastAsia="Arial" w:hAnsi="Arial"/>
          <w:sz w:val="22"/>
          <w:szCs w:val="22"/>
          <w:color w:val="auto"/>
        </w:rPr>
        <w: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9"/>
          <w:szCs w:val="19"/>
          <w:i w:val="1"/>
          <w:iCs w:val="1"/>
          <w:color w:val="auto"/>
        </w:rPr>
        <w:t>"Risk Factors - Risks Related to an Offering - Negative Operating Cash Flow and</w:t>
      </w:r>
      <w:r>
        <w:rPr>
          <w:rFonts w:ascii="Arial" w:cs="Arial" w:eastAsia="Arial" w:hAnsi="Arial"/>
          <w:sz w:val="19"/>
          <w:szCs w:val="19"/>
          <w:color w:val="auto"/>
        </w:rPr>
        <w:t xml:space="preserve"> </w:t>
      </w:r>
      <w:r>
        <w:rPr>
          <w:rFonts w:ascii="Arial" w:cs="Arial" w:eastAsia="Arial" w:hAnsi="Arial"/>
          <w:sz w:val="19"/>
          <w:szCs w:val="19"/>
          <w:i w:val="1"/>
          <w:iCs w:val="1"/>
          <w:color w:val="auto"/>
        </w:rPr>
        <w:t>Going Concern".</w:t>
      </w:r>
    </w:p>
    <w:p>
      <w:pPr>
        <w:spacing w:after="0" w:line="200" w:lineRule="exact"/>
        <w:rPr>
          <w:sz w:val="20"/>
          <w:szCs w:val="20"/>
          <w:color w:val="auto"/>
        </w:rPr>
      </w:pP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Annual Information Form and the Interim MD&amp;A, to which there has been no material changes since the date of the applicable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ind w:left="80" w:right="20"/>
        <w:spacing w:after="0" w:line="250" w:lineRule="auto"/>
        <w:rPr>
          <w:sz w:val="20"/>
          <w:szCs w:val="20"/>
          <w:color w:val="auto"/>
        </w:rPr>
      </w:pPr>
      <w:r>
        <w:rPr>
          <w:rFonts w:ascii="Arial" w:cs="Arial" w:eastAsia="Arial" w:hAnsi="Arial"/>
          <w:sz w:val="22"/>
          <w:szCs w:val="22"/>
          <w:color w:val="auto"/>
        </w:rPr>
        <w:t>There have been no material changes in the Corporation's share or loan capitalization on a consolidated basis since the date of the Interim Financial Statements.</w:t>
      </w:r>
    </w:p>
    <w:p>
      <w:pPr>
        <w:spacing w:after="0" w:line="175" w:lineRule="exact"/>
        <w:rPr>
          <w:sz w:val="20"/>
          <w:szCs w:val="20"/>
          <w:color w:val="auto"/>
        </w:rPr>
      </w:pPr>
    </w:p>
    <w:p>
      <w:pPr>
        <w:jc w:val="both"/>
        <w:ind w:left="80"/>
        <w:spacing w:after="0" w:line="236" w:lineRule="auto"/>
        <w:rPr>
          <w:sz w:val="20"/>
          <w:szCs w:val="20"/>
          <w:color w:val="auto"/>
        </w:rPr>
      </w:pPr>
      <w:r>
        <w:rPr>
          <w:rFonts w:ascii="Arial" w:cs="Arial" w:eastAsia="Arial" w:hAnsi="Arial"/>
          <w:sz w:val="22"/>
          <w:szCs w:val="22"/>
          <w:color w:val="auto"/>
        </w:rPr>
        <w:t>The following table sets forth the Corporation's cash, indebtedness and shareholders' equity as of June 30, 2023, the Corporation's fiscal year end: (a) on an actual basis; and (b) after giving effect to both the Unit Offering and the Offering (assuming all Warrants are exercised prior to the Warrant Expiry Date for cash and that no adjustment based on anti-dilution provisions contained in the Warrant Indenture has taken place). This table should be read in conjunction with the Interim Financial Statements and Interim MD&amp;A.</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b w:val="1"/>
                <w:bCs w:val="1"/>
                <w:color w:val="auto"/>
              </w:rPr>
              <w:t>As at June 30, 2023, after</w:t>
            </w:r>
          </w:p>
        </w:tc>
      </w:tr>
      <w:tr>
        <w:trPr>
          <w:trHeight w:val="220"/>
        </w:trPr>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tcPr>
          <w:p>
            <w:pPr>
              <w:ind w:left="500"/>
              <w:spacing w:after="0"/>
              <w:rPr>
                <w:sz w:val="20"/>
                <w:szCs w:val="20"/>
                <w:color w:val="auto"/>
              </w:rPr>
            </w:pPr>
            <w:r>
              <w:rPr>
                <w:rFonts w:ascii="Arial" w:cs="Arial" w:eastAsia="Arial" w:hAnsi="Arial"/>
                <w:sz w:val="18"/>
                <w:szCs w:val="18"/>
                <w:b w:val="1"/>
                <w:bCs w:val="1"/>
                <w:color w:val="auto"/>
              </w:rPr>
              <w:t>giving effect to the Unit</w:t>
            </w:r>
          </w:p>
        </w:tc>
      </w:tr>
      <w:tr>
        <w:trPr>
          <w:trHeight w:val="271"/>
        </w:trPr>
        <w:tc>
          <w:tcPr>
            <w:tcW w:w="30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 of Capital</w:t>
            </w:r>
          </w:p>
        </w:tc>
        <w:tc>
          <w:tcPr>
            <w:tcW w:w="3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2023</w:t>
            </w:r>
          </w:p>
        </w:tc>
        <w:tc>
          <w:tcPr>
            <w:tcW w:w="2860" w:type="dxa"/>
            <w:vAlign w:val="bottom"/>
          </w:tcPr>
          <w:p>
            <w:pPr>
              <w:ind w:left="480"/>
              <w:spacing w:after="0" w:line="271" w:lineRule="exact"/>
              <w:rPr>
                <w:sz w:val="20"/>
                <w:szCs w:val="20"/>
                <w:color w:val="auto"/>
              </w:rPr>
            </w:pPr>
            <w:r>
              <w:rPr>
                <w:rFonts w:ascii="Arial" w:cs="Arial" w:eastAsia="Arial" w:hAnsi="Arial"/>
                <w:sz w:val="18"/>
                <w:szCs w:val="18"/>
                <w:b w:val="1"/>
                <w:bCs w:val="1"/>
                <w:color w:val="auto"/>
              </w:rPr>
              <w:t>Offering and Offering</w:t>
            </w:r>
            <w:r>
              <w:rPr>
                <w:rFonts w:ascii="Arial" w:cs="Arial" w:eastAsia="Arial" w:hAnsi="Arial"/>
                <w:sz w:val="29"/>
                <w:szCs w:val="29"/>
                <w:b w:val="1"/>
                <w:bCs w:val="1"/>
                <w:color w:val="auto"/>
                <w:vertAlign w:val="superscript"/>
              </w:rPr>
              <w:t>(1)</w:t>
            </w:r>
          </w:p>
        </w:tc>
      </w:tr>
      <w:tr>
        <w:trPr>
          <w:trHeight w:val="250"/>
        </w:trPr>
        <w:tc>
          <w:tcPr>
            <w:tcW w:w="2760" w:type="dxa"/>
            <w:vAlign w:val="bottom"/>
            <w:tcBorders>
              <w:top w:val="single" w:sz="8" w:color="auto"/>
            </w:tcBorders>
            <w:shd w:val="clear" w:color="auto" w:fill="E6EFFF"/>
          </w:tcPr>
          <w:p>
            <w:pPr>
              <w:ind w:left="100"/>
              <w:spacing w:after="0" w:line="25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8"/>
                <w:szCs w:val="28"/>
                <w:color w:val="auto"/>
                <w:vertAlign w:val="superscript"/>
              </w:rPr>
              <w:t>(1)</w:t>
            </w:r>
          </w:p>
        </w:tc>
        <w:tc>
          <w:tcPr>
            <w:tcW w:w="260" w:type="dxa"/>
            <w:vAlign w:val="bottom"/>
            <w:tcBorders>
              <w:top w:val="single" w:sz="8" w:color="E6EFFF"/>
            </w:tcBorders>
            <w:shd w:val="clear" w:color="auto" w:fill="E6EFFF"/>
          </w:tcPr>
          <w:p>
            <w:pPr>
              <w:spacing w:after="0"/>
              <w:rPr>
                <w:sz w:val="21"/>
                <w:szCs w:val="21"/>
                <w:color w:val="auto"/>
              </w:rPr>
            </w:pPr>
          </w:p>
        </w:tc>
        <w:tc>
          <w:tcPr>
            <w:tcW w:w="286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88"/>
              </w:rPr>
              <w:t>$9,349,000</w:t>
            </w:r>
          </w:p>
        </w:tc>
        <w:tc>
          <w:tcPr>
            <w:tcW w:w="240" w:type="dxa"/>
            <w:vAlign w:val="bottom"/>
            <w:tcBorders>
              <w:top w:val="single" w:sz="8" w:color="E6EFFF"/>
            </w:tcBorders>
            <w:shd w:val="clear" w:color="auto" w:fill="E6EFFF"/>
          </w:tcPr>
          <w:p>
            <w:pPr>
              <w:spacing w:after="0"/>
              <w:rPr>
                <w:sz w:val="21"/>
                <w:szCs w:val="21"/>
                <w:color w:val="auto"/>
              </w:rPr>
            </w:pPr>
          </w:p>
        </w:tc>
        <w:tc>
          <w:tcPr>
            <w:tcW w:w="2860" w:type="dxa"/>
            <w:vAlign w:val="bottom"/>
            <w:tcBorders>
              <w:top w:val="single" w:sz="8" w:color="auto"/>
            </w:tcBorders>
            <w:shd w:val="clear" w:color="auto" w:fill="E6EFFF"/>
          </w:tcPr>
          <w:p>
            <w:pPr>
              <w:jc w:val="center"/>
              <w:spacing w:after="0" w:line="250" w:lineRule="exact"/>
              <w:rPr>
                <w:sz w:val="20"/>
                <w:szCs w:val="20"/>
                <w:color w:val="auto"/>
              </w:rPr>
            </w:pPr>
            <w:r>
              <w:rPr>
                <w:rFonts w:ascii="Arial" w:cs="Arial" w:eastAsia="Arial" w:hAnsi="Arial"/>
                <w:sz w:val="17"/>
                <w:szCs w:val="17"/>
                <w:color w:val="auto"/>
                <w:w w:val="92"/>
              </w:rPr>
              <w:t>$32,510,350</w:t>
            </w:r>
            <w:r>
              <w:rPr>
                <w:rFonts w:ascii="Arial" w:cs="Arial" w:eastAsia="Arial" w:hAnsi="Arial"/>
                <w:sz w:val="28"/>
                <w:szCs w:val="28"/>
                <w:color w:val="auto"/>
                <w:w w:val="92"/>
                <w:vertAlign w:val="superscript"/>
              </w:rPr>
              <w:t>(2)</w:t>
            </w:r>
          </w:p>
        </w:tc>
      </w:tr>
      <w:tr>
        <w:trPr>
          <w:trHeight w:val="216"/>
        </w:trPr>
        <w:tc>
          <w:tcPr>
            <w:tcW w:w="3020" w:type="dxa"/>
            <w:vAlign w:val="bottom"/>
            <w:gridSpan w:val="2"/>
          </w:tcPr>
          <w:p>
            <w:pPr>
              <w:ind w:left="100"/>
              <w:spacing w:after="0"/>
              <w:rPr>
                <w:sz w:val="20"/>
                <w:szCs w:val="20"/>
                <w:color w:val="auto"/>
              </w:rPr>
            </w:pPr>
            <w:r>
              <w:rPr>
                <w:rFonts w:ascii="Arial" w:cs="Arial" w:eastAsia="Arial" w:hAnsi="Arial"/>
                <w:sz w:val="18"/>
                <w:szCs w:val="18"/>
                <w:color w:val="auto"/>
              </w:rPr>
              <w:t>Loans and Borrowings</w:t>
            </w:r>
          </w:p>
        </w:tc>
        <w:tc>
          <w:tcPr>
            <w:tcW w:w="3100" w:type="dxa"/>
            <w:vAlign w:val="bottom"/>
            <w:gridSpan w:val="2"/>
          </w:tcPr>
          <w:p>
            <w:pPr>
              <w:jc w:val="center"/>
              <w:ind w:right="260"/>
              <w:spacing w:after="0"/>
              <w:rPr>
                <w:sz w:val="20"/>
                <w:szCs w:val="20"/>
                <w:color w:val="auto"/>
              </w:rPr>
            </w:pPr>
            <w:r>
              <w:rPr>
                <w:rFonts w:ascii="Arial" w:cs="Arial" w:eastAsia="Arial" w:hAnsi="Arial"/>
                <w:sz w:val="18"/>
                <w:szCs w:val="18"/>
                <w:color w:val="auto"/>
              </w:rPr>
              <w:t>Nil</w:t>
            </w:r>
          </w:p>
        </w:tc>
        <w:tc>
          <w:tcPr>
            <w:tcW w:w="2860" w:type="dxa"/>
            <w:vAlign w:val="bottom"/>
          </w:tcPr>
          <w:p>
            <w:pPr>
              <w:ind w:left="1300"/>
              <w:spacing w:after="0"/>
              <w:rPr>
                <w:sz w:val="20"/>
                <w:szCs w:val="20"/>
                <w:color w:val="auto"/>
              </w:rPr>
            </w:pPr>
            <w:r>
              <w:rPr>
                <w:rFonts w:ascii="Arial" w:cs="Arial" w:eastAsia="Arial" w:hAnsi="Arial"/>
                <w:sz w:val="18"/>
                <w:szCs w:val="18"/>
                <w:color w:val="auto"/>
              </w:rPr>
              <w:t>Nil</w:t>
            </w:r>
          </w:p>
        </w:tc>
      </w:tr>
      <w:tr>
        <w:trPr>
          <w:trHeight w:val="216"/>
        </w:trPr>
        <w:tc>
          <w:tcPr>
            <w:tcW w:w="302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Common Shares</w:t>
            </w:r>
          </w:p>
        </w:tc>
        <w:tc>
          <w:tcPr>
            <w:tcW w:w="28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208,325,846</w:t>
            </w:r>
          </w:p>
        </w:tc>
        <w:tc>
          <w:tcPr>
            <w:tcW w:w="240" w:type="dxa"/>
            <w:vAlign w:val="bottom"/>
            <w:shd w:val="clear" w:color="auto" w:fill="E6EFFF"/>
          </w:tcPr>
          <w:p>
            <w:pPr>
              <w:spacing w:after="0"/>
              <w:rPr>
                <w:sz w:val="18"/>
                <w:szCs w:val="18"/>
                <w:color w:val="auto"/>
              </w:rPr>
            </w:pPr>
          </w:p>
        </w:tc>
        <w:tc>
          <w:tcPr>
            <w:tcW w:w="28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256,855,258</w:t>
            </w:r>
          </w:p>
        </w:tc>
      </w:tr>
      <w:tr>
        <w:trPr>
          <w:trHeight w:val="216"/>
        </w:trPr>
        <w:tc>
          <w:tcPr>
            <w:tcW w:w="3020" w:type="dxa"/>
            <w:vAlign w:val="bottom"/>
            <w:gridSpan w:val="2"/>
          </w:tcPr>
          <w:p>
            <w:pPr>
              <w:ind w:left="100"/>
              <w:spacing w:after="0"/>
              <w:rPr>
                <w:sz w:val="20"/>
                <w:szCs w:val="20"/>
                <w:color w:val="auto"/>
              </w:rPr>
            </w:pPr>
            <w:r>
              <w:rPr>
                <w:rFonts w:ascii="Arial" w:cs="Arial" w:eastAsia="Arial" w:hAnsi="Arial"/>
                <w:sz w:val="18"/>
                <w:szCs w:val="18"/>
                <w:color w:val="auto"/>
              </w:rPr>
              <w:t>Stock options</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40,980,425</w:t>
            </w:r>
          </w:p>
        </w:tc>
        <w:tc>
          <w:tcPr>
            <w:tcW w:w="2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40,980,425</w:t>
            </w:r>
          </w:p>
        </w:tc>
      </w:tr>
      <w:tr>
        <w:trPr>
          <w:trHeight w:val="216"/>
        </w:trPr>
        <w:tc>
          <w:tcPr>
            <w:tcW w:w="302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Compensation warrants</w:t>
            </w:r>
          </w:p>
        </w:tc>
        <w:tc>
          <w:tcPr>
            <w:tcW w:w="28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868,740</w:t>
            </w:r>
          </w:p>
        </w:tc>
        <w:tc>
          <w:tcPr>
            <w:tcW w:w="240" w:type="dxa"/>
            <w:vAlign w:val="bottom"/>
            <w:shd w:val="clear" w:color="auto" w:fill="E6EFFF"/>
          </w:tcPr>
          <w:p>
            <w:pPr>
              <w:spacing w:after="0"/>
              <w:rPr>
                <w:sz w:val="18"/>
                <w:szCs w:val="18"/>
                <w:color w:val="auto"/>
              </w:rPr>
            </w:pPr>
          </w:p>
        </w:tc>
        <w:tc>
          <w:tcPr>
            <w:tcW w:w="28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868,740</w:t>
            </w:r>
          </w:p>
        </w:tc>
      </w:tr>
      <w:tr>
        <w:trPr>
          <w:trHeight w:val="216"/>
        </w:trPr>
        <w:tc>
          <w:tcPr>
            <w:tcW w:w="3020" w:type="dxa"/>
            <w:vAlign w:val="bottom"/>
            <w:gridSpan w:val="2"/>
          </w:tcPr>
          <w:p>
            <w:pPr>
              <w:ind w:left="100"/>
              <w:spacing w:after="0"/>
              <w:rPr>
                <w:sz w:val="20"/>
                <w:szCs w:val="20"/>
                <w:color w:val="auto"/>
              </w:rPr>
            </w:pPr>
            <w:r>
              <w:rPr>
                <w:rFonts w:ascii="Arial" w:cs="Arial" w:eastAsia="Arial" w:hAnsi="Arial"/>
                <w:sz w:val="18"/>
                <w:szCs w:val="18"/>
                <w:color w:val="auto"/>
              </w:rPr>
              <w:t>Common Share purchase warrants</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23,230,485</w:t>
            </w:r>
          </w:p>
        </w:tc>
        <w:tc>
          <w:tcPr>
            <w:tcW w:w="2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23,230,485</w:t>
            </w:r>
          </w:p>
        </w:tc>
      </w:tr>
      <w:tr>
        <w:trPr>
          <w:trHeight w:val="205"/>
        </w:trPr>
        <w:tc>
          <w:tcPr>
            <w:tcW w:w="3020" w:type="dxa"/>
            <w:vAlign w:val="bottom"/>
            <w:gridSpan w:val="2"/>
            <w:shd w:val="clear" w:color="auto" w:fill="E6EFFF"/>
          </w:tcPr>
          <w:p>
            <w:pPr>
              <w:ind w:left="100"/>
              <w:spacing w:after="0" w:line="206" w:lineRule="exact"/>
              <w:rPr>
                <w:sz w:val="20"/>
                <w:szCs w:val="20"/>
                <w:color w:val="auto"/>
              </w:rPr>
            </w:pPr>
            <w:r>
              <w:rPr>
                <w:rFonts w:ascii="Arial" w:cs="Arial" w:eastAsia="Arial" w:hAnsi="Arial"/>
                <w:sz w:val="18"/>
                <w:szCs w:val="18"/>
                <w:color w:val="auto"/>
              </w:rPr>
              <w:t>Class B Shares (as defined below)</w:t>
            </w:r>
          </w:p>
        </w:tc>
        <w:tc>
          <w:tcPr>
            <w:tcW w:w="2860" w:type="dxa"/>
            <w:vAlign w:val="bottom"/>
            <w:shd w:val="clear" w:color="auto" w:fill="E6EFFF"/>
          </w:tcPr>
          <w:p>
            <w:pPr>
              <w:jc w:val="center"/>
              <w:spacing w:after="0" w:line="206" w:lineRule="exact"/>
              <w:rPr>
                <w:sz w:val="20"/>
                <w:szCs w:val="20"/>
                <w:color w:val="auto"/>
              </w:rPr>
            </w:pPr>
            <w:r>
              <w:rPr>
                <w:rFonts w:ascii="Arial" w:cs="Arial" w:eastAsia="Arial" w:hAnsi="Arial"/>
                <w:sz w:val="18"/>
                <w:szCs w:val="18"/>
                <w:color w:val="auto"/>
                <w:w w:val="89"/>
              </w:rPr>
              <w:t>530,542.1</w:t>
            </w:r>
          </w:p>
        </w:tc>
        <w:tc>
          <w:tcPr>
            <w:tcW w:w="240" w:type="dxa"/>
            <w:vAlign w:val="bottom"/>
            <w:shd w:val="clear" w:color="auto" w:fill="E6EFFF"/>
          </w:tcPr>
          <w:p>
            <w:pPr>
              <w:spacing w:after="0"/>
              <w:rPr>
                <w:sz w:val="17"/>
                <w:szCs w:val="17"/>
                <w:color w:val="auto"/>
              </w:rPr>
            </w:pPr>
          </w:p>
        </w:tc>
        <w:tc>
          <w:tcPr>
            <w:tcW w:w="2860" w:type="dxa"/>
            <w:vAlign w:val="bottom"/>
            <w:shd w:val="clear" w:color="auto" w:fill="E6EFFF"/>
          </w:tcPr>
          <w:p>
            <w:pPr>
              <w:jc w:val="center"/>
              <w:spacing w:after="0" w:line="206" w:lineRule="exact"/>
              <w:rPr>
                <w:sz w:val="20"/>
                <w:szCs w:val="20"/>
                <w:color w:val="auto"/>
              </w:rPr>
            </w:pPr>
            <w:r>
              <w:rPr>
                <w:rFonts w:ascii="Arial" w:cs="Arial" w:eastAsia="Arial" w:hAnsi="Arial"/>
                <w:sz w:val="18"/>
                <w:szCs w:val="18"/>
                <w:color w:val="auto"/>
                <w:w w:val="89"/>
              </w:rPr>
              <w:t>530,542.1</w:t>
            </w:r>
          </w:p>
        </w:tc>
      </w:tr>
      <w:tr>
        <w:trPr>
          <w:trHeight w:val="190"/>
        </w:trPr>
        <w:tc>
          <w:tcPr>
            <w:tcW w:w="2760" w:type="dxa"/>
            <w:vAlign w:val="bottom"/>
            <w:shd w:val="clear" w:color="auto" w:fill="E6EFFF"/>
          </w:tcPr>
          <w:p>
            <w:pPr>
              <w:ind w:left="100"/>
              <w:spacing w:after="0"/>
              <w:rPr>
                <w:sz w:val="20"/>
                <w:szCs w:val="20"/>
                <w:color w:val="auto"/>
              </w:rPr>
            </w:pPr>
            <w:r>
              <w:rPr>
                <w:rFonts w:ascii="Arial" w:cs="Arial" w:eastAsia="Arial" w:hAnsi="Arial"/>
                <w:sz w:val="15"/>
                <w:szCs w:val="15"/>
                <w:color w:val="auto"/>
              </w:rPr>
              <w:t>(3)</w:t>
            </w:r>
          </w:p>
        </w:tc>
        <w:tc>
          <w:tcPr>
            <w:tcW w:w="260" w:type="dxa"/>
            <w:vAlign w:val="bottom"/>
            <w:shd w:val="clear" w:color="auto" w:fill="E6EFFF"/>
          </w:tcPr>
          <w:p>
            <w:pPr>
              <w:spacing w:after="0"/>
              <w:rPr>
                <w:sz w:val="16"/>
                <w:szCs w:val="16"/>
                <w:color w:val="auto"/>
              </w:rPr>
            </w:pPr>
          </w:p>
        </w:tc>
        <w:tc>
          <w:tcPr>
            <w:tcW w:w="286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2860" w:type="dxa"/>
            <w:vAlign w:val="bottom"/>
            <w:shd w:val="clear" w:color="auto" w:fill="E6EFFF"/>
          </w:tcPr>
          <w:p>
            <w:pPr>
              <w:spacing w:after="0"/>
              <w:rPr>
                <w:sz w:val="16"/>
                <w:szCs w:val="16"/>
                <w:color w:val="auto"/>
              </w:rPr>
            </w:pPr>
          </w:p>
        </w:tc>
      </w:tr>
      <w:tr>
        <w:trPr>
          <w:trHeight w:val="23"/>
        </w:trPr>
        <w:tc>
          <w:tcPr>
            <w:tcW w:w="2760" w:type="dxa"/>
            <w:vAlign w:val="bottom"/>
            <w:shd w:val="clear" w:color="auto" w:fill="E6EFFF"/>
          </w:tcPr>
          <w:p>
            <w:pPr>
              <w:spacing w:after="0"/>
              <w:rPr>
                <w:sz w:val="2"/>
                <w:szCs w:val="2"/>
                <w:color w:val="auto"/>
              </w:rPr>
            </w:pPr>
          </w:p>
        </w:tc>
        <w:tc>
          <w:tcPr>
            <w:tcW w:w="260" w:type="dxa"/>
            <w:vAlign w:val="bottom"/>
            <w:shd w:val="clear" w:color="auto" w:fill="E6EFFF"/>
          </w:tcPr>
          <w:p>
            <w:pPr>
              <w:spacing w:after="0"/>
              <w:rPr>
                <w:sz w:val="2"/>
                <w:szCs w:val="2"/>
                <w:color w:val="auto"/>
              </w:rPr>
            </w:pPr>
          </w:p>
        </w:tc>
        <w:tc>
          <w:tcPr>
            <w:tcW w:w="2860" w:type="dxa"/>
            <w:vAlign w:val="bottom"/>
            <w:shd w:val="clear" w:color="auto" w:fill="E6EFFF"/>
          </w:tcPr>
          <w:p>
            <w:pPr>
              <w:spacing w:after="0"/>
              <w:rPr>
                <w:sz w:val="2"/>
                <w:szCs w:val="2"/>
                <w:color w:val="auto"/>
              </w:rPr>
            </w:pPr>
          </w:p>
        </w:tc>
        <w:tc>
          <w:tcPr>
            <w:tcW w:w="240" w:type="dxa"/>
            <w:vAlign w:val="bottom"/>
            <w:shd w:val="clear" w:color="auto" w:fill="E6EFFF"/>
          </w:tcPr>
          <w:p>
            <w:pPr>
              <w:spacing w:after="0"/>
              <w:rPr>
                <w:sz w:val="2"/>
                <w:szCs w:val="2"/>
                <w:color w:val="auto"/>
              </w:rPr>
            </w:pPr>
          </w:p>
        </w:tc>
        <w:tc>
          <w:tcPr>
            <w:tcW w:w="2860" w:type="dxa"/>
            <w:vAlign w:val="bottom"/>
            <w:shd w:val="clear" w:color="auto" w:fill="E6EFFF"/>
          </w:tcPr>
          <w:p>
            <w:pPr>
              <w:spacing w:after="0"/>
              <w:rPr>
                <w:sz w:val="2"/>
                <w:szCs w:val="2"/>
                <w:color w:val="auto"/>
              </w:rPr>
            </w:pPr>
          </w:p>
        </w:tc>
      </w:tr>
    </w:tbl>
    <w:p>
      <w:pPr>
        <w:spacing w:after="0" w:line="18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Notes:</w:t>
      </w:r>
    </w:p>
    <w:p>
      <w:pPr>
        <w:spacing w:after="0" w:line="212" w:lineRule="exact"/>
        <w:rPr>
          <w:sz w:val="20"/>
          <w:szCs w:val="20"/>
          <w:color w:val="auto"/>
        </w:rPr>
      </w:pPr>
    </w:p>
    <w:p>
      <w:pPr>
        <w:ind w:left="720" w:right="20" w:hanging="352"/>
        <w:spacing w:after="0" w:line="239" w:lineRule="auto"/>
        <w:tabs>
          <w:tab w:leader="none" w:pos="753"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Proceeds from the Offering are before deducting expenses but are net proceeds after deducting certain fees of the Underwriters.</w:t>
      </w:r>
    </w:p>
    <w:p>
      <w:pPr>
        <w:ind w:left="720" w:hanging="352"/>
        <w:spacing w:after="0" w:line="230" w:lineRule="auto"/>
        <w:tabs>
          <w:tab w:leader="none" w:pos="75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proceeds from the Offering and the Unit Offering have been converted from U.S. dollars to Canadian dollars based on the Bank of Canada exchange rate as of July 31, 2023 of 1:1.3177.</w:t>
      </w:r>
    </w:p>
    <w:p>
      <w:pPr>
        <w:spacing w:after="0" w:line="1" w:lineRule="exact"/>
        <w:rPr>
          <w:rFonts w:ascii="Arial" w:cs="Arial" w:eastAsia="Arial" w:hAnsi="Arial"/>
          <w:sz w:val="22"/>
          <w:szCs w:val="22"/>
          <w:color w:val="auto"/>
        </w:rPr>
      </w:pPr>
    </w:p>
    <w:p>
      <w:pPr>
        <w:ind w:left="720" w:right="20" w:hanging="352"/>
        <w:spacing w:after="0" w:line="236" w:lineRule="auto"/>
        <w:tabs>
          <w:tab w:leader="none" w:pos="763"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Class B Shares are exchangeable for Common Shares on the basis of 10 Common Shares for each Class B Share, at the option of the holder thereof, subject to customary adjustments.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Prospectus Supplement relates to: (i) 24,264,706 Warrant Shares, issuable from time to time upon the exercise of 24,264,706 Warrants expected to be issued by the Corporation pursuant to the Offering; and (ii) such indeterminate number of Anti-Dilution Warrant Shares that may be issuable by reason of the anti-dilution provisions contained in the Warrant Indenture.</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Warrants will be governed by the terms of the Warrant Indenture. The following summary of certain anticipated provisions of the Warrant Indenture does not purport to be complete and is subject in its entirety to the detailed provisions of the Warrant Indenture. Reference is made to the Warrant Indenture for the full text of the attributes of the Warrants which will be filed by the Corporation under its corporate profile on SEDAR following the closing of the Offering. A register of holders will be maintained at the principal offices of the Warrant Agent in Calgary, Alberta, and is the location at which Warrants may be surrendered for exercise or transfer.</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Warrant will entitle the holder thereof to acquire, subject to adjustment in certain circumstances, one Warrant Share at an exercise price of US$0.40 until the Warrant Expiry Date. In the event the closing price of the Common Shares on the NEO at any time following the Closing Date is greater than an amount equal to $1.30 for a period of five (5) consecutive trading days, the Corporation shall have the right, but not the obligation, to accelerate the Warrant Expiry Date of the Warrants to the date that is thirty (30) days following the delivery of a notice to the holders of the Warrants, pursuant to the terms of the Warrant Indenture.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line="251" w:lineRule="auto"/>
        <w:rPr>
          <w:sz w:val="20"/>
          <w:szCs w:val="20"/>
          <w:color w:val="auto"/>
        </w:rPr>
      </w:pPr>
      <w:r>
        <w:rPr>
          <w:rFonts w:ascii="Arial" w:cs="Arial" w:eastAsia="Arial" w:hAnsi="Arial"/>
          <w:sz w:val="22"/>
          <w:szCs w:val="22"/>
          <w:color w:val="auto"/>
        </w:rPr>
        <w:t>The Warrant Indenture provides for adjustment in the number of Warrant Shares issuable upon the exercise of the Warrants and/or the exercise price per Warrant Share upon the occurrence of certain events, including:</w:t>
      </w:r>
    </w:p>
    <w:p>
      <w:pPr>
        <w:spacing w:after="0" w:line="173" w:lineRule="exact"/>
        <w:rPr>
          <w:sz w:val="20"/>
          <w:szCs w:val="20"/>
          <w:color w:val="auto"/>
        </w:rPr>
      </w:pPr>
    </w:p>
    <w:p>
      <w:pPr>
        <w:jc w:val="both"/>
        <w:ind w:left="720" w:hanging="352"/>
        <w:spacing w:after="0"/>
        <w:tabs>
          <w:tab w:leader="none" w:pos="75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issuance of Common Shares or securities exchangeable for or convertible into Common Shares to all or substantially all of the holders of the Common Shares as a stock dividend or other distribution (other than a distribution of Common Shares upon the exercise of Warrants);</w:t>
      </w:r>
    </w:p>
    <w:p>
      <w:pPr>
        <w:spacing w:after="0" w:line="186" w:lineRule="exact"/>
        <w:rPr>
          <w:rFonts w:ascii="Arial" w:cs="Arial" w:eastAsia="Arial" w:hAnsi="Arial"/>
          <w:sz w:val="22"/>
          <w:szCs w:val="22"/>
          <w:color w:val="auto"/>
        </w:rPr>
      </w:pPr>
    </w:p>
    <w:p>
      <w:pPr>
        <w:ind w:left="780" w:hanging="412"/>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subdivision, redivision or change of the Common Shares into a greater number of shares;</w:t>
      </w:r>
    </w:p>
    <w:p>
      <w:pPr>
        <w:spacing w:after="0" w:line="206" w:lineRule="exact"/>
        <w:rPr>
          <w:rFonts w:ascii="Arial" w:cs="Arial" w:eastAsia="Arial" w:hAnsi="Arial"/>
          <w:sz w:val="22"/>
          <w:szCs w:val="22"/>
          <w:color w:val="auto"/>
        </w:rPr>
      </w:pPr>
    </w:p>
    <w:p>
      <w:pPr>
        <w:ind w:left="780" w:hanging="412"/>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reduction, combination or consolidation of the Common Shares into a lesser number of shares;</w:t>
      </w:r>
    </w:p>
    <w:p>
      <w:pPr>
        <w:spacing w:after="0" w:line="206" w:lineRule="exact"/>
        <w:rPr>
          <w:rFonts w:ascii="Arial" w:cs="Arial" w:eastAsia="Arial" w:hAnsi="Arial"/>
          <w:sz w:val="22"/>
          <w:szCs w:val="22"/>
          <w:color w:val="auto"/>
        </w:rPr>
      </w:pPr>
    </w:p>
    <w:p>
      <w:pPr>
        <w:jc w:val="both"/>
        <w:ind w:left="720" w:hanging="352"/>
        <w:spacing w:after="0" w:line="282" w:lineRule="auto"/>
        <w:tabs>
          <w:tab w:leader="none" w:pos="763"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issuance to all or substantially all of the holders of the Common Shares of rights, options or warrants under which such holders are entitled, during a period expiring not more than 45 days after the record date for such issuance, to subscribe for or purchase Common Shares, or securities exchangeable for or convertible into Common Shares, at a price per share to the holder (or at an exchange or conversion price per share) of less than 95% of the "current market price", as defined in the Warrant Indenture, for the Common Shares on such record date; and</w:t>
      </w:r>
    </w:p>
    <w:p>
      <w:pPr>
        <w:spacing w:after="0" w:line="147" w:lineRule="exact"/>
        <w:rPr>
          <w:rFonts w:ascii="Arial" w:cs="Arial" w:eastAsia="Arial" w:hAnsi="Arial"/>
          <w:sz w:val="19"/>
          <w:szCs w:val="19"/>
          <w:color w:val="auto"/>
        </w:rPr>
      </w:pPr>
    </w:p>
    <w:p>
      <w:pPr>
        <w:jc w:val="both"/>
        <w:ind w:left="720" w:hanging="352"/>
        <w:spacing w:after="0" w:line="297" w:lineRule="auto"/>
        <w:tabs>
          <w:tab w:leader="none" w:pos="762"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issuance or distribution to all or substantially all of the holders of the Common Shares of shares of any class other than the Common Shares, rights, options or warrants to acquire Common Shares or securities exchangeable or convertible into Common Shares, of evidences of indebtedness, or any property or other assets.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Warrant Indenture also provides for adjustments in the class and/or number of securities issuable upon exercise of the Warrants and/or exercise price per security in the event of the following additional events: (a) a reclassification of the Common Shares or any compulsory share exchange pursuant to which the Common Shares are effectively converted into or exchanged for other securities, cash or property (other than a share reorganization), (b) a consolidation, amalgamation, arrangement or merger of the Corporation with or into any other corporation or other entity, in which the Corporation is not the surviving entity or the shareholders of the Corporation immediately prior to such consolidation, amalgamation, arrangement or merger do not own, directly or indirectly, at least 50% of the voting power of the surviving entity immediately after such consolidation, amalgamation, arrangement or merger, or (c) a transfer of the undertaking or assets of the Corporation as an entirety or substantially as an entirety to or with another person (other than to a subsidiary) (each, a "</w:t>
      </w:r>
      <w:r>
        <w:rPr>
          <w:rFonts w:ascii="Arial" w:cs="Arial" w:eastAsia="Arial" w:hAnsi="Arial"/>
          <w:sz w:val="19"/>
          <w:szCs w:val="19"/>
          <w:b w:val="1"/>
          <w:bCs w:val="1"/>
          <w:color w:val="auto"/>
        </w:rPr>
        <w:t>Fundamental Transaction</w:t>
      </w:r>
      <w:r>
        <w:rPr>
          <w:rFonts w:ascii="Arial" w:cs="Arial" w:eastAsia="Arial" w:hAnsi="Arial"/>
          <w:sz w:val="19"/>
          <w:szCs w:val="19"/>
          <w:color w:val="auto"/>
        </w:rPr>
        <w:t>"), in which case each holder of a Warrant which is thereafter exercised will receive, in lieu of Common Shares, the kind and number or amount of other securities or property which such holder would have been entitled to receive as a result of such event if such holder had exercised the Warrants prior to the event.</w:t>
      </w:r>
    </w:p>
    <w:p>
      <w:pPr>
        <w:spacing w:after="0" w:line="200" w:lineRule="exact"/>
        <w:rPr>
          <w:sz w:val="20"/>
          <w:szCs w:val="20"/>
          <w:color w:val="auto"/>
        </w:rPr>
      </w:pP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in certain circumstances, in the event of a Fundamental Transaction, the holder may, subject to certain conditions including the NEO's prior written approval in certain circumstances, require the Corporation or a successor company to purchase the Warrants from the holder by paying to the holder an amount of cash equal to the Black-Scholes value of the remaining unexercised portion of the Warrant on the date of consummation of such Fundamental Transaction; provided, however, that, if the Fundamental Transaction is not within the Corporation's control, including not approved by the Corporation's board of directors, the holder will only be entitled to receive from the Corporation or any successor company, as of the date of consummation of such Fundamental Transaction, the same type or form of consideration (and in the same proportion), at the Black-Scholes value of the unexercised portion of the Warrant, that is being offered and paid to the shareholders of the Corporation in connection with the Fundamental Transaction, whether that consideration is in the form of securities, cash, other property or any combination thereof, or whether the shareholders are given the choice to receive from among alternative forms of consideration in connection with the Fundamental Transaction.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also covenants in the Warrant Indenture that, during the period in which the Warrants are exercisable, it will give notice to holders of Warrants of certain stated events, including events that would result in an adjustment to the exercise price for the Warrants or the number of Warrant Shares issuable upon exercise of the Warrants, at least 14 days prior to the record date or effective date, as the case may be, of such events.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both"/>
        <w:spacing w:after="0" w:line="236" w:lineRule="auto"/>
        <w:rPr>
          <w:sz w:val="20"/>
          <w:szCs w:val="20"/>
          <w:color w:val="auto"/>
        </w:rPr>
      </w:pPr>
      <w:r>
        <w:rPr>
          <w:rFonts w:ascii="Arial" w:cs="Arial" w:eastAsia="Arial" w:hAnsi="Arial"/>
          <w:sz w:val="22"/>
          <w:szCs w:val="22"/>
          <w:color w:val="auto"/>
        </w:rPr>
        <w:t>No fractional Common Shares will be issuable to any holder of Warrants upon the exercise thereof, and no cash or other consideration will be paid in lieu of fractional shares. The holding of Warrants will not make the holder thereof a shareholder of the Corporation or entitle such holder to any right or interest in respect of the Warrants except as expressly provided in the Warrant Indenture. Holders of Warrants will not have any voting or pre-emptive rights or any other rights of a holder of Common Shares.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Warrant Indenture provides that, from time to time, the Warrant Agent and the Corporation, without the consent of the holders of Warrants, may be able to amend or supplement the Warrant Indenture for certain purposes, including rectifying any ambiguities, defective provisions, clerical omissions or mistakes, or other errors contained in the Warrant Indenture or in any deed or indenture supplemental or ancillary to the Warrant Indenture, provided that, in the opinion of the Warrant Agent, relying on counsel, the rights of the holders of Warrants are not prejudiced, as a group. Any amendment or supplement to the Warrant Indenture that is prejudicial to the interests of the holders of Warrants, as a group, will be subject to approval by an "Extraordinary Resolution", which will be defined in the Warrant Indenture as a resolution either: (i) passed at a meeting of the holders of Warrants at which there are holders of Warrants present in person or represented by proxy representing at least 20% of the aggregate number of the then outstanding Warrants and passed by the affirmative vote of holders of Warrants representing not less than 66 2/3% of the aggregate number of all the then outstanding Warrants represented at the meeting; or (ii) adopted by an instrument in writing signed by the holders of Warrants representing not less than 66 2/3% of the number of all of the then outstanding Warrants.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Warrants will not be listed for trading on any stock exchange or market quotation system.</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Corporation has applied and will apply to list the Warrant Shares offered by this Prospectus Supplement on the NEO and the NYSE American.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purchased under the Offering. This may affect the pricing of the securities in the secondary market, the transparency and availability of trading prices, the liquidity of the securities, and the extent of issuer regulation. See "</w:t>
      </w:r>
      <w:r>
        <w:rPr>
          <w:rFonts w:ascii="Arial" w:cs="Arial" w:eastAsia="Arial" w:hAnsi="Arial"/>
          <w:sz w:val="21"/>
          <w:szCs w:val="21"/>
          <w:i w:val="1"/>
          <w:iCs w:val="1"/>
          <w:color w:val="auto"/>
        </w:rPr>
        <w:t>Risk Factors</w:t>
      </w:r>
      <w:r>
        <w:rPr>
          <w:rFonts w:ascii="Arial" w:cs="Arial" w:eastAsia="Arial" w:hAnsi="Arial"/>
          <w:sz w:val="21"/>
          <w:szCs w:val="21"/>
          <w:color w:val="auto"/>
        </w:rPr>
        <w:t>".</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This Prospectus Supplement registers the offering of the securities to which it relates under the U.S. Securities Act in accordance with the MJDS. This Prospectus Supplement does not qualify in any of the provinces or territories of Canada the distribution of the Warrant Shares to which it relates. The Warrant Shares to which this Prospectus Supplement relates will be sold directly by the Corporation to holders of Warrants upon any exercise of such Warrants. No underwriters, dealers or agents have been involved in the preparation of this Prospectus Supplement or the Base Shelf Prospectus, nor will be involved in these sales.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TRADING PRICE AND VOLUME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Common Shares are listed for trading on the NEO and the NYSE American under the symbol "CYBN". The following table sets forth the reported monthly range of high and low prices per Common Share and total monthly volumes traded on the NEO and the NYSE American for each of the months indicated during the 12-month period prior to the date of this Prospectus Supplement.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2"/>
          <w:szCs w:val="22"/>
          <w:b w:val="1"/>
          <w:bCs w:val="1"/>
          <w:color w:val="auto"/>
        </w:rPr>
        <w:t>NEO Price Range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940" w:type="dxa"/>
            <w:vAlign w:val="bottom"/>
            <w:gridSpan w:val="2"/>
          </w:tcPr>
          <w:p>
            <w:pPr>
              <w:ind w:left="1140"/>
              <w:spacing w:after="0"/>
              <w:rPr>
                <w:sz w:val="20"/>
                <w:szCs w:val="20"/>
                <w:color w:val="auto"/>
              </w:rPr>
            </w:pPr>
            <w:r>
              <w:rPr>
                <w:rFonts w:ascii="Arial" w:cs="Arial" w:eastAsia="Arial" w:hAnsi="Arial"/>
                <w:sz w:val="18"/>
                <w:szCs w:val="18"/>
                <w:b w:val="1"/>
                <w:bCs w:val="1"/>
                <w:color w:val="auto"/>
              </w:rPr>
              <w:t>Month</w:t>
            </w:r>
          </w:p>
        </w:tc>
        <w:tc>
          <w:tcPr>
            <w:tcW w:w="2920" w:type="dxa"/>
            <w:vAlign w:val="bottom"/>
            <w:gridSpan w:val="2"/>
          </w:tcPr>
          <w:p>
            <w:pPr>
              <w:ind w:left="98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3080" w:type="dxa"/>
            <w:vAlign w:val="bottom"/>
            <w:gridSpan w:val="2"/>
          </w:tcPr>
          <w:p>
            <w:pPr>
              <w:ind w:left="100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2300" w:type="dxa"/>
            <w:vAlign w:val="bottom"/>
          </w:tcPr>
          <w:p>
            <w:pPr>
              <w:ind w:left="80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09"/>
        </w:trPr>
        <w:tc>
          <w:tcPr>
            <w:tcW w:w="2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August 2022</w:t>
            </w:r>
          </w:p>
        </w:tc>
        <w:tc>
          <w:tcPr>
            <w:tcW w:w="2700" w:type="dxa"/>
            <w:vAlign w:val="bottom"/>
            <w:shd w:val="clear" w:color="auto" w:fill="E6EFFF"/>
          </w:tcPr>
          <w:p>
            <w:pPr>
              <w:jc w:val="right"/>
              <w:ind w:right="111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0.75</w:t>
            </w:r>
          </w:p>
        </w:tc>
        <w:tc>
          <w:tcPr>
            <w:tcW w:w="380" w:type="dxa"/>
            <w:vAlign w:val="bottom"/>
            <w:shd w:val="clear" w:color="auto" w:fill="E6EFFF"/>
          </w:tcPr>
          <w:p>
            <w:pPr>
              <w:spacing w:after="0"/>
              <w:rPr>
                <w:sz w:val="18"/>
                <w:szCs w:val="18"/>
                <w:color w:val="auto"/>
              </w:rPr>
            </w:pPr>
          </w:p>
        </w:tc>
        <w:tc>
          <w:tcPr>
            <w:tcW w:w="2300" w:type="dxa"/>
            <w:vAlign w:val="bottom"/>
            <w:shd w:val="clear" w:color="auto" w:fill="E6EFFF"/>
          </w:tcPr>
          <w:p>
            <w:pPr>
              <w:ind w:left="800"/>
              <w:spacing w:after="0"/>
              <w:rPr>
                <w:sz w:val="20"/>
                <w:szCs w:val="20"/>
                <w:color w:val="auto"/>
              </w:rPr>
            </w:pPr>
            <w:r>
              <w:rPr>
                <w:rFonts w:ascii="Arial" w:cs="Arial" w:eastAsia="Arial" w:hAnsi="Arial"/>
                <w:sz w:val="18"/>
                <w:szCs w:val="18"/>
                <w:color w:val="auto"/>
              </w:rPr>
              <w:t>4,557,716</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September 2022</w:t>
            </w:r>
          </w:p>
        </w:tc>
        <w:tc>
          <w:tcPr>
            <w:tcW w:w="2700" w:type="dxa"/>
            <w:vAlign w:val="bottom"/>
          </w:tcPr>
          <w:p>
            <w:pPr>
              <w:jc w:val="right"/>
              <w:ind w:right="111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0.64</w:t>
            </w:r>
          </w:p>
        </w:tc>
        <w:tc>
          <w:tcPr>
            <w:tcW w:w="38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8"/>
                <w:szCs w:val="18"/>
                <w:color w:val="auto"/>
              </w:rPr>
              <w:t>3,061,741</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October 2022</w:t>
            </w:r>
          </w:p>
        </w:tc>
        <w:tc>
          <w:tcPr>
            <w:tcW w:w="2700" w:type="dxa"/>
            <w:vAlign w:val="bottom"/>
            <w:shd w:val="clear" w:color="auto" w:fill="E6EFFF"/>
          </w:tcPr>
          <w:p>
            <w:pPr>
              <w:jc w:val="right"/>
              <w:ind w:right="1110"/>
              <w:spacing w:after="0"/>
              <w:rPr>
                <w:sz w:val="20"/>
                <w:szCs w:val="20"/>
                <w:color w:val="auto"/>
              </w:rPr>
            </w:pPr>
            <w:r>
              <w:rPr>
                <w:rFonts w:ascii="Arial" w:cs="Arial" w:eastAsia="Arial" w:hAnsi="Arial"/>
                <w:sz w:val="18"/>
                <w:szCs w:val="18"/>
                <w:color w:val="auto"/>
              </w:rPr>
              <w:t>0.89</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0.61</w:t>
            </w:r>
          </w:p>
        </w:tc>
        <w:tc>
          <w:tcPr>
            <w:tcW w:w="380" w:type="dxa"/>
            <w:vAlign w:val="bottom"/>
            <w:shd w:val="clear" w:color="auto" w:fill="E6EFFF"/>
          </w:tcPr>
          <w:p>
            <w:pPr>
              <w:spacing w:after="0"/>
              <w:rPr>
                <w:sz w:val="18"/>
                <w:szCs w:val="18"/>
                <w:color w:val="auto"/>
              </w:rPr>
            </w:pPr>
          </w:p>
        </w:tc>
        <w:tc>
          <w:tcPr>
            <w:tcW w:w="2300" w:type="dxa"/>
            <w:vAlign w:val="bottom"/>
            <w:shd w:val="clear" w:color="auto" w:fill="E6EFFF"/>
          </w:tcPr>
          <w:p>
            <w:pPr>
              <w:ind w:left="800"/>
              <w:spacing w:after="0"/>
              <w:rPr>
                <w:sz w:val="20"/>
                <w:szCs w:val="20"/>
                <w:color w:val="auto"/>
              </w:rPr>
            </w:pPr>
            <w:r>
              <w:rPr>
                <w:rFonts w:ascii="Arial" w:cs="Arial" w:eastAsia="Arial" w:hAnsi="Arial"/>
                <w:sz w:val="18"/>
                <w:szCs w:val="18"/>
                <w:color w:val="auto"/>
              </w:rPr>
              <w:t>2,200,569</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November 2022</w:t>
            </w:r>
          </w:p>
        </w:tc>
        <w:tc>
          <w:tcPr>
            <w:tcW w:w="2700" w:type="dxa"/>
            <w:vAlign w:val="bottom"/>
          </w:tcPr>
          <w:p>
            <w:pPr>
              <w:jc w:val="right"/>
              <w:ind w:right="1110"/>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0.49</w:t>
            </w:r>
          </w:p>
        </w:tc>
        <w:tc>
          <w:tcPr>
            <w:tcW w:w="38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8"/>
                <w:szCs w:val="18"/>
                <w:color w:val="auto"/>
              </w:rPr>
              <w:t>2,706,993</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December 2022</w:t>
            </w:r>
          </w:p>
        </w:tc>
        <w:tc>
          <w:tcPr>
            <w:tcW w:w="2700" w:type="dxa"/>
            <w:vAlign w:val="bottom"/>
            <w:shd w:val="clear" w:color="auto" w:fill="E6EFFF"/>
          </w:tcPr>
          <w:p>
            <w:pPr>
              <w:jc w:val="right"/>
              <w:ind w:right="1110"/>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0.375</w:t>
            </w:r>
          </w:p>
        </w:tc>
        <w:tc>
          <w:tcPr>
            <w:tcW w:w="380" w:type="dxa"/>
            <w:vAlign w:val="bottom"/>
            <w:shd w:val="clear" w:color="auto" w:fill="E6EFFF"/>
          </w:tcPr>
          <w:p>
            <w:pPr>
              <w:spacing w:after="0"/>
              <w:rPr>
                <w:sz w:val="18"/>
                <w:szCs w:val="18"/>
                <w:color w:val="auto"/>
              </w:rPr>
            </w:pPr>
          </w:p>
        </w:tc>
        <w:tc>
          <w:tcPr>
            <w:tcW w:w="2300" w:type="dxa"/>
            <w:vAlign w:val="bottom"/>
            <w:shd w:val="clear" w:color="auto" w:fill="E6EFFF"/>
          </w:tcPr>
          <w:p>
            <w:pPr>
              <w:ind w:left="800"/>
              <w:spacing w:after="0"/>
              <w:rPr>
                <w:sz w:val="20"/>
                <w:szCs w:val="20"/>
                <w:color w:val="auto"/>
              </w:rPr>
            </w:pPr>
            <w:r>
              <w:rPr>
                <w:rFonts w:ascii="Arial" w:cs="Arial" w:eastAsia="Arial" w:hAnsi="Arial"/>
                <w:sz w:val="18"/>
                <w:szCs w:val="18"/>
                <w:color w:val="auto"/>
              </w:rPr>
              <w:t>3,307,124</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January 2023</w:t>
            </w:r>
          </w:p>
        </w:tc>
        <w:tc>
          <w:tcPr>
            <w:tcW w:w="2700" w:type="dxa"/>
            <w:vAlign w:val="bottom"/>
          </w:tcPr>
          <w:p>
            <w:pPr>
              <w:jc w:val="right"/>
              <w:ind w:right="1110"/>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0.40</w:t>
            </w:r>
          </w:p>
        </w:tc>
        <w:tc>
          <w:tcPr>
            <w:tcW w:w="38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8"/>
                <w:szCs w:val="18"/>
                <w:color w:val="auto"/>
              </w:rPr>
              <w:t>4,313,804</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February 2023</w:t>
            </w:r>
          </w:p>
        </w:tc>
        <w:tc>
          <w:tcPr>
            <w:tcW w:w="2700" w:type="dxa"/>
            <w:vAlign w:val="bottom"/>
            <w:shd w:val="clear" w:color="auto" w:fill="E6EFFF"/>
          </w:tcPr>
          <w:p>
            <w:pPr>
              <w:jc w:val="right"/>
              <w:ind w:right="1110"/>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0.52</w:t>
            </w:r>
          </w:p>
        </w:tc>
        <w:tc>
          <w:tcPr>
            <w:tcW w:w="380" w:type="dxa"/>
            <w:vAlign w:val="bottom"/>
            <w:shd w:val="clear" w:color="auto" w:fill="E6EFFF"/>
          </w:tcPr>
          <w:p>
            <w:pPr>
              <w:spacing w:after="0"/>
              <w:rPr>
                <w:sz w:val="18"/>
                <w:szCs w:val="18"/>
                <w:color w:val="auto"/>
              </w:rPr>
            </w:pPr>
          </w:p>
        </w:tc>
        <w:tc>
          <w:tcPr>
            <w:tcW w:w="2300" w:type="dxa"/>
            <w:vAlign w:val="bottom"/>
            <w:shd w:val="clear" w:color="auto" w:fill="E6EFFF"/>
          </w:tcPr>
          <w:p>
            <w:pPr>
              <w:ind w:left="800"/>
              <w:spacing w:after="0"/>
              <w:rPr>
                <w:sz w:val="20"/>
                <w:szCs w:val="20"/>
                <w:color w:val="auto"/>
              </w:rPr>
            </w:pPr>
            <w:r>
              <w:rPr>
                <w:rFonts w:ascii="Arial" w:cs="Arial" w:eastAsia="Arial" w:hAnsi="Arial"/>
                <w:sz w:val="18"/>
                <w:szCs w:val="18"/>
                <w:color w:val="auto"/>
              </w:rPr>
              <w:t>4,039,711</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March 2023</w:t>
            </w:r>
          </w:p>
        </w:tc>
        <w:tc>
          <w:tcPr>
            <w:tcW w:w="2700" w:type="dxa"/>
            <w:vAlign w:val="bottom"/>
          </w:tcPr>
          <w:p>
            <w:pPr>
              <w:jc w:val="right"/>
              <w:ind w:right="1110"/>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0.48</w:t>
            </w:r>
          </w:p>
        </w:tc>
        <w:tc>
          <w:tcPr>
            <w:tcW w:w="38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8"/>
                <w:szCs w:val="18"/>
                <w:color w:val="auto"/>
              </w:rPr>
              <w:t>3,147,215</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April 2023</w:t>
            </w:r>
          </w:p>
        </w:tc>
        <w:tc>
          <w:tcPr>
            <w:tcW w:w="2700" w:type="dxa"/>
            <w:vAlign w:val="bottom"/>
            <w:shd w:val="clear" w:color="auto" w:fill="E6EFFF"/>
          </w:tcPr>
          <w:p>
            <w:pPr>
              <w:jc w:val="right"/>
              <w:ind w:right="1110"/>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0.40</w:t>
            </w:r>
          </w:p>
        </w:tc>
        <w:tc>
          <w:tcPr>
            <w:tcW w:w="380" w:type="dxa"/>
            <w:vAlign w:val="bottom"/>
            <w:shd w:val="clear" w:color="auto" w:fill="E6EFFF"/>
          </w:tcPr>
          <w:p>
            <w:pPr>
              <w:spacing w:after="0"/>
              <w:rPr>
                <w:sz w:val="18"/>
                <w:szCs w:val="18"/>
                <w:color w:val="auto"/>
              </w:rPr>
            </w:pPr>
          </w:p>
        </w:tc>
        <w:tc>
          <w:tcPr>
            <w:tcW w:w="2300" w:type="dxa"/>
            <w:vAlign w:val="bottom"/>
            <w:shd w:val="clear" w:color="auto" w:fill="E6EFFF"/>
          </w:tcPr>
          <w:p>
            <w:pPr>
              <w:ind w:left="800"/>
              <w:spacing w:after="0"/>
              <w:rPr>
                <w:sz w:val="20"/>
                <w:szCs w:val="20"/>
                <w:color w:val="auto"/>
              </w:rPr>
            </w:pPr>
            <w:r>
              <w:rPr>
                <w:rFonts w:ascii="Arial" w:cs="Arial" w:eastAsia="Arial" w:hAnsi="Arial"/>
                <w:sz w:val="18"/>
                <w:szCs w:val="18"/>
                <w:color w:val="auto"/>
              </w:rPr>
              <w:t>1,906,116</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May 2023</w:t>
            </w:r>
          </w:p>
        </w:tc>
        <w:tc>
          <w:tcPr>
            <w:tcW w:w="2700" w:type="dxa"/>
            <w:vAlign w:val="bottom"/>
          </w:tcPr>
          <w:p>
            <w:pPr>
              <w:jc w:val="right"/>
              <w:ind w:right="1110"/>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0.35</w:t>
            </w:r>
          </w:p>
        </w:tc>
        <w:tc>
          <w:tcPr>
            <w:tcW w:w="38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8"/>
                <w:szCs w:val="18"/>
                <w:color w:val="auto"/>
              </w:rPr>
              <w:t>1,899,880</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June 2023</w:t>
            </w:r>
          </w:p>
        </w:tc>
        <w:tc>
          <w:tcPr>
            <w:tcW w:w="2700" w:type="dxa"/>
            <w:vAlign w:val="bottom"/>
            <w:shd w:val="clear" w:color="auto" w:fill="E6EFFF"/>
          </w:tcPr>
          <w:p>
            <w:pPr>
              <w:jc w:val="right"/>
              <w:ind w:right="1110"/>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0.30</w:t>
            </w:r>
          </w:p>
        </w:tc>
        <w:tc>
          <w:tcPr>
            <w:tcW w:w="380" w:type="dxa"/>
            <w:vAlign w:val="bottom"/>
            <w:shd w:val="clear" w:color="auto" w:fill="E6EFFF"/>
          </w:tcPr>
          <w:p>
            <w:pPr>
              <w:spacing w:after="0"/>
              <w:rPr>
                <w:sz w:val="18"/>
                <w:szCs w:val="18"/>
                <w:color w:val="auto"/>
              </w:rPr>
            </w:pPr>
          </w:p>
        </w:tc>
        <w:tc>
          <w:tcPr>
            <w:tcW w:w="2300" w:type="dxa"/>
            <w:vAlign w:val="bottom"/>
            <w:shd w:val="clear" w:color="auto" w:fill="E6EFFF"/>
          </w:tcPr>
          <w:p>
            <w:pPr>
              <w:ind w:left="800"/>
              <w:spacing w:after="0"/>
              <w:rPr>
                <w:sz w:val="20"/>
                <w:szCs w:val="20"/>
                <w:color w:val="auto"/>
              </w:rPr>
            </w:pPr>
            <w:r>
              <w:rPr>
                <w:rFonts w:ascii="Arial" w:cs="Arial" w:eastAsia="Arial" w:hAnsi="Arial"/>
                <w:sz w:val="18"/>
                <w:szCs w:val="18"/>
                <w:color w:val="auto"/>
              </w:rPr>
              <w:t>3,778,524</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July 2023</w:t>
            </w:r>
          </w:p>
        </w:tc>
        <w:tc>
          <w:tcPr>
            <w:tcW w:w="2700" w:type="dxa"/>
            <w:vAlign w:val="bottom"/>
          </w:tcPr>
          <w:p>
            <w:pPr>
              <w:jc w:val="right"/>
              <w:ind w:right="1110"/>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0.49</w:t>
            </w:r>
          </w:p>
        </w:tc>
        <w:tc>
          <w:tcPr>
            <w:tcW w:w="38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8"/>
                <w:szCs w:val="18"/>
                <w:color w:val="auto"/>
              </w:rPr>
              <w:t>4,373,988</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August 1-17, 2023</w:t>
            </w:r>
          </w:p>
        </w:tc>
        <w:tc>
          <w:tcPr>
            <w:tcW w:w="2700" w:type="dxa"/>
            <w:vAlign w:val="bottom"/>
            <w:shd w:val="clear" w:color="auto" w:fill="E6EFFF"/>
          </w:tcPr>
          <w:p>
            <w:pPr>
              <w:jc w:val="right"/>
              <w:ind w:right="1110"/>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0.36</w:t>
            </w:r>
          </w:p>
        </w:tc>
        <w:tc>
          <w:tcPr>
            <w:tcW w:w="380" w:type="dxa"/>
            <w:vAlign w:val="bottom"/>
            <w:shd w:val="clear" w:color="auto" w:fill="E6EFFF"/>
          </w:tcPr>
          <w:p>
            <w:pPr>
              <w:spacing w:after="0"/>
              <w:rPr>
                <w:sz w:val="18"/>
                <w:szCs w:val="18"/>
                <w:color w:val="auto"/>
              </w:rPr>
            </w:pPr>
          </w:p>
        </w:tc>
        <w:tc>
          <w:tcPr>
            <w:tcW w:w="2300" w:type="dxa"/>
            <w:vAlign w:val="bottom"/>
            <w:shd w:val="clear" w:color="auto" w:fill="E6EFFF"/>
          </w:tcPr>
          <w:p>
            <w:pPr>
              <w:ind w:left="800"/>
              <w:spacing w:after="0"/>
              <w:rPr>
                <w:sz w:val="20"/>
                <w:szCs w:val="20"/>
                <w:color w:val="auto"/>
              </w:rPr>
            </w:pPr>
            <w:r>
              <w:rPr>
                <w:rFonts w:ascii="Arial" w:cs="Arial" w:eastAsia="Arial" w:hAnsi="Arial"/>
                <w:sz w:val="18"/>
                <w:szCs w:val="18"/>
                <w:color w:val="auto"/>
              </w:rPr>
              <w:t>1,876,989</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 Source: TMX Money as of the date of this Prospectus Supplement.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August 17, 2023, being the last day on which the Common Shares traded prior to the date of this Prospectus Supplement, the closing price of the Common Shares as reported on the NEO was $0.44.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NYSE American Price Range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940" w:type="dxa"/>
            <w:vAlign w:val="bottom"/>
            <w:gridSpan w:val="2"/>
          </w:tcPr>
          <w:p>
            <w:pPr>
              <w:ind w:left="1140"/>
              <w:spacing w:after="0"/>
              <w:rPr>
                <w:sz w:val="20"/>
                <w:szCs w:val="20"/>
                <w:color w:val="auto"/>
              </w:rPr>
            </w:pPr>
            <w:r>
              <w:rPr>
                <w:rFonts w:ascii="Arial" w:cs="Arial" w:eastAsia="Arial" w:hAnsi="Arial"/>
                <w:sz w:val="18"/>
                <w:szCs w:val="18"/>
                <w:b w:val="1"/>
                <w:bCs w:val="1"/>
                <w:color w:val="auto"/>
              </w:rPr>
              <w:t>Month</w:t>
            </w:r>
          </w:p>
        </w:tc>
        <w:tc>
          <w:tcPr>
            <w:tcW w:w="2920" w:type="dxa"/>
            <w:vAlign w:val="bottom"/>
            <w:gridSpan w:val="2"/>
          </w:tcPr>
          <w:p>
            <w:pPr>
              <w:ind w:left="86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900" w:type="dxa"/>
            <w:vAlign w:val="bottom"/>
            <w:gridSpan w:val="2"/>
          </w:tcPr>
          <w:p>
            <w:pPr>
              <w:ind w:left="88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480" w:type="dxa"/>
            <w:vAlign w:val="bottom"/>
          </w:tcPr>
          <w:p>
            <w:pPr>
              <w:jc w:val="right"/>
              <w:ind w:right="73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09"/>
        </w:trPr>
        <w:tc>
          <w:tcPr>
            <w:tcW w:w="2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August 2022</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1.14</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0.58</w:t>
            </w:r>
          </w:p>
        </w:tc>
        <w:tc>
          <w:tcPr>
            <w:tcW w:w="200" w:type="dxa"/>
            <w:vAlign w:val="bottom"/>
            <w:shd w:val="clear" w:color="auto" w:fill="E6EFFF"/>
          </w:tcPr>
          <w:p>
            <w:pPr>
              <w:spacing w:after="0"/>
              <w:rPr>
                <w:sz w:val="18"/>
                <w:szCs w:val="18"/>
                <w:color w:val="auto"/>
              </w:rPr>
            </w:pPr>
          </w:p>
        </w:tc>
        <w:tc>
          <w:tcPr>
            <w:tcW w:w="2480" w:type="dxa"/>
            <w:vAlign w:val="bottom"/>
            <w:shd w:val="clear" w:color="auto" w:fill="E6EFFF"/>
          </w:tcPr>
          <w:p>
            <w:pPr>
              <w:jc w:val="right"/>
              <w:ind w:right="750"/>
              <w:spacing w:after="0"/>
              <w:rPr>
                <w:sz w:val="20"/>
                <w:szCs w:val="20"/>
                <w:color w:val="auto"/>
              </w:rPr>
            </w:pPr>
            <w:r>
              <w:rPr>
                <w:rFonts w:ascii="Arial" w:cs="Arial" w:eastAsia="Arial" w:hAnsi="Arial"/>
                <w:sz w:val="18"/>
                <w:szCs w:val="18"/>
                <w:color w:val="auto"/>
              </w:rPr>
              <w:t>37,402,882</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September 2022</w:t>
            </w: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1.14</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0.47</w:t>
            </w:r>
          </w:p>
        </w:tc>
        <w:tc>
          <w:tcPr>
            <w:tcW w:w="200" w:type="dxa"/>
            <w:vAlign w:val="bottom"/>
          </w:tcPr>
          <w:p>
            <w:pPr>
              <w:spacing w:after="0"/>
              <w:rPr>
                <w:sz w:val="18"/>
                <w:szCs w:val="18"/>
                <w:color w:val="auto"/>
              </w:rPr>
            </w:pPr>
          </w:p>
        </w:tc>
        <w:tc>
          <w:tcPr>
            <w:tcW w:w="2480" w:type="dxa"/>
            <w:vAlign w:val="bottom"/>
          </w:tcPr>
          <w:p>
            <w:pPr>
              <w:jc w:val="right"/>
              <w:ind w:right="750"/>
              <w:spacing w:after="0"/>
              <w:rPr>
                <w:sz w:val="20"/>
                <w:szCs w:val="20"/>
                <w:color w:val="auto"/>
              </w:rPr>
            </w:pPr>
            <w:r>
              <w:rPr>
                <w:rFonts w:ascii="Arial" w:cs="Arial" w:eastAsia="Arial" w:hAnsi="Arial"/>
                <w:sz w:val="18"/>
                <w:szCs w:val="18"/>
                <w:color w:val="auto"/>
              </w:rPr>
              <w:t>25,585,300</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October 2022</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0.655</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0.445</w:t>
            </w:r>
          </w:p>
        </w:tc>
        <w:tc>
          <w:tcPr>
            <w:tcW w:w="200" w:type="dxa"/>
            <w:vAlign w:val="bottom"/>
            <w:shd w:val="clear" w:color="auto" w:fill="E6EFFF"/>
          </w:tcPr>
          <w:p>
            <w:pPr>
              <w:spacing w:after="0"/>
              <w:rPr>
                <w:sz w:val="18"/>
                <w:szCs w:val="18"/>
                <w:color w:val="auto"/>
              </w:rPr>
            </w:pPr>
          </w:p>
        </w:tc>
        <w:tc>
          <w:tcPr>
            <w:tcW w:w="2480" w:type="dxa"/>
            <w:vAlign w:val="bottom"/>
            <w:shd w:val="clear" w:color="auto" w:fill="E6EFFF"/>
          </w:tcPr>
          <w:p>
            <w:pPr>
              <w:jc w:val="right"/>
              <w:ind w:right="750"/>
              <w:spacing w:after="0"/>
              <w:rPr>
                <w:sz w:val="20"/>
                <w:szCs w:val="20"/>
                <w:color w:val="auto"/>
              </w:rPr>
            </w:pPr>
            <w:r>
              <w:rPr>
                <w:rFonts w:ascii="Arial" w:cs="Arial" w:eastAsia="Arial" w:hAnsi="Arial"/>
                <w:sz w:val="18"/>
                <w:szCs w:val="18"/>
                <w:color w:val="auto"/>
              </w:rPr>
              <w:t>18,602,731</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November 2022</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0.4839</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0.36</w:t>
            </w:r>
          </w:p>
        </w:tc>
        <w:tc>
          <w:tcPr>
            <w:tcW w:w="200" w:type="dxa"/>
            <w:vAlign w:val="bottom"/>
          </w:tcPr>
          <w:p>
            <w:pPr>
              <w:spacing w:after="0"/>
              <w:rPr>
                <w:sz w:val="18"/>
                <w:szCs w:val="18"/>
                <w:color w:val="auto"/>
              </w:rPr>
            </w:pPr>
          </w:p>
        </w:tc>
        <w:tc>
          <w:tcPr>
            <w:tcW w:w="2480" w:type="dxa"/>
            <w:vAlign w:val="bottom"/>
          </w:tcPr>
          <w:p>
            <w:pPr>
              <w:jc w:val="right"/>
              <w:ind w:right="750"/>
              <w:spacing w:after="0"/>
              <w:rPr>
                <w:sz w:val="20"/>
                <w:szCs w:val="20"/>
                <w:color w:val="auto"/>
              </w:rPr>
            </w:pPr>
            <w:r>
              <w:rPr>
                <w:rFonts w:ascii="Arial" w:cs="Arial" w:eastAsia="Arial" w:hAnsi="Arial"/>
                <w:sz w:val="18"/>
                <w:szCs w:val="18"/>
                <w:color w:val="auto"/>
              </w:rPr>
              <w:t>19,969,352</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December 2022</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0.3888</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0.2649</w:t>
            </w:r>
          </w:p>
        </w:tc>
        <w:tc>
          <w:tcPr>
            <w:tcW w:w="200" w:type="dxa"/>
            <w:vAlign w:val="bottom"/>
            <w:shd w:val="clear" w:color="auto" w:fill="E6EFFF"/>
          </w:tcPr>
          <w:p>
            <w:pPr>
              <w:spacing w:after="0"/>
              <w:rPr>
                <w:sz w:val="18"/>
                <w:szCs w:val="18"/>
                <w:color w:val="auto"/>
              </w:rPr>
            </w:pPr>
          </w:p>
        </w:tc>
        <w:tc>
          <w:tcPr>
            <w:tcW w:w="2480" w:type="dxa"/>
            <w:vAlign w:val="bottom"/>
            <w:shd w:val="clear" w:color="auto" w:fill="E6EFFF"/>
          </w:tcPr>
          <w:p>
            <w:pPr>
              <w:jc w:val="right"/>
              <w:ind w:right="750"/>
              <w:spacing w:after="0"/>
              <w:rPr>
                <w:sz w:val="20"/>
                <w:szCs w:val="20"/>
                <w:color w:val="auto"/>
              </w:rPr>
            </w:pPr>
            <w:r>
              <w:rPr>
                <w:rFonts w:ascii="Arial" w:cs="Arial" w:eastAsia="Arial" w:hAnsi="Arial"/>
                <w:sz w:val="18"/>
                <w:szCs w:val="18"/>
                <w:color w:val="auto"/>
              </w:rPr>
              <w:t>23,739,104</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January 2023</w:t>
            </w: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0.62</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0.2971</w:t>
            </w:r>
          </w:p>
        </w:tc>
        <w:tc>
          <w:tcPr>
            <w:tcW w:w="200" w:type="dxa"/>
            <w:vAlign w:val="bottom"/>
          </w:tcPr>
          <w:p>
            <w:pPr>
              <w:spacing w:after="0"/>
              <w:rPr>
                <w:sz w:val="18"/>
                <w:szCs w:val="18"/>
                <w:color w:val="auto"/>
              </w:rPr>
            </w:pPr>
          </w:p>
        </w:tc>
        <w:tc>
          <w:tcPr>
            <w:tcW w:w="2480" w:type="dxa"/>
            <w:vAlign w:val="bottom"/>
          </w:tcPr>
          <w:p>
            <w:pPr>
              <w:jc w:val="right"/>
              <w:ind w:right="750"/>
              <w:spacing w:after="0"/>
              <w:rPr>
                <w:sz w:val="20"/>
                <w:szCs w:val="20"/>
                <w:color w:val="auto"/>
              </w:rPr>
            </w:pPr>
            <w:r>
              <w:rPr>
                <w:rFonts w:ascii="Arial" w:cs="Arial" w:eastAsia="Arial" w:hAnsi="Arial"/>
                <w:sz w:val="18"/>
                <w:szCs w:val="18"/>
                <w:color w:val="auto"/>
              </w:rPr>
              <w:t>38,677,475</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February 2023</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0.60</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0.385</w:t>
            </w:r>
          </w:p>
        </w:tc>
        <w:tc>
          <w:tcPr>
            <w:tcW w:w="200" w:type="dxa"/>
            <w:vAlign w:val="bottom"/>
            <w:shd w:val="clear" w:color="auto" w:fill="E6EFFF"/>
          </w:tcPr>
          <w:p>
            <w:pPr>
              <w:spacing w:after="0"/>
              <w:rPr>
                <w:sz w:val="18"/>
                <w:szCs w:val="18"/>
                <w:color w:val="auto"/>
              </w:rPr>
            </w:pPr>
          </w:p>
        </w:tc>
        <w:tc>
          <w:tcPr>
            <w:tcW w:w="2480" w:type="dxa"/>
            <w:vAlign w:val="bottom"/>
            <w:shd w:val="clear" w:color="auto" w:fill="E6EFFF"/>
          </w:tcPr>
          <w:p>
            <w:pPr>
              <w:jc w:val="right"/>
              <w:ind w:right="750"/>
              <w:spacing w:after="0"/>
              <w:rPr>
                <w:sz w:val="20"/>
                <w:szCs w:val="20"/>
                <w:color w:val="auto"/>
              </w:rPr>
            </w:pPr>
            <w:r>
              <w:rPr>
                <w:rFonts w:ascii="Arial" w:cs="Arial" w:eastAsia="Arial" w:hAnsi="Arial"/>
                <w:sz w:val="18"/>
                <w:szCs w:val="18"/>
                <w:color w:val="auto"/>
              </w:rPr>
              <w:t>35,754,753</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March 2023</w:t>
            </w: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0.50</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0.35</w:t>
            </w:r>
          </w:p>
        </w:tc>
        <w:tc>
          <w:tcPr>
            <w:tcW w:w="200" w:type="dxa"/>
            <w:vAlign w:val="bottom"/>
          </w:tcPr>
          <w:p>
            <w:pPr>
              <w:spacing w:after="0"/>
              <w:rPr>
                <w:sz w:val="18"/>
                <w:szCs w:val="18"/>
                <w:color w:val="auto"/>
              </w:rPr>
            </w:pPr>
          </w:p>
        </w:tc>
        <w:tc>
          <w:tcPr>
            <w:tcW w:w="2480" w:type="dxa"/>
            <w:vAlign w:val="bottom"/>
          </w:tcPr>
          <w:p>
            <w:pPr>
              <w:jc w:val="right"/>
              <w:ind w:right="750"/>
              <w:spacing w:after="0"/>
              <w:rPr>
                <w:sz w:val="20"/>
                <w:szCs w:val="20"/>
                <w:color w:val="auto"/>
              </w:rPr>
            </w:pPr>
            <w:r>
              <w:rPr>
                <w:rFonts w:ascii="Arial" w:cs="Arial" w:eastAsia="Arial" w:hAnsi="Arial"/>
                <w:sz w:val="18"/>
                <w:szCs w:val="18"/>
                <w:color w:val="auto"/>
              </w:rPr>
              <w:t>28,943,897</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April 2023</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0.4046</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0.29</w:t>
            </w:r>
          </w:p>
        </w:tc>
        <w:tc>
          <w:tcPr>
            <w:tcW w:w="200" w:type="dxa"/>
            <w:vAlign w:val="bottom"/>
            <w:shd w:val="clear" w:color="auto" w:fill="E6EFFF"/>
          </w:tcPr>
          <w:p>
            <w:pPr>
              <w:spacing w:after="0"/>
              <w:rPr>
                <w:sz w:val="18"/>
                <w:szCs w:val="18"/>
                <w:color w:val="auto"/>
              </w:rPr>
            </w:pPr>
          </w:p>
        </w:tc>
        <w:tc>
          <w:tcPr>
            <w:tcW w:w="2480" w:type="dxa"/>
            <w:vAlign w:val="bottom"/>
            <w:shd w:val="clear" w:color="auto" w:fill="E6EFFF"/>
          </w:tcPr>
          <w:p>
            <w:pPr>
              <w:jc w:val="right"/>
              <w:ind w:right="750"/>
              <w:spacing w:after="0"/>
              <w:rPr>
                <w:sz w:val="20"/>
                <w:szCs w:val="20"/>
                <w:color w:val="auto"/>
              </w:rPr>
            </w:pPr>
            <w:r>
              <w:rPr>
                <w:rFonts w:ascii="Arial" w:cs="Arial" w:eastAsia="Arial" w:hAnsi="Arial"/>
                <w:sz w:val="18"/>
                <w:szCs w:val="18"/>
                <w:color w:val="auto"/>
              </w:rPr>
              <w:t>18,366,468</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May 2023</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0.3466</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0.2552</w:t>
            </w:r>
          </w:p>
        </w:tc>
        <w:tc>
          <w:tcPr>
            <w:tcW w:w="200" w:type="dxa"/>
            <w:vAlign w:val="bottom"/>
          </w:tcPr>
          <w:p>
            <w:pPr>
              <w:spacing w:after="0"/>
              <w:rPr>
                <w:sz w:val="18"/>
                <w:szCs w:val="18"/>
                <w:color w:val="auto"/>
              </w:rPr>
            </w:pPr>
          </w:p>
        </w:tc>
        <w:tc>
          <w:tcPr>
            <w:tcW w:w="2480" w:type="dxa"/>
            <w:vAlign w:val="bottom"/>
          </w:tcPr>
          <w:p>
            <w:pPr>
              <w:jc w:val="right"/>
              <w:ind w:right="750"/>
              <w:spacing w:after="0"/>
              <w:rPr>
                <w:sz w:val="20"/>
                <w:szCs w:val="20"/>
                <w:color w:val="auto"/>
              </w:rPr>
            </w:pPr>
            <w:r>
              <w:rPr>
                <w:rFonts w:ascii="Arial" w:cs="Arial" w:eastAsia="Arial" w:hAnsi="Arial"/>
                <w:sz w:val="18"/>
                <w:szCs w:val="18"/>
                <w:color w:val="auto"/>
              </w:rPr>
              <w:t>26,443,776</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June 2023</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0.39</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0.21</w:t>
            </w:r>
          </w:p>
        </w:tc>
        <w:tc>
          <w:tcPr>
            <w:tcW w:w="200" w:type="dxa"/>
            <w:vAlign w:val="bottom"/>
            <w:shd w:val="clear" w:color="auto" w:fill="E6EFFF"/>
          </w:tcPr>
          <w:p>
            <w:pPr>
              <w:spacing w:after="0"/>
              <w:rPr>
                <w:sz w:val="18"/>
                <w:szCs w:val="18"/>
                <w:color w:val="auto"/>
              </w:rPr>
            </w:pPr>
          </w:p>
        </w:tc>
        <w:tc>
          <w:tcPr>
            <w:tcW w:w="2480" w:type="dxa"/>
            <w:vAlign w:val="bottom"/>
            <w:shd w:val="clear" w:color="auto" w:fill="E6EFFF"/>
          </w:tcPr>
          <w:p>
            <w:pPr>
              <w:jc w:val="right"/>
              <w:ind w:right="750"/>
              <w:spacing w:after="0"/>
              <w:rPr>
                <w:sz w:val="20"/>
                <w:szCs w:val="20"/>
                <w:color w:val="auto"/>
              </w:rPr>
            </w:pPr>
            <w:r>
              <w:rPr>
                <w:rFonts w:ascii="Arial" w:cs="Arial" w:eastAsia="Arial" w:hAnsi="Arial"/>
                <w:sz w:val="18"/>
                <w:szCs w:val="18"/>
                <w:color w:val="auto"/>
              </w:rPr>
              <w:t>49,472,709</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July 2023</w:t>
            </w: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0.53</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0.3689</w:t>
            </w:r>
          </w:p>
        </w:tc>
        <w:tc>
          <w:tcPr>
            <w:tcW w:w="200" w:type="dxa"/>
            <w:vAlign w:val="bottom"/>
          </w:tcPr>
          <w:p>
            <w:pPr>
              <w:spacing w:after="0"/>
              <w:rPr>
                <w:sz w:val="18"/>
                <w:szCs w:val="18"/>
                <w:color w:val="auto"/>
              </w:rPr>
            </w:pPr>
          </w:p>
        </w:tc>
        <w:tc>
          <w:tcPr>
            <w:tcW w:w="2480" w:type="dxa"/>
            <w:vAlign w:val="bottom"/>
          </w:tcPr>
          <w:p>
            <w:pPr>
              <w:jc w:val="right"/>
              <w:ind w:right="750"/>
              <w:spacing w:after="0"/>
              <w:rPr>
                <w:sz w:val="20"/>
                <w:szCs w:val="20"/>
                <w:color w:val="auto"/>
              </w:rPr>
            </w:pPr>
            <w:r>
              <w:rPr>
                <w:rFonts w:ascii="Arial" w:cs="Arial" w:eastAsia="Arial" w:hAnsi="Arial"/>
                <w:sz w:val="18"/>
                <w:szCs w:val="18"/>
                <w:color w:val="auto"/>
              </w:rPr>
              <w:t>54,877,677</w:t>
            </w:r>
          </w:p>
        </w:tc>
      </w:tr>
      <w:tr>
        <w:trPr>
          <w:trHeight w:val="216"/>
        </w:trPr>
        <w:tc>
          <w:tcPr>
            <w:tcW w:w="29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August 1-17, 2023</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0.37</w:t>
            </w:r>
          </w:p>
        </w:tc>
        <w:tc>
          <w:tcPr>
            <w:tcW w:w="220" w:type="dxa"/>
            <w:vAlign w:val="bottom"/>
            <w:shd w:val="clear" w:color="auto" w:fill="E6EFFF"/>
          </w:tcPr>
          <w:p>
            <w:pPr>
              <w:spacing w:after="0"/>
              <w:rPr>
                <w:sz w:val="18"/>
                <w:szCs w:val="18"/>
                <w:color w:val="auto"/>
              </w:rPr>
            </w:pP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0.275</w:t>
            </w:r>
          </w:p>
        </w:tc>
        <w:tc>
          <w:tcPr>
            <w:tcW w:w="200" w:type="dxa"/>
            <w:vAlign w:val="bottom"/>
            <w:shd w:val="clear" w:color="auto" w:fill="E6EFFF"/>
          </w:tcPr>
          <w:p>
            <w:pPr>
              <w:spacing w:after="0"/>
              <w:rPr>
                <w:sz w:val="18"/>
                <w:szCs w:val="18"/>
                <w:color w:val="auto"/>
              </w:rPr>
            </w:pPr>
          </w:p>
        </w:tc>
        <w:tc>
          <w:tcPr>
            <w:tcW w:w="2480" w:type="dxa"/>
            <w:vAlign w:val="bottom"/>
            <w:shd w:val="clear" w:color="auto" w:fill="E6EFFF"/>
          </w:tcPr>
          <w:p>
            <w:pPr>
              <w:jc w:val="right"/>
              <w:ind w:right="750"/>
              <w:spacing w:after="0"/>
              <w:rPr>
                <w:sz w:val="20"/>
                <w:szCs w:val="20"/>
                <w:color w:val="auto"/>
              </w:rPr>
            </w:pPr>
            <w:r>
              <w:rPr>
                <w:rFonts w:ascii="Arial" w:cs="Arial" w:eastAsia="Arial" w:hAnsi="Arial"/>
                <w:sz w:val="18"/>
                <w:szCs w:val="18"/>
                <w:color w:val="auto"/>
              </w:rPr>
              <w:t>47,920,533</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14" w:lineRule="exact"/>
        <w:rPr>
          <w:sz w:val="20"/>
          <w:szCs w:val="20"/>
          <w:color w:val="auto"/>
        </w:rPr>
      </w:pPr>
    </w:p>
    <w:p>
      <w:pPr>
        <w:ind w:left="5420" w:right="4000" w:hanging="5029"/>
        <w:spacing w:after="0" w:line="438" w:lineRule="auto"/>
        <w:tabs>
          <w:tab w:leader="none" w:pos="7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Source: The NYSE American as of the date of this Prospectus Supplement. 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spacing w:after="0" w:line="251" w:lineRule="auto"/>
        <w:rPr>
          <w:sz w:val="20"/>
          <w:szCs w:val="20"/>
          <w:color w:val="auto"/>
        </w:rPr>
      </w:pPr>
      <w:r>
        <w:rPr>
          <w:rFonts w:ascii="Arial" w:cs="Arial" w:eastAsia="Arial" w:hAnsi="Arial"/>
          <w:sz w:val="22"/>
          <w:szCs w:val="22"/>
          <w:color w:val="auto"/>
        </w:rPr>
        <w:t>On August 17, 2023, being the last day on which the Common Shares traded prior to the date of this Prospectus Supplement, the closing price of the Common Shares as reported on the NYSE American was US$0.3275.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PRIOR SALES</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08"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260" w:type="dxa"/>
            <w:vAlign w:val="bottom"/>
          </w:tcPr>
          <w:p>
            <w:pPr>
              <w:spacing w:after="0"/>
              <w:rPr>
                <w:sz w:val="19"/>
                <w:szCs w:val="19"/>
                <w:color w:val="auto"/>
              </w:rPr>
            </w:pPr>
          </w:p>
        </w:tc>
        <w:tc>
          <w:tcPr>
            <w:tcW w:w="22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Number of</w:t>
            </w:r>
          </w:p>
        </w:tc>
        <w:tc>
          <w:tcPr>
            <w:tcW w:w="2040" w:type="dxa"/>
            <w:vAlign w:val="bottom"/>
          </w:tcPr>
          <w:p>
            <w:pPr>
              <w:spacing w:after="0"/>
              <w:rPr>
                <w:sz w:val="19"/>
                <w:szCs w:val="19"/>
                <w:color w:val="auto"/>
              </w:rPr>
            </w:pPr>
          </w:p>
        </w:tc>
        <w:tc>
          <w:tcPr>
            <w:tcW w:w="2460" w:type="dxa"/>
            <w:vAlign w:val="bottom"/>
          </w:tcPr>
          <w:p>
            <w:pPr>
              <w:jc w:val="center"/>
              <w:ind w:left="170"/>
              <w:spacing w:after="0"/>
              <w:rPr>
                <w:sz w:val="20"/>
                <w:szCs w:val="20"/>
                <w:color w:val="auto"/>
              </w:rPr>
            </w:pPr>
            <w:r>
              <w:rPr>
                <w:rFonts w:ascii="Arial" w:cs="Arial" w:eastAsia="Arial" w:hAnsi="Arial"/>
                <w:sz w:val="18"/>
                <w:szCs w:val="18"/>
                <w:b w:val="1"/>
                <w:bCs w:val="1"/>
                <w:color w:val="auto"/>
                <w:w w:val="86"/>
              </w:rPr>
              <w:t>Issuance / Exercise</w:t>
            </w:r>
          </w:p>
        </w:tc>
      </w:tr>
      <w:tr>
        <w:trPr>
          <w:trHeight w:val="270"/>
        </w:trPr>
        <w:tc>
          <w:tcPr>
            <w:tcW w:w="2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Date of Issuance</w:t>
            </w:r>
          </w:p>
        </w:tc>
        <w:tc>
          <w:tcPr>
            <w:tcW w:w="2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Securities Issued</w:t>
            </w:r>
          </w:p>
        </w:tc>
        <w:tc>
          <w:tcPr>
            <w:tcW w:w="20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0"/>
              </w:rPr>
              <w:t>Type</w:t>
            </w:r>
          </w:p>
        </w:tc>
        <w:tc>
          <w:tcPr>
            <w:tcW w:w="2460" w:type="dxa"/>
            <w:vAlign w:val="bottom"/>
            <w:tcBorders>
              <w:bottom w:val="single" w:sz="8" w:color="auto"/>
            </w:tcBorders>
          </w:tcPr>
          <w:p>
            <w:pPr>
              <w:jc w:val="center"/>
              <w:ind w:left="230"/>
              <w:spacing w:after="0" w:line="270" w:lineRule="exact"/>
              <w:rPr>
                <w:sz w:val="20"/>
                <w:szCs w:val="20"/>
                <w:color w:val="auto"/>
              </w:rPr>
            </w:pPr>
            <w:r>
              <w:rPr>
                <w:rFonts w:ascii="Arial" w:cs="Arial" w:eastAsia="Arial" w:hAnsi="Arial"/>
                <w:sz w:val="18"/>
                <w:szCs w:val="18"/>
                <w:b w:val="1"/>
                <w:bCs w:val="1"/>
                <w:color w:val="auto"/>
                <w:w w:val="91"/>
              </w:rPr>
              <w:t>Price Per Security (CAD)</w:t>
            </w:r>
            <w:r>
              <w:rPr>
                <w:rFonts w:ascii="Arial" w:cs="Arial" w:eastAsia="Arial" w:hAnsi="Arial"/>
                <w:sz w:val="29"/>
                <w:szCs w:val="29"/>
                <w:b w:val="1"/>
                <w:bCs w:val="1"/>
                <w:color w:val="auto"/>
                <w:w w:val="91"/>
                <w:vertAlign w:val="superscript"/>
              </w:rPr>
              <w:t>(1)</w:t>
            </w:r>
          </w:p>
        </w:tc>
      </w:tr>
      <w:tr>
        <w:trPr>
          <w:trHeight w:val="209"/>
        </w:trPr>
        <w:tc>
          <w:tcPr>
            <w:tcW w:w="2260" w:type="dxa"/>
            <w:vAlign w:val="bottom"/>
            <w:shd w:val="clear" w:color="auto" w:fill="E6EFFF"/>
          </w:tcPr>
          <w:p>
            <w:pPr>
              <w:jc w:val="center"/>
              <w:ind w:right="90"/>
              <w:spacing w:after="0"/>
              <w:rPr>
                <w:sz w:val="20"/>
                <w:szCs w:val="20"/>
                <w:color w:val="auto"/>
              </w:rPr>
            </w:pPr>
            <w:r>
              <w:rPr>
                <w:rFonts w:ascii="Arial" w:cs="Arial" w:eastAsia="Arial" w:hAnsi="Arial"/>
                <w:sz w:val="18"/>
                <w:szCs w:val="18"/>
                <w:color w:val="auto"/>
                <w:w w:val="91"/>
              </w:rPr>
              <w:t>August 15, 2022</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820,000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93"/>
              </w:rPr>
              <w:t>Options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$0.97</w:t>
            </w:r>
          </w:p>
        </w:tc>
      </w:tr>
      <w:tr>
        <w:trPr>
          <w:trHeight w:val="257"/>
        </w:trPr>
        <w:tc>
          <w:tcPr>
            <w:tcW w:w="22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7"/>
              </w:rPr>
              <w:t>August 15, 2022</w:t>
            </w:r>
            <w:r>
              <w:rPr>
                <w:rFonts w:ascii="Arial" w:cs="Arial" w:eastAsia="Arial" w:hAnsi="Arial"/>
                <w:sz w:val="29"/>
                <w:szCs w:val="29"/>
                <w:color w:val="auto"/>
                <w:w w:val="87"/>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130,200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$1.11</w:t>
            </w:r>
          </w:p>
        </w:tc>
      </w:tr>
      <w:tr>
        <w:trPr>
          <w:trHeight w:val="257"/>
        </w:trPr>
        <w:tc>
          <w:tcPr>
            <w:tcW w:w="22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7"/>
              </w:rPr>
              <w:t>August 16, 2022</w:t>
            </w:r>
            <w:r>
              <w:rPr>
                <w:rFonts w:ascii="Arial" w:cs="Arial" w:eastAsia="Arial" w:hAnsi="Arial"/>
                <w:sz w:val="29"/>
                <w:szCs w:val="29"/>
                <w:color w:val="auto"/>
                <w:w w:val="87"/>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100,000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$1.08</w:t>
            </w:r>
          </w:p>
        </w:tc>
      </w:tr>
      <w:tr>
        <w:trPr>
          <w:trHeight w:val="257"/>
        </w:trPr>
        <w:tc>
          <w:tcPr>
            <w:tcW w:w="22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7"/>
              </w:rPr>
              <w:t>August 17, 2022</w:t>
            </w:r>
            <w:r>
              <w:rPr>
                <w:rFonts w:ascii="Arial" w:cs="Arial" w:eastAsia="Arial" w:hAnsi="Arial"/>
                <w:sz w:val="29"/>
                <w:szCs w:val="29"/>
                <w:color w:val="auto"/>
                <w:w w:val="87"/>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92,300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$1.00</w:t>
            </w:r>
          </w:p>
        </w:tc>
      </w:tr>
      <w:tr>
        <w:trPr>
          <w:trHeight w:val="256"/>
        </w:trPr>
        <w:tc>
          <w:tcPr>
            <w:tcW w:w="22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7"/>
              </w:rPr>
              <w:t>August 18, 2022</w:t>
            </w:r>
            <w:r>
              <w:rPr>
                <w:rFonts w:ascii="Arial" w:cs="Arial" w:eastAsia="Arial" w:hAnsi="Arial"/>
                <w:sz w:val="29"/>
                <w:szCs w:val="29"/>
                <w:color w:val="auto"/>
                <w:w w:val="87"/>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17,302</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91"/>
              </w:rPr>
              <w:t>$.98</w:t>
            </w:r>
          </w:p>
        </w:tc>
      </w:tr>
      <w:tr>
        <w:trPr>
          <w:trHeight w:val="257"/>
        </w:trPr>
        <w:tc>
          <w:tcPr>
            <w:tcW w:w="22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7"/>
              </w:rPr>
              <w:t>August 19, 2022</w:t>
            </w:r>
            <w:r>
              <w:rPr>
                <w:rFonts w:ascii="Arial" w:cs="Arial" w:eastAsia="Arial" w:hAnsi="Arial"/>
                <w:sz w:val="29"/>
                <w:szCs w:val="29"/>
                <w:color w:val="auto"/>
                <w:w w:val="87"/>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175,000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$1.05</w:t>
            </w:r>
          </w:p>
        </w:tc>
      </w:tr>
      <w:tr>
        <w:trPr>
          <w:trHeight w:val="257"/>
        </w:trPr>
        <w:tc>
          <w:tcPr>
            <w:tcW w:w="22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7"/>
              </w:rPr>
              <w:t>August 22, 2022</w:t>
            </w:r>
            <w:r>
              <w:rPr>
                <w:rFonts w:ascii="Arial" w:cs="Arial" w:eastAsia="Arial" w:hAnsi="Arial"/>
                <w:sz w:val="29"/>
                <w:szCs w:val="29"/>
                <w:color w:val="auto"/>
                <w:w w:val="87"/>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554,450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$1.14</w:t>
            </w:r>
          </w:p>
        </w:tc>
      </w:tr>
      <w:tr>
        <w:trPr>
          <w:trHeight w:val="216"/>
        </w:trPr>
        <w:tc>
          <w:tcPr>
            <w:tcW w:w="2260" w:type="dxa"/>
            <w:vAlign w:val="bottom"/>
          </w:tcPr>
          <w:p>
            <w:pPr>
              <w:jc w:val="center"/>
              <w:ind w:right="90"/>
              <w:spacing w:after="0"/>
              <w:rPr>
                <w:sz w:val="20"/>
                <w:szCs w:val="20"/>
                <w:color w:val="auto"/>
              </w:rPr>
            </w:pPr>
            <w:r>
              <w:rPr>
                <w:rFonts w:ascii="Arial" w:cs="Arial" w:eastAsia="Arial" w:hAnsi="Arial"/>
                <w:sz w:val="18"/>
                <w:szCs w:val="18"/>
                <w:color w:val="auto"/>
                <w:w w:val="91"/>
              </w:rPr>
              <w:t>August 22, 2022</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65,000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$0.75</w:t>
            </w:r>
          </w:p>
        </w:tc>
      </w:tr>
      <w:tr>
        <w:trPr>
          <w:trHeight w:val="257"/>
        </w:trPr>
        <w:tc>
          <w:tcPr>
            <w:tcW w:w="22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7"/>
              </w:rPr>
              <w:t>August 23, 2022</w:t>
            </w:r>
            <w:r>
              <w:rPr>
                <w:rFonts w:ascii="Arial" w:cs="Arial" w:eastAsia="Arial" w:hAnsi="Arial"/>
                <w:sz w:val="29"/>
                <w:szCs w:val="29"/>
                <w:color w:val="auto"/>
                <w:w w:val="87"/>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57,496</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$1.18</w:t>
            </w:r>
          </w:p>
        </w:tc>
      </w:tr>
      <w:tr>
        <w:trPr>
          <w:trHeight w:val="257"/>
        </w:trPr>
        <w:tc>
          <w:tcPr>
            <w:tcW w:w="22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7"/>
              </w:rPr>
              <w:t>August 25, 2022</w:t>
            </w:r>
            <w:r>
              <w:rPr>
                <w:rFonts w:ascii="Arial" w:cs="Arial" w:eastAsia="Arial" w:hAnsi="Arial"/>
                <w:sz w:val="29"/>
                <w:szCs w:val="29"/>
                <w:color w:val="auto"/>
                <w:w w:val="87"/>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120,000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$1.06</w:t>
            </w:r>
          </w:p>
        </w:tc>
      </w:tr>
      <w:tr>
        <w:trPr>
          <w:trHeight w:val="257"/>
        </w:trPr>
        <w:tc>
          <w:tcPr>
            <w:tcW w:w="22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7"/>
              </w:rPr>
              <w:t>August 26, 2022</w:t>
            </w:r>
            <w:r>
              <w:rPr>
                <w:rFonts w:ascii="Arial" w:cs="Arial" w:eastAsia="Arial" w:hAnsi="Arial"/>
                <w:sz w:val="29"/>
                <w:szCs w:val="29"/>
                <w:color w:val="auto"/>
                <w:w w:val="87"/>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82,000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$1.11</w:t>
            </w:r>
          </w:p>
        </w:tc>
      </w:tr>
      <w:tr>
        <w:trPr>
          <w:trHeight w:val="256"/>
        </w:trPr>
        <w:tc>
          <w:tcPr>
            <w:tcW w:w="22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5"/>
              </w:rPr>
              <w:t>September 1, 2022</w:t>
            </w:r>
            <w:r>
              <w:rPr>
                <w:rFonts w:ascii="Arial" w:cs="Arial" w:eastAsia="Arial" w:hAnsi="Arial"/>
                <w:sz w:val="29"/>
                <w:szCs w:val="29"/>
                <w:color w:val="auto"/>
                <w:w w:val="85"/>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66,168</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$1.33</w:t>
            </w:r>
          </w:p>
        </w:tc>
      </w:tr>
      <w:tr>
        <w:trPr>
          <w:trHeight w:val="257"/>
        </w:trPr>
        <w:tc>
          <w:tcPr>
            <w:tcW w:w="22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5"/>
              </w:rPr>
              <w:t>September 2, 2022</w:t>
            </w:r>
            <w:r>
              <w:rPr>
                <w:rFonts w:ascii="Arial" w:cs="Arial" w:eastAsia="Arial" w:hAnsi="Arial"/>
                <w:sz w:val="29"/>
                <w:szCs w:val="29"/>
                <w:color w:val="auto"/>
                <w:w w:val="85"/>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200,000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$1.47</w:t>
            </w:r>
          </w:p>
        </w:tc>
      </w:tr>
      <w:tr>
        <w:trPr>
          <w:trHeight w:val="257"/>
        </w:trPr>
        <w:tc>
          <w:tcPr>
            <w:tcW w:w="22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5"/>
              </w:rPr>
              <w:t>September 6, 2022</w:t>
            </w:r>
            <w:r>
              <w:rPr>
                <w:rFonts w:ascii="Arial" w:cs="Arial" w:eastAsia="Arial" w:hAnsi="Arial"/>
                <w:sz w:val="29"/>
                <w:szCs w:val="29"/>
                <w:color w:val="auto"/>
                <w:w w:val="85"/>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88,000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$1.38</w:t>
            </w:r>
          </w:p>
        </w:tc>
      </w:tr>
      <w:tr>
        <w:trPr>
          <w:trHeight w:val="257"/>
        </w:trPr>
        <w:tc>
          <w:tcPr>
            <w:tcW w:w="22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5"/>
              </w:rPr>
              <w:t>September 7, 2022</w:t>
            </w:r>
            <w:r>
              <w:rPr>
                <w:rFonts w:ascii="Arial" w:cs="Arial" w:eastAsia="Arial" w:hAnsi="Arial"/>
                <w:sz w:val="29"/>
                <w:szCs w:val="29"/>
                <w:color w:val="auto"/>
                <w:w w:val="85"/>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108,000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$1.39</w:t>
            </w:r>
          </w:p>
        </w:tc>
      </w:tr>
      <w:tr>
        <w:trPr>
          <w:trHeight w:val="256"/>
        </w:trPr>
        <w:tc>
          <w:tcPr>
            <w:tcW w:w="22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5"/>
              </w:rPr>
              <w:t>September 8, 2022</w:t>
            </w:r>
            <w:r>
              <w:rPr>
                <w:rFonts w:ascii="Arial" w:cs="Arial" w:eastAsia="Arial" w:hAnsi="Arial"/>
                <w:sz w:val="29"/>
                <w:szCs w:val="29"/>
                <w:color w:val="auto"/>
                <w:w w:val="85"/>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64,547</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$1.35</w:t>
            </w:r>
          </w:p>
        </w:tc>
      </w:tr>
      <w:tr>
        <w:trPr>
          <w:trHeight w:val="257"/>
        </w:trPr>
        <w:tc>
          <w:tcPr>
            <w:tcW w:w="22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5"/>
              </w:rPr>
              <w:t>September 9, 2022</w:t>
            </w:r>
            <w:r>
              <w:rPr>
                <w:rFonts w:ascii="Arial" w:cs="Arial" w:eastAsia="Arial" w:hAnsi="Arial"/>
                <w:sz w:val="29"/>
                <w:szCs w:val="29"/>
                <w:color w:val="auto"/>
                <w:w w:val="85"/>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100,000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$1.28</w:t>
            </w:r>
          </w:p>
        </w:tc>
      </w:tr>
      <w:tr>
        <w:trPr>
          <w:trHeight w:val="257"/>
        </w:trPr>
        <w:tc>
          <w:tcPr>
            <w:tcW w:w="2260" w:type="dxa"/>
            <w:vAlign w:val="bottom"/>
          </w:tcPr>
          <w:p>
            <w:pPr>
              <w:jc w:val="center"/>
              <w:ind w:right="70"/>
              <w:spacing w:after="0" w:line="256" w:lineRule="exact"/>
              <w:rPr>
                <w:sz w:val="20"/>
                <w:szCs w:val="20"/>
                <w:color w:val="auto"/>
              </w:rPr>
            </w:pPr>
            <w:r>
              <w:rPr>
                <w:rFonts w:ascii="Arial" w:cs="Arial" w:eastAsia="Arial" w:hAnsi="Arial"/>
                <w:sz w:val="18"/>
                <w:szCs w:val="18"/>
                <w:color w:val="auto"/>
                <w:w w:val="86"/>
              </w:rPr>
              <w:t>September 12, 2022</w:t>
            </w:r>
            <w:r>
              <w:rPr>
                <w:rFonts w:ascii="Arial" w:cs="Arial" w:eastAsia="Arial" w:hAnsi="Arial"/>
                <w:sz w:val="29"/>
                <w:szCs w:val="29"/>
                <w:color w:val="auto"/>
                <w:w w:val="86"/>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166,153</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$1.19</w:t>
            </w:r>
          </w:p>
        </w:tc>
      </w:tr>
      <w:tr>
        <w:trPr>
          <w:trHeight w:val="256"/>
        </w:trPr>
        <w:tc>
          <w:tcPr>
            <w:tcW w:w="2260" w:type="dxa"/>
            <w:vAlign w:val="bottom"/>
            <w:shd w:val="clear" w:color="auto" w:fill="E6EFFF"/>
          </w:tcPr>
          <w:p>
            <w:pPr>
              <w:jc w:val="center"/>
              <w:ind w:right="70"/>
              <w:spacing w:after="0" w:line="256" w:lineRule="exact"/>
              <w:rPr>
                <w:sz w:val="20"/>
                <w:szCs w:val="20"/>
                <w:color w:val="auto"/>
              </w:rPr>
            </w:pPr>
            <w:r>
              <w:rPr>
                <w:rFonts w:ascii="Arial" w:cs="Arial" w:eastAsia="Arial" w:hAnsi="Arial"/>
                <w:sz w:val="18"/>
                <w:szCs w:val="18"/>
                <w:color w:val="auto"/>
                <w:w w:val="86"/>
              </w:rPr>
              <w:t>September 13, 2022</w:t>
            </w:r>
            <w:r>
              <w:rPr>
                <w:rFonts w:ascii="Arial" w:cs="Arial" w:eastAsia="Arial" w:hAnsi="Arial"/>
                <w:sz w:val="29"/>
                <w:szCs w:val="29"/>
                <w:color w:val="auto"/>
                <w:w w:val="86"/>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100,000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$1.14</w:t>
            </w:r>
          </w:p>
        </w:tc>
      </w:tr>
      <w:tr>
        <w:trPr>
          <w:trHeight w:val="257"/>
        </w:trPr>
        <w:tc>
          <w:tcPr>
            <w:tcW w:w="2260" w:type="dxa"/>
            <w:vAlign w:val="bottom"/>
          </w:tcPr>
          <w:p>
            <w:pPr>
              <w:jc w:val="center"/>
              <w:ind w:right="70"/>
              <w:spacing w:after="0" w:line="256" w:lineRule="exact"/>
              <w:rPr>
                <w:sz w:val="20"/>
                <w:szCs w:val="20"/>
                <w:color w:val="auto"/>
              </w:rPr>
            </w:pPr>
            <w:r>
              <w:rPr>
                <w:rFonts w:ascii="Arial" w:cs="Arial" w:eastAsia="Arial" w:hAnsi="Arial"/>
                <w:sz w:val="18"/>
                <w:szCs w:val="18"/>
                <w:color w:val="auto"/>
                <w:w w:val="86"/>
              </w:rPr>
              <w:t>September 14, 2022</w:t>
            </w:r>
            <w:r>
              <w:rPr>
                <w:rFonts w:ascii="Arial" w:cs="Arial" w:eastAsia="Arial" w:hAnsi="Arial"/>
                <w:sz w:val="29"/>
                <w:szCs w:val="29"/>
                <w:color w:val="auto"/>
                <w:w w:val="86"/>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184,000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$1.08</w:t>
            </w:r>
          </w:p>
        </w:tc>
      </w:tr>
      <w:tr>
        <w:trPr>
          <w:trHeight w:val="257"/>
        </w:trPr>
        <w:tc>
          <w:tcPr>
            <w:tcW w:w="2260" w:type="dxa"/>
            <w:vAlign w:val="bottom"/>
            <w:shd w:val="clear" w:color="auto" w:fill="E6EFFF"/>
          </w:tcPr>
          <w:p>
            <w:pPr>
              <w:jc w:val="center"/>
              <w:ind w:right="70"/>
              <w:spacing w:after="0" w:line="256" w:lineRule="exact"/>
              <w:rPr>
                <w:sz w:val="20"/>
                <w:szCs w:val="20"/>
                <w:color w:val="auto"/>
              </w:rPr>
            </w:pPr>
            <w:r>
              <w:rPr>
                <w:rFonts w:ascii="Arial" w:cs="Arial" w:eastAsia="Arial" w:hAnsi="Arial"/>
                <w:sz w:val="18"/>
                <w:szCs w:val="18"/>
                <w:color w:val="auto"/>
                <w:w w:val="86"/>
              </w:rPr>
              <w:t>September 15, 2022</w:t>
            </w:r>
            <w:r>
              <w:rPr>
                <w:rFonts w:ascii="Arial" w:cs="Arial" w:eastAsia="Arial" w:hAnsi="Arial"/>
                <w:sz w:val="29"/>
                <w:szCs w:val="29"/>
                <w:color w:val="auto"/>
                <w:w w:val="86"/>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40,000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$0.98</w:t>
            </w:r>
          </w:p>
        </w:tc>
      </w:tr>
      <w:tr>
        <w:trPr>
          <w:trHeight w:val="256"/>
        </w:trPr>
        <w:tc>
          <w:tcPr>
            <w:tcW w:w="2260" w:type="dxa"/>
            <w:vAlign w:val="bottom"/>
          </w:tcPr>
          <w:p>
            <w:pPr>
              <w:jc w:val="center"/>
              <w:ind w:right="70"/>
              <w:spacing w:after="0" w:line="256" w:lineRule="exact"/>
              <w:rPr>
                <w:sz w:val="20"/>
                <w:szCs w:val="20"/>
                <w:color w:val="auto"/>
              </w:rPr>
            </w:pPr>
            <w:r>
              <w:rPr>
                <w:rFonts w:ascii="Arial" w:cs="Arial" w:eastAsia="Arial" w:hAnsi="Arial"/>
                <w:sz w:val="18"/>
                <w:szCs w:val="18"/>
                <w:color w:val="auto"/>
                <w:w w:val="86"/>
              </w:rPr>
              <w:t>September 16, 2022</w:t>
            </w:r>
            <w:r>
              <w:rPr>
                <w:rFonts w:ascii="Arial" w:cs="Arial" w:eastAsia="Arial" w:hAnsi="Arial"/>
                <w:sz w:val="29"/>
                <w:szCs w:val="29"/>
                <w:color w:val="auto"/>
                <w:w w:val="86"/>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90,000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$0.92</w:t>
            </w:r>
          </w:p>
        </w:tc>
      </w:tr>
      <w:tr>
        <w:trPr>
          <w:trHeight w:val="257"/>
        </w:trPr>
        <w:tc>
          <w:tcPr>
            <w:tcW w:w="2260" w:type="dxa"/>
            <w:vAlign w:val="bottom"/>
            <w:shd w:val="clear" w:color="auto" w:fill="E6EFFF"/>
          </w:tcPr>
          <w:p>
            <w:pPr>
              <w:jc w:val="center"/>
              <w:ind w:right="70"/>
              <w:spacing w:after="0" w:line="256" w:lineRule="exact"/>
              <w:rPr>
                <w:sz w:val="20"/>
                <w:szCs w:val="20"/>
                <w:color w:val="auto"/>
              </w:rPr>
            </w:pPr>
            <w:r>
              <w:rPr>
                <w:rFonts w:ascii="Arial" w:cs="Arial" w:eastAsia="Arial" w:hAnsi="Arial"/>
                <w:sz w:val="18"/>
                <w:szCs w:val="18"/>
                <w:color w:val="auto"/>
                <w:w w:val="86"/>
              </w:rPr>
              <w:t>September 19, 2022</w:t>
            </w:r>
            <w:r>
              <w:rPr>
                <w:rFonts w:ascii="Arial" w:cs="Arial" w:eastAsia="Arial" w:hAnsi="Arial"/>
                <w:sz w:val="29"/>
                <w:szCs w:val="29"/>
                <w:color w:val="auto"/>
                <w:w w:val="86"/>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192,000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$0.89</w:t>
            </w:r>
          </w:p>
        </w:tc>
      </w:tr>
      <w:tr>
        <w:trPr>
          <w:trHeight w:val="256"/>
        </w:trPr>
        <w:tc>
          <w:tcPr>
            <w:tcW w:w="2260" w:type="dxa"/>
            <w:vAlign w:val="bottom"/>
          </w:tcPr>
          <w:p>
            <w:pPr>
              <w:jc w:val="center"/>
              <w:ind w:right="70"/>
              <w:spacing w:after="0" w:line="256" w:lineRule="exact"/>
              <w:rPr>
                <w:sz w:val="20"/>
                <w:szCs w:val="20"/>
                <w:color w:val="auto"/>
              </w:rPr>
            </w:pPr>
            <w:r>
              <w:rPr>
                <w:rFonts w:ascii="Arial" w:cs="Arial" w:eastAsia="Arial" w:hAnsi="Arial"/>
                <w:sz w:val="18"/>
                <w:szCs w:val="18"/>
                <w:color w:val="auto"/>
                <w:w w:val="86"/>
              </w:rPr>
              <w:t>September 20, 2022</w:t>
            </w:r>
            <w:r>
              <w:rPr>
                <w:rFonts w:ascii="Arial" w:cs="Arial" w:eastAsia="Arial" w:hAnsi="Arial"/>
                <w:sz w:val="29"/>
                <w:szCs w:val="29"/>
                <w:color w:val="auto"/>
                <w:w w:val="86"/>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461,421</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$0.84</w:t>
            </w:r>
          </w:p>
        </w:tc>
      </w:tr>
      <w:tr>
        <w:trPr>
          <w:trHeight w:val="257"/>
        </w:trPr>
        <w:tc>
          <w:tcPr>
            <w:tcW w:w="2260" w:type="dxa"/>
            <w:vAlign w:val="bottom"/>
            <w:shd w:val="clear" w:color="auto" w:fill="E6EFFF"/>
          </w:tcPr>
          <w:p>
            <w:pPr>
              <w:jc w:val="center"/>
              <w:ind w:right="70"/>
              <w:spacing w:after="0" w:line="256" w:lineRule="exact"/>
              <w:rPr>
                <w:sz w:val="20"/>
                <w:szCs w:val="20"/>
                <w:color w:val="auto"/>
              </w:rPr>
            </w:pPr>
            <w:r>
              <w:rPr>
                <w:rFonts w:ascii="Arial" w:cs="Arial" w:eastAsia="Arial" w:hAnsi="Arial"/>
                <w:sz w:val="18"/>
                <w:szCs w:val="18"/>
                <w:color w:val="auto"/>
                <w:w w:val="86"/>
              </w:rPr>
              <w:t>September 21, 2022</w:t>
            </w:r>
            <w:r>
              <w:rPr>
                <w:rFonts w:ascii="Arial" w:cs="Arial" w:eastAsia="Arial" w:hAnsi="Arial"/>
                <w:sz w:val="29"/>
                <w:szCs w:val="29"/>
                <w:color w:val="auto"/>
                <w:w w:val="86"/>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100,000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$0.84</w:t>
            </w:r>
          </w:p>
        </w:tc>
      </w:tr>
      <w:tr>
        <w:trPr>
          <w:trHeight w:val="256"/>
        </w:trPr>
        <w:tc>
          <w:tcPr>
            <w:tcW w:w="2260" w:type="dxa"/>
            <w:vAlign w:val="bottom"/>
          </w:tcPr>
          <w:p>
            <w:pPr>
              <w:jc w:val="center"/>
              <w:ind w:right="70"/>
              <w:spacing w:after="0" w:line="256" w:lineRule="exact"/>
              <w:rPr>
                <w:sz w:val="20"/>
                <w:szCs w:val="20"/>
                <w:color w:val="auto"/>
              </w:rPr>
            </w:pPr>
            <w:r>
              <w:rPr>
                <w:rFonts w:ascii="Arial" w:cs="Arial" w:eastAsia="Arial" w:hAnsi="Arial"/>
                <w:sz w:val="18"/>
                <w:szCs w:val="18"/>
                <w:color w:val="auto"/>
                <w:w w:val="86"/>
              </w:rPr>
              <w:t>September 22, 2022</w:t>
            </w:r>
            <w:r>
              <w:rPr>
                <w:rFonts w:ascii="Arial" w:cs="Arial" w:eastAsia="Arial" w:hAnsi="Arial"/>
                <w:sz w:val="29"/>
                <w:szCs w:val="29"/>
                <w:color w:val="auto"/>
                <w:w w:val="86"/>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380,896</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$0.88</w:t>
            </w:r>
          </w:p>
        </w:tc>
      </w:tr>
      <w:tr>
        <w:trPr>
          <w:trHeight w:val="257"/>
        </w:trPr>
        <w:tc>
          <w:tcPr>
            <w:tcW w:w="2260" w:type="dxa"/>
            <w:vAlign w:val="bottom"/>
            <w:shd w:val="clear" w:color="auto" w:fill="E6EFFF"/>
          </w:tcPr>
          <w:p>
            <w:pPr>
              <w:jc w:val="center"/>
              <w:ind w:right="70"/>
              <w:spacing w:after="0" w:line="256" w:lineRule="exact"/>
              <w:rPr>
                <w:sz w:val="20"/>
                <w:szCs w:val="20"/>
                <w:color w:val="auto"/>
              </w:rPr>
            </w:pPr>
            <w:r>
              <w:rPr>
                <w:rFonts w:ascii="Arial" w:cs="Arial" w:eastAsia="Arial" w:hAnsi="Arial"/>
                <w:sz w:val="18"/>
                <w:szCs w:val="18"/>
                <w:color w:val="auto"/>
                <w:w w:val="86"/>
              </w:rPr>
              <w:t>September 23, 2022</w:t>
            </w:r>
            <w:r>
              <w:rPr>
                <w:rFonts w:ascii="Arial" w:cs="Arial" w:eastAsia="Arial" w:hAnsi="Arial"/>
                <w:sz w:val="29"/>
                <w:szCs w:val="29"/>
                <w:color w:val="auto"/>
                <w:w w:val="86"/>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113,000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$0.85</w:t>
            </w:r>
          </w:p>
        </w:tc>
      </w:tr>
      <w:tr>
        <w:trPr>
          <w:trHeight w:val="256"/>
        </w:trPr>
        <w:tc>
          <w:tcPr>
            <w:tcW w:w="2260" w:type="dxa"/>
            <w:vAlign w:val="bottom"/>
          </w:tcPr>
          <w:p>
            <w:pPr>
              <w:jc w:val="center"/>
              <w:ind w:right="70"/>
              <w:spacing w:after="0" w:line="256" w:lineRule="exact"/>
              <w:rPr>
                <w:sz w:val="20"/>
                <w:szCs w:val="20"/>
                <w:color w:val="auto"/>
              </w:rPr>
            </w:pPr>
            <w:r>
              <w:rPr>
                <w:rFonts w:ascii="Arial" w:cs="Arial" w:eastAsia="Arial" w:hAnsi="Arial"/>
                <w:sz w:val="18"/>
                <w:szCs w:val="18"/>
                <w:color w:val="auto"/>
                <w:w w:val="86"/>
              </w:rPr>
              <w:t>September 26, 2022</w:t>
            </w:r>
            <w:r>
              <w:rPr>
                <w:rFonts w:ascii="Arial" w:cs="Arial" w:eastAsia="Arial" w:hAnsi="Arial"/>
                <w:sz w:val="29"/>
                <w:szCs w:val="29"/>
                <w:color w:val="auto"/>
                <w:w w:val="86"/>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125,214</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$0.85</w:t>
            </w:r>
          </w:p>
        </w:tc>
      </w:tr>
      <w:tr>
        <w:trPr>
          <w:trHeight w:val="257"/>
        </w:trPr>
        <w:tc>
          <w:tcPr>
            <w:tcW w:w="2260" w:type="dxa"/>
            <w:vAlign w:val="bottom"/>
            <w:shd w:val="clear" w:color="auto" w:fill="E6EFFF"/>
          </w:tcPr>
          <w:p>
            <w:pPr>
              <w:jc w:val="center"/>
              <w:ind w:right="70"/>
              <w:spacing w:after="0" w:line="256" w:lineRule="exact"/>
              <w:rPr>
                <w:sz w:val="20"/>
                <w:szCs w:val="20"/>
                <w:color w:val="auto"/>
              </w:rPr>
            </w:pPr>
            <w:r>
              <w:rPr>
                <w:rFonts w:ascii="Arial" w:cs="Arial" w:eastAsia="Arial" w:hAnsi="Arial"/>
                <w:sz w:val="18"/>
                <w:szCs w:val="18"/>
                <w:color w:val="auto"/>
                <w:w w:val="86"/>
              </w:rPr>
              <w:t>September 27, 2022</w:t>
            </w:r>
            <w:r>
              <w:rPr>
                <w:rFonts w:ascii="Arial" w:cs="Arial" w:eastAsia="Arial" w:hAnsi="Arial"/>
                <w:sz w:val="29"/>
                <w:szCs w:val="29"/>
                <w:color w:val="auto"/>
                <w:w w:val="86"/>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287,000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$0.77</w:t>
            </w:r>
          </w:p>
        </w:tc>
      </w:tr>
      <w:tr>
        <w:trPr>
          <w:trHeight w:val="216"/>
        </w:trPr>
        <w:tc>
          <w:tcPr>
            <w:tcW w:w="2260" w:type="dxa"/>
            <w:vAlign w:val="bottom"/>
          </w:tcPr>
          <w:p>
            <w:pPr>
              <w:jc w:val="center"/>
              <w:ind w:right="90"/>
              <w:spacing w:after="0"/>
              <w:rPr>
                <w:sz w:val="20"/>
                <w:szCs w:val="20"/>
                <w:color w:val="auto"/>
              </w:rPr>
            </w:pPr>
            <w:r>
              <w:rPr>
                <w:rFonts w:ascii="Arial" w:cs="Arial" w:eastAsia="Arial" w:hAnsi="Arial"/>
                <w:sz w:val="18"/>
                <w:szCs w:val="18"/>
                <w:color w:val="auto"/>
                <w:w w:val="88"/>
              </w:rPr>
              <w:t>September 28, 2022</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235,000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93"/>
              </w:rPr>
              <w:t>Options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$1.00</w:t>
            </w:r>
          </w:p>
        </w:tc>
      </w:tr>
      <w:tr>
        <w:trPr>
          <w:trHeight w:val="216"/>
        </w:trPr>
        <w:tc>
          <w:tcPr>
            <w:tcW w:w="2260" w:type="dxa"/>
            <w:vAlign w:val="bottom"/>
            <w:shd w:val="clear" w:color="auto" w:fill="E6EFFF"/>
          </w:tcPr>
          <w:p>
            <w:pPr>
              <w:jc w:val="center"/>
              <w:ind w:right="90"/>
              <w:spacing w:after="0"/>
              <w:rPr>
                <w:sz w:val="20"/>
                <w:szCs w:val="20"/>
                <w:color w:val="auto"/>
              </w:rPr>
            </w:pPr>
            <w:r>
              <w:rPr>
                <w:rFonts w:ascii="Arial" w:cs="Arial" w:eastAsia="Arial" w:hAnsi="Arial"/>
                <w:sz w:val="18"/>
                <w:szCs w:val="18"/>
                <w:color w:val="auto"/>
                <w:w w:val="88"/>
              </w:rPr>
              <w:t>September 28, 2022</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195,000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93"/>
              </w:rPr>
              <w:t>Options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$0.75</w:t>
            </w:r>
          </w:p>
        </w:tc>
      </w:tr>
      <w:tr>
        <w:trPr>
          <w:trHeight w:val="256"/>
        </w:trPr>
        <w:tc>
          <w:tcPr>
            <w:tcW w:w="2260" w:type="dxa"/>
            <w:vAlign w:val="bottom"/>
          </w:tcPr>
          <w:p>
            <w:pPr>
              <w:jc w:val="center"/>
              <w:ind w:right="70"/>
              <w:spacing w:after="0" w:line="256" w:lineRule="exact"/>
              <w:rPr>
                <w:sz w:val="20"/>
                <w:szCs w:val="20"/>
                <w:color w:val="auto"/>
              </w:rPr>
            </w:pPr>
            <w:r>
              <w:rPr>
                <w:rFonts w:ascii="Arial" w:cs="Arial" w:eastAsia="Arial" w:hAnsi="Arial"/>
                <w:sz w:val="18"/>
                <w:szCs w:val="18"/>
                <w:color w:val="auto"/>
                <w:w w:val="86"/>
              </w:rPr>
              <w:t>September 28, 2022</w:t>
            </w:r>
            <w:r>
              <w:rPr>
                <w:rFonts w:ascii="Arial" w:cs="Arial" w:eastAsia="Arial" w:hAnsi="Arial"/>
                <w:sz w:val="29"/>
                <w:szCs w:val="29"/>
                <w:color w:val="auto"/>
                <w:w w:val="86"/>
                <w:vertAlign w:val="superscript"/>
              </w:rPr>
              <w:t>(3)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227,831</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$0.72</w:t>
            </w:r>
          </w:p>
        </w:tc>
      </w:tr>
      <w:tr>
        <w:trPr>
          <w:trHeight w:val="257"/>
        </w:trPr>
        <w:tc>
          <w:tcPr>
            <w:tcW w:w="2260" w:type="dxa"/>
            <w:vAlign w:val="bottom"/>
            <w:shd w:val="clear" w:color="auto" w:fill="E6EFFF"/>
          </w:tcPr>
          <w:p>
            <w:pPr>
              <w:jc w:val="center"/>
              <w:ind w:right="70"/>
              <w:spacing w:after="0" w:line="256" w:lineRule="exact"/>
              <w:rPr>
                <w:sz w:val="20"/>
                <w:szCs w:val="20"/>
                <w:color w:val="auto"/>
              </w:rPr>
            </w:pPr>
            <w:r>
              <w:rPr>
                <w:rFonts w:ascii="Arial" w:cs="Arial" w:eastAsia="Arial" w:hAnsi="Arial"/>
                <w:sz w:val="18"/>
                <w:szCs w:val="18"/>
                <w:color w:val="auto"/>
                <w:w w:val="86"/>
              </w:rPr>
              <w:t>September 29, 2022</w:t>
            </w:r>
            <w:r>
              <w:rPr>
                <w:rFonts w:ascii="Arial" w:cs="Arial" w:eastAsia="Arial" w:hAnsi="Arial"/>
                <w:sz w:val="29"/>
                <w:szCs w:val="29"/>
                <w:color w:val="auto"/>
                <w:w w:val="86"/>
                <w:vertAlign w:val="superscript"/>
              </w:rPr>
              <w:t>(3)</w:t>
            </w:r>
          </w:p>
        </w:tc>
        <w:tc>
          <w:tcPr>
            <w:tcW w:w="2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328,900</w:t>
            </w:r>
          </w:p>
        </w:tc>
        <w:tc>
          <w:tcPr>
            <w:tcW w:w="2040" w:type="dxa"/>
            <w:vAlign w:val="bottom"/>
            <w:shd w:val="clear" w:color="auto" w:fill="E6EFFF"/>
          </w:tcPr>
          <w:p>
            <w:pPr>
              <w:jc w:val="center"/>
              <w:ind w:left="130"/>
              <w:spacing w:after="0"/>
              <w:rPr>
                <w:sz w:val="20"/>
                <w:szCs w:val="20"/>
                <w:color w:val="auto"/>
              </w:rPr>
            </w:pPr>
            <w:r>
              <w:rPr>
                <w:rFonts w:ascii="Arial" w:cs="Arial" w:eastAsia="Arial" w:hAnsi="Arial"/>
                <w:sz w:val="18"/>
                <w:szCs w:val="18"/>
                <w:color w:val="auto"/>
                <w:w w:val="87"/>
              </w:rPr>
              <w:t>Common Shares</w:t>
            </w:r>
          </w:p>
        </w:tc>
        <w:tc>
          <w:tcPr>
            <w:tcW w:w="2460" w:type="dxa"/>
            <w:vAlign w:val="bottom"/>
            <w:shd w:val="clear" w:color="auto" w:fill="E6EFFF"/>
          </w:tcPr>
          <w:p>
            <w:pPr>
              <w:jc w:val="center"/>
              <w:ind w:left="210"/>
              <w:spacing w:after="0"/>
              <w:rPr>
                <w:sz w:val="20"/>
                <w:szCs w:val="20"/>
                <w:color w:val="auto"/>
              </w:rPr>
            </w:pPr>
            <w:r>
              <w:rPr>
                <w:rFonts w:ascii="Arial" w:cs="Arial" w:eastAsia="Arial" w:hAnsi="Arial"/>
                <w:sz w:val="18"/>
                <w:szCs w:val="18"/>
                <w:color w:val="auto"/>
                <w:w w:val="88"/>
              </w:rPr>
              <w:t>$0.71</w:t>
            </w:r>
          </w:p>
        </w:tc>
      </w:tr>
      <w:tr>
        <w:trPr>
          <w:trHeight w:val="230"/>
        </w:trPr>
        <w:tc>
          <w:tcPr>
            <w:tcW w:w="2260" w:type="dxa"/>
            <w:vAlign w:val="bottom"/>
          </w:tcPr>
          <w:p>
            <w:pPr>
              <w:jc w:val="center"/>
              <w:ind w:right="90"/>
              <w:spacing w:after="0"/>
              <w:rPr>
                <w:sz w:val="20"/>
                <w:szCs w:val="20"/>
                <w:color w:val="auto"/>
              </w:rPr>
            </w:pPr>
            <w:r>
              <w:rPr>
                <w:rFonts w:ascii="Arial" w:cs="Arial" w:eastAsia="Arial" w:hAnsi="Arial"/>
                <w:sz w:val="18"/>
                <w:szCs w:val="18"/>
                <w:color w:val="auto"/>
                <w:w w:val="88"/>
              </w:rPr>
              <w:t>September 30, 2022</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2040" w:type="dxa"/>
            <w:vAlign w:val="bottom"/>
          </w:tcPr>
          <w:p>
            <w:pPr>
              <w:jc w:val="center"/>
              <w:ind w:left="130"/>
              <w:spacing w:after="0"/>
              <w:rPr>
                <w:sz w:val="20"/>
                <w:szCs w:val="20"/>
                <w:color w:val="auto"/>
              </w:rPr>
            </w:pPr>
            <w:r>
              <w:rPr>
                <w:rFonts w:ascii="Arial" w:cs="Arial" w:eastAsia="Arial" w:hAnsi="Arial"/>
                <w:sz w:val="18"/>
                <w:szCs w:val="18"/>
                <w:color w:val="auto"/>
                <w:w w:val="93"/>
              </w:rPr>
              <w:t>Options</w:t>
            </w: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8"/>
              </w:rPr>
              <w:t>$1.00</w:t>
            </w:r>
          </w:p>
        </w:tc>
      </w:tr>
    </w:tbl>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ind w:left="280" w:right="460"/>
        <w:spacing w:after="0" w:line="227" w:lineRule="auto"/>
        <w:rPr>
          <w:sz w:val="20"/>
          <w:szCs w:val="20"/>
          <w:color w:val="auto"/>
        </w:rPr>
      </w:pPr>
      <w:r>
        <w:rPr>
          <w:rFonts w:ascii="Arial" w:cs="Arial" w:eastAsia="Arial" w:hAnsi="Arial"/>
          <w:sz w:val="15"/>
          <w:szCs w:val="15"/>
          <w:color w:val="auto"/>
        </w:rPr>
        <w:t>September 30, 2022 September 30,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3,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4,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7, 2022</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October 17,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18,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19,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20,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21,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24,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25,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26,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27,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28,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October 31,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1,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2,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3,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4,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7,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8,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10,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14,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15,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15,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November 16, 2022</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November 16, 2022</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November 30, 2022</w:t>
      </w:r>
      <w:r>
        <w:rPr>
          <w:rFonts w:ascii="Arial" w:cs="Arial" w:eastAsia="Arial" w:hAnsi="Arial"/>
          <w:sz w:val="24"/>
          <w:szCs w:val="24"/>
          <w:color w:val="auto"/>
          <w:vertAlign w:val="superscript"/>
        </w:rPr>
        <w:t>(3)</w:t>
      </w:r>
    </w:p>
    <w:p>
      <w:pPr>
        <w:ind w:left="340"/>
        <w:spacing w:after="0" w:line="205" w:lineRule="auto"/>
        <w:rPr>
          <w:sz w:val="20"/>
          <w:szCs w:val="20"/>
          <w:color w:val="auto"/>
        </w:rPr>
      </w:pPr>
      <w:r>
        <w:rPr>
          <w:rFonts w:ascii="Arial" w:cs="Arial" w:eastAsia="Arial" w:hAnsi="Arial"/>
          <w:sz w:val="16"/>
          <w:szCs w:val="16"/>
          <w:color w:val="auto"/>
        </w:rPr>
        <w:t>December 1, 2022</w:t>
      </w:r>
      <w:r>
        <w:rPr>
          <w:rFonts w:ascii="Arial" w:cs="Arial" w:eastAsia="Arial" w:hAnsi="Arial"/>
          <w:sz w:val="26"/>
          <w:szCs w:val="26"/>
          <w:color w:val="auto"/>
          <w:vertAlign w:val="superscript"/>
        </w:rPr>
        <w:t>(3)</w:t>
      </w:r>
    </w:p>
    <w:p>
      <w:pPr>
        <w:ind w:left="340"/>
        <w:spacing w:after="0" w:line="206" w:lineRule="auto"/>
        <w:rPr>
          <w:sz w:val="20"/>
          <w:szCs w:val="20"/>
          <w:color w:val="auto"/>
        </w:rPr>
      </w:pPr>
      <w:r>
        <w:rPr>
          <w:rFonts w:ascii="Arial" w:cs="Arial" w:eastAsia="Arial" w:hAnsi="Arial"/>
          <w:sz w:val="16"/>
          <w:szCs w:val="16"/>
          <w:color w:val="auto"/>
        </w:rPr>
        <w:t>December 5, 2022</w:t>
      </w:r>
      <w:r>
        <w:rPr>
          <w:rFonts w:ascii="Arial" w:cs="Arial" w:eastAsia="Arial" w:hAnsi="Arial"/>
          <w:sz w:val="26"/>
          <w:szCs w:val="26"/>
          <w:color w:val="auto"/>
          <w:vertAlign w:val="superscript"/>
        </w:rPr>
        <w:t>(3)</w:t>
      </w:r>
    </w:p>
    <w:p>
      <w:pPr>
        <w:ind w:left="340"/>
        <w:spacing w:after="0" w:line="206" w:lineRule="auto"/>
        <w:rPr>
          <w:sz w:val="20"/>
          <w:szCs w:val="20"/>
          <w:color w:val="auto"/>
        </w:rPr>
      </w:pPr>
      <w:r>
        <w:rPr>
          <w:rFonts w:ascii="Arial" w:cs="Arial" w:eastAsia="Arial" w:hAnsi="Arial"/>
          <w:sz w:val="16"/>
          <w:szCs w:val="16"/>
          <w:color w:val="auto"/>
        </w:rPr>
        <w:t>December 6, 2022</w:t>
      </w:r>
      <w:r>
        <w:rPr>
          <w:rFonts w:ascii="Arial" w:cs="Arial" w:eastAsia="Arial" w:hAnsi="Arial"/>
          <w:sz w:val="26"/>
          <w:szCs w:val="26"/>
          <w:color w:val="auto"/>
          <w:vertAlign w:val="superscript"/>
        </w:rPr>
        <w:t>(3)</w:t>
      </w:r>
    </w:p>
    <w:p>
      <w:pPr>
        <w:ind w:left="340"/>
        <w:spacing w:after="0" w:line="206" w:lineRule="auto"/>
        <w:rPr>
          <w:sz w:val="20"/>
          <w:szCs w:val="20"/>
          <w:color w:val="auto"/>
        </w:rPr>
      </w:pPr>
      <w:r>
        <w:rPr>
          <w:rFonts w:ascii="Arial" w:cs="Arial" w:eastAsia="Arial" w:hAnsi="Arial"/>
          <w:sz w:val="16"/>
          <w:szCs w:val="16"/>
          <w:color w:val="auto"/>
        </w:rPr>
        <w:t>December 7, 2022</w:t>
      </w:r>
      <w:r>
        <w:rPr>
          <w:rFonts w:ascii="Arial" w:cs="Arial" w:eastAsia="Arial" w:hAnsi="Arial"/>
          <w:sz w:val="26"/>
          <w:szCs w:val="26"/>
          <w:color w:val="auto"/>
          <w:vertAlign w:val="superscript"/>
        </w:rPr>
        <w:t>(3)</w:t>
      </w:r>
    </w:p>
    <w:p>
      <w:pPr>
        <w:ind w:left="340"/>
        <w:spacing w:after="0" w:line="206" w:lineRule="auto"/>
        <w:rPr>
          <w:sz w:val="20"/>
          <w:szCs w:val="20"/>
          <w:color w:val="auto"/>
        </w:rPr>
      </w:pPr>
      <w:r>
        <w:rPr>
          <w:rFonts w:ascii="Arial" w:cs="Arial" w:eastAsia="Arial" w:hAnsi="Arial"/>
          <w:sz w:val="16"/>
          <w:szCs w:val="16"/>
          <w:color w:val="auto"/>
        </w:rPr>
        <w:t>December 8, 2022</w:t>
      </w:r>
      <w:r>
        <w:rPr>
          <w:rFonts w:ascii="Arial" w:cs="Arial" w:eastAsia="Arial" w:hAnsi="Arial"/>
          <w:sz w:val="26"/>
          <w:szCs w:val="26"/>
          <w:color w:val="auto"/>
          <w:vertAlign w:val="superscript"/>
        </w:rPr>
        <w:t>(3)</w:t>
      </w:r>
    </w:p>
    <w:p>
      <w:pPr>
        <w:ind w:left="340"/>
        <w:spacing w:after="0" w:line="206" w:lineRule="auto"/>
        <w:rPr>
          <w:sz w:val="20"/>
          <w:szCs w:val="20"/>
          <w:color w:val="auto"/>
        </w:rPr>
      </w:pPr>
      <w:r>
        <w:rPr>
          <w:rFonts w:ascii="Arial" w:cs="Arial" w:eastAsia="Arial" w:hAnsi="Arial"/>
          <w:sz w:val="16"/>
          <w:szCs w:val="16"/>
          <w:color w:val="auto"/>
        </w:rPr>
        <w:t>December 8, 2022</w:t>
      </w:r>
      <w:r>
        <w:rPr>
          <w:rFonts w:ascii="Arial" w:cs="Arial" w:eastAsia="Arial" w:hAnsi="Arial"/>
          <w:sz w:val="26"/>
          <w:szCs w:val="26"/>
          <w:color w:val="auto"/>
          <w:vertAlign w:val="superscript"/>
        </w:rPr>
        <w:t>(3)</w:t>
      </w:r>
    </w:p>
    <w:p>
      <w:pPr>
        <w:ind w:left="400"/>
        <w:spacing w:after="0" w:line="206" w:lineRule="auto"/>
        <w:rPr>
          <w:sz w:val="20"/>
          <w:szCs w:val="20"/>
          <w:color w:val="auto"/>
        </w:rPr>
      </w:pPr>
      <w:r>
        <w:rPr>
          <w:rFonts w:ascii="Arial" w:cs="Arial" w:eastAsia="Arial" w:hAnsi="Arial"/>
          <w:sz w:val="16"/>
          <w:szCs w:val="16"/>
          <w:color w:val="auto"/>
        </w:rPr>
        <w:t>January 12, 2023</w:t>
      </w:r>
      <w:r>
        <w:rPr>
          <w:rFonts w:ascii="Arial" w:cs="Arial" w:eastAsia="Arial" w:hAnsi="Arial"/>
          <w:sz w:val="26"/>
          <w:szCs w:val="26"/>
          <w:color w:val="auto"/>
          <w:vertAlign w:val="superscript"/>
        </w:rPr>
        <w:t>(3)</w:t>
      </w:r>
    </w:p>
    <w:p>
      <w:pPr>
        <w:ind w:left="400"/>
        <w:spacing w:after="0" w:line="206" w:lineRule="auto"/>
        <w:rPr>
          <w:sz w:val="20"/>
          <w:szCs w:val="20"/>
          <w:color w:val="auto"/>
        </w:rPr>
      </w:pPr>
      <w:r>
        <w:rPr>
          <w:rFonts w:ascii="Arial" w:cs="Arial" w:eastAsia="Arial" w:hAnsi="Arial"/>
          <w:sz w:val="16"/>
          <w:szCs w:val="16"/>
          <w:color w:val="auto"/>
        </w:rPr>
        <w:t>January 12, 2023</w:t>
      </w:r>
      <w:r>
        <w:rPr>
          <w:rFonts w:ascii="Arial" w:cs="Arial" w:eastAsia="Arial" w:hAnsi="Arial"/>
          <w:sz w:val="26"/>
          <w:szCs w:val="26"/>
          <w:color w:val="auto"/>
          <w:vertAlign w:val="superscript"/>
        </w:rPr>
        <w:t>(2)</w:t>
      </w:r>
    </w:p>
    <w:p>
      <w:pPr>
        <w:ind w:left="400"/>
        <w:spacing w:after="0" w:line="206" w:lineRule="auto"/>
        <w:rPr>
          <w:sz w:val="20"/>
          <w:szCs w:val="20"/>
          <w:color w:val="auto"/>
        </w:rPr>
      </w:pPr>
      <w:r>
        <w:rPr>
          <w:rFonts w:ascii="Arial" w:cs="Arial" w:eastAsia="Arial" w:hAnsi="Arial"/>
          <w:sz w:val="16"/>
          <w:szCs w:val="16"/>
          <w:color w:val="auto"/>
        </w:rPr>
        <w:t>January 17, 2023</w:t>
      </w:r>
      <w:r>
        <w:rPr>
          <w:rFonts w:ascii="Arial" w:cs="Arial" w:eastAsia="Arial" w:hAnsi="Arial"/>
          <w:sz w:val="26"/>
          <w:szCs w:val="26"/>
          <w:color w:val="auto"/>
          <w:vertAlign w:val="superscript"/>
        </w:rPr>
        <w:t>(3)</w:t>
      </w:r>
    </w:p>
    <w:p>
      <w:pPr>
        <w:ind w:left="400"/>
        <w:spacing w:after="0" w:line="205" w:lineRule="auto"/>
        <w:rPr>
          <w:sz w:val="20"/>
          <w:szCs w:val="20"/>
          <w:color w:val="auto"/>
        </w:rPr>
      </w:pPr>
      <w:r>
        <w:rPr>
          <w:rFonts w:ascii="Arial" w:cs="Arial" w:eastAsia="Arial" w:hAnsi="Arial"/>
          <w:sz w:val="16"/>
          <w:szCs w:val="16"/>
          <w:color w:val="auto"/>
        </w:rPr>
        <w:t>January 18, 2023</w:t>
      </w:r>
      <w:r>
        <w:rPr>
          <w:rFonts w:ascii="Arial" w:cs="Arial" w:eastAsia="Arial" w:hAnsi="Arial"/>
          <w:sz w:val="26"/>
          <w:szCs w:val="26"/>
          <w:color w:val="auto"/>
          <w:vertAlign w:val="superscript"/>
        </w:rPr>
        <w:t>(3)</w:t>
      </w:r>
    </w:p>
    <w:p>
      <w:pPr>
        <w:ind w:left="400"/>
        <w:spacing w:after="0" w:line="206" w:lineRule="auto"/>
        <w:rPr>
          <w:sz w:val="20"/>
          <w:szCs w:val="20"/>
          <w:color w:val="auto"/>
        </w:rPr>
      </w:pPr>
      <w:r>
        <w:rPr>
          <w:rFonts w:ascii="Arial" w:cs="Arial" w:eastAsia="Arial" w:hAnsi="Arial"/>
          <w:sz w:val="16"/>
          <w:szCs w:val="16"/>
          <w:color w:val="auto"/>
        </w:rPr>
        <w:t>January 19, 2023</w:t>
      </w:r>
      <w:r>
        <w:rPr>
          <w:rFonts w:ascii="Arial" w:cs="Arial" w:eastAsia="Arial" w:hAnsi="Arial"/>
          <w:sz w:val="26"/>
          <w:szCs w:val="26"/>
          <w:color w:val="auto"/>
          <w:vertAlign w:val="superscript"/>
        </w:rPr>
        <w:t>(3)</w:t>
      </w:r>
    </w:p>
    <w:p>
      <w:pPr>
        <w:ind w:left="400"/>
        <w:spacing w:after="0" w:line="206" w:lineRule="auto"/>
        <w:rPr>
          <w:sz w:val="20"/>
          <w:szCs w:val="20"/>
          <w:color w:val="auto"/>
        </w:rPr>
      </w:pPr>
      <w:r>
        <w:rPr>
          <w:rFonts w:ascii="Arial" w:cs="Arial" w:eastAsia="Arial" w:hAnsi="Arial"/>
          <w:sz w:val="16"/>
          <w:szCs w:val="16"/>
          <w:color w:val="auto"/>
        </w:rPr>
        <w:t>January 20, 2023</w:t>
      </w:r>
      <w:r>
        <w:rPr>
          <w:rFonts w:ascii="Arial" w:cs="Arial" w:eastAsia="Arial" w:hAnsi="Arial"/>
          <w:sz w:val="26"/>
          <w:szCs w:val="26"/>
          <w:color w:val="auto"/>
          <w:vertAlign w:val="superscript"/>
        </w:rPr>
        <w:t>(3)</w:t>
      </w:r>
    </w:p>
    <w:p>
      <w:pPr>
        <w:ind w:left="400"/>
        <w:spacing w:after="0" w:line="206" w:lineRule="auto"/>
        <w:rPr>
          <w:sz w:val="20"/>
          <w:szCs w:val="20"/>
          <w:color w:val="auto"/>
        </w:rPr>
      </w:pPr>
      <w:r>
        <w:rPr>
          <w:rFonts w:ascii="Arial" w:cs="Arial" w:eastAsia="Arial" w:hAnsi="Arial"/>
          <w:sz w:val="16"/>
          <w:szCs w:val="16"/>
          <w:color w:val="auto"/>
        </w:rPr>
        <w:t>January 23, 2023</w:t>
      </w:r>
      <w:r>
        <w:rPr>
          <w:rFonts w:ascii="Arial" w:cs="Arial" w:eastAsia="Arial" w:hAnsi="Arial"/>
          <w:sz w:val="26"/>
          <w:szCs w:val="26"/>
          <w:color w:val="auto"/>
          <w:vertAlign w:val="superscript"/>
        </w:rPr>
        <w:t>(3)</w:t>
      </w:r>
    </w:p>
    <w:p>
      <w:pPr>
        <w:ind w:left="400"/>
        <w:spacing w:after="0" w:line="206" w:lineRule="auto"/>
        <w:rPr>
          <w:sz w:val="20"/>
          <w:szCs w:val="20"/>
          <w:color w:val="auto"/>
        </w:rPr>
      </w:pPr>
      <w:r>
        <w:rPr>
          <w:rFonts w:ascii="Arial" w:cs="Arial" w:eastAsia="Arial" w:hAnsi="Arial"/>
          <w:sz w:val="16"/>
          <w:szCs w:val="16"/>
          <w:color w:val="auto"/>
        </w:rPr>
        <w:t>January 24, 2023</w:t>
      </w:r>
      <w:r>
        <w:rPr>
          <w:rFonts w:ascii="Arial" w:cs="Arial" w:eastAsia="Arial" w:hAnsi="Arial"/>
          <w:sz w:val="26"/>
          <w:szCs w:val="26"/>
          <w:color w:val="auto"/>
          <w:vertAlign w:val="superscript"/>
        </w:rPr>
        <w:t>(3)</w:t>
      </w:r>
    </w:p>
    <w:p>
      <w:pPr>
        <w:ind w:left="400"/>
        <w:spacing w:after="0" w:line="206" w:lineRule="auto"/>
        <w:rPr>
          <w:sz w:val="20"/>
          <w:szCs w:val="20"/>
          <w:color w:val="auto"/>
        </w:rPr>
      </w:pPr>
      <w:r>
        <w:rPr>
          <w:rFonts w:ascii="Arial" w:cs="Arial" w:eastAsia="Arial" w:hAnsi="Arial"/>
          <w:sz w:val="16"/>
          <w:szCs w:val="16"/>
          <w:color w:val="auto"/>
        </w:rPr>
        <w:t>January 26, 2023</w:t>
      </w:r>
      <w:r>
        <w:rPr>
          <w:rFonts w:ascii="Arial" w:cs="Arial" w:eastAsia="Arial" w:hAnsi="Arial"/>
          <w:sz w:val="26"/>
          <w:szCs w:val="26"/>
          <w:color w:val="auto"/>
          <w:vertAlign w:val="superscript"/>
        </w:rPr>
        <w:t>(3)</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January 30, 2023</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75,000</w:t>
            </w: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3"/>
              </w:rPr>
              <w:t>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44"/>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366,300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150,000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63,452</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912,572</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131,700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153,600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91,512</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74,000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530,000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326,000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317,000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287,000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224,000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236,000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323,900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372,300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159,600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46,600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420" w:type="dxa"/>
            <w:vAlign w:val="bottom"/>
          </w:tcPr>
          <w:p>
            <w:pPr>
              <w:jc w:val="center"/>
              <w:ind w:right="610"/>
              <w:spacing w:after="0"/>
              <w:rPr>
                <w:sz w:val="20"/>
                <w:szCs w:val="20"/>
                <w:color w:val="auto"/>
              </w:rPr>
            </w:pPr>
            <w:r>
              <w:rPr>
                <w:rFonts w:ascii="Arial" w:cs="Arial" w:eastAsia="Arial" w:hAnsi="Arial"/>
                <w:sz w:val="18"/>
                <w:szCs w:val="18"/>
                <w:color w:val="auto"/>
                <w:w w:val="87"/>
              </w:rPr>
              <w:t>11,465</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87,584</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293,648</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344,000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120,339</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235,400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222,437</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29"/>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200,000</w:t>
            </w: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3"/>
              </w:rPr>
              <w:t>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1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375,000</w:t>
            </w: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3"/>
              </w:rPr>
              <w:t>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44"/>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156,574</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350,300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102,928</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230,000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293,644</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192,600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12,922</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163,000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57"/>
        </w:trPr>
        <w:tc>
          <w:tcPr>
            <w:tcW w:w="1420" w:type="dxa"/>
            <w:vAlign w:val="bottom"/>
          </w:tcPr>
          <w:p>
            <w:pPr>
              <w:jc w:val="center"/>
              <w:ind w:right="610"/>
              <w:spacing w:after="0"/>
              <w:rPr>
                <w:sz w:val="20"/>
                <w:szCs w:val="20"/>
                <w:color w:val="auto"/>
              </w:rPr>
            </w:pPr>
            <w:r>
              <w:rPr>
                <w:rFonts w:ascii="Arial" w:cs="Arial" w:eastAsia="Arial" w:hAnsi="Arial"/>
                <w:sz w:val="18"/>
                <w:szCs w:val="18"/>
                <w:color w:val="auto"/>
                <w:w w:val="89"/>
              </w:rPr>
              <w:t>5,089,648</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6"/>
        </w:trPr>
        <w:tc>
          <w:tcPr>
            <w:tcW w:w="1420" w:type="dxa"/>
            <w:vAlign w:val="bottom"/>
          </w:tcPr>
          <w:p>
            <w:pPr>
              <w:jc w:val="center"/>
              <w:ind w:right="610"/>
              <w:spacing w:after="0"/>
              <w:rPr>
                <w:sz w:val="20"/>
                <w:szCs w:val="20"/>
                <w:color w:val="auto"/>
              </w:rPr>
            </w:pPr>
            <w:r>
              <w:rPr>
                <w:rFonts w:ascii="Arial" w:cs="Arial" w:eastAsia="Arial" w:hAnsi="Arial"/>
                <w:sz w:val="18"/>
                <w:szCs w:val="18"/>
                <w:color w:val="auto"/>
                <w:w w:val="89"/>
              </w:rPr>
              <w:t>1,200,000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200,000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150,000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270,000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171,900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286,000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266,000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333,000</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-7234555</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-6934200</wp:posOffset>
            </wp:positionV>
            <wp:extent cx="570039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-6608445</wp:posOffset>
            </wp:positionV>
            <wp:extent cx="570039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-6282690</wp:posOffset>
            </wp:positionV>
            <wp:extent cx="570039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-5956935</wp:posOffset>
            </wp:positionV>
            <wp:extent cx="570039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-5631180</wp:posOffset>
            </wp:positionV>
            <wp:extent cx="570039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-5305425</wp:posOffset>
            </wp:positionV>
            <wp:extent cx="570039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-4979670</wp:posOffset>
            </wp:positionV>
            <wp:extent cx="570039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-4653915</wp:posOffset>
            </wp:positionV>
            <wp:extent cx="570039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-4328160</wp:posOffset>
            </wp:positionV>
            <wp:extent cx="570039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-4002405</wp:posOffset>
            </wp:positionV>
            <wp:extent cx="570039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-3676650</wp:posOffset>
            </wp:positionV>
            <wp:extent cx="570039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-3350895</wp:posOffset>
            </wp:positionV>
            <wp:extent cx="570039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-3025140</wp:posOffset>
            </wp:positionV>
            <wp:extent cx="570039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-2750820</wp:posOffset>
            </wp:positionV>
            <wp:extent cx="570039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-2425065</wp:posOffset>
            </wp:positionV>
            <wp:extent cx="570039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-2099310</wp:posOffset>
            </wp:positionV>
            <wp:extent cx="570039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-1773555</wp:posOffset>
            </wp:positionV>
            <wp:extent cx="570039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-1447800</wp:posOffset>
            </wp:positionV>
            <wp:extent cx="5700395"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-1122045</wp:posOffset>
            </wp:positionV>
            <wp:extent cx="570039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-796290</wp:posOffset>
            </wp:positionV>
            <wp:extent cx="570039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-471170</wp:posOffset>
            </wp:positionV>
            <wp:extent cx="570039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-145415</wp:posOffset>
            </wp:positionV>
            <wp:extent cx="570039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2"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142240</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360" w:space="720"/>
            <w:col w:w="5939"/>
          </w:cols>
          <w:pgMar w:left="1440" w:top="368" w:right="1440" w:bottom="1440" w:gutter="0" w:footer="0" w:header="0"/>
        </w:sectPr>
      </w:pPr>
    </w:p>
    <w:bookmarkStart w:id="19" w:name="page20"/>
    <w:bookmarkEnd w:id="19"/>
    <w:p>
      <w:pPr>
        <w:jc w:val="center"/>
        <w:ind w:right="180"/>
        <w:spacing w:after="0"/>
        <w:rPr>
          <w:sz w:val="20"/>
          <w:szCs w:val="20"/>
          <w:color w:val="auto"/>
        </w:rPr>
      </w:pPr>
      <w:r>
        <w:rPr>
          <w:rFonts w:ascii="Arial" w:cs="Arial" w:eastAsia="Arial" w:hAnsi="Arial"/>
          <w:sz w:val="16"/>
          <w:szCs w:val="16"/>
          <w:color w:val="auto"/>
        </w:rPr>
        <w:t>January 31, 2023</w:t>
      </w:r>
      <w:r>
        <w:rPr>
          <w:rFonts w:ascii="Arial" w:cs="Arial" w:eastAsia="Arial" w:hAnsi="Arial"/>
          <w:sz w:val="26"/>
          <w:szCs w:val="26"/>
          <w:color w:val="auto"/>
          <w:vertAlign w:val="superscript"/>
        </w:rPr>
        <w:t>(3)</w:t>
      </w:r>
    </w:p>
    <w:p>
      <w:pPr>
        <w:jc w:val="center"/>
        <w:ind w:right="180"/>
        <w:spacing w:after="0" w:line="205" w:lineRule="auto"/>
        <w:rPr>
          <w:sz w:val="20"/>
          <w:szCs w:val="20"/>
          <w:color w:val="auto"/>
        </w:rPr>
      </w:pPr>
      <w:r>
        <w:rPr>
          <w:rFonts w:ascii="Arial" w:cs="Arial" w:eastAsia="Arial" w:hAnsi="Arial"/>
          <w:sz w:val="16"/>
          <w:szCs w:val="16"/>
          <w:color w:val="auto"/>
        </w:rPr>
        <w:t>February 1, 2023</w:t>
      </w:r>
      <w:r>
        <w:rPr>
          <w:rFonts w:ascii="Arial" w:cs="Arial" w:eastAsia="Arial" w:hAnsi="Arial"/>
          <w:sz w:val="26"/>
          <w:szCs w:val="26"/>
          <w:color w:val="auto"/>
          <w:vertAlign w:val="superscript"/>
        </w:rPr>
        <w:t>(3)</w:t>
      </w:r>
    </w:p>
    <w:p>
      <w:pPr>
        <w:jc w:val="center"/>
        <w:ind w:right="180"/>
        <w:spacing w:after="0" w:line="206" w:lineRule="auto"/>
        <w:rPr>
          <w:sz w:val="20"/>
          <w:szCs w:val="20"/>
          <w:color w:val="auto"/>
        </w:rPr>
      </w:pPr>
      <w:r>
        <w:rPr>
          <w:rFonts w:ascii="Arial" w:cs="Arial" w:eastAsia="Arial" w:hAnsi="Arial"/>
          <w:sz w:val="16"/>
          <w:szCs w:val="16"/>
          <w:color w:val="auto"/>
        </w:rPr>
        <w:t>February 2, 2023</w:t>
      </w:r>
      <w:r>
        <w:rPr>
          <w:rFonts w:ascii="Arial" w:cs="Arial" w:eastAsia="Arial" w:hAnsi="Arial"/>
          <w:sz w:val="26"/>
          <w:szCs w:val="26"/>
          <w:color w:val="auto"/>
          <w:vertAlign w:val="superscript"/>
        </w:rPr>
        <w:t>(3)</w:t>
      </w:r>
    </w:p>
    <w:p>
      <w:pPr>
        <w:jc w:val="center"/>
        <w:ind w:right="180"/>
        <w:spacing w:after="0" w:line="206" w:lineRule="auto"/>
        <w:rPr>
          <w:sz w:val="20"/>
          <w:szCs w:val="20"/>
          <w:color w:val="auto"/>
        </w:rPr>
      </w:pPr>
      <w:r>
        <w:rPr>
          <w:rFonts w:ascii="Arial" w:cs="Arial" w:eastAsia="Arial" w:hAnsi="Arial"/>
          <w:sz w:val="16"/>
          <w:szCs w:val="16"/>
          <w:color w:val="auto"/>
        </w:rPr>
        <w:t>February 6, 2023</w:t>
      </w:r>
      <w:r>
        <w:rPr>
          <w:rFonts w:ascii="Arial" w:cs="Arial" w:eastAsia="Arial" w:hAnsi="Arial"/>
          <w:sz w:val="26"/>
          <w:szCs w:val="26"/>
          <w:color w:val="auto"/>
          <w:vertAlign w:val="superscript"/>
        </w:rPr>
        <w:t>(3)</w:t>
      </w:r>
    </w:p>
    <w:p>
      <w:pPr>
        <w:jc w:val="center"/>
        <w:ind w:right="180"/>
        <w:spacing w:after="0" w:line="206" w:lineRule="auto"/>
        <w:rPr>
          <w:sz w:val="20"/>
          <w:szCs w:val="20"/>
          <w:color w:val="auto"/>
        </w:rPr>
      </w:pPr>
      <w:r>
        <w:rPr>
          <w:rFonts w:ascii="Arial" w:cs="Arial" w:eastAsia="Arial" w:hAnsi="Arial"/>
          <w:sz w:val="16"/>
          <w:szCs w:val="16"/>
          <w:color w:val="auto"/>
        </w:rPr>
        <w:t>February 7, 2023</w:t>
      </w:r>
      <w:r>
        <w:rPr>
          <w:rFonts w:ascii="Arial" w:cs="Arial" w:eastAsia="Arial" w:hAnsi="Arial"/>
          <w:sz w:val="26"/>
          <w:szCs w:val="26"/>
          <w:color w:val="auto"/>
          <w:vertAlign w:val="superscript"/>
        </w:rPr>
        <w:t>(3)</w:t>
      </w:r>
    </w:p>
    <w:p>
      <w:pPr>
        <w:jc w:val="center"/>
        <w:ind w:right="180"/>
        <w:spacing w:after="0" w:line="206" w:lineRule="auto"/>
        <w:rPr>
          <w:sz w:val="20"/>
          <w:szCs w:val="20"/>
          <w:color w:val="auto"/>
        </w:rPr>
      </w:pPr>
      <w:r>
        <w:rPr>
          <w:rFonts w:ascii="Arial" w:cs="Arial" w:eastAsia="Arial" w:hAnsi="Arial"/>
          <w:sz w:val="16"/>
          <w:szCs w:val="16"/>
          <w:color w:val="auto"/>
        </w:rPr>
        <w:t>February 8, 2023</w:t>
      </w:r>
      <w:r>
        <w:rPr>
          <w:rFonts w:ascii="Arial" w:cs="Arial" w:eastAsia="Arial" w:hAnsi="Arial"/>
          <w:sz w:val="26"/>
          <w:szCs w:val="26"/>
          <w:color w:val="auto"/>
          <w:vertAlign w:val="superscript"/>
        </w:rPr>
        <w:t>(3)</w:t>
      </w:r>
    </w:p>
    <w:p>
      <w:pPr>
        <w:jc w:val="center"/>
        <w:ind w:right="180"/>
        <w:spacing w:after="0" w:line="206" w:lineRule="auto"/>
        <w:rPr>
          <w:sz w:val="20"/>
          <w:szCs w:val="20"/>
          <w:color w:val="auto"/>
        </w:rPr>
      </w:pPr>
      <w:r>
        <w:rPr>
          <w:rFonts w:ascii="Arial" w:cs="Arial" w:eastAsia="Arial" w:hAnsi="Arial"/>
          <w:sz w:val="16"/>
          <w:szCs w:val="16"/>
          <w:color w:val="auto"/>
        </w:rPr>
        <w:t>February 9, 2023</w:t>
      </w:r>
      <w:r>
        <w:rPr>
          <w:rFonts w:ascii="Arial" w:cs="Arial" w:eastAsia="Arial" w:hAnsi="Arial"/>
          <w:sz w:val="26"/>
          <w:szCs w:val="26"/>
          <w:color w:val="auto"/>
          <w:vertAlign w:val="superscript"/>
        </w:rPr>
        <w:t>(3)</w:t>
      </w:r>
    </w:p>
    <w:p>
      <w:pPr>
        <w:jc w:val="center"/>
        <w:ind w:right="180"/>
        <w:spacing w:after="0" w:line="223" w:lineRule="auto"/>
        <w:rPr>
          <w:sz w:val="20"/>
          <w:szCs w:val="20"/>
          <w:color w:val="auto"/>
        </w:rPr>
      </w:pPr>
      <w:r>
        <w:rPr>
          <w:rFonts w:ascii="Arial" w:cs="Arial" w:eastAsia="Arial" w:hAnsi="Arial"/>
          <w:sz w:val="15"/>
          <w:szCs w:val="15"/>
          <w:color w:val="auto"/>
        </w:rPr>
        <w:t>February 10, 2023</w:t>
      </w:r>
      <w:r>
        <w:rPr>
          <w:rFonts w:ascii="Arial" w:cs="Arial" w:eastAsia="Arial" w:hAnsi="Arial"/>
          <w:sz w:val="24"/>
          <w:szCs w:val="24"/>
          <w:color w:val="auto"/>
          <w:vertAlign w:val="superscript"/>
        </w:rPr>
        <w:t>(3)</w:t>
      </w:r>
    </w:p>
    <w:p>
      <w:pPr>
        <w:jc w:val="center"/>
        <w:ind w:right="180"/>
        <w:spacing w:after="0" w:line="223" w:lineRule="auto"/>
        <w:rPr>
          <w:sz w:val="20"/>
          <w:szCs w:val="20"/>
          <w:color w:val="auto"/>
        </w:rPr>
      </w:pPr>
      <w:r>
        <w:rPr>
          <w:rFonts w:ascii="Arial" w:cs="Arial" w:eastAsia="Arial" w:hAnsi="Arial"/>
          <w:sz w:val="15"/>
          <w:szCs w:val="15"/>
          <w:color w:val="auto"/>
        </w:rPr>
        <w:t>February 13, 2023</w:t>
      </w:r>
      <w:r>
        <w:rPr>
          <w:rFonts w:ascii="Arial" w:cs="Arial" w:eastAsia="Arial" w:hAnsi="Arial"/>
          <w:sz w:val="24"/>
          <w:szCs w:val="24"/>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3,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March 6,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7,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March 8,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9,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13,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March 14,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14, 2023</w:t>
      </w:r>
      <w:r>
        <w:rPr>
          <w:rFonts w:ascii="Arial" w:cs="Arial" w:eastAsia="Arial" w:hAnsi="Arial"/>
          <w:sz w:val="29"/>
          <w:szCs w:val="29"/>
          <w:color w:val="auto"/>
          <w:vertAlign w:val="superscript"/>
        </w:rPr>
        <w:t>(2)</w:t>
      </w:r>
    </w:p>
    <w:p>
      <w:pPr>
        <w:jc w:val="center"/>
        <w:ind w:right="180"/>
        <w:spacing w:after="0" w:line="184" w:lineRule="auto"/>
        <w:rPr>
          <w:sz w:val="20"/>
          <w:szCs w:val="20"/>
          <w:color w:val="auto"/>
        </w:rPr>
      </w:pPr>
      <w:r>
        <w:rPr>
          <w:rFonts w:ascii="Arial" w:cs="Arial" w:eastAsia="Arial" w:hAnsi="Arial"/>
          <w:sz w:val="18"/>
          <w:szCs w:val="18"/>
          <w:color w:val="auto"/>
        </w:rPr>
        <w:t>March 16,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17,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20,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March 21,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22,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March 28,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March 29,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April 19,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April 20,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April 21,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April 26,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4,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5,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May 9,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10,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May 11,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12,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16,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May 17,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18,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May 19,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23,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23,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May 24,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25, 2023</w:t>
      </w:r>
      <w:r>
        <w:rPr>
          <w:rFonts w:ascii="Arial" w:cs="Arial" w:eastAsia="Arial" w:hAnsi="Arial"/>
          <w:sz w:val="29"/>
          <w:szCs w:val="29"/>
          <w:color w:val="auto"/>
          <w:vertAlign w:val="superscript"/>
        </w:rPr>
        <w:t>(3)</w:t>
      </w:r>
    </w:p>
    <w:p>
      <w:pPr>
        <w:jc w:val="center"/>
        <w:ind w:right="180"/>
        <w:spacing w:after="0" w:line="184" w:lineRule="auto"/>
        <w:rPr>
          <w:sz w:val="20"/>
          <w:szCs w:val="20"/>
          <w:color w:val="auto"/>
        </w:rPr>
      </w:pPr>
      <w:r>
        <w:rPr>
          <w:rFonts w:ascii="Arial" w:cs="Arial" w:eastAsia="Arial" w:hAnsi="Arial"/>
          <w:sz w:val="18"/>
          <w:szCs w:val="18"/>
          <w:color w:val="auto"/>
        </w:rPr>
        <w:t>May 26, 2023</w:t>
      </w:r>
      <w:r>
        <w:rPr>
          <w:rFonts w:ascii="Arial" w:cs="Arial" w:eastAsia="Arial" w:hAnsi="Arial"/>
          <w:sz w:val="29"/>
          <w:szCs w:val="29"/>
          <w:color w:val="auto"/>
          <w:vertAlign w:val="superscript"/>
        </w:rPr>
        <w:t>(3)</w:t>
      </w:r>
    </w:p>
    <w:p>
      <w:pPr>
        <w:jc w:val="center"/>
        <w:ind w:right="180"/>
        <w:spacing w:after="0" w:line="185" w:lineRule="auto"/>
        <w:rPr>
          <w:sz w:val="20"/>
          <w:szCs w:val="20"/>
          <w:color w:val="auto"/>
        </w:rPr>
      </w:pPr>
      <w:r>
        <w:rPr>
          <w:rFonts w:ascii="Arial" w:cs="Arial" w:eastAsia="Arial" w:hAnsi="Arial"/>
          <w:sz w:val="18"/>
          <w:szCs w:val="18"/>
          <w:color w:val="auto"/>
        </w:rPr>
        <w:t>May 30, 2023</w:t>
      </w:r>
      <w:r>
        <w:rPr>
          <w:rFonts w:ascii="Arial" w:cs="Arial" w:eastAsia="Arial" w:hAnsi="Arial"/>
          <w:sz w:val="29"/>
          <w:szCs w:val="29"/>
          <w:color w:val="auto"/>
          <w:vertAlign w:val="superscript"/>
        </w:rPr>
        <w:t>(3)</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May 30, 2023</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235,000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124,600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167,400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212,000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125,000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290,000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580,000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700,000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123,400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884,000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102,000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50,000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620,000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125,837</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446,000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57"/>
        </w:trPr>
        <w:tc>
          <w:tcPr>
            <w:tcW w:w="1420" w:type="dxa"/>
            <w:vAlign w:val="bottom"/>
          </w:tcPr>
          <w:p>
            <w:pPr>
              <w:jc w:val="center"/>
              <w:ind w:right="610"/>
              <w:spacing w:after="0"/>
              <w:rPr>
                <w:sz w:val="20"/>
                <w:szCs w:val="20"/>
                <w:color w:val="auto"/>
              </w:rPr>
            </w:pPr>
            <w:r>
              <w:rPr>
                <w:rFonts w:ascii="Arial" w:cs="Arial" w:eastAsia="Arial" w:hAnsi="Arial"/>
                <w:sz w:val="18"/>
                <w:szCs w:val="18"/>
                <w:color w:val="auto"/>
                <w:w w:val="89"/>
              </w:rPr>
              <w:t>2,387,222</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80,000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254,000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180,000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170,000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439,000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90"/>
              </w:rPr>
              <w:t>47,300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350,000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153,000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257,600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323,000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250,000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250,000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392,000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400,000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104,836</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250,000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275,000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387,000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429,000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300,000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463,000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57"/>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400,000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6"/>
        </w:trPr>
        <w:tc>
          <w:tcPr>
            <w:tcW w:w="1420" w:type="dxa"/>
            <w:vAlign w:val="bottom"/>
          </w:tcPr>
          <w:p>
            <w:pPr>
              <w:jc w:val="center"/>
              <w:ind w:right="590"/>
              <w:spacing w:after="0"/>
              <w:rPr>
                <w:sz w:val="20"/>
                <w:szCs w:val="20"/>
                <w:color w:val="auto"/>
              </w:rPr>
            </w:pPr>
            <w:r>
              <w:rPr>
                <w:rFonts w:ascii="Arial" w:cs="Arial" w:eastAsia="Arial" w:hAnsi="Arial"/>
                <w:sz w:val="18"/>
                <w:szCs w:val="18"/>
                <w:color w:val="auto"/>
                <w:w w:val="89"/>
              </w:rPr>
              <w:t>248,400</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6"/>
        </w:trPr>
        <w:tc>
          <w:tcPr>
            <w:tcW w:w="1420" w:type="dxa"/>
            <w:vAlign w:val="bottom"/>
          </w:tcPr>
          <w:p>
            <w:pPr>
              <w:jc w:val="center"/>
              <w:ind w:right="610"/>
              <w:spacing w:after="0"/>
              <w:rPr>
                <w:sz w:val="20"/>
                <w:szCs w:val="20"/>
                <w:color w:val="auto"/>
              </w:rPr>
            </w:pPr>
            <w:r>
              <w:rPr>
                <w:rFonts w:ascii="Arial" w:cs="Arial" w:eastAsia="Arial" w:hAnsi="Arial"/>
                <w:sz w:val="18"/>
                <w:szCs w:val="18"/>
                <w:color w:val="auto"/>
                <w:w w:val="89"/>
              </w:rPr>
              <w:t>2,538,844</w:t>
            </w:r>
          </w:p>
        </w:tc>
        <w:tc>
          <w:tcPr>
            <w:tcW w:w="2580" w:type="dxa"/>
            <w:vAlign w:val="bottom"/>
          </w:tcPr>
          <w:p>
            <w:pPr>
              <w:ind w:left="680"/>
              <w:spacing w:after="0"/>
              <w:rPr>
                <w:sz w:val="20"/>
                <w:szCs w:val="20"/>
                <w:color w:val="auto"/>
              </w:rPr>
            </w:pPr>
            <w:r>
              <w:rPr>
                <w:rFonts w:ascii="Arial" w:cs="Arial" w:eastAsia="Arial" w:hAnsi="Arial"/>
                <w:sz w:val="18"/>
                <w:szCs w:val="18"/>
                <w:color w:val="auto"/>
              </w:rPr>
              <w:t>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-7311390</wp:posOffset>
            </wp:positionV>
            <wp:extent cx="570039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-6985635</wp:posOffset>
            </wp:positionV>
            <wp:extent cx="570039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-6659880</wp:posOffset>
            </wp:positionV>
            <wp:extent cx="570039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-6334125</wp:posOffset>
            </wp:positionV>
            <wp:extent cx="570039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-6008370</wp:posOffset>
            </wp:positionV>
            <wp:extent cx="570039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-5682615</wp:posOffset>
            </wp:positionV>
            <wp:extent cx="570039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-5356860</wp:posOffset>
            </wp:positionV>
            <wp:extent cx="570039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-5031105</wp:posOffset>
            </wp:positionV>
            <wp:extent cx="570039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-4705350</wp:posOffset>
            </wp:positionV>
            <wp:extent cx="570039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-4379595</wp:posOffset>
            </wp:positionV>
            <wp:extent cx="5700395"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-4053840</wp:posOffset>
            </wp:positionV>
            <wp:extent cx="570039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-3728720</wp:posOffset>
            </wp:positionV>
            <wp:extent cx="570039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-3402330</wp:posOffset>
            </wp:positionV>
            <wp:extent cx="5700395"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-3076575</wp:posOffset>
            </wp:positionV>
            <wp:extent cx="5700395"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-2750820</wp:posOffset>
            </wp:positionV>
            <wp:extent cx="570039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-2425065</wp:posOffset>
            </wp:positionV>
            <wp:extent cx="570039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-2099310</wp:posOffset>
            </wp:positionV>
            <wp:extent cx="570039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-1773555</wp:posOffset>
            </wp:positionV>
            <wp:extent cx="570039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-1447800</wp:posOffset>
            </wp:positionV>
            <wp:extent cx="570039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-1122680</wp:posOffset>
            </wp:positionV>
            <wp:extent cx="570039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-796290</wp:posOffset>
            </wp:positionV>
            <wp:extent cx="570039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-470535</wp:posOffset>
            </wp:positionV>
            <wp:extent cx="570039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-144780</wp:posOffset>
            </wp:positionV>
            <wp:extent cx="570039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2"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142240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360" w:space="720"/>
            <w:col w:w="5939"/>
          </w:cols>
          <w:pgMar w:left="1440" w:top="341" w:right="1440" w:bottom="1440" w:gutter="0" w:footer="0" w:header="0"/>
        </w:sectPr>
      </w:pPr>
    </w:p>
    <w:bookmarkStart w:id="20" w:name="page21"/>
    <w:bookmarkEnd w:id="20"/>
    <w:tbl>
      <w:tblPr>
        <w:tblLayout w:type="fixed"/>
        <w:tblInd w:w="1140" w:type="dxa"/>
        <w:tblCellMar>
          <w:top w:w="0" w:type="dxa"/>
          <w:left w:w="0" w:type="dxa"/>
          <w:bottom w:w="0" w:type="dxa"/>
          <w:right w:w="0" w:type="dxa"/>
        </w:tblCellMar>
      </w:tblPr>
      <w:tr>
        <w:trPr>
          <w:trHeight w:val="333"/>
        </w:trPr>
        <w:tc>
          <w:tcPr>
            <w:tcW w:w="2340" w:type="dxa"/>
            <w:vAlign w:val="bottom"/>
            <w:shd w:val="clear" w:color="auto" w:fill="E6EFFF"/>
          </w:tcPr>
          <w:p>
            <w:pPr>
              <w:jc w:val="center"/>
              <w:ind w:right="190"/>
              <w:spacing w:after="0"/>
              <w:rPr>
                <w:sz w:val="20"/>
                <w:szCs w:val="20"/>
                <w:color w:val="auto"/>
              </w:rPr>
            </w:pPr>
            <w:r>
              <w:rPr>
                <w:rFonts w:ascii="Arial" w:cs="Arial" w:eastAsia="Arial" w:hAnsi="Arial"/>
                <w:sz w:val="18"/>
                <w:szCs w:val="18"/>
                <w:color w:val="auto"/>
                <w:w w:val="88"/>
              </w:rPr>
              <w:t>May 31, 2023</w:t>
            </w:r>
            <w:r>
              <w:rPr>
                <w:rFonts w:ascii="Arial" w:cs="Arial" w:eastAsia="Arial" w:hAnsi="Arial"/>
                <w:sz w:val="29"/>
                <w:szCs w:val="29"/>
                <w:color w:val="auto"/>
                <w:w w:val="88"/>
                <w:vertAlign w:val="superscript"/>
              </w:rPr>
              <w:t>(5)</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$0.34</w:t>
            </w:r>
          </w:p>
        </w:tc>
      </w:tr>
      <w:tr>
        <w:trPr>
          <w:trHeight w:val="257"/>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4"/>
              </w:rPr>
              <w:t>June 1, 2023</w:t>
            </w:r>
            <w:r>
              <w:rPr>
                <w:rFonts w:ascii="Arial" w:cs="Arial" w:eastAsia="Arial" w:hAnsi="Arial"/>
                <w:sz w:val="29"/>
                <w:szCs w:val="29"/>
                <w:color w:val="auto"/>
                <w:w w:val="84"/>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$0.38</w:t>
            </w:r>
          </w:p>
        </w:tc>
      </w:tr>
      <w:tr>
        <w:trPr>
          <w:trHeight w:val="257"/>
        </w:trPr>
        <w:tc>
          <w:tcPr>
            <w:tcW w:w="2340" w:type="dxa"/>
            <w:vAlign w:val="bottom"/>
            <w:shd w:val="clear" w:color="auto" w:fill="E6EFFF"/>
          </w:tcPr>
          <w:p>
            <w:pPr>
              <w:jc w:val="center"/>
              <w:ind w:right="210"/>
              <w:spacing w:after="0" w:line="256" w:lineRule="exact"/>
              <w:rPr>
                <w:sz w:val="20"/>
                <w:szCs w:val="20"/>
                <w:color w:val="auto"/>
              </w:rPr>
            </w:pPr>
            <w:r>
              <w:rPr>
                <w:rFonts w:ascii="Arial" w:cs="Arial" w:eastAsia="Arial" w:hAnsi="Arial"/>
                <w:sz w:val="18"/>
                <w:szCs w:val="18"/>
                <w:color w:val="auto"/>
                <w:w w:val="84"/>
              </w:rPr>
              <w:t>June 1, 2023</w:t>
            </w:r>
            <w:r>
              <w:rPr>
                <w:rFonts w:ascii="Arial" w:cs="Arial" w:eastAsia="Arial" w:hAnsi="Arial"/>
                <w:sz w:val="29"/>
                <w:szCs w:val="29"/>
                <w:color w:val="auto"/>
                <w:w w:val="84"/>
                <w:vertAlign w:val="superscript"/>
              </w:rPr>
              <w:t>(5)</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$0.34</w:t>
            </w:r>
          </w:p>
        </w:tc>
      </w:tr>
      <w:tr>
        <w:trPr>
          <w:trHeight w:val="256"/>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4"/>
              </w:rPr>
              <w:t>June 2, 2023</w:t>
            </w:r>
            <w:r>
              <w:rPr>
                <w:rFonts w:ascii="Arial" w:cs="Arial" w:eastAsia="Arial" w:hAnsi="Arial"/>
                <w:sz w:val="29"/>
                <w:szCs w:val="29"/>
                <w:color w:val="auto"/>
                <w:w w:val="84"/>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337,000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$0.36</w:t>
            </w:r>
          </w:p>
        </w:tc>
      </w:tr>
      <w:tr>
        <w:trPr>
          <w:trHeight w:val="257"/>
        </w:trPr>
        <w:tc>
          <w:tcPr>
            <w:tcW w:w="2340" w:type="dxa"/>
            <w:vAlign w:val="bottom"/>
            <w:shd w:val="clear" w:color="auto" w:fill="E6EFFF"/>
          </w:tcPr>
          <w:p>
            <w:pPr>
              <w:jc w:val="center"/>
              <w:ind w:right="210"/>
              <w:spacing w:after="0" w:line="256" w:lineRule="exact"/>
              <w:rPr>
                <w:sz w:val="20"/>
                <w:szCs w:val="20"/>
                <w:color w:val="auto"/>
              </w:rPr>
            </w:pPr>
            <w:r>
              <w:rPr>
                <w:rFonts w:ascii="Arial" w:cs="Arial" w:eastAsia="Arial" w:hAnsi="Arial"/>
                <w:sz w:val="18"/>
                <w:szCs w:val="18"/>
                <w:color w:val="auto"/>
                <w:w w:val="84"/>
              </w:rPr>
              <w:t>June 2, 2023</w:t>
            </w:r>
            <w:r>
              <w:rPr>
                <w:rFonts w:ascii="Arial" w:cs="Arial" w:eastAsia="Arial" w:hAnsi="Arial"/>
                <w:sz w:val="29"/>
                <w:szCs w:val="29"/>
                <w:color w:val="auto"/>
                <w:w w:val="84"/>
                <w:vertAlign w:val="superscript"/>
              </w:rPr>
              <w:t>(5)</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$0.34</w:t>
            </w:r>
          </w:p>
        </w:tc>
      </w:tr>
      <w:tr>
        <w:trPr>
          <w:trHeight w:val="257"/>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4"/>
              </w:rPr>
              <w:t>June 5, 2023</w:t>
            </w:r>
            <w:r>
              <w:rPr>
                <w:rFonts w:ascii="Arial" w:cs="Arial" w:eastAsia="Arial" w:hAnsi="Arial"/>
                <w:sz w:val="29"/>
                <w:szCs w:val="29"/>
                <w:color w:val="auto"/>
                <w:w w:val="84"/>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245,000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$0.35</w:t>
            </w:r>
          </w:p>
        </w:tc>
      </w:tr>
      <w:tr>
        <w:trPr>
          <w:trHeight w:val="257"/>
        </w:trPr>
        <w:tc>
          <w:tcPr>
            <w:tcW w:w="2340" w:type="dxa"/>
            <w:vAlign w:val="bottom"/>
            <w:shd w:val="clear" w:color="auto" w:fill="E6EFFF"/>
          </w:tcPr>
          <w:p>
            <w:pPr>
              <w:jc w:val="center"/>
              <w:ind w:right="210"/>
              <w:spacing w:after="0" w:line="256" w:lineRule="exact"/>
              <w:rPr>
                <w:sz w:val="20"/>
                <w:szCs w:val="20"/>
                <w:color w:val="auto"/>
              </w:rPr>
            </w:pPr>
            <w:r>
              <w:rPr>
                <w:rFonts w:ascii="Arial" w:cs="Arial" w:eastAsia="Arial" w:hAnsi="Arial"/>
                <w:sz w:val="18"/>
                <w:szCs w:val="18"/>
                <w:color w:val="auto"/>
                <w:w w:val="84"/>
              </w:rPr>
              <w:t>June 5, 2023</w:t>
            </w:r>
            <w:r>
              <w:rPr>
                <w:rFonts w:ascii="Arial" w:cs="Arial" w:eastAsia="Arial" w:hAnsi="Arial"/>
                <w:sz w:val="29"/>
                <w:szCs w:val="29"/>
                <w:color w:val="auto"/>
                <w:w w:val="84"/>
                <w:vertAlign w:val="superscript"/>
              </w:rPr>
              <w:t>(5)</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$0.34</w:t>
            </w:r>
          </w:p>
        </w:tc>
      </w:tr>
      <w:tr>
        <w:trPr>
          <w:trHeight w:val="256"/>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4"/>
              </w:rPr>
              <w:t>June 6, 2023</w:t>
            </w:r>
            <w:r>
              <w:rPr>
                <w:rFonts w:ascii="Arial" w:cs="Arial" w:eastAsia="Arial" w:hAnsi="Arial"/>
                <w:sz w:val="29"/>
                <w:szCs w:val="29"/>
                <w:color w:val="auto"/>
                <w:w w:val="84"/>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39,733</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$0.35</w:t>
            </w:r>
          </w:p>
        </w:tc>
      </w:tr>
      <w:tr>
        <w:trPr>
          <w:trHeight w:val="257"/>
        </w:trPr>
        <w:tc>
          <w:tcPr>
            <w:tcW w:w="2340" w:type="dxa"/>
            <w:vAlign w:val="bottom"/>
            <w:shd w:val="clear" w:color="auto" w:fill="E6EFFF"/>
          </w:tcPr>
          <w:p>
            <w:pPr>
              <w:jc w:val="center"/>
              <w:ind w:right="210"/>
              <w:spacing w:after="0" w:line="256" w:lineRule="exact"/>
              <w:rPr>
                <w:sz w:val="20"/>
                <w:szCs w:val="20"/>
                <w:color w:val="auto"/>
              </w:rPr>
            </w:pPr>
            <w:r>
              <w:rPr>
                <w:rFonts w:ascii="Arial" w:cs="Arial" w:eastAsia="Arial" w:hAnsi="Arial"/>
                <w:sz w:val="18"/>
                <w:szCs w:val="18"/>
                <w:color w:val="auto"/>
                <w:w w:val="84"/>
              </w:rPr>
              <w:t>June 7, 2023</w:t>
            </w:r>
            <w:r>
              <w:rPr>
                <w:rFonts w:ascii="Arial" w:cs="Arial" w:eastAsia="Arial" w:hAnsi="Arial"/>
                <w:sz w:val="29"/>
                <w:szCs w:val="29"/>
                <w:color w:val="auto"/>
                <w:w w:val="84"/>
                <w:vertAlign w:val="superscript"/>
              </w:rPr>
              <w:t>(3)</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244,000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$0.35</w:t>
            </w:r>
          </w:p>
        </w:tc>
      </w:tr>
      <w:tr>
        <w:trPr>
          <w:trHeight w:val="257"/>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4"/>
              </w:rPr>
              <w:t>June 7, 2023</w:t>
            </w:r>
            <w:r>
              <w:rPr>
                <w:rFonts w:ascii="Arial" w:cs="Arial" w:eastAsia="Arial" w:hAnsi="Arial"/>
                <w:sz w:val="29"/>
                <w:szCs w:val="29"/>
                <w:color w:val="auto"/>
                <w:w w:val="84"/>
                <w:vertAlign w:val="superscript"/>
              </w:rPr>
              <w:t>(5)</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275,000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$0.31</w:t>
            </w:r>
          </w:p>
        </w:tc>
      </w:tr>
      <w:tr>
        <w:trPr>
          <w:trHeight w:val="257"/>
        </w:trPr>
        <w:tc>
          <w:tcPr>
            <w:tcW w:w="2340" w:type="dxa"/>
            <w:vAlign w:val="bottom"/>
            <w:shd w:val="clear" w:color="auto" w:fill="E6EFFF"/>
          </w:tcPr>
          <w:p>
            <w:pPr>
              <w:jc w:val="center"/>
              <w:ind w:right="210"/>
              <w:spacing w:after="0" w:line="256" w:lineRule="exact"/>
              <w:rPr>
                <w:sz w:val="20"/>
                <w:szCs w:val="20"/>
                <w:color w:val="auto"/>
              </w:rPr>
            </w:pPr>
            <w:r>
              <w:rPr>
                <w:rFonts w:ascii="Arial" w:cs="Arial" w:eastAsia="Arial" w:hAnsi="Arial"/>
                <w:sz w:val="18"/>
                <w:szCs w:val="18"/>
                <w:color w:val="auto"/>
                <w:w w:val="84"/>
              </w:rPr>
              <w:t>June 8, 2023</w:t>
            </w:r>
            <w:r>
              <w:rPr>
                <w:rFonts w:ascii="Arial" w:cs="Arial" w:eastAsia="Arial" w:hAnsi="Arial"/>
                <w:sz w:val="29"/>
                <w:szCs w:val="29"/>
                <w:color w:val="auto"/>
                <w:w w:val="84"/>
                <w:vertAlign w:val="superscript"/>
              </w:rPr>
              <w:t>(3)</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451,000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$0.33</w:t>
            </w:r>
          </w:p>
        </w:tc>
      </w:tr>
      <w:tr>
        <w:trPr>
          <w:trHeight w:val="257"/>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4"/>
              </w:rPr>
              <w:t>June 8, 2023</w:t>
            </w:r>
            <w:r>
              <w:rPr>
                <w:rFonts w:ascii="Arial" w:cs="Arial" w:eastAsia="Arial" w:hAnsi="Arial"/>
                <w:sz w:val="29"/>
                <w:szCs w:val="29"/>
                <w:color w:val="auto"/>
                <w:w w:val="84"/>
                <w:vertAlign w:val="superscript"/>
              </w:rPr>
              <w:t>(5)</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275,000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$0.30</w:t>
            </w:r>
          </w:p>
        </w:tc>
      </w:tr>
      <w:tr>
        <w:trPr>
          <w:trHeight w:val="256"/>
        </w:trPr>
        <w:tc>
          <w:tcPr>
            <w:tcW w:w="2340" w:type="dxa"/>
            <w:vAlign w:val="bottom"/>
            <w:shd w:val="clear" w:color="auto" w:fill="E6EFFF"/>
          </w:tcPr>
          <w:p>
            <w:pPr>
              <w:jc w:val="center"/>
              <w:ind w:right="210"/>
              <w:spacing w:after="0" w:line="256" w:lineRule="exact"/>
              <w:rPr>
                <w:sz w:val="20"/>
                <w:szCs w:val="20"/>
                <w:color w:val="auto"/>
              </w:rPr>
            </w:pPr>
            <w:r>
              <w:rPr>
                <w:rFonts w:ascii="Arial" w:cs="Arial" w:eastAsia="Arial" w:hAnsi="Arial"/>
                <w:sz w:val="18"/>
                <w:szCs w:val="18"/>
                <w:color w:val="auto"/>
                <w:w w:val="84"/>
              </w:rPr>
              <w:t>June 9, 2023</w:t>
            </w:r>
            <w:r>
              <w:rPr>
                <w:rFonts w:ascii="Arial" w:cs="Arial" w:eastAsia="Arial" w:hAnsi="Arial"/>
                <w:sz w:val="29"/>
                <w:szCs w:val="29"/>
                <w:color w:val="auto"/>
                <w:w w:val="84"/>
                <w:vertAlign w:val="superscript"/>
              </w:rPr>
              <w:t>(3)</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167,500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$0.33</w:t>
            </w:r>
          </w:p>
        </w:tc>
      </w:tr>
      <w:tr>
        <w:trPr>
          <w:trHeight w:val="257"/>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4"/>
              </w:rPr>
              <w:t>June 9, 2023</w:t>
            </w:r>
            <w:r>
              <w:rPr>
                <w:rFonts w:ascii="Arial" w:cs="Arial" w:eastAsia="Arial" w:hAnsi="Arial"/>
                <w:sz w:val="29"/>
                <w:szCs w:val="29"/>
                <w:color w:val="auto"/>
                <w:w w:val="84"/>
                <w:vertAlign w:val="superscript"/>
              </w:rPr>
              <w:t>(5)</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275,000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$0.29</w:t>
            </w:r>
          </w:p>
        </w:tc>
      </w:tr>
      <w:tr>
        <w:trPr>
          <w:trHeight w:val="257"/>
        </w:trPr>
        <w:tc>
          <w:tcPr>
            <w:tcW w:w="2340" w:type="dxa"/>
            <w:vAlign w:val="bottom"/>
            <w:shd w:val="clear" w:color="auto" w:fill="E6EFFF"/>
          </w:tcPr>
          <w:p>
            <w:pPr>
              <w:jc w:val="center"/>
              <w:ind w:right="190"/>
              <w:spacing w:after="0" w:line="256" w:lineRule="exact"/>
              <w:rPr>
                <w:sz w:val="20"/>
                <w:szCs w:val="20"/>
                <w:color w:val="auto"/>
              </w:rPr>
            </w:pPr>
            <w:r>
              <w:rPr>
                <w:rFonts w:ascii="Arial" w:cs="Arial" w:eastAsia="Arial" w:hAnsi="Arial"/>
                <w:sz w:val="18"/>
                <w:szCs w:val="18"/>
                <w:color w:val="auto"/>
                <w:w w:val="85"/>
              </w:rPr>
              <w:t>June 12, 2023</w:t>
            </w:r>
            <w:r>
              <w:rPr>
                <w:rFonts w:ascii="Arial" w:cs="Arial" w:eastAsia="Arial" w:hAnsi="Arial"/>
                <w:sz w:val="29"/>
                <w:szCs w:val="29"/>
                <w:color w:val="auto"/>
                <w:w w:val="85"/>
                <w:vertAlign w:val="superscript"/>
              </w:rPr>
              <w:t>(3)</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191,000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$0.31</w:t>
            </w:r>
          </w:p>
        </w:tc>
      </w:tr>
      <w:tr>
        <w:trPr>
          <w:trHeight w:val="257"/>
        </w:trPr>
        <w:tc>
          <w:tcPr>
            <w:tcW w:w="2340" w:type="dxa"/>
            <w:vAlign w:val="bottom"/>
          </w:tcPr>
          <w:p>
            <w:pPr>
              <w:jc w:val="center"/>
              <w:ind w:right="190"/>
              <w:spacing w:after="0" w:line="256" w:lineRule="exact"/>
              <w:rPr>
                <w:sz w:val="20"/>
                <w:szCs w:val="20"/>
                <w:color w:val="auto"/>
              </w:rPr>
            </w:pPr>
            <w:r>
              <w:rPr>
                <w:rFonts w:ascii="Arial" w:cs="Arial" w:eastAsia="Arial" w:hAnsi="Arial"/>
                <w:sz w:val="18"/>
                <w:szCs w:val="18"/>
                <w:color w:val="auto"/>
                <w:w w:val="85"/>
              </w:rPr>
              <w:t>June 14, 2023</w:t>
            </w:r>
            <w:r>
              <w:rPr>
                <w:rFonts w:ascii="Arial" w:cs="Arial" w:eastAsia="Arial" w:hAnsi="Arial"/>
                <w:sz w:val="29"/>
                <w:szCs w:val="29"/>
                <w:color w:val="auto"/>
                <w:w w:val="85"/>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162,200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$0.31</w:t>
            </w:r>
          </w:p>
        </w:tc>
      </w:tr>
      <w:tr>
        <w:trPr>
          <w:trHeight w:val="256"/>
        </w:trPr>
        <w:tc>
          <w:tcPr>
            <w:tcW w:w="2340" w:type="dxa"/>
            <w:vAlign w:val="bottom"/>
            <w:shd w:val="clear" w:color="auto" w:fill="E6EFFF"/>
          </w:tcPr>
          <w:p>
            <w:pPr>
              <w:jc w:val="center"/>
              <w:ind w:right="190"/>
              <w:spacing w:after="0" w:line="256" w:lineRule="exact"/>
              <w:rPr>
                <w:sz w:val="20"/>
                <w:szCs w:val="20"/>
                <w:color w:val="auto"/>
              </w:rPr>
            </w:pPr>
            <w:r>
              <w:rPr>
                <w:rFonts w:ascii="Arial" w:cs="Arial" w:eastAsia="Arial" w:hAnsi="Arial"/>
                <w:sz w:val="18"/>
                <w:szCs w:val="18"/>
                <w:color w:val="auto"/>
                <w:w w:val="85"/>
              </w:rPr>
              <w:t>June 26, 2023</w:t>
            </w:r>
            <w:r>
              <w:rPr>
                <w:rFonts w:ascii="Arial" w:cs="Arial" w:eastAsia="Arial" w:hAnsi="Arial"/>
                <w:sz w:val="29"/>
                <w:szCs w:val="29"/>
                <w:color w:val="auto"/>
                <w:w w:val="85"/>
                <w:vertAlign w:val="superscript"/>
              </w:rPr>
              <w:t>(3)</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363,000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$0.38</w:t>
            </w:r>
          </w:p>
        </w:tc>
      </w:tr>
      <w:tr>
        <w:trPr>
          <w:trHeight w:val="216"/>
        </w:trPr>
        <w:tc>
          <w:tcPr>
            <w:tcW w:w="2340" w:type="dxa"/>
            <w:vAlign w:val="bottom"/>
          </w:tcPr>
          <w:p>
            <w:pPr>
              <w:jc w:val="center"/>
              <w:ind w:right="210"/>
              <w:spacing w:after="0"/>
              <w:rPr>
                <w:sz w:val="20"/>
                <w:szCs w:val="20"/>
                <w:color w:val="auto"/>
              </w:rPr>
            </w:pPr>
            <w:r>
              <w:rPr>
                <w:rFonts w:ascii="Arial" w:cs="Arial" w:eastAsia="Arial" w:hAnsi="Arial"/>
                <w:sz w:val="18"/>
                <w:szCs w:val="18"/>
                <w:color w:val="auto"/>
                <w:w w:val="87"/>
              </w:rPr>
              <w:t>June 28, 2023</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11,615,000</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$0.44</w:t>
            </w:r>
          </w:p>
        </w:tc>
      </w:tr>
      <w:tr>
        <w:trPr>
          <w:trHeight w:val="256"/>
        </w:trPr>
        <w:tc>
          <w:tcPr>
            <w:tcW w:w="2340" w:type="dxa"/>
            <w:vAlign w:val="bottom"/>
            <w:shd w:val="clear" w:color="auto" w:fill="E6EFFF"/>
          </w:tcPr>
          <w:p>
            <w:pPr>
              <w:jc w:val="center"/>
              <w:ind w:right="190"/>
              <w:spacing w:after="0" w:line="256" w:lineRule="exact"/>
              <w:rPr>
                <w:sz w:val="20"/>
                <w:szCs w:val="20"/>
                <w:color w:val="auto"/>
              </w:rPr>
            </w:pPr>
            <w:r>
              <w:rPr>
                <w:rFonts w:ascii="Arial" w:cs="Arial" w:eastAsia="Arial" w:hAnsi="Arial"/>
                <w:sz w:val="18"/>
                <w:szCs w:val="18"/>
                <w:color w:val="auto"/>
                <w:w w:val="87"/>
              </w:rPr>
              <w:t>July 7, 2023</w:t>
            </w:r>
            <w:r>
              <w:rPr>
                <w:rFonts w:ascii="Arial" w:cs="Arial" w:eastAsia="Arial" w:hAnsi="Arial"/>
                <w:sz w:val="29"/>
                <w:szCs w:val="29"/>
                <w:color w:val="auto"/>
                <w:w w:val="87"/>
                <w:vertAlign w:val="superscript"/>
              </w:rPr>
              <w:t>(3)</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82,602</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$0.69</w:t>
            </w:r>
          </w:p>
        </w:tc>
      </w:tr>
      <w:tr>
        <w:trPr>
          <w:trHeight w:val="257"/>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8"/>
              </w:rPr>
              <w:t>July 10, 2023</w:t>
            </w:r>
            <w:r>
              <w:rPr>
                <w:rFonts w:ascii="Arial" w:cs="Arial" w:eastAsia="Arial" w:hAnsi="Arial"/>
                <w:sz w:val="29"/>
                <w:szCs w:val="29"/>
                <w:color w:val="auto"/>
                <w:w w:val="88"/>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419,000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$0.62</w:t>
            </w:r>
          </w:p>
        </w:tc>
      </w:tr>
      <w:tr>
        <w:trPr>
          <w:trHeight w:val="257"/>
        </w:trPr>
        <w:tc>
          <w:tcPr>
            <w:tcW w:w="2340" w:type="dxa"/>
            <w:vAlign w:val="bottom"/>
            <w:shd w:val="clear" w:color="auto" w:fill="E6EFFF"/>
          </w:tcPr>
          <w:p>
            <w:pPr>
              <w:jc w:val="center"/>
              <w:ind w:right="190"/>
              <w:spacing w:after="0" w:line="256" w:lineRule="exact"/>
              <w:rPr>
                <w:sz w:val="20"/>
                <w:szCs w:val="20"/>
                <w:color w:val="auto"/>
              </w:rPr>
            </w:pPr>
            <w:r>
              <w:rPr>
                <w:rFonts w:ascii="Arial" w:cs="Arial" w:eastAsia="Arial" w:hAnsi="Arial"/>
                <w:sz w:val="18"/>
                <w:szCs w:val="18"/>
                <w:color w:val="auto"/>
                <w:w w:val="87"/>
              </w:rPr>
              <w:t>July 11, 2023</w:t>
            </w:r>
            <w:r>
              <w:rPr>
                <w:rFonts w:ascii="Arial" w:cs="Arial" w:eastAsia="Arial" w:hAnsi="Arial"/>
                <w:sz w:val="29"/>
                <w:szCs w:val="29"/>
                <w:color w:val="auto"/>
                <w:w w:val="87"/>
                <w:vertAlign w:val="superscript"/>
              </w:rPr>
              <w:t>(3)</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147,000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$0.61</w:t>
            </w:r>
          </w:p>
        </w:tc>
      </w:tr>
      <w:tr>
        <w:trPr>
          <w:trHeight w:val="257"/>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8"/>
              </w:rPr>
              <w:t>July 12, 2023</w:t>
            </w:r>
            <w:r>
              <w:rPr>
                <w:rFonts w:ascii="Arial" w:cs="Arial" w:eastAsia="Arial" w:hAnsi="Arial"/>
                <w:sz w:val="29"/>
                <w:szCs w:val="29"/>
                <w:color w:val="auto"/>
                <w:w w:val="88"/>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341,080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$0.58</w:t>
            </w:r>
          </w:p>
        </w:tc>
      </w:tr>
      <w:tr>
        <w:trPr>
          <w:trHeight w:val="257"/>
        </w:trPr>
        <w:tc>
          <w:tcPr>
            <w:tcW w:w="2340" w:type="dxa"/>
            <w:vAlign w:val="bottom"/>
            <w:shd w:val="clear" w:color="auto" w:fill="E6EFFF"/>
          </w:tcPr>
          <w:p>
            <w:pPr>
              <w:jc w:val="center"/>
              <w:ind w:right="210"/>
              <w:spacing w:after="0" w:line="256" w:lineRule="exact"/>
              <w:rPr>
                <w:sz w:val="20"/>
                <w:szCs w:val="20"/>
                <w:color w:val="auto"/>
              </w:rPr>
            </w:pPr>
            <w:r>
              <w:rPr>
                <w:rFonts w:ascii="Arial" w:cs="Arial" w:eastAsia="Arial" w:hAnsi="Arial"/>
                <w:sz w:val="18"/>
                <w:szCs w:val="18"/>
                <w:color w:val="auto"/>
                <w:w w:val="88"/>
              </w:rPr>
              <w:t>July 17, 2023</w:t>
            </w:r>
            <w:r>
              <w:rPr>
                <w:rFonts w:ascii="Arial" w:cs="Arial" w:eastAsia="Arial" w:hAnsi="Arial"/>
                <w:sz w:val="29"/>
                <w:szCs w:val="29"/>
                <w:color w:val="auto"/>
                <w:w w:val="88"/>
                <w:vertAlign w:val="superscript"/>
              </w:rPr>
              <w:t>(3)</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618,000</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$0.59</w:t>
            </w:r>
          </w:p>
        </w:tc>
      </w:tr>
      <w:tr>
        <w:trPr>
          <w:trHeight w:val="256"/>
        </w:trPr>
        <w:tc>
          <w:tcPr>
            <w:tcW w:w="2340" w:type="dxa"/>
            <w:vAlign w:val="bottom"/>
          </w:tcPr>
          <w:p>
            <w:pPr>
              <w:jc w:val="center"/>
              <w:ind w:right="210"/>
              <w:spacing w:after="0" w:line="256" w:lineRule="exact"/>
              <w:rPr>
                <w:sz w:val="20"/>
                <w:szCs w:val="20"/>
                <w:color w:val="auto"/>
              </w:rPr>
            </w:pPr>
            <w:r>
              <w:rPr>
                <w:rFonts w:ascii="Arial" w:cs="Arial" w:eastAsia="Arial" w:hAnsi="Arial"/>
                <w:sz w:val="18"/>
                <w:szCs w:val="18"/>
                <w:color w:val="auto"/>
                <w:w w:val="88"/>
              </w:rPr>
              <w:t>July 18, 2023</w:t>
            </w:r>
            <w:r>
              <w:rPr>
                <w:rFonts w:ascii="Arial" w:cs="Arial" w:eastAsia="Arial" w:hAnsi="Arial"/>
                <w:sz w:val="29"/>
                <w:szCs w:val="29"/>
                <w:color w:val="auto"/>
                <w:w w:val="88"/>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485,000</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$0.56</w:t>
            </w:r>
          </w:p>
        </w:tc>
      </w:tr>
      <w:tr>
        <w:trPr>
          <w:trHeight w:val="257"/>
        </w:trPr>
        <w:tc>
          <w:tcPr>
            <w:tcW w:w="2340" w:type="dxa"/>
            <w:vAlign w:val="bottom"/>
            <w:shd w:val="clear" w:color="auto" w:fill="E6EFFF"/>
          </w:tcPr>
          <w:p>
            <w:pPr>
              <w:jc w:val="center"/>
              <w:ind w:right="210"/>
              <w:spacing w:after="0" w:line="256" w:lineRule="exact"/>
              <w:rPr>
                <w:sz w:val="20"/>
                <w:szCs w:val="20"/>
                <w:color w:val="auto"/>
              </w:rPr>
            </w:pPr>
            <w:r>
              <w:rPr>
                <w:rFonts w:ascii="Arial" w:cs="Arial" w:eastAsia="Arial" w:hAnsi="Arial"/>
                <w:sz w:val="18"/>
                <w:szCs w:val="18"/>
                <w:color w:val="auto"/>
                <w:w w:val="88"/>
              </w:rPr>
              <w:t>August 4, 2023</w:t>
            </w:r>
            <w:r>
              <w:rPr>
                <w:rFonts w:ascii="Arial" w:cs="Arial" w:eastAsia="Arial" w:hAnsi="Arial"/>
                <w:sz w:val="29"/>
                <w:szCs w:val="29"/>
                <w:color w:val="auto"/>
                <w:w w:val="88"/>
                <w:vertAlign w:val="superscript"/>
              </w:rPr>
              <w:t>(6)</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24,264,706</w:t>
            </w:r>
          </w:p>
        </w:tc>
        <w:tc>
          <w:tcPr>
            <w:tcW w:w="25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1920" w:type="dxa"/>
            <w:vAlign w:val="bottom"/>
            <w:shd w:val="clear" w:color="auto" w:fill="E6EFFF"/>
          </w:tcPr>
          <w:p>
            <w:pPr>
              <w:jc w:val="right"/>
              <w:ind w:right="710"/>
              <w:spacing w:after="0"/>
              <w:rPr>
                <w:sz w:val="20"/>
                <w:szCs w:val="20"/>
                <w:color w:val="auto"/>
              </w:rPr>
            </w:pPr>
            <w:r>
              <w:rPr>
                <w:rFonts w:ascii="Arial" w:cs="Arial" w:eastAsia="Arial" w:hAnsi="Arial"/>
                <w:sz w:val="18"/>
                <w:szCs w:val="18"/>
                <w:color w:val="auto"/>
              </w:rPr>
              <w:t>$0.45</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14" w:lineRule="exact"/>
        <w:rPr>
          <w:sz w:val="20"/>
          <w:szCs w:val="20"/>
          <w:color w:val="auto"/>
        </w:rPr>
      </w:pPr>
    </w:p>
    <w:p>
      <w:pPr>
        <w:ind w:left="720" w:hanging="352"/>
        <w:spacing w:after="0" w:line="230" w:lineRule="auto"/>
        <w:tabs>
          <w:tab w:leader="none" w:pos="759" w:val="left"/>
        </w:tabs>
        <w:numPr>
          <w:ilvl w:val="0"/>
          <w:numId w:val="11"/>
        </w:numPr>
        <w:rPr>
          <w:rFonts w:ascii="Arial" w:cs="Arial" w:eastAsia="Arial" w:hAnsi="Arial"/>
          <w:sz w:val="22"/>
          <w:szCs w:val="22"/>
          <w:color w:val="auto"/>
        </w:rPr>
      </w:pPr>
      <w:r>
        <w:rPr>
          <w:rFonts w:ascii="Arial" w:cs="Arial" w:eastAsia="Arial" w:hAnsi="Arial"/>
          <w:sz w:val="22"/>
          <w:szCs w:val="22"/>
          <w:color w:val="auto"/>
        </w:rPr>
        <w:t>Certain amounts have been converted from USD to CAD based on the average exchange rate posted by the Bank of Canada for the year ended December 31, 2022, being US$1.00 = C$1.3282.</w:t>
      </w:r>
    </w:p>
    <w:p>
      <w:pPr>
        <w:spacing w:after="0" w:line="1" w:lineRule="exact"/>
        <w:rPr>
          <w:rFonts w:ascii="Arial" w:cs="Arial" w:eastAsia="Arial" w:hAnsi="Arial"/>
          <w:sz w:val="22"/>
          <w:szCs w:val="22"/>
          <w:color w:val="auto"/>
        </w:rPr>
      </w:pPr>
    </w:p>
    <w:p>
      <w:pPr>
        <w:ind w:left="760" w:hanging="392"/>
        <w:spacing w:after="0" w:line="230"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in exchange for Class B Shares.</w:t>
      </w:r>
    </w:p>
    <w:p>
      <w:pPr>
        <w:jc w:val="both"/>
        <w:ind w:left="720" w:hanging="352"/>
        <w:spacing w:after="0" w:line="241" w:lineRule="auto"/>
        <w:tabs>
          <w:tab w:leader="none" w:pos="759" w:val="left"/>
        </w:tabs>
        <w:numPr>
          <w:ilvl w:val="0"/>
          <w:numId w:val="11"/>
        </w:numPr>
        <w:rPr>
          <w:rFonts w:ascii="Arial" w:cs="Arial" w:eastAsia="Arial" w:hAnsi="Arial"/>
          <w:sz w:val="21"/>
          <w:szCs w:val="21"/>
          <w:color w:val="auto"/>
        </w:rPr>
      </w:pPr>
      <w:r>
        <w:rPr>
          <w:rFonts w:ascii="Arial" w:cs="Arial" w:eastAsia="Arial" w:hAnsi="Arial"/>
          <w:sz w:val="21"/>
          <w:szCs w:val="21"/>
          <w:color w:val="auto"/>
        </w:rPr>
        <w:t>Common Shares issued in connection with the Corporation's at-the-market equity program (the "</w:t>
      </w:r>
      <w:r>
        <w:rPr>
          <w:rFonts w:ascii="Arial" w:cs="Arial" w:eastAsia="Arial" w:hAnsi="Arial"/>
          <w:sz w:val="21"/>
          <w:szCs w:val="21"/>
          <w:b w:val="1"/>
          <w:bCs w:val="1"/>
          <w:color w:val="auto"/>
        </w:rPr>
        <w:t>ATM Program</w:t>
      </w:r>
      <w:r>
        <w:rPr>
          <w:rFonts w:ascii="Arial" w:cs="Arial" w:eastAsia="Arial" w:hAnsi="Arial"/>
          <w:sz w:val="21"/>
          <w:szCs w:val="21"/>
          <w:color w:val="auto"/>
        </w:rPr>
        <w:t>") which allows the Corporation to issue and sell up to US$35,000,000 of Common Shares to the public, from time to time, at its discretion. The ATM Program is qualified by the prospectus supplement dated August 8, 2022.</w:t>
      </w:r>
    </w:p>
    <w:p>
      <w:pPr>
        <w:spacing w:after="0" w:line="1" w:lineRule="exact"/>
        <w:rPr>
          <w:rFonts w:ascii="Arial" w:cs="Arial" w:eastAsia="Arial" w:hAnsi="Arial"/>
          <w:sz w:val="21"/>
          <w:szCs w:val="21"/>
          <w:color w:val="auto"/>
        </w:rPr>
      </w:pPr>
    </w:p>
    <w:p>
      <w:pPr>
        <w:ind w:left="720" w:hanging="352"/>
        <w:spacing w:after="0" w:line="266" w:lineRule="auto"/>
        <w:tabs>
          <w:tab w:leader="none" w:pos="759"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Commitment Shares issued to Lincoln Park Capital Fund, LLC (the "</w:t>
      </w:r>
      <w:r>
        <w:rPr>
          <w:rFonts w:ascii="Arial" w:cs="Arial" w:eastAsia="Arial" w:hAnsi="Arial"/>
          <w:sz w:val="19"/>
          <w:szCs w:val="19"/>
          <w:b w:val="1"/>
          <w:bCs w:val="1"/>
          <w:color w:val="auto"/>
        </w:rPr>
        <w:t>Lincoln Park</w:t>
      </w:r>
      <w:r>
        <w:rPr>
          <w:rFonts w:ascii="Arial" w:cs="Arial" w:eastAsia="Arial" w:hAnsi="Arial"/>
          <w:sz w:val="19"/>
          <w:szCs w:val="19"/>
          <w:color w:val="auto"/>
        </w:rPr>
        <w:t>") pursuant to the purchase agreement entered into between the Lincoln Park and Corporation on May 30, 2023 (the "</w:t>
      </w:r>
      <w:r>
        <w:rPr>
          <w:rFonts w:ascii="Arial" w:cs="Arial" w:eastAsia="Arial" w:hAnsi="Arial"/>
          <w:sz w:val="19"/>
          <w:szCs w:val="19"/>
          <w:b w:val="1"/>
          <w:bCs w:val="1"/>
          <w:color w:val="auto"/>
        </w:rPr>
        <w:t>Purchase Agreement</w:t>
      </w:r>
      <w:r>
        <w:rPr>
          <w:rFonts w:ascii="Arial" w:cs="Arial" w:eastAsia="Arial" w:hAnsi="Arial"/>
          <w:sz w:val="19"/>
          <w:szCs w:val="19"/>
          <w:color w:val="auto"/>
        </w:rPr>
        <w:t>"). .</w:t>
      </w:r>
    </w:p>
    <w:p>
      <w:pPr>
        <w:spacing w:after="0" w:line="1" w:lineRule="exact"/>
        <w:rPr>
          <w:rFonts w:ascii="Arial" w:cs="Arial" w:eastAsia="Arial" w:hAnsi="Arial"/>
          <w:sz w:val="19"/>
          <w:szCs w:val="19"/>
          <w:color w:val="auto"/>
        </w:rPr>
      </w:pPr>
    </w:p>
    <w:p>
      <w:pPr>
        <w:ind w:left="760" w:hanging="392"/>
        <w:spacing w:after="0" w:line="230"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to Lincoln Park pursuant to the Purchase Agreement.</w:t>
      </w:r>
    </w:p>
    <w:p>
      <w:pPr>
        <w:ind w:left="760" w:hanging="392"/>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pursuant to the August 2023 Unit Offering.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An investment in the Warrant Shares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and the Corporation's most recent Annual Information Form and Interim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Risk Factors Related to the Offering</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Investment in the Warrant Shares is Highly Speculative</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Warrant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Completion of the Offering</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The completion of the Offering remains subject to a number of conditions, and there can be no certainty that the Offering will be completed. If the Offering is not completed, the Corporation may not be able to raise the funds set out herein for the purposes contemplated under </w:t>
      </w:r>
      <w:r>
        <w:rPr>
          <w:rFonts w:ascii="Arial" w:cs="Arial" w:eastAsia="Arial" w:hAnsi="Arial"/>
          <w:sz w:val="21"/>
          <w:szCs w:val="21"/>
          <w:i w:val="1"/>
          <w:iCs w:val="1"/>
          <w:color w:val="auto"/>
        </w:rPr>
        <w:t>"Use of Proceeds"</w:t>
      </w:r>
      <w:r>
        <w:rPr>
          <w:rFonts w:ascii="Arial" w:cs="Arial" w:eastAsia="Arial" w:hAnsi="Arial"/>
          <w:sz w:val="21"/>
          <w:szCs w:val="21"/>
          <w:color w:val="auto"/>
        </w:rPr>
        <w:t xml:space="preserve"> from other sources on commercially reasonable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Negative Operating Cash Flow and Going Concern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Discretion in the Use of Proceeds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Arial" w:cs="Arial" w:eastAsia="Arial" w:hAnsi="Arial"/>
          <w:sz w:val="19"/>
          <w:szCs w:val="19"/>
          <w:i w:val="1"/>
          <w:iCs w:val="1"/>
          <w:color w:val="auto"/>
        </w:rPr>
        <w:t>"Use of Proceeds"</w:t>
      </w:r>
      <w:r>
        <w:rPr>
          <w:rFonts w:ascii="Arial" w:cs="Arial" w:eastAsia="Arial" w:hAnsi="Arial"/>
          <w:sz w:val="19"/>
          <w:szCs w:val="19"/>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Need for Additional Financing</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Arial" w:cs="Arial" w:eastAsia="Arial" w:hAnsi="Arial"/>
          <w:sz w:val="22"/>
          <w:szCs w:val="22"/>
          <w:i w:val="1"/>
          <w:iCs w:val="1"/>
          <w:color w:val="auto"/>
        </w:rPr>
        <w:t>See "Risk Factors - Risks Related to 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Offering - Negative Operating Cash Flow and Going Concern"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 - Risks Related to the Offering - Potential Dilution".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i w:val="1"/>
          <w:iCs w:val="1"/>
          <w:color w:val="auto"/>
        </w:rPr>
        <w:t>Potential Dilution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Arial" w:cs="Arial" w:eastAsia="Arial" w:hAnsi="Arial"/>
          <w:sz w:val="22"/>
          <w:szCs w:val="22"/>
          <w:i w:val="1"/>
          <w:iCs w:val="1"/>
          <w:color w:val="auto"/>
        </w:rPr>
        <w:t>"Risk Factors - Risks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to an Offering - Potential Need for Additional Financing".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Trading Market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Significant Sales of Common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Positive Return Not Guaranteed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Application and Interpretation of Tax Laws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Listing of the Warrant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applied to list the Warrant Shares on the NEO and the NYSE American. Any potential listing remains subject to the approval of the NEO and the NYSE American and the satisfaction of all applicable regulatory requirements. No assurance can be given that the application will be approved.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9"/>
          <w:szCs w:val="19"/>
          <w:color w:val="auto"/>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Corporation Expects to be a "Passive Foreign Investment Company"</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Based on current business plans and financial expectations, the Corporation expects to be a PFIC (as defined below) for its current tax year and may be a PFIC in future tax years. If the Corporation is a PFIC for any year during a U.S. Holder's (as defined below) holding period of Warrant Shares, then such U.S. Holder generally will be required to treat any gain realized upon a disposition of the Warrant Shares, or any so-called "excess distribution" received on its Warrant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(as defined below) or a Mark-to-Market Election (as defined below).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Warrant Shares over the U.S. Holder's basis therein. Under proposed Treasury Regulations, a U.S. Holder may not make a QEF Election or Mark-to-Market Election in respect of the Warrants and, as a result, may not be able to make timely QEF Election with respect to Warrant Shares received upon exercise of the Warrants</w:t>
      </w:r>
      <w:r>
        <w:rPr>
          <w:rFonts w:ascii="Arial" w:cs="Arial" w:eastAsia="Arial" w:hAnsi="Arial"/>
          <w:sz w:val="19"/>
          <w:szCs w:val="19"/>
          <w:b w:val="1"/>
          <w:bCs w:val="1"/>
          <w:color w:val="auto"/>
        </w:rPr>
        <w:t>.</w:t>
      </w:r>
      <w:r>
        <w:rPr>
          <w:rFonts w:ascii="Arial" w:cs="Arial" w:eastAsia="Arial" w:hAnsi="Arial"/>
          <w:sz w:val="19"/>
          <w:szCs w:val="19"/>
          <w:color w:val="auto"/>
        </w:rPr>
        <w:t xml:space="preserve"> This paragraph is qualified in its entirety by the discussion below under the heading "</w:t>
      </w:r>
      <w:r>
        <w:rPr>
          <w:rFonts w:ascii="Arial" w:cs="Arial" w:eastAsia="Arial" w:hAnsi="Arial"/>
          <w:sz w:val="19"/>
          <w:szCs w:val="19"/>
          <w:i w:val="1"/>
          <w:iCs w:val="1"/>
          <w:color w:val="auto"/>
        </w:rPr>
        <w:t>Certain United States Federal Income Tax Considerations -</w:t>
      </w:r>
      <w:r>
        <w:rPr>
          <w:rFonts w:ascii="Arial" w:cs="Arial" w:eastAsia="Arial" w:hAnsi="Arial"/>
          <w:sz w:val="19"/>
          <w:szCs w:val="19"/>
          <w:color w:val="auto"/>
        </w:rPr>
        <w:t xml:space="preserve"> </w:t>
      </w:r>
      <w:r>
        <w:rPr>
          <w:rFonts w:ascii="Arial" w:cs="Arial" w:eastAsia="Arial" w:hAnsi="Arial"/>
          <w:sz w:val="19"/>
          <w:szCs w:val="19"/>
          <w:i w:val="1"/>
          <w:iCs w:val="1"/>
          <w:color w:val="auto"/>
        </w:rPr>
        <w:t>Passive Foreign Investment Company Rules</w:t>
      </w:r>
      <w:r>
        <w:rPr>
          <w:rFonts w:ascii="Arial" w:cs="Arial" w:eastAsia="Arial" w:hAnsi="Arial"/>
          <w:sz w:val="19"/>
          <w:szCs w:val="19"/>
          <w:color w:val="auto"/>
        </w:rPr>
        <w:t>." Each potential investor who is a U.S. Holder should consult its own tax advisor</w:t>
      </w:r>
      <w:r>
        <w:rPr>
          <w:rFonts w:ascii="Arial" w:cs="Arial" w:eastAsia="Arial" w:hAnsi="Arial"/>
          <w:sz w:val="19"/>
          <w:szCs w:val="19"/>
          <w:i w:val="1"/>
          <w:iCs w:val="1"/>
          <w:color w:val="auto"/>
        </w:rPr>
        <w:t xml:space="preserve"> </w:t>
      </w:r>
      <w:r>
        <w:rPr>
          <w:rFonts w:ascii="Arial" w:cs="Arial" w:eastAsia="Arial" w:hAnsi="Arial"/>
          <w:sz w:val="19"/>
          <w:szCs w:val="19"/>
          <w:color w:val="auto"/>
        </w:rPr>
        <w:t>regarding the tax consequences of the PFIC rules and the acquisition, ownership, and disposition of the Warrant Shares received upon exercise of the Warrants.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Speculative Nature of Warrants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Warrants do not confer any rights of Common Share ownership on their holders, such as voting rights or the right to receive dividends, but rather merely represent the right to acquire Warrant Shares at a fixed price for a limited period of time. Specifically, commencing on the date of issuance, holders of the Warrants may exercise their right to acquire Warrant Shares and pay an exercise price of US$0.40 per Warrant Share, subject to certain adjustments, prior to the Warrant Expiry Date, after which date any unexercised Warrants will expire and have no further value. Moreover, following completion of the Offering, the market value of the Warrants, if any, is uncertain and there can be no assurance that the market value of the Warrants will equal or exceed their imputed offering price. There can be no assurance that the market price of the Warrant Shares will ever equal or exceed the exercise price of the Warrants, and consequently, whether it will ever be profitable for holders of the Warrants to exercise the Warrants.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There is no existing trading market for the Warrants and there can be no assurance that a liquid market will develop or be maintained for the Warrants, or that an investor will be able to sell any of the Warrants at a particular time (if at 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CERTAIN CANADIAN INCOME TAX CONSIDERATIONS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is, as of the date hereof, a summary of the principal Canadian federal income tax considerations under the Tax Act, generally applicable to an investor who acquires, as beneficial owner, Warrant Shares upon the exercise of the Warrants, and who, for the purposes of the Tax Act and at all relevant times, holds the Warrant Shares as capital property and deals at arm's length and is not affiliated with the Corporation, the Underwriters and any subsequent purchaser of such securities (a "</w:t>
      </w:r>
      <w:r>
        <w:rPr>
          <w:rFonts w:ascii="Arial" w:cs="Arial" w:eastAsia="Arial" w:hAnsi="Arial"/>
          <w:sz w:val="19"/>
          <w:szCs w:val="19"/>
          <w:b w:val="1"/>
          <w:bCs w:val="1"/>
          <w:color w:val="auto"/>
        </w:rPr>
        <w:t>Holder</w:t>
      </w:r>
      <w:r>
        <w:rPr>
          <w:rFonts w:ascii="Arial" w:cs="Arial" w:eastAsia="Arial" w:hAnsi="Arial"/>
          <w:sz w:val="19"/>
          <w:szCs w:val="19"/>
          <w:color w:val="auto"/>
        </w:rPr>
        <w:t>"). Generally, the Warrant Shares will be considered to be capital property to a Holder, provided the Holder does not hold or use the Warrant Shares in the course of carrying on a business of trading or dealing in securities and such Holder has not acquired them in one or more transactions considered to be an adventure or concern in the nature of trade.</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summary is not applicable to a Holder: (i) that is a "financial institution", as defined in the Tax Act, for the purposes of the mark-to-market rules in the Tax Act, (ii) that is a "specified financial institution", as defined in the Tax Act; (iii)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Warrant Shares; or (vi) that receives dividends on the Warrant Shares under or as part of a "dividend rental arrangement", as defined in the Tax Act. Such holders should consult their own tax advisors with respect to an investment in the Warrant Shares. In addition, this summary does not address the deductibility of interest by a Holder who has borrowed money or otherwise incurred debt in connection with the acquisition of the Warrant Shares.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the Warrant Shares, controlled by a non-resident person, or group of non-resident persons that do not deal at arm's length with each other, for purposes of the "foreign affiliate dumping" rules in section 212.3 of the Tax Act. Such Holders should consult their tax advisors.</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Arial" w:cs="Arial" w:eastAsia="Arial" w:hAnsi="Arial"/>
          <w:sz w:val="21"/>
          <w:szCs w:val="21"/>
          <w:b w:val="1"/>
          <w:bCs w:val="1"/>
          <w:color w:val="auto"/>
        </w:rPr>
        <w:t>CRA</w:t>
      </w:r>
      <w:r>
        <w:rPr>
          <w:rFonts w:ascii="Arial" w:cs="Arial" w:eastAsia="Arial" w:hAnsi="Arial"/>
          <w:sz w:val="21"/>
          <w:szCs w:val="21"/>
          <w:color w:val="auto"/>
        </w:rPr>
        <w:t xml:space="preserve">”). This summary takes into account all specific proposals to amend the Tax Act and the regulations thereunder publicly announced by or on behalf of the </w:t>
      </w:r>
      <w:r>
        <w:rPr>
          <w:rFonts w:ascii="Arial" w:cs="Arial" w:eastAsia="Arial" w:hAnsi="Arial"/>
          <w:sz w:val="21"/>
          <w:szCs w:val="21"/>
          <w:i w:val="1"/>
          <w:iCs w:val="1"/>
          <w:color w:val="auto"/>
        </w:rPr>
        <w:t>Minister of Finance</w:t>
      </w:r>
      <w:r>
        <w:rPr>
          <w:rFonts w:ascii="Arial" w:cs="Arial" w:eastAsia="Arial" w:hAnsi="Arial"/>
          <w:sz w:val="21"/>
          <w:szCs w:val="21"/>
          <w:color w:val="auto"/>
        </w:rPr>
        <w:t xml:space="preserve"> (Canada) prior to the date hereof (the “</w:t>
      </w:r>
      <w:r>
        <w:rPr>
          <w:rFonts w:ascii="Arial" w:cs="Arial" w:eastAsia="Arial" w:hAnsi="Arial"/>
          <w:sz w:val="21"/>
          <w:szCs w:val="21"/>
          <w:b w:val="1"/>
          <w:bCs w:val="1"/>
          <w:color w:val="auto"/>
        </w:rPr>
        <w:t>Tax</w:t>
      </w:r>
      <w:r>
        <w:rPr>
          <w:rFonts w:ascii="Arial" w:cs="Arial" w:eastAsia="Arial" w:hAnsi="Arial"/>
          <w:sz w:val="21"/>
          <w:szCs w:val="21"/>
          <w:color w:val="auto"/>
        </w:rPr>
        <w:t xml:space="preserve"> </w:t>
      </w:r>
      <w:r>
        <w:rPr>
          <w:rFonts w:ascii="Arial" w:cs="Arial" w:eastAsia="Arial" w:hAnsi="Arial"/>
          <w:sz w:val="21"/>
          <w:szCs w:val="21"/>
          <w:b w:val="1"/>
          <w:bCs w:val="1"/>
          <w:color w:val="auto"/>
        </w:rPr>
        <w:t>Proposals</w:t>
      </w:r>
      <w:r>
        <w:rPr>
          <w:rFonts w:ascii="Arial" w:cs="Arial" w:eastAsia="Arial" w:hAnsi="Arial"/>
          <w:sz w:val="21"/>
          <w:szCs w:val="21"/>
          <w:color w:val="auto"/>
        </w:rPr>
        <w:t>”) and assumes that the Tax Proposals will be enacted in the form proposed, although no assurance can be given that</w:t>
      </w:r>
      <w:r>
        <w:rPr>
          <w:rFonts w:ascii="Arial" w:cs="Arial" w:eastAsia="Arial" w:hAnsi="Arial"/>
          <w:sz w:val="21"/>
          <w:szCs w:val="21"/>
          <w:b w:val="1"/>
          <w:bCs w:val="1"/>
          <w:color w:val="auto"/>
        </w:rPr>
        <w:t xml:space="preserve"> </w:t>
      </w:r>
      <w:r>
        <w:rPr>
          <w:rFonts w:ascii="Arial" w:cs="Arial" w:eastAsia="Arial" w:hAnsi="Arial"/>
          <w:sz w:val="21"/>
          <w:szCs w:val="21"/>
          <w:color w:val="auto"/>
        </w:rPr>
        <w:t>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This summary is not exhaustive of all possible Canadian federal income tax considerations applicable to a Holder in respect of the transactions described herein.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or tax advice or representations to any particular Holder. Moreover, no advance income tax ruling has been applied for or obtained from the CRA to confirm the tax consequences of any of the transactions described herein. Holders should consult their own legal and tax advisors for advice with respect to the tax consequences of an investment in the Warrant Shares based on their particular circumstances.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Conversion</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Subject to certain exceptions that are not discussed herein, for the purposes of the Tax Act, all amounts relating to the acquisition, holding or disposition of Warrant Shares (including dividends, adjusted cost base and proceeds of disposition) must be expressed in Canadian dollars. Amounts denominated any other currency must generally be converted into Canadian dollars based on the single daily exchange rate as quoted by the Bank of Canada on the date such amounts arise or such other rate of exchange as is acceptable to the </w:t>
      </w:r>
      <w:r>
        <w:rPr>
          <w:rFonts w:ascii="Arial" w:cs="Arial" w:eastAsia="Arial" w:hAnsi="Arial"/>
          <w:sz w:val="21"/>
          <w:szCs w:val="21"/>
          <w:i w:val="1"/>
          <w:iCs w:val="1"/>
          <w:color w:val="auto"/>
        </w:rPr>
        <w:t>Minister of National Revenue</w:t>
      </w:r>
      <w:r>
        <w:rPr>
          <w:rFonts w:ascii="Arial" w:cs="Arial" w:eastAsia="Arial" w:hAnsi="Arial"/>
          <w:sz w:val="21"/>
          <w:szCs w:val="21"/>
          <w:color w:val="auto"/>
        </w:rPr>
        <w:t xml:space="preserve"> (Canada).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Exercise of Warrants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 gain or loss will be realized by a Holder on the exercise of a Warrant to acquire a Warrant Share. When a Warrant is exercised, the Holder's cost of the Warrant Share acquired thereby will be equal to the aggregate of the Holder's adjusted cost base of such Warrant and the exercise price paid for the Warrant Share. The Holder's adjusted cost base of the Warrant Share so acquired will be determined by averaging the cost of the Warrant Share with the adjusted cost base to the Holder of all Common Shares of the Corporation held as capital property, by the holder, immediately before the acquisition of the Warrant Share.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Resident Holders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following portion of this summary applies to Holders who, for the purposes of the Tax Act and any applicable income tax treaty or convention, are or are deemed to be resident in Canada at all relevant times (herein, "</w:t>
      </w:r>
      <w:r>
        <w:rPr>
          <w:rFonts w:ascii="Arial" w:cs="Arial" w:eastAsia="Arial" w:hAnsi="Arial"/>
          <w:sz w:val="21"/>
          <w:szCs w:val="21"/>
          <w:b w:val="1"/>
          <w:bCs w:val="1"/>
          <w:color w:val="auto"/>
        </w:rPr>
        <w:t>Resident Holders</w:t>
      </w:r>
      <w:r>
        <w:rPr>
          <w:rFonts w:ascii="Arial" w:cs="Arial" w:eastAsia="Arial" w:hAnsi="Arial"/>
          <w:sz w:val="21"/>
          <w:szCs w:val="21"/>
          <w:color w:val="auto"/>
        </w:rPr>
        <w:t>"). Certain Resident Holders whose Warrant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This election does not apply to Warrants. Resident Holders contemplating making such an election should consult their own tax advisors for advice as to whether it is available and, if available, whether it is advisable in their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Resident Holder will be required to include in computing income for a taxation year any dividends received, or deemed to be received, in the year by the Resident Holder on the Warrant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Resident Holders that are corporations should consult their own tax advisors having regard to their own circumstances.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 corporation that is a "private corporation" or a "subject corporation" (each as defined in the Tax Act), generally will be liable to pay an additional tax (refundable under certain circumstances) under Part IV of the Tax Act on dividends received or deemed to be received on the Warrant Shares in a year to the extent such dividends are deductible in computing taxable income for the year.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Disposition of Warrant Shares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Resident Holder who disposes, or is deemed to dispose, a Warrant Share (other than a disposition to the Corporation that is not a sale in the open market in the manner in which shares would normally be purchased by any member of the public in an open market) will generally realize a capital gain (or capital loss) equal to the amount, if any, by which the proceeds of disposition, net of any reasonable costs of disposition, exceed (or are exceeded by) the aggregate of the adjusted cost base to the Resident Holder of such Warrant Shares immediately before the disposition or deemed disposition. The taxation of capital gains and losses is generally described below under the heading "</w:t>
      </w:r>
      <w:r>
        <w:rPr>
          <w:rFonts w:ascii="Arial" w:cs="Arial" w:eastAsia="Arial" w:hAnsi="Arial"/>
          <w:sz w:val="19"/>
          <w:szCs w:val="19"/>
          <w:i w:val="1"/>
          <w:iCs w:val="1"/>
          <w:color w:val="auto"/>
        </w:rPr>
        <w:t>Capital Gains and Capital Losses</w:t>
      </w:r>
      <w:r>
        <w:rPr>
          <w:rFonts w:ascii="Arial" w:cs="Arial" w:eastAsia="Arial" w:hAnsi="Arial"/>
          <w:sz w:val="19"/>
          <w:szCs w:val="19"/>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Capital Gains and Capital Losses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Generally, a Resident Holder is required to include in its computing income for a taxation year one-half of the amount of any capital gain (a "</w:t>
      </w:r>
      <w:r>
        <w:rPr>
          <w:rFonts w:ascii="Arial" w:cs="Arial" w:eastAsia="Arial" w:hAnsi="Arial"/>
          <w:sz w:val="19"/>
          <w:szCs w:val="19"/>
          <w:b w:val="1"/>
          <w:bCs w:val="1"/>
          <w:color w:val="auto"/>
        </w:rPr>
        <w:t>taxable capital gain</w:t>
      </w:r>
      <w:r>
        <w:rPr>
          <w:rFonts w:ascii="Arial" w:cs="Arial" w:eastAsia="Arial" w:hAnsi="Arial"/>
          <w:sz w:val="19"/>
          <w:szCs w:val="19"/>
          <w:color w:val="auto"/>
        </w:rPr>
        <w:t>") realized by the Resident Holder in such taxation year. Subject to and in accordance with the rules contained in the Tax Act, a Resident Holder is required to deduct one-half of the amount of any capital loss (an "</w:t>
      </w:r>
      <w:r>
        <w:rPr>
          <w:rFonts w:ascii="Arial" w:cs="Arial" w:eastAsia="Arial" w:hAnsi="Arial"/>
          <w:sz w:val="19"/>
          <w:szCs w:val="19"/>
          <w:b w:val="1"/>
          <w:bCs w:val="1"/>
          <w:color w:val="auto"/>
        </w:rPr>
        <w:t>allowable capital loss</w:t>
      </w:r>
      <w:r>
        <w:rPr>
          <w:rFonts w:ascii="Arial" w:cs="Arial" w:eastAsia="Arial" w:hAnsi="Arial"/>
          <w:sz w:val="19"/>
          <w:szCs w:val="19"/>
          <w:color w:val="auto"/>
        </w:rPr>
        <w:t>") realized in a particular taxation year against taxable capital gains realized by the Resident Holder in the year.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both"/>
        <w:spacing w:after="0" w:line="235" w:lineRule="auto"/>
        <w:rPr>
          <w:sz w:val="20"/>
          <w:szCs w:val="20"/>
          <w:color w:val="auto"/>
        </w:rPr>
      </w:pPr>
      <w:r>
        <w:rPr>
          <w:rFonts w:ascii="Arial" w:cs="Arial" w:eastAsia="Arial" w:hAnsi="Arial"/>
          <w:sz w:val="22"/>
          <w:szCs w:val="22"/>
          <w:color w:val="auto"/>
        </w:rPr>
        <w:t>The amount of any capital loss realized by a Resident Holder that is a corporation on the disposition or deemed disposition of a Warrant Share may be reduced by the amount of any dividends received or deemed to have been received by such Resident Holder on such Warrant Shares (or on a share for which the Warrant Share has been substituted), to the extent and under the circumstances described in the Tax Act. Similar rules may apply where a Resident Holder that is a corporation is a member of a partnership or a beneficiary of a trust that owns Warrant Shares. Resident Holders to whom these rules may be relevant should consult their own tax advisors.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Resident Holder that is throughout the relevant taxation year a "Canadian-controlled private corporation" (as defined in the Tax Act) or, at any time in the year, a "substantive CCPC" (as proposed to be defined in the Tax Act pursuant to Proposed Amendments released on August 9, 2022) may be liable to pay an additional tax (refundable in certain circumstances) on certain investment income, including amounts in respect of net taxable capital gains. Such Resident Holders should consult their own tax advisors.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Minimum Tax</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Non-Resident Holders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following portion of this summary is generally applicable to Holders who, at all relevant times, for the purposes of the Tax Act, (i) are neither resident nor deemed to be resident in Canada for the purposes of the Tax Act and any applicable income tax treaty and convention, and (ii) do not and will not use or hold, and are not and will not be deemed to use or hold, the Warrant Shares in the course of business carried on or deemed to be carried on in Canada. Holders who meet all of the foregoing requirements are referred to herein as “</w:t>
      </w:r>
      <w:r>
        <w:rPr>
          <w:rFonts w:ascii="Arial" w:cs="Arial" w:eastAsia="Arial" w:hAnsi="Arial"/>
          <w:sz w:val="21"/>
          <w:szCs w:val="21"/>
          <w:b w:val="1"/>
          <w:bCs w:val="1"/>
          <w:color w:val="auto"/>
        </w:rPr>
        <w:t>Non-Resident Holders</w:t>
      </w:r>
      <w:r>
        <w:rPr>
          <w:rFonts w:ascii="Arial" w:cs="Arial" w:eastAsia="Arial" w:hAnsi="Arial"/>
          <w:sz w:val="21"/>
          <w:szCs w:val="21"/>
          <w:color w:val="auto"/>
        </w:rPr>
        <w:t>”, and this portion of the summary only addresses such Non-Resident Holders. Special rules, which are not discussed in this summary, may apply to a Non-Resident Holder that is an insurer carrying on, or deemed to carry on, business in Canada and elsewhere or that is an “authorized foreign bank” (as defined in the Tax Act). Such Non-Resident Holders should consult their own tax advisors. Special rules, which are not discussed in this summary, may apply to a Non-Resident Holder that is an insurer carrying on, or deemed to carry on, business in Canada and elsewhere or that is an "authorized foreign bank" (as defined in the Tax Act). Such Non-Resident Holders should consult their own tax advisors.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Dividends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Dividends paid or credited or deemed to be paid or credited to a Non-Resident Holder by the Corporation are subject to Canadian withholding tax at the rate of 25% of the gross amount of the dividend unless such rate is reduced by the terms of an applicable tax treaty or convention between Canada and the country in which the Non-Resident Holder is resident. For example, under the </w:t>
      </w:r>
      <w:r>
        <w:rPr>
          <w:rFonts w:ascii="Arial" w:cs="Arial" w:eastAsia="Arial" w:hAnsi="Arial"/>
          <w:sz w:val="19"/>
          <w:szCs w:val="19"/>
          <w:i w:val="1"/>
          <w:iCs w:val="1"/>
          <w:color w:val="auto"/>
        </w:rPr>
        <w:t xml:space="preserve">Canada-United States Tax Convention (1980), </w:t>
      </w:r>
      <w:r>
        <w:rPr>
          <w:rFonts w:ascii="Arial" w:cs="Arial" w:eastAsia="Arial" w:hAnsi="Arial"/>
          <w:sz w:val="19"/>
          <w:szCs w:val="19"/>
          <w:color w:val="auto"/>
        </w:rPr>
        <w:t>as amended (the “</w:t>
      </w:r>
      <w:r>
        <w:rPr>
          <w:rFonts w:ascii="Arial" w:cs="Arial" w:eastAsia="Arial" w:hAnsi="Arial"/>
          <w:sz w:val="19"/>
          <w:szCs w:val="19"/>
          <w:b w:val="1"/>
          <w:bCs w:val="1"/>
          <w:color w:val="auto"/>
        </w:rPr>
        <w:t>Treaty</w:t>
      </w:r>
      <w:r>
        <w:rPr>
          <w:rFonts w:ascii="Arial" w:cs="Arial" w:eastAsia="Arial" w:hAnsi="Arial"/>
          <w:sz w:val="19"/>
          <w:szCs w:val="19"/>
          <w:color w:val="auto"/>
        </w:rPr>
        <w:t>”), the rate of withholding tax on dividends paid or</w:t>
      </w:r>
      <w:r>
        <w:rPr>
          <w:rFonts w:ascii="Arial" w:cs="Arial" w:eastAsia="Arial" w:hAnsi="Arial"/>
          <w:sz w:val="19"/>
          <w:szCs w:val="19"/>
          <w:i w:val="1"/>
          <w:iCs w:val="1"/>
          <w:color w:val="auto"/>
        </w:rPr>
        <w:t xml:space="preserve"> </w:t>
      </w:r>
      <w:r>
        <w:rPr>
          <w:rFonts w:ascii="Arial" w:cs="Arial" w:eastAsia="Arial" w:hAnsi="Arial"/>
          <w:sz w:val="19"/>
          <w:szCs w:val="19"/>
          <w:color w:val="auto"/>
        </w:rPr>
        <w:t>credited to a Non-Resident Holder who is the beneficial owner of the dividends, resident in the U.S. for purposes of the Treaty and entitled to full benefits under the Treaty (a “</w:t>
      </w:r>
      <w:r>
        <w:rPr>
          <w:rFonts w:ascii="Arial" w:cs="Arial" w:eastAsia="Arial" w:hAnsi="Arial"/>
          <w:sz w:val="19"/>
          <w:szCs w:val="19"/>
          <w:b w:val="1"/>
          <w:bCs w:val="1"/>
          <w:color w:val="auto"/>
        </w:rPr>
        <w:t>U.S. Holder</w:t>
      </w:r>
      <w:r>
        <w:rPr>
          <w:rFonts w:ascii="Arial" w:cs="Arial" w:eastAsia="Arial" w:hAnsi="Arial"/>
          <w:sz w:val="19"/>
          <w:szCs w:val="19"/>
          <w:color w:val="auto"/>
        </w:rPr>
        <w:t>”) is generally reduced to 15% of the gross amount of the dividends (or 5% in the case of a U.S. Holder that is a company beneficially owning at least 10% of the Corporation’s voting shares). Non-Resident Holders should consult their own tax advisors to determine their entitlement to benefits under any applicable tax treaty or convention based on their particular circumstances.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Disposition of Warrant Shares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 Non-Resident Holder generally will not be subject to tax under the Tax Act in respect of a capital gain realized on the disposition or deemed disposition of a Warrant Share unless such Warrant Share constitutes “taxable Canadian property” (as defined in the Tax Act) of the Non-Resident Holder at the time of disposition and the gain is not exempt from tax pursuant to the terms of an applicable tax treaty or convention. In addition, capital losses arising on the disposition or deemed disposition of a Warrant Share will not be recognized under the Tax Act, unless the Warrant Share constitutes “taxable Canadian property” to the Non-Resident Holder thereof for purposes of the Tax Act, and the Non-Resident Holder is not entitled to relief under the terms of an applicable tax treaty.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9"/>
          <w:szCs w:val="19"/>
          <w:color w:val="auto"/>
        </w:rPr>
        <w:t>Provided the Warrant Shares are listed on a "designated stock exchange", as defined in the Tax Act (which currently includes the NEO) at the time of disposition, the Warrant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Warrant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Warrant Shares may be deemed to be taxable Canadian property of a Non-Resident Holder.</w:t>
      </w: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Non-Resident Holders should consult their own tax advisors as to whether their Warrant Shares constitute “taxable Canadian property”.</w:t>
      </w:r>
    </w:p>
    <w:p>
      <w:pPr>
        <w:spacing w:after="0" w:line="16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the event that the Warrant Shares are taxable Canadian property of a Non-Resident Holder, such Non-Resident Holder may be exempt from tax under the Tax Act in respect of any capital gain arising on the disposition of such Warrant Shares by virtue of an applicable income tax treaty or convention. In cases where a Non-Resident Holder disposes, or is deemed to have disposed, a Warrant Share that is taxable Canadian property of that Non-Resident Holder, and the Non-Resident Holder is not entitled to an exemption from tax under the Tax Act or pursuant to the terms of an applicable income tax treaty or convention, the consequences under the heading "</w:t>
      </w:r>
      <w:r>
        <w:rPr>
          <w:rFonts w:ascii="Arial" w:cs="Arial" w:eastAsia="Arial" w:hAnsi="Arial"/>
          <w:sz w:val="22"/>
          <w:szCs w:val="22"/>
          <w:i w:val="1"/>
          <w:iCs w:val="1"/>
          <w:color w:val="auto"/>
        </w:rPr>
        <w:t>Taxation of Resident Holders - Capital Gains and Capital Losses</w:t>
      </w:r>
      <w:r>
        <w:rPr>
          <w:rFonts w:ascii="Arial" w:cs="Arial" w:eastAsia="Arial" w:hAnsi="Arial"/>
          <w:sz w:val="22"/>
          <w:szCs w:val="22"/>
          <w:color w:val="auto"/>
        </w:rPr>
        <w:t>" will generally be applicable to such disposition. Non-Resident Holders who may hold Warrant Shares as taxable Canadian property should consult their own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UNITED STATES FEDERAL INCOME TAX CONSIDERATIONS TO U.S. HOLDERS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following is a general summary of certain material U.S. federal income tax considerations applicable to a U.S. Holder (as defined below) arising from and relating to the acquisition, ownership and disposition of Warrant Shares received upon exercise of the Warrants. This summary is for general information purposes only and does not purport to be a complete analysis or listing of all potential U.S. federal income tax considerations that may apply to a U.S. Holder arising from or relating to the acquisition, ownership and disposition of Warrant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Warrant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Warrant Shares.</w:t>
      </w:r>
    </w:p>
    <w:p>
      <w:pPr>
        <w:spacing w:after="0" w:line="15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No opinion from legal counsel or ruling from the Internal Revenue Service (the "</w:t>
      </w:r>
      <w:r>
        <w:rPr>
          <w:rFonts w:ascii="Arial" w:cs="Arial" w:eastAsia="Arial" w:hAnsi="Arial"/>
          <w:sz w:val="19"/>
          <w:szCs w:val="19"/>
          <w:b w:val="1"/>
          <w:bCs w:val="1"/>
          <w:color w:val="auto"/>
        </w:rPr>
        <w:t>IRS</w:t>
      </w:r>
      <w:r>
        <w:rPr>
          <w:rFonts w:ascii="Arial" w:cs="Arial" w:eastAsia="Arial" w:hAnsi="Arial"/>
          <w:sz w:val="19"/>
          <w:szCs w:val="19"/>
          <w:color w:val="auto"/>
        </w:rPr>
        <w:t>") has been requested, or will be obtained, regarding the U.S. federal income tax consequences of the acquisition, ownership and disposition of Warrant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Scope of this Summary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Authorities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summary is based on the U.S.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Treasury Regulations (whether final, temporary, or proposed), published rulings of the IRS, published administrative positions of the IRS, the current provisions of the Canada-United States Tax Convention (1980) (the "</w:t>
      </w:r>
      <w:r>
        <w:rPr>
          <w:rFonts w:ascii="Arial" w:cs="Arial" w:eastAsia="Arial" w:hAnsi="Arial"/>
          <w:sz w:val="19"/>
          <w:szCs w:val="19"/>
          <w:b w:val="1"/>
          <w:bCs w:val="1"/>
          <w:color w:val="auto"/>
        </w:rPr>
        <w:t>Canada-U.S. Tax Convention</w:t>
      </w:r>
      <w:r>
        <w:rPr>
          <w:rFonts w:ascii="Arial" w:cs="Arial" w:eastAsia="Arial" w:hAnsi="Arial"/>
          <w:sz w:val="19"/>
          <w:szCs w:val="19"/>
          <w:color w:val="auto"/>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summary, the term "U.S. Holder" means a beneficial owner of Warrant Shares received upon exercise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Warrants that is for U.S. federal income tax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Non-U.S. Holders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purposes of this summary, a "non-U.S. Holder" is a beneficial owner of Warrant Shares that is not a U.S. Holder or an entity classified as a partnership for U.S. federal income tax purposes. This summary does not address the U.S. federal, state or local tax consequences to non-U.S. Holders arising from or relating to the acquisition, ownership and disposition of Warrant Shares. Accordingly, a non-U.S. Holder should consult its own tax advisors regarding the U.S. federal, state or local and non-U.S. tax consequences (including the potential application of and operation of any income tax treaties) relating to the acquisition, ownership and disposition of Warrant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 Subject to Special U.S. Federal Income Tax Rules Not Addressed</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Warrant Shares as part of a straddle, hedging transaction, conversion transaction, constructive sale, or other integrated transaction; (f) acquire Warrant Shares in connection with the exercise of employee stock options or otherwise as compensation for services; (g) hold Warrant Shares other than as a capital asset within the meaning of Section 1221 of the Code (generally, property held for investment purposes); (h) are subject to the alternative minimum tax; (i) are subject to special tax accounting rules with respect to Warrant Shares; (j) are partnerships or other "pass-through" entities (and partners or other owners thereof); (k) are S corporations (and shareholders thereof); (l) are U.S. expatriates or former long-term residents of the United States subject to Section 877 or 877A of the Code; (m) hold Warrant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Warrant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9"/>
          <w:szCs w:val="19"/>
          <w:color w:val="auto"/>
        </w:rPr>
        <w:t>If an entity or arrangement that is classified as a partnership (or other "pass-through" entity) for U.S. federal income tax purposes holds Warrant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Warrant Shares.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PFIC Status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If the Corporation was to constitute a "passive foreign investment company" under the meaning of Section 1297 of the Code (a "</w:t>
      </w:r>
      <w:r>
        <w:rPr>
          <w:rFonts w:ascii="Arial" w:cs="Arial" w:eastAsia="Arial" w:hAnsi="Arial"/>
          <w:sz w:val="19"/>
          <w:szCs w:val="19"/>
          <w:b w:val="1"/>
          <w:bCs w:val="1"/>
          <w:color w:val="auto"/>
        </w:rPr>
        <w:t>PFIC</w:t>
      </w:r>
      <w:r>
        <w:rPr>
          <w:rFonts w:ascii="Arial" w:cs="Arial" w:eastAsia="Arial" w:hAnsi="Arial"/>
          <w:sz w:val="19"/>
          <w:szCs w:val="19"/>
          <w:color w:val="auto"/>
        </w:rPr>
        <w:t>", as defined below) for any year during a U.S. Holder's holding period, then certain potentially adverse rules would affect the U.S. federal income tax consequences to a U.S. Holder as a result of the acquisition, ownership and disposition of Warrant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generally will be a PFIC if, for a tax year, (a) 75% or more of the gross income of the Corporation is passive income (the "</w:t>
      </w:r>
      <w:r>
        <w:rPr>
          <w:rFonts w:ascii="Arial" w:cs="Arial" w:eastAsia="Arial" w:hAnsi="Arial"/>
          <w:sz w:val="19"/>
          <w:szCs w:val="19"/>
          <w:b w:val="1"/>
          <w:bCs w:val="1"/>
          <w:color w:val="auto"/>
        </w:rPr>
        <w:t>PFIC income test</w:t>
      </w:r>
      <w:r>
        <w:rPr>
          <w:rFonts w:ascii="Arial" w:cs="Arial" w:eastAsia="Arial" w:hAnsi="Arial"/>
          <w:sz w:val="19"/>
          <w:szCs w:val="19"/>
          <w:color w:val="auto"/>
        </w:rPr>
        <w:t>") or (b) 50% or more of the value of the Corporation's assets either produce passive income or are held for the production of passive income, based on the quarterly average of the fair market value of such assets (the "</w:t>
      </w:r>
      <w:r>
        <w:rPr>
          <w:rFonts w:ascii="Arial" w:cs="Arial" w:eastAsia="Arial" w:hAnsi="Arial"/>
          <w:sz w:val="19"/>
          <w:szCs w:val="19"/>
          <w:b w:val="1"/>
          <w:bCs w:val="1"/>
          <w:color w:val="auto"/>
        </w:rPr>
        <w:t>PFIC</w:t>
      </w:r>
      <w:r>
        <w:rPr>
          <w:rFonts w:ascii="Arial" w:cs="Arial" w:eastAsia="Arial" w:hAnsi="Arial"/>
          <w:sz w:val="19"/>
          <w:szCs w:val="19"/>
          <w:color w:val="auto"/>
        </w:rPr>
        <w:t xml:space="preserve"> </w:t>
      </w:r>
      <w:r>
        <w:rPr>
          <w:rFonts w:ascii="Arial" w:cs="Arial" w:eastAsia="Arial" w:hAnsi="Arial"/>
          <w:sz w:val="19"/>
          <w:szCs w:val="19"/>
          <w:b w:val="1"/>
          <w:bCs w:val="1"/>
          <w:color w:val="auto"/>
        </w:rPr>
        <w:t>asset test</w:t>
      </w:r>
      <w:r>
        <w:rPr>
          <w:rFonts w:ascii="Arial" w:cs="Arial" w:eastAsia="Arial" w:hAnsi="Arial"/>
          <w:sz w:val="19"/>
          <w:szCs w:val="19"/>
          <w:color w:val="auto"/>
        </w:rPr>
        <w:t>"). "Gross income" generally includes all sales revenues less the cost of goods sold, plus income from investments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both"/>
        <w:spacing w:after="0" w:line="275" w:lineRule="auto"/>
        <w:rPr>
          <w:sz w:val="20"/>
          <w:szCs w:val="20"/>
          <w:color w:val="auto"/>
        </w:rPr>
      </w:pPr>
      <w:r>
        <w:rPr>
          <w:rFonts w:ascii="Arial" w:cs="Arial" w:eastAsia="Arial" w:hAnsi="Arial"/>
          <w:sz w:val="19"/>
          <w:szCs w:val="19"/>
          <w:color w:val="auto"/>
        </w:rPr>
        <w:t>Under certain attribution rules, if the Corporation is a PFIC, U.S. Holders will generally be deemed to own their proportionate share of the Corporation's direct or indirect equity interest in any company that is also a PFIC (a "</w:t>
      </w:r>
      <w:r>
        <w:rPr>
          <w:rFonts w:ascii="Arial" w:cs="Arial" w:eastAsia="Arial" w:hAnsi="Arial"/>
          <w:sz w:val="19"/>
          <w:szCs w:val="19"/>
          <w:b w:val="1"/>
          <w:bCs w:val="1"/>
          <w:color w:val="auto"/>
        </w:rPr>
        <w:t>Subsidiary PFIC</w:t>
      </w:r>
      <w:r>
        <w:rPr>
          <w:rFonts w:ascii="Arial" w:cs="Arial" w:eastAsia="Arial" w:hAnsi="Arial"/>
          <w:sz w:val="19"/>
          <w:szCs w:val="19"/>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Warrant Shares. Accordingly, U.S. Holders should be aware that they could be subject to tax under the PFIC rules even if no distributions are received and no redemptions or other dispositions of Warrant Shares are made.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Default PFIC Rules Under Section 1291 of the Code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the Corporation is a PFIC for any tax year during which a U.S. Holder owns Warrant Shares, the U.S. federal income tax consequences to such U.S. Holder of the acquisition, ownership, and disposition of Warrant Shares will depend on whether and when such U.S. Holder makes an election to treat the Corporation and each Subsidiary PFIC, if any, as a "qualified electing fund" or "QEF" under Section 1295 of the Code (a "</w:t>
      </w:r>
      <w:r>
        <w:rPr>
          <w:rFonts w:ascii="Arial" w:cs="Arial" w:eastAsia="Arial" w:hAnsi="Arial"/>
          <w:sz w:val="21"/>
          <w:szCs w:val="21"/>
          <w:b w:val="1"/>
          <w:bCs w:val="1"/>
          <w:color w:val="auto"/>
        </w:rPr>
        <w:t>QEF Election</w:t>
      </w:r>
      <w:r>
        <w:rPr>
          <w:rFonts w:ascii="Arial" w:cs="Arial" w:eastAsia="Arial" w:hAnsi="Arial"/>
          <w:sz w:val="21"/>
          <w:szCs w:val="21"/>
          <w:color w:val="auto"/>
        </w:rPr>
        <w:t>") or makes a mark-to-market election under Section 1296 of the Code (a "</w:t>
      </w:r>
      <w:r>
        <w:rPr>
          <w:rFonts w:ascii="Arial" w:cs="Arial" w:eastAsia="Arial" w:hAnsi="Arial"/>
          <w:sz w:val="21"/>
          <w:szCs w:val="21"/>
          <w:b w:val="1"/>
          <w:bCs w:val="1"/>
          <w:color w:val="auto"/>
        </w:rPr>
        <w:t>Mark-to-Market Election</w:t>
      </w:r>
      <w:r>
        <w:rPr>
          <w:rFonts w:ascii="Arial" w:cs="Arial" w:eastAsia="Arial" w:hAnsi="Arial"/>
          <w:sz w:val="21"/>
          <w:szCs w:val="21"/>
          <w:color w:val="auto"/>
        </w:rPr>
        <w:t>"). A U.S. Holder that does not make either a QEF Election or a Mark-to-Market Election will be referred to in this summary as a "Non-Electing U.S. Holder".</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Non-Electing U.S. Holder will be subject to the rules of Section 1291 of the Code (described below) with respect to: (a) any gain recognized on the sale or other taxable disposition of Warrant Shares; and (b) any "excess distribution" received on the Warrant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Warrant Shares, if shorter).</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Section 1291 of the Code, any gain recognized on the sale or other taxable disposition of Warrant Shares (including an indirect disposition of the stock of any Subsidiary PFIC), and any "excess distribution" received on Warrant Shares or with respect to the stock of a Subsidiary PFIC, must be ratably allocated to each day in a Non-Electing U.S. Holder's holding period for the respective Warrant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If the Corporation is a PFIC for any tax year during which a Non-Electing U.S. Holder holds Warrant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Warrant Shares by electing to recognize gain (which will be taxed under the rules of Section 1291 of the Code discussed above), but not loss, as if such Warrant Shares were sold on the last day of the last tax year for which the Corporation was a PFIC. No such election, however, may be made with respect to the Warrants.</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Under Section 1291(f) of the Code, the IRS has issued proposed Treasury Regulations (the "</w:t>
      </w:r>
      <w:r>
        <w:rPr>
          <w:rFonts w:ascii="Arial" w:cs="Arial" w:eastAsia="Arial" w:hAnsi="Arial"/>
          <w:sz w:val="19"/>
          <w:szCs w:val="19"/>
          <w:b w:val="1"/>
          <w:bCs w:val="1"/>
          <w:color w:val="auto"/>
        </w:rPr>
        <w:t>Proposed Treasury Regulations</w:t>
      </w:r>
      <w:r>
        <w:rPr>
          <w:rFonts w:ascii="Arial" w:cs="Arial" w:eastAsia="Arial" w:hAnsi="Arial"/>
          <w:sz w:val="19"/>
          <w:szCs w:val="19"/>
          <w:color w:val="auto"/>
        </w:rPr>
        <w:t>"), providing that if a U.S. Holder has an option, warrant or other right to acquire stock of a PFIC (such as the Warrants comprising a part of the Units), such option, warrant or other right is considered to be PFIC stock subject to the default rules of Section 1291 of the Code. Under rules described below, the holding period for the Warrant Shares will begin on the date a U.S. Holder acquires the Units. This will impact the availability of the QEF Election and Mark-to-Market Election with respect to the Warrant Shares. Accordingly, to the extent a U.S. Holder holds Warrant Shares and Unit Shares received pursuant to the Unit Offering, such U.S. Holder will have to account for Warrant Shares and Unit Shares under the PFIC rules and the applicable elections differently.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i w:val="1"/>
          <w:iCs w:val="1"/>
          <w:color w:val="auto"/>
        </w:rPr>
        <w:t>QEF Election</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U.S. Holder that makes a timely and effective QEF Election for the first tax year in which the holding period of its Warrant Shares begins generally will not be subject to the rules of Section 1291 of the Code discussed above with respect to its Warrant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Warrant Shares to reflect the amount included in income or allowed as a tax-free distribution because of such QEF Election. In addition, a U.S. Holder that makes a QEF Election generally will recognize capital gain or loss on the sale or other taxable disposition of Warrant Shares.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Warrant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Warrant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Warrant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Warrant Shares. If a U.S. Holder owns PFIC stock indirectly through another PFIC, separate QEF Elections must be made for the PFIC in which the U.S. Holder is a direct shareholder and the Subsidiary PFIC for the QEF rules to apply to both PFICs.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discussed above, under the Proposed Treasury Regulations, if a U.S. Holder has an option, warrant or other right to acquire stock of a PFIC (such as the Warrants), such option, warrant or right is considered to be PFIC stock subject to the default rules of Section 1291 of the Code. However, a U.S. Holder of an option, warrant or other right to acquire stock of a PFIC may not make a QEF Election that will apply to the option, warrant or other right to acquire PFIC stock. In addition, under the Proposed Treasury Regulations, if a U.S. Holder holds an option, warrant or other right to acquire stock of a PFIC, the holding period with respect to shares of stock of the PFIC acquired upon exercise of such option, warrant or other right will include the period that the option, warrant or other right was held.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both"/>
        <w:spacing w:after="0" w:line="244" w:lineRule="auto"/>
        <w:rPr>
          <w:sz w:val="20"/>
          <w:szCs w:val="20"/>
          <w:color w:val="auto"/>
        </w:rPr>
      </w:pPr>
      <w:r>
        <w:rPr>
          <w:rFonts w:ascii="Arial" w:cs="Arial" w:eastAsia="Arial" w:hAnsi="Arial"/>
          <w:sz w:val="21"/>
          <w:szCs w:val="21"/>
          <w:color w:val="auto"/>
        </w:rPr>
        <w:t>Consequently, under the Proposed Treasury Regulations, if a U.S. Holder of Unit Shares makes a QEF Election, such election generally will not be treated as a timely QEF Election with respect to Warrant Shares (unless the Warrant Shares are acquired in the same tax year as the U.S. Holder acquired the Units) and the rules of Section 1291 of the Code discussed above will continue to apply with respect to such U.S. Holder's Warrant Shares. However, a U.S. Holder of Warrant Shares should be eligible to make a timely QEF Election if such U.S. Holder makes a "purging" or "deemed sale" election to recognize gain (which will be taxed under the rules of Section 1291 of the Code discussed above) as if such Warrant Shares were sold for fair market value. As a result of the "purging" or "deemed sale" election, the U.S. Holder will have a new basis and holding period in the Warrant Shares acquired upon the exercise of the Warrants for purposes of the PFIC rules. In addition, gain recognized on the sale or other taxable disposition (other than by exercise) of the Warrants by a U.S. Holder will be subject to the rules of Section 1291 of the Code discussed above. Each U.S. Holder should consult its own tax advisor regarding the application of the PFIC rules to the Warrant Shares.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Mark-to-Market Election</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 U.S. Holder may make a Mark-to-Market Election with respect to the Warrant Shares only if the Warrant Shares are marketable stock. The Warrant Shares generally will be "marketable stock" if the Warrant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U.S. Holder that makes a Mark-to-Market Election with respect to its Warrant Shares generally will not be subject to the rules of Section 1291 of the Code discussed above with respect to such Warrant Shares. However, if a U.S. Holder does not make a Mark-to-Market Election beginning in the first tax year of such U.S. Holder's holding period for the Warrant Shares for which the Corporation is a PFIC and such U.S. Holder has not made a timely QEF Election, the rules of Section 1291 of the Code discussed above will apply to certain dispositions of, and distributions on, the Warrant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spacing w:after="0" w:line="274" w:lineRule="auto"/>
        <w:rPr>
          <w:sz w:val="20"/>
          <w:szCs w:val="20"/>
          <w:color w:val="auto"/>
        </w:rPr>
      </w:pPr>
      <w:r>
        <w:rPr>
          <w:rFonts w:ascii="Arial" w:cs="Arial" w:eastAsia="Arial" w:hAnsi="Arial"/>
          <w:sz w:val="19"/>
          <w:szCs w:val="19"/>
          <w:color w:val="auto"/>
        </w:rPr>
        <w:t>Any Mark-to-Market Election made by a U.S. Holder for the Unit Shares, to the extent applicable, will also apply to such U.S. Holder's Warrant Shares. As a result, if a Mark-to-Market Election has been made by a U.S. Holder with respect to Unit Shares, to the extent applicable, any Warrant Shares received will automatically be marked-to-market in the year of exercise. Because, under the Proposed Treasury Regulations, a U.S. Holder's holding period for Warrant Shares includes the period during which such U.S. Holder held the Warrants, a U.S. Holder will be treated as making a Mark-to-Market Election with respect to its Warrant Shares after the beginning of such U.S. Holder's holding period for the Warrant Shares unless the Warrant Shares are acquired in the same tax year as the year in which the U.S. Holder acquired its Units. Consequently, the default rules under Section 1291 of the Code described above generally will apply to the mark-to-market gain realized in the tax year in which Warrant Shares are received. However, the general mark-to-market rules will apply to subsequent tax years.</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Mark-to-Market Election will include in ordinary income, for each tax year in which the Corporation is a PFIC, an amount equal to the excess, if any, of (a) the fair market value of the Warrant Shares, as of the close of such tax year over (b) such U.S. Holder's adjusted tax basis in such Warrant Shares. A U.S. Holder that makes a Mark-to-Market Election will be allowed a deduction in an amount equal to the excess, if any, of (a) such U.S. Holder's adjusted tax basis in the Warrant Shares, over (b) the fair market value of such Warrant Shares (but only to the extent of the net amount of previously included income as a result of the Mark-to-Market Election for prior tax years).</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 U.S. Holder that makes a Mark-to-Market Election generally also will adjust such U.S. Holder's tax basis in the Warrant Shares to reflect the amount included in gross income or allowed as a deduction because of such Mark-to-Market Election. In addition, upon a sale or other taxable disposition of Warrant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Warrant Shares cease to be "marketable stock" or the IRS consents to revocation of such election. Each U.S. Holder should consult its own tax advisors regarding the availability of, and procedure for making, a Mark-to-Market Election.</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a U.S. Holder may be eligible to make a Mark-to-Market Election with respect to the Warrant Shares, no such election may be made with respect to the stock of any Subsidiary PFIC that a U.S. Holder is treated as owning, because such stock is not marketable. Hence, the Mark-to-Market Election will not be effective to avoid the interest charge and other income inclusion rules described above with respect to deemed dispositions of Subsidiary PFIC stock or excess distributions from a Subsidiary PFIC to its shareholder.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PFIC Rules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Under the Proposed Treasury Regulations, subject to certain exceptions, a U.S. Holder that had not made a timely QEF Election would recognize gain (but not loss) upon certain transfers of Warrant Shares that would otherwise be tax-deferred (e.g., gifts and exchanges pursuant to corporate reorganizations). However, the specific U.S. federal income tax consequences to a U.S. Holder may vary based on the manner in which Warrant Shares are transferred.</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both"/>
        <w:spacing w:after="0" w:line="238" w:lineRule="auto"/>
        <w:rPr>
          <w:sz w:val="20"/>
          <w:szCs w:val="20"/>
          <w:color w:val="auto"/>
        </w:rPr>
      </w:pPr>
      <w:r>
        <w:rPr>
          <w:rFonts w:ascii="Arial" w:cs="Arial" w:eastAsia="Arial" w:hAnsi="Arial"/>
          <w:sz w:val="22"/>
          <w:szCs w:val="22"/>
          <w:color w:val="auto"/>
        </w:rPr>
        <w:t>Certain additional adverse rules may apply with respect to a U.S. Holder if the Corporation is a PFIC, regardless of whether such U.S. Holder makes a QEF Election. For example, under Section 1298(b)(6) of the Code, a U.S. Holder that uses Warrant Shares as security for a loan will, except as may be provided in Treasury Regulations, be treated as having made a taxable disposition of such Warrant Shares.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a U.S. Holder who acquires Warrant Shares from a decedent will not receive a "step up" in tax basis of such Warrant Shares to fair market value unless such decedent had a timely and effective QEF Election in place.</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87"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PFIC rules are complex, and each U.S. Holder should consult its own tax advisors regarding the PFIC rules and how the PFIC rules may affect the U.S. federal income tax consequences of the acquisition, ownership, and disposition of Warrant Shares.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Rules Applicable to the Ownership and Disposition of Warrant Shares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discussion is subject, in its entirety, to the rules described above under the heading "Passive Foreign Investment Company Rules".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Distributions on Warrant Shares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receives a distribution, including a constructive distribution, with respect to a Common Share or Warrant Share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Warrant Shares, and thereafter as gain from the sale or exchange of such Warrant Shares. (see the section below entitled "</w:t>
      </w:r>
      <w:r>
        <w:rPr>
          <w:rFonts w:ascii="Arial" w:cs="Arial" w:eastAsia="Arial" w:hAnsi="Arial"/>
          <w:sz w:val="19"/>
          <w:szCs w:val="19"/>
          <w:i w:val="1"/>
          <w:iCs w:val="1"/>
          <w:color w:val="auto"/>
        </w:rPr>
        <w:t>Sale or Other Taxable Disposition of Warrant Shares</w:t>
      </w:r>
      <w:r>
        <w:rPr>
          <w:rFonts w:ascii="Arial" w:cs="Arial" w:eastAsia="Arial" w:hAnsi="Arial"/>
          <w:sz w:val="19"/>
          <w:szCs w:val="19"/>
          <w:color w:val="auto"/>
        </w:rPr>
        <w:t>"). However, the Corporation does not intend to maintain the calculations of its earnings and profits in accordance with U.S. federal income tax principles, and each U.S. Holder therefore should assume that any distribution by the Corporation with respect to the Warrant Shares will constitute ordinary dividend income. Dividends received on Warrant Shares by corporate U.S. Holders generally will not be eligible for the "dividends received deduction". Subject to applicable limitations and provided the Corporation is eligible for the benefits of the Canada-U.S. Tax Convention or the Warrant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Sale or Other Taxable Disposition of Warrant Shares</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Upon the sale or other taxable disposition of Warrant Shares, a U.S. Holder generally will recognize capital gain or loss in an amount equal to the difference between the U.S. dollar value of cash received plus the fair market value of any property received and such U.S. Holder's tax basis in such Warrant Shares sold or otherwise disposed of. A U.S. Holder's tax basis in Warrant Shares generally will be such U.S. Holder's U.S. dollar cost for such Warrant Shares. Gain or loss recognized on such sale or other taxable disposition generally will be long-term capital gain or loss if, at the time of the sale or other disposition, the Warrant Shares have been held for more than one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both"/>
        <w:spacing w:after="0"/>
        <w:rPr>
          <w:sz w:val="20"/>
          <w:szCs w:val="20"/>
          <w:color w:val="auto"/>
        </w:rPr>
      </w:pPr>
      <w:r>
        <w:rPr>
          <w:rFonts w:ascii="Arial" w:cs="Arial" w:eastAsia="Arial" w:hAnsi="Arial"/>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Foreign Currency</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amount of any distribution paid to a U.S. Holder in foreign currency, or on the sale, exchange or other taxable disposition of Warrant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Tax Credit</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Dividends paid on the Warrant Shares will be treated as foreign-source income, and generally will be treated as "passive category income" or "general category income" for U.S. foreign tax credit purposes. Any gain or loss recognized on a sale or other disposition of Warrant Shares generally will be United States source gain or loss. Certain U.S. Holders that are eligible for the benefits of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taxes paid or accrued (the "</w:t>
      </w:r>
      <w:r>
        <w:rPr>
          <w:rFonts w:ascii="Arial" w:cs="Arial" w:eastAsia="Arial" w:hAnsi="Arial"/>
          <w:sz w:val="21"/>
          <w:szCs w:val="21"/>
          <w:b w:val="1"/>
          <w:bCs w:val="1"/>
          <w:color w:val="auto"/>
        </w:rPr>
        <w:t>Foreign Tax Credit Regulations</w:t>
      </w:r>
      <w:r>
        <w:rPr>
          <w:rFonts w:ascii="Arial" w:cs="Arial" w:eastAsia="Arial" w:hAnsi="Arial"/>
          <w:sz w:val="21"/>
          <w:szCs w:val="21"/>
          <w:color w:val="auto"/>
        </w:rPr>
        <w:t>") impose additional requirements for Canadian withholding taxes to be eligible for a foreign tax credit, and there can be no assurance that those requirements will be satisfied. The Treasury Department has recently released guidance temporarily pausing the application of certain of the Foreign Tax Credit Regulations.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Subject to the PFIC rules and the Foreign Tax Credit Regulations, each as discussed above, a U.S. Holder that pays (whether directly or through withholding) Canadian income tax with respect to dividends paid on the Warrant Shares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Backup Withholding and Information Reporting</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Warrant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9"/>
          <w:szCs w:val="19"/>
          <w:color w:val="auto"/>
        </w:rPr>
        <w:t>Payments made within the U.S. or by a U.S. payor or U.S. middleman, of dividends on, and proceeds arising from the sale or other taxable disposition of Warrant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ABOVE SUMMARY IS NOT INTENDED TO CONSTITUTE A COMPLETE ANALYSIS OF ALL TAX CONSIDERATIONS APPLICABLE TO U.S. HOLDERS WITH RESPECT TO THE ACQUISITION, OWNERSHIP AND DISPOSITION OF WARRANT SHARES. U.S. HOLDERS SHOULD CONSULT THEIR OWN TAX ADVISORS AS TO THE TAX CONSIDERATIONS APPLICABLE TO THEM IN LIGHT OF THEIR OWN PARTICULAR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Certain legal matters in connection with the offering of the Securities will be passed upon by Aird &amp; Berlis LLP on behalf of the Corporation.</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The registrar and transfer agent of the Common Shares is Odyssey Trust Company at its principal office in Calgary, Alberta.</w:t>
      </w:r>
    </w:p>
    <w:p>
      <w:pPr>
        <w:spacing w:after="0" w:line="235"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ADDITIONAL INFORMATION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The Corporation has filed with the SEC the Registration Statement on Form F-10 under the U.S. Securities Act relating to the Corporation's Securities offered hereby, of which this Prospectus Supplement and accompanying Prospectus form a part. This Prospectus Supplement and the accompanying Prospectus do not contain all of the information set forth in the Registration Statement, certain parts of which are contained in the exhibits to the Registration Statement as permitted by the rules and regulations of the SEC. Reference is made to such Registration Statement and the exhibits thereto for further information with respect to us and the Securities offered hereby. Information omitted from this Prospectus Supplement and the accompanying Prospectus, but contained in the Registration Statement is available on EDGAR under the Corporation's profile at </w:t>
      </w:r>
      <w:r>
        <w:rPr>
          <w:rFonts w:ascii="Arial" w:cs="Arial" w:eastAsia="Arial" w:hAnsi="Arial"/>
          <w:sz w:val="19"/>
          <w:szCs w:val="19"/>
          <w:u w:val="single" w:color="auto"/>
          <w:color w:val="0563C1"/>
        </w:rPr>
        <w:t>www.sec.gov</w:t>
      </w:r>
      <w:r>
        <w:rPr>
          <w:rFonts w:ascii="Arial" w:cs="Arial" w:eastAsia="Arial" w:hAnsi="Arial"/>
          <w:sz w:val="19"/>
          <w:szCs w:val="19"/>
          <w:color w:val="auto"/>
        </w:rPr>
        <w:t>. Investors should review the Registration Statement and the exhibits thereto for further information with respect to us and the Securities offered hereby. Statements contained in this Prospectus Supplement and the accompanying Prospectus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jc w:val="both"/>
        <w:spacing w:after="0" w:line="275" w:lineRule="auto"/>
        <w:rPr>
          <w:sz w:val="20"/>
          <w:szCs w:val="20"/>
          <w:color w:val="auto"/>
        </w:rPr>
      </w:pPr>
      <w:r>
        <w:rPr>
          <w:rFonts w:ascii="Arial" w:cs="Arial" w:eastAsia="Arial" w:hAnsi="Arial"/>
          <w:sz w:val="19"/>
          <w:szCs w:val="19"/>
          <w:color w:val="auto"/>
        </w:rPr>
        <w:t>The Corporation is required to file with the various securities commissions or similar authorities in each of the applicable provinces and territories of Canada, annual and quarterly reports, material change reports and other information. The Corporation is also an SEC registrant subject to the informational requirements of the Exchange Act, and, accordingly, file with, or furnish to, the SEC certain reports and other information. Under the MJDS adopted by the United States and Canada, these reports and other information (including financial information) may be prepared in accordance with the disclosure requirements of Canada, which differ from those of the United States. The Corporation is exempt from the rules under the Exchange Act prescribing the furnishing and content of proxy statements, and the officers, directors and principal shareholders are exempt from the reporting and short swing profit recovery provisions contained in Section 16 of the Exchange Act.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ENFORCEABILITY OF CIVIL LIABILITIES BY U.S. INVESTORS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The Corporation is a corporation existing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(Ontario). Other than Douglas Drysdale, Chief Executive Officer, and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Securities who reside in the United States to effect service within the United States upon those directors, officers and experts who are not residents of the United States. It may also be difficult for holders of the Warrant Shares who reside in the United States to realize upon judgments of courts of the United States predicated upon the Corporation's civil liability and the civil liability of its directors, officers and experts under the United States federal securities laws.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Warrant Shares under this Prospectus Supplement and the accompanying Base Shelf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tabs>
          <w:tab w:leader="none" w:pos="10020" w:val="left"/>
        </w:tabs>
        <w:rPr>
          <w:sz w:val="20"/>
          <w:szCs w:val="20"/>
          <w:color w:val="auto"/>
        </w:rPr>
      </w:pPr>
      <w:r>
        <w:rPr>
          <w:rFonts w:ascii="Arial" w:cs="Arial" w:eastAsia="Arial" w:hAnsi="Arial"/>
          <w:sz w:val="18"/>
          <w:szCs w:val="18"/>
          <w:u w:val="single" w:color="auto"/>
          <w:color w:val="auto"/>
        </w:rPr>
        <w:t>New Issue</w:t>
      </w:r>
      <w:r>
        <w:rPr>
          <w:sz w:val="20"/>
          <w:szCs w:val="20"/>
          <w:color w:val="auto"/>
        </w:rPr>
        <w:tab/>
      </w:r>
      <w:r>
        <w:rPr>
          <w:rFonts w:ascii="Arial" w:cs="Arial" w:eastAsia="Arial" w:hAnsi="Arial"/>
          <w:sz w:val="16"/>
          <w:szCs w:val="16"/>
          <w:color w:val="auto"/>
        </w:rPr>
        <w:t>August 17, 2023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05890" cy="8401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$160,000,000</w:t>
      </w:r>
    </w:p>
    <w:p>
      <w:pPr>
        <w:jc w:val="center"/>
        <w:spacing w:after="0" w:line="230" w:lineRule="auto"/>
        <w:rPr>
          <w:sz w:val="20"/>
          <w:szCs w:val="20"/>
          <w:color w:val="auto"/>
        </w:rPr>
      </w:pPr>
      <w:r>
        <w:rPr>
          <w:rFonts w:ascii="Arial" w:cs="Arial" w:eastAsia="Arial" w:hAnsi="Arial"/>
          <w:sz w:val="22"/>
          <w:szCs w:val="22"/>
          <w:b w:val="1"/>
          <w:bCs w:val="1"/>
          <w:color w:val="auto"/>
        </w:rPr>
        <w:t>Common Shares</w:t>
      </w:r>
    </w:p>
    <w:p>
      <w:pPr>
        <w:jc w:val="center"/>
        <w:spacing w:after="0" w:line="231" w:lineRule="auto"/>
        <w:rPr>
          <w:sz w:val="20"/>
          <w:szCs w:val="20"/>
          <w:color w:val="auto"/>
        </w:rPr>
      </w:pPr>
      <w:r>
        <w:rPr>
          <w:rFonts w:ascii="Arial" w:cs="Arial" w:eastAsia="Arial" w:hAnsi="Arial"/>
          <w:sz w:val="22"/>
          <w:szCs w:val="22"/>
          <w:b w:val="1"/>
          <w:bCs w:val="1"/>
          <w:color w:val="auto"/>
        </w:rPr>
        <w:t>Warrants</w:t>
      </w:r>
    </w:p>
    <w:p>
      <w:pPr>
        <w:jc w:val="center"/>
        <w:spacing w:after="0" w:line="230" w:lineRule="auto"/>
        <w:rPr>
          <w:sz w:val="20"/>
          <w:szCs w:val="20"/>
          <w:color w:val="auto"/>
        </w:rPr>
      </w:pPr>
      <w:r>
        <w:rPr>
          <w:rFonts w:ascii="Arial" w:cs="Arial" w:eastAsia="Arial" w:hAnsi="Arial"/>
          <w:sz w:val="22"/>
          <w:szCs w:val="22"/>
          <w:b w:val="1"/>
          <w:bCs w:val="1"/>
          <w:color w:val="auto"/>
        </w:rPr>
        <w:t>Units</w:t>
      </w:r>
    </w:p>
    <w:p>
      <w:pPr>
        <w:jc w:val="center"/>
        <w:spacing w:after="0" w:line="231" w:lineRule="auto"/>
        <w:rPr>
          <w:sz w:val="20"/>
          <w:szCs w:val="20"/>
          <w:color w:val="auto"/>
        </w:rPr>
      </w:pPr>
      <w:r>
        <w:rPr>
          <w:rFonts w:ascii="Arial" w:cs="Arial" w:eastAsia="Arial" w:hAnsi="Arial"/>
          <w:sz w:val="22"/>
          <w:szCs w:val="22"/>
          <w:b w:val="1"/>
          <w:bCs w:val="1"/>
          <w:color w:val="auto"/>
        </w:rPr>
        <w:t>Debt Securities</w:t>
      </w:r>
    </w:p>
    <w:p>
      <w:pPr>
        <w:jc w:val="center"/>
        <w:spacing w:after="0"/>
        <w:rPr>
          <w:sz w:val="20"/>
          <w:szCs w:val="20"/>
          <w:color w:val="auto"/>
        </w:rPr>
      </w:pPr>
      <w:r>
        <w:rPr>
          <w:rFonts w:ascii="Arial" w:cs="Arial" w:eastAsia="Arial" w:hAnsi="Arial"/>
          <w:sz w:val="22"/>
          <w:szCs w:val="22"/>
          <w:b w:val="1"/>
          <w:bCs w:val="1"/>
          <w:color w:val="auto"/>
        </w:rPr>
        <w:t>Subscription Receipts</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short form base shelf prospectus ("</w:t>
      </w:r>
      <w:r>
        <w:rPr>
          <w:rFonts w:ascii="Arial" w:cs="Arial" w:eastAsia="Arial" w:hAnsi="Arial"/>
          <w:sz w:val="21"/>
          <w:szCs w:val="21"/>
          <w:b w:val="1"/>
          <w:bCs w:val="1"/>
          <w:color w:val="auto"/>
        </w:rPr>
        <w:t>Prospectus</w:t>
      </w:r>
      <w:r>
        <w:rPr>
          <w:rFonts w:ascii="Arial" w:cs="Arial" w:eastAsia="Arial" w:hAnsi="Arial"/>
          <w:sz w:val="21"/>
          <w:szCs w:val="21"/>
          <w:color w:val="auto"/>
        </w:rPr>
        <w:t>") relates to the offering for sale from time to time (each, an "</w:t>
      </w:r>
      <w:r>
        <w:rPr>
          <w:rFonts w:ascii="Arial" w:cs="Arial" w:eastAsia="Arial" w:hAnsi="Arial"/>
          <w:sz w:val="21"/>
          <w:szCs w:val="21"/>
          <w:b w:val="1"/>
          <w:bCs w:val="1"/>
          <w:color w:val="auto"/>
        </w:rPr>
        <w:t>Offering</w:t>
      </w:r>
      <w:r>
        <w:rPr>
          <w:rFonts w:ascii="Arial" w:cs="Arial" w:eastAsia="Arial" w:hAnsi="Arial"/>
          <w:sz w:val="21"/>
          <w:szCs w:val="21"/>
          <w:color w:val="auto"/>
        </w:rPr>
        <w:t>") by Cybin Inc. (the "</w:t>
      </w:r>
      <w:r>
        <w:rPr>
          <w:rFonts w:ascii="Arial" w:cs="Arial" w:eastAsia="Arial" w:hAnsi="Arial"/>
          <w:sz w:val="21"/>
          <w:szCs w:val="21"/>
          <w:b w:val="1"/>
          <w:bCs w:val="1"/>
          <w:color w:val="auto"/>
        </w:rPr>
        <w:t>Corporation</w:t>
      </w:r>
      <w:r>
        <w:rPr>
          <w:rFonts w:ascii="Arial" w:cs="Arial" w:eastAsia="Arial" w:hAnsi="Arial"/>
          <w:sz w:val="21"/>
          <w:szCs w:val="21"/>
          <w:color w:val="auto"/>
        </w:rPr>
        <w:t>" or "</w:t>
      </w:r>
      <w:r>
        <w:rPr>
          <w:rFonts w:ascii="Arial" w:cs="Arial" w:eastAsia="Arial" w:hAnsi="Arial"/>
          <w:sz w:val="21"/>
          <w:szCs w:val="21"/>
          <w:b w:val="1"/>
          <w:bCs w:val="1"/>
          <w:color w:val="auto"/>
        </w:rPr>
        <w:t>Cybin</w:t>
      </w:r>
      <w:r>
        <w:rPr>
          <w:rFonts w:ascii="Arial" w:cs="Arial" w:eastAsia="Arial" w:hAnsi="Arial"/>
          <w:sz w:val="21"/>
          <w:szCs w:val="21"/>
          <w:color w:val="auto"/>
        </w:rPr>
        <w:t>") during the 25-month period that this Prospectus, including any of amendments thereto, remains valid, of up to $160,000,000 in the aggregate of: (i) common shares ("</w:t>
      </w:r>
      <w:r>
        <w:rPr>
          <w:rFonts w:ascii="Arial" w:cs="Arial" w:eastAsia="Arial" w:hAnsi="Arial"/>
          <w:sz w:val="21"/>
          <w:szCs w:val="21"/>
          <w:b w:val="1"/>
          <w:bCs w:val="1"/>
          <w:color w:val="auto"/>
        </w:rPr>
        <w:t>Common Shares</w:t>
      </w:r>
      <w:r>
        <w:rPr>
          <w:rFonts w:ascii="Arial" w:cs="Arial" w:eastAsia="Arial" w:hAnsi="Arial"/>
          <w:sz w:val="21"/>
          <w:szCs w:val="21"/>
          <w:color w:val="auto"/>
        </w:rPr>
        <w:t>") of the Corporation; (ii) warrants ("</w:t>
      </w:r>
      <w:r>
        <w:rPr>
          <w:rFonts w:ascii="Arial" w:cs="Arial" w:eastAsia="Arial" w:hAnsi="Arial"/>
          <w:sz w:val="21"/>
          <w:szCs w:val="21"/>
          <w:b w:val="1"/>
          <w:bCs w:val="1"/>
          <w:color w:val="auto"/>
        </w:rPr>
        <w:t>Warrants</w:t>
      </w:r>
      <w:r>
        <w:rPr>
          <w:rFonts w:ascii="Arial" w:cs="Arial" w:eastAsia="Arial" w:hAnsi="Arial"/>
          <w:sz w:val="21"/>
          <w:szCs w:val="21"/>
          <w:color w:val="auto"/>
        </w:rPr>
        <w:t>") to purchase other Securities (as defined below) of the Corporation; (iii) units ("</w:t>
      </w:r>
      <w:r>
        <w:rPr>
          <w:rFonts w:ascii="Arial" w:cs="Arial" w:eastAsia="Arial" w:hAnsi="Arial"/>
          <w:sz w:val="21"/>
          <w:szCs w:val="21"/>
          <w:b w:val="1"/>
          <w:bCs w:val="1"/>
          <w:color w:val="auto"/>
        </w:rPr>
        <w:t>Units</w:t>
      </w:r>
      <w:r>
        <w:rPr>
          <w:rFonts w:ascii="Arial" w:cs="Arial" w:eastAsia="Arial" w:hAnsi="Arial"/>
          <w:sz w:val="21"/>
          <w:szCs w:val="21"/>
          <w:color w:val="auto"/>
        </w:rPr>
        <w:t>") comprising of one or more of the other Securities, (iv) senior and subordinated unsecured debt securities (collectively, "</w:t>
      </w:r>
      <w:r>
        <w:rPr>
          <w:rFonts w:ascii="Arial" w:cs="Arial" w:eastAsia="Arial" w:hAnsi="Arial"/>
          <w:sz w:val="21"/>
          <w:szCs w:val="21"/>
          <w:b w:val="1"/>
          <w:bCs w:val="1"/>
          <w:color w:val="auto"/>
        </w:rPr>
        <w:t>Debt Securities</w:t>
      </w:r>
      <w:r>
        <w:rPr>
          <w:rFonts w:ascii="Arial" w:cs="Arial" w:eastAsia="Arial" w:hAnsi="Arial"/>
          <w:sz w:val="21"/>
          <w:szCs w:val="21"/>
          <w:color w:val="auto"/>
        </w:rPr>
        <w:t>"), including debt securities convertible or exchangeable into other securities of the Corporation, and (v) subscription receipts ("</w:t>
      </w:r>
      <w:r>
        <w:rPr>
          <w:rFonts w:ascii="Arial" w:cs="Arial" w:eastAsia="Arial" w:hAnsi="Arial"/>
          <w:sz w:val="21"/>
          <w:szCs w:val="21"/>
          <w:b w:val="1"/>
          <w:bCs w:val="1"/>
          <w:color w:val="auto"/>
        </w:rPr>
        <w:t>Subscription</w:t>
      </w:r>
      <w:r>
        <w:rPr>
          <w:rFonts w:ascii="Arial" w:cs="Arial" w:eastAsia="Arial" w:hAnsi="Arial"/>
          <w:sz w:val="21"/>
          <w:szCs w:val="21"/>
          <w:color w:val="auto"/>
        </w:rPr>
        <w:t xml:space="preserve"> </w:t>
      </w:r>
      <w:r>
        <w:rPr>
          <w:rFonts w:ascii="Arial" w:cs="Arial" w:eastAsia="Arial" w:hAnsi="Arial"/>
          <w:sz w:val="21"/>
          <w:szCs w:val="21"/>
          <w:b w:val="1"/>
          <w:bCs w:val="1"/>
          <w:color w:val="auto"/>
        </w:rPr>
        <w:t>Receipts</w:t>
      </w:r>
      <w:r>
        <w:rPr>
          <w:rFonts w:ascii="Arial" w:cs="Arial" w:eastAsia="Arial" w:hAnsi="Arial"/>
          <w:sz w:val="21"/>
          <w:szCs w:val="21"/>
          <w:color w:val="auto"/>
        </w:rPr>
        <w:t>" and together with the Common Shares, Warrants, Units and Debt Securities, collectively referred to herein as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Securities</w:t>
      </w:r>
      <w:r>
        <w:rPr>
          <w:rFonts w:ascii="Arial" w:cs="Arial" w:eastAsia="Arial" w:hAnsi="Arial"/>
          <w:sz w:val="21"/>
          <w:szCs w:val="21"/>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21"/>
          <w:szCs w:val="21"/>
          <w:b w:val="1"/>
          <w:bCs w:val="1"/>
          <w:color w:val="auto"/>
        </w:rPr>
        <w:t>Prospectus</w:t>
      </w:r>
      <w:r>
        <w:rPr>
          <w:rFonts w:ascii="Arial" w:cs="Arial" w:eastAsia="Arial" w:hAnsi="Arial"/>
          <w:sz w:val="21"/>
          <w:szCs w:val="21"/>
          <w:color w:val="auto"/>
        </w:rPr>
        <w:t xml:space="preserve"> </w:t>
      </w:r>
      <w:r>
        <w:rPr>
          <w:rFonts w:ascii="Arial" w:cs="Arial" w:eastAsia="Arial" w:hAnsi="Arial"/>
          <w:sz w:val="21"/>
          <w:szCs w:val="21"/>
          <w:b w:val="1"/>
          <w:bCs w:val="1"/>
          <w:color w:val="auto"/>
        </w:rPr>
        <w:t>Supplement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both"/>
        <w:spacing w:after="0" w:line="282" w:lineRule="auto"/>
        <w:rPr>
          <w:sz w:val="20"/>
          <w:szCs w:val="20"/>
          <w:color w:val="auto"/>
        </w:rPr>
      </w:pPr>
      <w:r>
        <w:rPr>
          <w:rFonts w:ascii="Arial" w:cs="Arial" w:eastAsia="Arial" w:hAnsi="Arial"/>
          <w:sz w:val="19"/>
          <w:szCs w:val="19"/>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Securities may be sold through underwriters or dealers, directly by the Corporation pursuant to applicable statutory exemptions, or through designated agents from time to time. See </w:t>
      </w:r>
      <w:r>
        <w:rPr>
          <w:rFonts w:ascii="Arial" w:cs="Arial" w:eastAsia="Arial" w:hAnsi="Arial"/>
          <w:sz w:val="19"/>
          <w:szCs w:val="19"/>
          <w:i w:val="1"/>
          <w:iCs w:val="1"/>
          <w:color w:val="auto"/>
        </w:rPr>
        <w:t>"Plan of Distribution".</w:t>
      </w:r>
      <w:r>
        <w:rPr>
          <w:rFonts w:ascii="Arial" w:cs="Arial" w:eastAsia="Arial" w:hAnsi="Arial"/>
          <w:sz w:val="19"/>
          <w:szCs w:val="19"/>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21"/>
          <w:szCs w:val="21"/>
          <w:i w:val="1"/>
          <w:iCs w:val="1"/>
          <w:color w:val="auto"/>
        </w:rPr>
        <w:t>Shelf Distributions</w:t>
      </w:r>
      <w:r>
        <w:rPr>
          <w:rFonts w:ascii="Arial" w:cs="Arial" w:eastAsia="Arial" w:hAnsi="Arial"/>
          <w:sz w:val="21"/>
          <w:szCs w:val="21"/>
          <w:color w:val="auto"/>
        </w:rPr>
        <w:t xml:space="preserve"> ("</w:t>
      </w:r>
      <w:r>
        <w:rPr>
          <w:rFonts w:ascii="Arial" w:cs="Arial" w:eastAsia="Arial" w:hAnsi="Arial"/>
          <w:sz w:val="21"/>
          <w:szCs w:val="21"/>
          <w:b w:val="1"/>
          <w:bCs w:val="1"/>
          <w:color w:val="auto"/>
        </w:rPr>
        <w:t>NI 44-102</w:t>
      </w:r>
      <w:r>
        <w:rPr>
          <w:rFonts w:ascii="Arial" w:cs="Arial" w:eastAsia="Arial" w:hAnsi="Arial"/>
          <w:sz w:val="21"/>
          <w:szCs w:val="21"/>
          <w:color w:val="auto"/>
        </w:rPr>
        <w:t>"). If offered on a non-fixed price basis, the Securities may be offered at market prices prevailing at the time of sale, at prices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Arial" w:cs="Arial" w:eastAsia="Arial" w:hAnsi="Arial"/>
          <w:sz w:val="21"/>
          <w:szCs w:val="21"/>
          <w:b w:val="1"/>
          <w:bCs w:val="1"/>
          <w:color w:val="auto"/>
        </w:rPr>
        <w:t>NEO</w:t>
      </w:r>
      <w:r>
        <w:rPr>
          <w:rFonts w:ascii="Arial" w:cs="Arial" w:eastAsia="Arial" w:hAnsi="Arial"/>
          <w:sz w:val="21"/>
          <w:szCs w:val="21"/>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21"/>
          <w:szCs w:val="21"/>
          <w:i w:val="1"/>
          <w:iCs w:val="1"/>
          <w:color w:val="auto"/>
        </w:rPr>
        <w:t>"Plan of</w:t>
      </w:r>
      <w:r>
        <w:rPr>
          <w:rFonts w:ascii="Arial" w:cs="Arial" w:eastAsia="Arial" w:hAnsi="Arial"/>
          <w:sz w:val="21"/>
          <w:szCs w:val="21"/>
          <w:color w:val="auto"/>
        </w:rPr>
        <w:t xml:space="preserve"> </w:t>
      </w:r>
      <w:r>
        <w:rPr>
          <w:rFonts w:ascii="Arial" w:cs="Arial" w:eastAsia="Arial" w:hAnsi="Arial"/>
          <w:sz w:val="21"/>
          <w:szCs w:val="21"/>
          <w:i w:val="1"/>
          <w:iCs w:val="1"/>
          <w:color w:val="auto"/>
        </w:rPr>
        <w:t>Distribution"</w:t>
      </w:r>
      <w:r>
        <w:rPr>
          <w:rFonts w:ascii="Arial" w:cs="Arial" w:eastAsia="Arial" w:hAnsi="Arial"/>
          <w:sz w:val="21"/>
          <w:szCs w:val="21"/>
          <w:color w:val="auto"/>
        </w:rPr>
        <w:t>.</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jc w:val="both"/>
        <w:spacing w:after="0" w:line="235" w:lineRule="auto"/>
        <w:rPr>
          <w:sz w:val="20"/>
          <w:szCs w:val="20"/>
          <w:color w:val="auto"/>
        </w:rPr>
      </w:pPr>
      <w:r>
        <w:rPr>
          <w:rFonts w:ascii="Arial" w:cs="Arial" w:eastAsia="Arial" w:hAnsi="Arial"/>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22"/>
          <w:szCs w:val="22"/>
          <w:i w:val="1"/>
          <w:iCs w:val="1"/>
          <w:color w:val="auto"/>
        </w:rPr>
        <w:t>"Plan of Distribution"</w:t>
      </w:r>
      <w:r>
        <w:rPr>
          <w:rFonts w:ascii="Arial" w:cs="Arial" w:eastAsia="Arial" w:hAnsi="Arial"/>
          <w:sz w:val="22"/>
          <w:szCs w:val="22"/>
          <w:color w:val="auto"/>
        </w:rPr>
        <w:t>.</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Common Shares are listed on the NEO under the trading symbol “CYBN”, and in the United States on the NYSE American LLC stock exchange (the “</w:t>
      </w:r>
      <w:r>
        <w:rPr>
          <w:rFonts w:ascii="Arial" w:cs="Arial" w:eastAsia="Arial" w:hAnsi="Arial"/>
          <w:sz w:val="22"/>
          <w:szCs w:val="22"/>
          <w:b w:val="1"/>
          <w:bCs w:val="1"/>
          <w:color w:val="auto"/>
        </w:rPr>
        <w:t>NYSE American</w:t>
      </w:r>
      <w:r>
        <w:rPr>
          <w:rFonts w:ascii="Arial" w:cs="Arial" w:eastAsia="Arial" w:hAnsi="Arial"/>
          <w:sz w:val="22"/>
          <w:szCs w:val="22"/>
          <w:color w:val="auto"/>
        </w:rPr>
        <w:t>”) under the symbol “CYBN”. On August 16, 2023, the last trading day prior to the filing of this Prospectus, the closing prices of the Common Shares listed on the NEO and the NYSE American were $0.44 and US$0.323, respectively.</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Arial" w:cs="Arial" w:eastAsia="Arial" w:hAnsi="Arial"/>
          <w:sz w:val="19"/>
          <w:szCs w:val="19"/>
          <w:b w:val="1"/>
          <w:bCs w:val="1"/>
          <w:i w:val="1"/>
          <w:iCs w:val="1"/>
          <w:color w:val="auto"/>
        </w:rPr>
        <w:t>Risk Factors - Enforcement of Civil Liabilities</w:t>
      </w:r>
      <w:r>
        <w:rPr>
          <w:rFonts w:ascii="Arial" w:cs="Arial" w:eastAsia="Arial" w:hAnsi="Arial"/>
          <w:sz w:val="19"/>
          <w:szCs w:val="19"/>
          <w:b w:val="1"/>
          <w:bCs w:val="1"/>
          <w:color w:val="auto"/>
        </w:rPr>
        <w:t>".</w:t>
      </w:r>
    </w:p>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xml:space="preserve"> in this Prospectus and in the Corporation’s Annual Information Form and Interim MD&amp;A (each as defined herein) incorporated by reference herein.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jc w:val="both"/>
        <w:spacing w:after="0" w:line="280" w:lineRule="auto"/>
        <w:rPr>
          <w:sz w:val="20"/>
          <w:szCs w:val="20"/>
          <w:color w:val="auto"/>
        </w:rPr>
      </w:pPr>
      <w:r>
        <w:rPr>
          <w:rFonts w:ascii="Arial" w:cs="Arial" w:eastAsia="Arial" w:hAnsi="Arial"/>
          <w:sz w:val="21"/>
          <w:szCs w:val="21"/>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underwriter has been involved in the preparation of this Prospectus or performed any review of the contents hereof.</w:t>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9"/>
          <w:szCs w:val="19"/>
          <w:i w:val="1"/>
          <w:iCs w:val="1"/>
          <w:color w:val="auto"/>
        </w:rPr>
        <w:t>"Risk Factors - Risks Related to an Offering - Enforcement of Civil Liabilities"</w:t>
      </w:r>
      <w:r>
        <w:rPr>
          <w:rFonts w:ascii="Arial" w:cs="Arial" w:eastAsia="Arial" w:hAnsi="Arial"/>
          <w:sz w:val="19"/>
          <w:szCs w:val="19"/>
          <w:color w:val="auto"/>
        </w:rPr>
        <w:t>.</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In this Prospectus, references to the "</w:t>
      </w:r>
      <w:r>
        <w:rPr>
          <w:rFonts w:ascii="Arial" w:cs="Arial" w:eastAsia="Arial" w:hAnsi="Arial"/>
          <w:sz w:val="22"/>
          <w:szCs w:val="22"/>
          <w:b w:val="1"/>
          <w:bCs w:val="1"/>
          <w:color w:val="auto"/>
        </w:rPr>
        <w:t>Corporation</w:t>
      </w:r>
      <w:r>
        <w:rPr>
          <w:rFonts w:ascii="Arial" w:cs="Arial" w:eastAsia="Arial" w:hAnsi="Arial"/>
          <w:sz w:val="22"/>
          <w:szCs w:val="22"/>
          <w:color w:val="auto"/>
        </w:rPr>
        <w:t>", "</w:t>
      </w:r>
      <w:r>
        <w:rPr>
          <w:rFonts w:ascii="Arial" w:cs="Arial" w:eastAsia="Arial" w:hAnsi="Arial"/>
          <w:sz w:val="22"/>
          <w:szCs w:val="22"/>
          <w:b w:val="1"/>
          <w:bCs w:val="1"/>
          <w:color w:val="auto"/>
        </w:rPr>
        <w:t>Cybin</w:t>
      </w:r>
      <w:r>
        <w:rPr>
          <w:rFonts w:ascii="Arial" w:cs="Arial" w:eastAsia="Arial" w:hAnsi="Arial"/>
          <w:sz w:val="22"/>
          <w:szCs w:val="22"/>
          <w:color w:val="auto"/>
        </w:rPr>
        <w:t>", "</w:t>
      </w:r>
      <w:r>
        <w:rPr>
          <w:rFonts w:ascii="Arial" w:cs="Arial" w:eastAsia="Arial" w:hAnsi="Arial"/>
          <w:sz w:val="22"/>
          <w:szCs w:val="22"/>
          <w:b w:val="1"/>
          <w:bCs w:val="1"/>
          <w:color w:val="auto"/>
        </w:rPr>
        <w:t>we</w:t>
      </w:r>
      <w:r>
        <w:rPr>
          <w:rFonts w:ascii="Arial" w:cs="Arial" w:eastAsia="Arial" w:hAnsi="Arial"/>
          <w:sz w:val="22"/>
          <w:szCs w:val="22"/>
          <w:color w:val="auto"/>
        </w:rPr>
        <w:t>", "</w:t>
      </w:r>
      <w:r>
        <w:rPr>
          <w:rFonts w:ascii="Arial" w:cs="Arial" w:eastAsia="Arial" w:hAnsi="Arial"/>
          <w:sz w:val="22"/>
          <w:szCs w:val="22"/>
          <w:b w:val="1"/>
          <w:bCs w:val="1"/>
          <w:color w:val="auto"/>
        </w:rPr>
        <w:t>us</w:t>
      </w:r>
      <w:r>
        <w:rPr>
          <w:rFonts w:ascii="Arial" w:cs="Arial" w:eastAsia="Arial" w:hAnsi="Arial"/>
          <w:sz w:val="22"/>
          <w:szCs w:val="22"/>
          <w:color w:val="auto"/>
        </w:rPr>
        <w:t>" and "</w:t>
      </w:r>
      <w:r>
        <w:rPr>
          <w:rFonts w:ascii="Arial" w:cs="Arial" w:eastAsia="Arial" w:hAnsi="Arial"/>
          <w:sz w:val="22"/>
          <w:szCs w:val="22"/>
          <w:b w:val="1"/>
          <w:bCs w:val="1"/>
          <w:color w:val="auto"/>
        </w:rPr>
        <w:t>our</w:t>
      </w:r>
      <w:r>
        <w:rPr>
          <w:rFonts w:ascii="Arial" w:cs="Arial" w:eastAsia="Arial" w:hAnsi="Arial"/>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9317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60" w:lineRule="exact"/>
        <w:rPr>
          <w:sz w:val="20"/>
          <w:szCs w:val="20"/>
          <w:color w:val="auto"/>
        </w:rPr>
      </w:pPr>
    </w:p>
    <w:p>
      <w:pPr>
        <w:jc w:val="both"/>
        <w:ind w:left="120" w:right="100"/>
        <w:spacing w:after="0" w:line="303" w:lineRule="auto"/>
        <w:rPr>
          <w:sz w:val="20"/>
          <w:szCs w:val="20"/>
          <w:color w:val="auto"/>
        </w:rPr>
      </w:pPr>
      <w:r>
        <w:rPr>
          <w:rFonts w:ascii="Arial" w:cs="Arial" w:eastAsia="Arial" w:hAnsi="Arial"/>
          <w:sz w:val="16"/>
          <w:szCs w:val="16"/>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Arial" w:cs="Arial" w:eastAsia="Arial" w:hAnsi="Arial"/>
          <w:sz w:val="16"/>
          <w:szCs w:val="16"/>
          <w:b w:val="1"/>
          <w:bCs w:val="1"/>
          <w:i w:val="1"/>
          <w:iCs w:val="1"/>
          <w:color w:val="auto"/>
        </w:rPr>
        <w:t>"Use of Proceeds"</w:t>
      </w:r>
      <w:r>
        <w:rPr>
          <w:rFonts w:ascii="Arial" w:cs="Arial" w:eastAsia="Arial" w:hAnsi="Arial"/>
          <w:sz w:val="16"/>
          <w:szCs w:val="16"/>
          <w:b w:val="1"/>
          <w:bCs w:val="1"/>
          <w:color w:val="auto"/>
        </w:rPr>
        <w:t>.</w:t>
      </w:r>
    </w:p>
    <w:p>
      <w:pPr>
        <w:spacing w:after="0" w:line="110" w:lineRule="exact"/>
        <w:rPr>
          <w:sz w:val="20"/>
          <w:szCs w:val="20"/>
          <w:color w:val="auto"/>
        </w:rPr>
      </w:pPr>
    </w:p>
    <w:p>
      <w:pPr>
        <w:jc w:val="both"/>
        <w:ind w:left="120" w:right="100"/>
        <w:spacing w:after="0" w:line="289" w:lineRule="auto"/>
        <w:rPr>
          <w:sz w:val="20"/>
          <w:szCs w:val="20"/>
          <w:color w:val="auto"/>
        </w:rPr>
      </w:pPr>
      <w:r>
        <w:rPr>
          <w:rFonts w:ascii="Arial" w:cs="Arial" w:eastAsia="Arial" w:hAnsi="Arial"/>
          <w:sz w:val="17"/>
          <w:szCs w:val="17"/>
          <w:b w:val="1"/>
          <w:bCs w:val="1"/>
          <w:color w:val="auto"/>
        </w:rPr>
        <w:t xml:space="preserve">The Canadian and United States federal governments regulate drugs through the </w:t>
      </w:r>
      <w:r>
        <w:rPr>
          <w:rFonts w:ascii="Arial" w:cs="Arial" w:eastAsia="Arial" w:hAnsi="Arial"/>
          <w:sz w:val="17"/>
          <w:szCs w:val="17"/>
          <w:b w:val="1"/>
          <w:bCs w:val="1"/>
          <w:i w:val="1"/>
          <w:iCs w:val="1"/>
          <w:color w:val="auto"/>
        </w:rPr>
        <w:t>Controlled Drugs and Substances Act</w:t>
      </w:r>
      <w:r>
        <w:rPr>
          <w:rFonts w:ascii="Arial" w:cs="Arial" w:eastAsia="Arial" w:hAnsi="Arial"/>
          <w:sz w:val="17"/>
          <w:szCs w:val="17"/>
          <w:b w:val="1"/>
          <w:bCs w:val="1"/>
          <w:color w:val="auto"/>
        </w:rPr>
        <w:t xml:space="preserve"> (Canada) (the "CDSA") and the </w:t>
      </w:r>
      <w:r>
        <w:rPr>
          <w:rFonts w:ascii="Arial" w:cs="Arial" w:eastAsia="Arial" w:hAnsi="Arial"/>
          <w:sz w:val="17"/>
          <w:szCs w:val="17"/>
          <w:b w:val="1"/>
          <w:bCs w:val="1"/>
          <w:i w:val="1"/>
          <w:iCs w:val="1"/>
          <w:color w:val="auto"/>
        </w:rPr>
        <w:t>Controlled Substances Act</w:t>
      </w:r>
      <w:r>
        <w:rPr>
          <w:rFonts w:ascii="Arial" w:cs="Arial" w:eastAsia="Arial" w:hAnsi="Arial"/>
          <w:sz w:val="17"/>
          <w:szCs w:val="17"/>
          <w:b w:val="1"/>
          <w:bCs w:val="1"/>
          <w:color w:val="auto"/>
        </w:rPr>
        <w:t xml:space="preserve"> (21 U.S.C. § 811) (the "CSA"), respectively, which place controlled substances in a schedule. Under the CDSA, psilocybin is currently a Schedule III drug. Under the CSA, psilocybin is currently a Schedule I drug.</w:t>
      </w:r>
    </w:p>
    <w:p>
      <w:pPr>
        <w:spacing w:after="0" w:line="131" w:lineRule="exact"/>
        <w:rPr>
          <w:sz w:val="20"/>
          <w:szCs w:val="20"/>
          <w:color w:val="auto"/>
        </w:rPr>
      </w:pPr>
    </w:p>
    <w:p>
      <w:pPr>
        <w:jc w:val="both"/>
        <w:ind w:left="120" w:right="100"/>
        <w:spacing w:after="0" w:line="277" w:lineRule="auto"/>
        <w:rPr>
          <w:sz w:val="20"/>
          <w:szCs w:val="20"/>
          <w:color w:val="auto"/>
        </w:rPr>
      </w:pPr>
      <w:r>
        <w:rPr>
          <w:rFonts w:ascii="Arial" w:cs="Arial" w:eastAsia="Arial" w:hAnsi="Arial"/>
          <w:sz w:val="17"/>
          <w:szCs w:val="17"/>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7"/>
          <w:szCs w:val="17"/>
          <w:b w:val="1"/>
          <w:bCs w:val="1"/>
          <w:i w:val="1"/>
          <w:iCs w:val="1"/>
          <w:color w:val="auto"/>
        </w:rPr>
        <w:t>"Regulatory Overview - Research and Development"</w:t>
      </w:r>
      <w:r>
        <w:rPr>
          <w:rFonts w:ascii="Arial" w:cs="Arial" w:eastAsia="Arial" w:hAnsi="Arial"/>
          <w:sz w:val="17"/>
          <w:szCs w:val="17"/>
          <w:b w:val="1"/>
          <w:bCs w:val="1"/>
          <w:color w:val="auto"/>
        </w:rPr>
        <w:t>.</w:t>
      </w:r>
    </w:p>
    <w:p>
      <w:pPr>
        <w:spacing w:after="0" w:line="127" w:lineRule="exact"/>
        <w:rPr>
          <w:sz w:val="20"/>
          <w:szCs w:val="20"/>
          <w:color w:val="auto"/>
        </w:rPr>
      </w:pPr>
    </w:p>
    <w:p>
      <w:pPr>
        <w:jc w:val="both"/>
        <w:ind w:left="120" w:right="100"/>
        <w:spacing w:after="0" w:line="256" w:lineRule="auto"/>
        <w:rPr>
          <w:sz w:val="20"/>
          <w:szCs w:val="20"/>
          <w:color w:val="auto"/>
        </w:rPr>
      </w:pPr>
      <w:r>
        <w:rPr>
          <w:rFonts w:ascii="Arial" w:cs="Arial" w:eastAsia="Arial" w:hAnsi="Arial"/>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83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herein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the Annual Information Form.</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xml:space="preserve"> herein and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xml:space="preserve"> in the Annual Information Form.</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6"/>
          <w:szCs w:val="16"/>
          <w:b w:val="1"/>
          <w:bCs w:val="1"/>
          <w:i w:val="1"/>
          <w:iCs w:val="1"/>
          <w:color w:val="auto"/>
        </w:rPr>
        <w:t>"Compliance Program"</w:t>
      </w:r>
      <w:r>
        <w:rPr>
          <w:rFonts w:ascii="Arial" w:cs="Arial" w:eastAsia="Arial" w:hAnsi="Arial"/>
          <w:sz w:val="16"/>
          <w:szCs w:val="16"/>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herein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the Annual Information Form.</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prior to investing in the Securities. See </w:t>
      </w:r>
      <w:r>
        <w:rPr>
          <w:rFonts w:ascii="Arial" w:cs="Arial" w:eastAsia="Arial" w:hAnsi="Arial"/>
          <w:sz w:val="18"/>
          <w:szCs w:val="18"/>
          <w:b w:val="1"/>
          <w:bCs w:val="1"/>
          <w:i w:val="1"/>
          <w:iCs w:val="1"/>
          <w:color w:val="auto"/>
        </w:rPr>
        <w:t>"Cautionary Note Regarding Forward-Looking Information"</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142240</wp:posOffset>
            </wp:positionV>
            <wp:extent cx="71532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6" w:right="4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gridSpan w:val="4"/>
          </w:tcPr>
          <w:p>
            <w:pPr>
              <w:ind w:left="2460"/>
              <w:spacing w:after="0"/>
              <w:rPr>
                <w:sz w:val="20"/>
                <w:szCs w:val="20"/>
                <w:color w:val="auto"/>
              </w:rPr>
            </w:pPr>
            <w:r>
              <w:rPr>
                <w:rFonts w:ascii="Arial" w:cs="Arial" w:eastAsia="Arial" w:hAnsi="Arial"/>
                <w:sz w:val="22"/>
                <w:szCs w:val="22"/>
                <w:b w:val="1"/>
                <w:bCs w:val="1"/>
                <w:color w:val="auto"/>
                <w:w w:val="87"/>
              </w:rPr>
              <w:t>Page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GENERAL MATTERS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CAUTIONARY NOTE REGARDING FORWARD-LOOKING INFORMATION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TRADEMARKS AND SERVICE MARKS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MARKETING MATERIALS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MARKET AND INDUSTRY DATA</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REGULATORY OVERVIEW</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COMPLIANCE PROGRAM</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DIVIDEND POLICY</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CERTAIN FEDERAL INCOME TAX CONSIDERATIONS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LEGAL MATTERS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EEEEEE"/>
            </w:tcBorders>
          </w:tcPr>
          <w:p>
            <w:pPr>
              <w:spacing w:after="0"/>
              <w:rPr>
                <w:sz w:val="24"/>
                <w:szCs w:val="24"/>
                <w:color w:val="auto"/>
              </w:rPr>
            </w:pPr>
          </w:p>
        </w:tc>
        <w:tc>
          <w:tcPr>
            <w:tcW w:w="116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spacing w:after="0"/>
              <w:rPr>
                <w:sz w:val="24"/>
                <w:szCs w:val="24"/>
                <w:color w:val="auto"/>
              </w:rPr>
            </w:pPr>
          </w:p>
        </w:tc>
        <w:tc>
          <w:tcPr>
            <w:tcW w:w="2440" w:type="dxa"/>
            <w:vAlign w:val="bottom"/>
            <w:tcBorders>
              <w:top w:val="single" w:sz="8" w:color="EEEEEE"/>
            </w:tcBorders>
          </w:tcPr>
          <w:p>
            <w:pPr>
              <w:spacing w:after="0"/>
              <w:rPr>
                <w:sz w:val="24"/>
                <w:szCs w:val="24"/>
                <w:color w:val="auto"/>
              </w:rPr>
            </w:pPr>
          </w:p>
        </w:tc>
        <w:tc>
          <w:tcPr>
            <w:tcW w:w="2720" w:type="dxa"/>
            <w:vAlign w:val="bottom"/>
            <w:tcBorders>
              <w:top w:val="single" w:sz="8" w:color="EEEE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40" w:type="dxa"/>
            <w:vAlign w:val="bottom"/>
            <w:shd w:val="clear" w:color="auto" w:fill="000000"/>
          </w:tcPr>
          <w:p>
            <w:pPr>
              <w:spacing w:after="0"/>
              <w:rPr>
                <w:sz w:val="6"/>
                <w:szCs w:val="6"/>
                <w:color w:val="auto"/>
              </w:rPr>
            </w:pPr>
          </w:p>
        </w:tc>
        <w:tc>
          <w:tcPr>
            <w:tcW w:w="27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2" w:right="29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GENERAL MATTERS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9"/>
          <w:szCs w:val="19"/>
          <w:b w:val="1"/>
          <w:bCs w:val="1"/>
          <w:color w:val="auto"/>
        </w:rPr>
        <w:t>Information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9"/>
          <w:szCs w:val="19"/>
          <w:color w:val="auto"/>
        </w:rPr>
        <w:t>The Corporation is not</w:t>
      </w:r>
      <w:r>
        <w:rPr>
          <w:rFonts w:ascii="Arial" w:cs="Arial" w:eastAsia="Arial" w:hAnsi="Arial"/>
          <w:sz w:val="19"/>
          <w:szCs w:val="19"/>
          <w:b w:val="1"/>
          <w:bCs w:val="1"/>
          <w:color w:val="auto"/>
        </w:rPr>
        <w:t xml:space="preserve"> </w:t>
      </w:r>
      <w:r>
        <w:rPr>
          <w:rFonts w:ascii="Arial" w:cs="Arial" w:eastAsia="Arial" w:hAnsi="Arial"/>
          <w:sz w:val="19"/>
          <w:szCs w:val="19"/>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The information contained on </w:t>
      </w:r>
      <w:r>
        <w:rPr>
          <w:rFonts w:ascii="Arial" w:cs="Arial" w:eastAsia="Arial" w:hAnsi="Arial"/>
          <w:sz w:val="21"/>
          <w:szCs w:val="21"/>
          <w:u w:val="single" w:color="auto"/>
          <w:color w:val="0000FF"/>
        </w:rPr>
        <w:t>www.cybin.com</w:t>
      </w:r>
      <w:r>
        <w:rPr>
          <w:rFonts w:ascii="Arial" w:cs="Arial" w:eastAsia="Arial" w:hAnsi="Arial"/>
          <w:sz w:val="21"/>
          <w:szCs w:val="21"/>
          <w:color w:val="auto"/>
        </w:rPr>
        <w:t xml:space="preserve"> is not intended to be included in or incorporated by reference herein, and prospective purchasers should not rely on such information when deciding whether or not to invest in any Securities.</w:t>
      </w:r>
    </w:p>
    <w:p>
      <w:pPr>
        <w:spacing w:after="0" w:line="151" w:lineRule="exact"/>
        <w:rPr>
          <w:sz w:val="20"/>
          <w:szCs w:val="20"/>
          <w:color w:val="auto"/>
        </w:rPr>
      </w:pPr>
    </w:p>
    <w:p>
      <w:pPr>
        <w:jc w:val="center"/>
        <w:ind w:right="40"/>
        <w:spacing w:after="0" w:line="435" w:lineRule="auto"/>
        <w:rPr>
          <w:sz w:val="20"/>
          <w:szCs w:val="20"/>
          <w:color w:val="auto"/>
        </w:rPr>
      </w:pPr>
      <w:r>
        <w:rPr>
          <w:rFonts w:ascii="Arial" w:cs="Arial" w:eastAsia="Arial" w:hAnsi="Arial"/>
          <w:sz w:val="22"/>
          <w:szCs w:val="22"/>
          <w:color w:val="auto"/>
        </w:rPr>
        <w:t xml:space="preserve">In this Prospectus, unless stated otherwise or the context requires otherwise, all dollar amounts are expressed in Canadian dollars. </w:t>
      </w:r>
      <w:r>
        <w:rPr>
          <w:rFonts w:ascii="Arial" w:cs="Arial" w:eastAsia="Arial" w:hAnsi="Arial"/>
          <w:sz w:val="22"/>
          <w:szCs w:val="22"/>
          <w:b w:val="1"/>
          <w:bCs w:val="1"/>
          <w:color w:val="auto"/>
        </w:rPr>
        <w:t>CAUTIONARY NOTE REGARDING FORWARD-LOOKING INFORMATION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spacing w:after="0" w:line="269" w:lineRule="auto"/>
        <w:rPr>
          <w:sz w:val="20"/>
          <w:szCs w:val="20"/>
          <w:color w:val="auto"/>
        </w:rPr>
      </w:pPr>
      <w:r>
        <w:rPr>
          <w:rFonts w:ascii="Arial" w:cs="Arial" w:eastAsia="Arial" w:hAnsi="Arial"/>
          <w:sz w:val="19"/>
          <w:szCs w:val="19"/>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200" w:lineRule="exact"/>
        <w:rPr>
          <w:sz w:val="20"/>
          <w:szCs w:val="20"/>
          <w:color w:val="auto"/>
        </w:rPr>
      </w:pP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85" w:lineRule="exact"/>
        <w:rPr>
          <w:sz w:val="20"/>
          <w:szCs w:val="20"/>
          <w:color w:val="auto"/>
        </w:rPr>
      </w:pPr>
    </w:p>
    <w:p>
      <w:pPr>
        <w:ind w:left="660" w:hanging="328"/>
        <w:spacing w:after="0" w:line="239" w:lineRule="auto"/>
        <w:tabs>
          <w:tab w:leader="none" w:pos="672" w:val="left"/>
        </w:tabs>
        <w:numPr>
          <w:ilvl w:val="0"/>
          <w:numId w:val="12"/>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60" w:hanging="328"/>
        <w:spacing w:after="0" w:line="230" w:lineRule="auto"/>
        <w:tabs>
          <w:tab w:leader="none" w:pos="67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24" w:lineRule="exact"/>
        <w:rPr>
          <w:rFonts w:ascii="Arial" w:cs="Arial" w:eastAsia="Arial" w:hAnsi="Arial"/>
          <w:sz w:val="19"/>
          <w:szCs w:val="19"/>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ind w:left="660" w:hanging="328"/>
        <w:spacing w:after="0" w:line="230" w:lineRule="auto"/>
        <w:tabs>
          <w:tab w:leader="none" w:pos="67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22"/>
          <w:szCs w:val="22"/>
          <w:color w:val="auto"/>
        </w:rPr>
      </w:pPr>
    </w:p>
    <w:p>
      <w:pPr>
        <w:ind w:left="660" w:hanging="328"/>
        <w:spacing w:after="0" w:line="230" w:lineRule="auto"/>
        <w:tabs>
          <w:tab w:leader="none" w:pos="672" w:val="left"/>
        </w:tabs>
        <w:numPr>
          <w:ilvl w:val="0"/>
          <w:numId w:val="12"/>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hanging="328"/>
        <w:spacing w:after="0" w:line="230" w:lineRule="auto"/>
        <w:tabs>
          <w:tab w:leader="none" w:pos="67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sectPr>
          <w:pgSz w:w="11900" w:h="16838" w:orient="portrait"/>
          <w:cols w:equalWidth="0" w:num="1">
            <w:col w:w="11240"/>
          </w:cols>
          <w:pgMar w:left="320" w:top="118"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ind w:left="660" w:right="20" w:hanging="328"/>
        <w:spacing w:after="0" w:line="251" w:lineRule="auto"/>
        <w:tabs>
          <w:tab w:leader="none" w:pos="672"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Canada, the United Kingdom, the Netherlands, Ireland and other jurisdictions in which the Corporation operates.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In addition to the factors set out above and those identified under the heading </w:t>
      </w:r>
      <w:r>
        <w:rPr>
          <w:rFonts w:ascii="Arial" w:cs="Arial" w:eastAsia="Arial" w:hAnsi="Arial"/>
          <w:sz w:val="21"/>
          <w:szCs w:val="21"/>
          <w:i w:val="1"/>
          <w:iCs w:val="1"/>
          <w:color w:val="auto"/>
        </w:rPr>
        <w:t>"Risk Factors"</w:t>
      </w:r>
      <w:r>
        <w:rPr>
          <w:rFonts w:ascii="Arial" w:cs="Arial" w:eastAsia="Arial" w:hAnsi="Arial"/>
          <w:sz w:val="21"/>
          <w:szCs w:val="21"/>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w:t>
      </w:r>
      <w:r>
        <w:rPr>
          <w:rFonts w:ascii="Arial" w:cs="Arial" w:eastAsia="Arial" w:hAnsi="Arial"/>
          <w:sz w:val="22"/>
          <w:szCs w:val="22"/>
          <w:color w:val="auto"/>
        </w:rPr>
        <w:t>'</w:t>
      </w:r>
      <w:r>
        <w:rPr>
          <w:rFonts w:ascii="Arial" w:cs="Arial" w:eastAsia="Arial" w:hAnsi="Arial"/>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22"/>
          <w:szCs w:val="22"/>
          <w:color w:val="auto"/>
        </w:rPr>
        <w:t>'</w:t>
      </w:r>
      <w:r>
        <w:rPr>
          <w:rFonts w:ascii="Arial" w:cs="Arial" w:eastAsia="Arial" w:hAnsi="Arial"/>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22"/>
          <w:szCs w:val="22"/>
          <w:color w:val="auto"/>
        </w:rPr>
        <w: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22"/>
          <w:szCs w:val="22"/>
          <w:color w:val="auto"/>
        </w:rPr>
        <w:t>Investors should read this entire Prospectus,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TRADEMARKS AND SERVICE MARKS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MARKETING MATERIALS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Any template version of marketing materials (as such terms are defined in National Instrument 41-101 - </w:t>
      </w:r>
      <w:r>
        <w:rPr>
          <w:rFonts w:ascii="Arial" w:cs="Arial" w:eastAsia="Arial" w:hAnsi="Arial"/>
          <w:sz w:val="19"/>
          <w:szCs w:val="19"/>
          <w:i w:val="1"/>
          <w:iCs w:val="1"/>
          <w:color w:val="auto"/>
        </w:rPr>
        <w:t>General Prospectus</w:t>
      </w:r>
      <w:r>
        <w:rPr>
          <w:rFonts w:ascii="Arial" w:cs="Arial" w:eastAsia="Arial" w:hAnsi="Arial"/>
          <w:sz w:val="19"/>
          <w:szCs w:val="19"/>
          <w:color w:val="auto"/>
        </w:rPr>
        <w:t xml:space="preserve"> </w:t>
      </w:r>
      <w:r>
        <w:rPr>
          <w:rFonts w:ascii="Arial" w:cs="Arial" w:eastAsia="Arial" w:hAnsi="Arial"/>
          <w:sz w:val="19"/>
          <w:szCs w:val="19"/>
          <w:i w:val="1"/>
          <w:iCs w:val="1"/>
          <w:color w:val="auto"/>
        </w:rPr>
        <w:t>Requirements</w:t>
      </w:r>
      <w:r>
        <w:rPr>
          <w:rFonts w:ascii="Arial" w:cs="Arial" w:eastAsia="Arial" w:hAnsi="Arial"/>
          <w:sz w:val="19"/>
          <w:szCs w:val="19"/>
          <w:color w:val="auto"/>
        </w:rPr>
        <w:t>) that are utilized in connection with the distribution of Securities will be filed under the Corporation's profile 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www.sedarplus.ca</w:t>
      </w:r>
      <w:r>
        <w:rPr>
          <w:rFonts w:ascii="Arial" w:cs="Arial" w:eastAsia="Arial" w:hAnsi="Arial"/>
          <w:sz w:val="19"/>
          <w:szCs w:val="19"/>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MARKET AND INDUSTRY DATA</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9"/>
          <w:szCs w:val="19"/>
          <w:i w:val="1"/>
          <w:iCs w:val="1"/>
          <w:color w:val="auto"/>
        </w:rPr>
        <w:t>Cautionary Note Regarding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Forward-Looking Information" </w:t>
      </w:r>
      <w:r>
        <w:rPr>
          <w:rFonts w:ascii="Arial" w:cs="Arial" w:eastAsia="Arial" w:hAnsi="Arial"/>
          <w:sz w:val="19"/>
          <w:szCs w:val="19"/>
          <w:color w:val="auto"/>
        </w:rPr>
        <w:t>and</w:t>
      </w:r>
      <w:r>
        <w:rPr>
          <w:rFonts w:ascii="Arial" w:cs="Arial" w:eastAsia="Arial" w:hAnsi="Arial"/>
          <w:sz w:val="19"/>
          <w:szCs w:val="19"/>
          <w:i w:val="1"/>
          <w:iCs w:val="1"/>
          <w:color w:val="auto"/>
        </w:rPr>
        <w:t xml:space="preserve"> "Risk Factors" </w:t>
      </w:r>
      <w:r>
        <w:rPr>
          <w:rFonts w:ascii="Arial" w:cs="Arial" w:eastAsia="Arial" w:hAnsi="Arial"/>
          <w:sz w:val="19"/>
          <w:szCs w:val="19"/>
          <w:color w:val="auto"/>
        </w:rPr>
        <w:t>in this Prospectus.</w:t>
      </w:r>
    </w:p>
    <w:p>
      <w:pPr>
        <w:spacing w:after="0" w:line="15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22"/>
          <w:szCs w:val="22"/>
          <w:color w:val="auto"/>
        </w:rPr>
        <w:t>Copies of the documents incorporated herein by reference may be obtained on request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charge from the Secretary of the Corporation at 100 King Street West, Suite 5600, Toronto, Ontario M5X 1C9, telephone (908) 764-8385, and are also available electronically on SEDAR+.</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documents of the Corporation filed with the securities commissions or similar authorities in Canada are incorporated by reference in this Prospectus:</w:t>
      </w:r>
    </w:p>
    <w:p>
      <w:pPr>
        <w:spacing w:after="0" w:line="169" w:lineRule="exact"/>
        <w:rPr>
          <w:sz w:val="20"/>
          <w:szCs w:val="20"/>
          <w:color w:val="auto"/>
        </w:rPr>
      </w:pPr>
    </w:p>
    <w:p>
      <w:pPr>
        <w:ind w:left="660" w:hanging="396"/>
        <w:spacing w:after="0" w:line="256" w:lineRule="auto"/>
        <w:tabs>
          <w:tab w:leader="none" w:pos="687"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27, 2023 for the year ended March 31, 2023 (the “</w:t>
      </w:r>
      <w:r>
        <w:rPr>
          <w:rFonts w:ascii="Arial" w:cs="Arial" w:eastAsia="Arial" w:hAnsi="Arial"/>
          <w:sz w:val="22"/>
          <w:szCs w:val="22"/>
          <w:b w:val="1"/>
          <w:bCs w:val="1"/>
          <w:color w:val="auto"/>
        </w:rPr>
        <w:t>Annual</w:t>
      </w:r>
      <w:r>
        <w:rPr>
          <w:rFonts w:ascii="Arial" w:cs="Arial" w:eastAsia="Arial" w:hAnsi="Arial"/>
          <w:sz w:val="22"/>
          <w:szCs w:val="22"/>
          <w:color w:val="auto"/>
        </w:rPr>
        <w:t xml:space="preserve"> </w:t>
      </w:r>
      <w:r>
        <w:rPr>
          <w:rFonts w:ascii="Arial" w:cs="Arial" w:eastAsia="Arial" w:hAnsi="Arial"/>
          <w:sz w:val="22"/>
          <w:szCs w:val="22"/>
          <w:b w:val="1"/>
          <w:bCs w:val="1"/>
          <w:color w:val="auto"/>
        </w:rPr>
        <w:t>Information Form</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audited consolidated financial statements of the Corporation and the notes thereto as at and for the fiscal year ended March 31, 2023, together with the auditor’s report thereon;</w:t>
      </w:r>
    </w:p>
    <w:p>
      <w:pPr>
        <w:spacing w:after="0" w:line="174" w:lineRule="exact"/>
        <w:rPr>
          <w:rFonts w:ascii="Arial" w:cs="Arial" w:eastAsia="Arial" w:hAnsi="Arial"/>
          <w:sz w:val="22"/>
          <w:szCs w:val="22"/>
          <w:color w:val="auto"/>
        </w:rPr>
      </w:pPr>
    </w:p>
    <w:p>
      <w:pPr>
        <w:ind w:left="680" w:hanging="416"/>
        <w:spacing w:after="0"/>
        <w:tabs>
          <w:tab w:leader="none" w:pos="6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year ended March 31, 2023;</w:t>
      </w:r>
    </w:p>
    <w:p>
      <w:pPr>
        <w:spacing w:after="0" w:line="206"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unaudited interim condensed consolidated financial statements of the Corporation and the notes thereto for the three months ended June 30, 2023 (the “</w:t>
      </w:r>
      <w:r>
        <w:rPr>
          <w:rFonts w:ascii="Arial" w:cs="Arial" w:eastAsia="Arial" w:hAnsi="Arial"/>
          <w:sz w:val="22"/>
          <w:szCs w:val="22"/>
          <w:b w:val="1"/>
          <w:bCs w:val="1"/>
          <w:color w:val="auto"/>
        </w:rPr>
        <w:t>Interim Financial Statements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right="20" w:hanging="396"/>
        <w:spacing w:after="0" w:line="256" w:lineRule="auto"/>
        <w:tabs>
          <w:tab w:leader="none" w:pos="687" w:val="left"/>
        </w:tabs>
        <w:numPr>
          <w:ilvl w:val="0"/>
          <w:numId w:val="14"/>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three months ended June 30, 2023 (the “</w:t>
      </w:r>
      <w:r>
        <w:rPr>
          <w:rFonts w:ascii="Arial" w:cs="Arial" w:eastAsia="Arial" w:hAnsi="Arial"/>
          <w:sz w:val="22"/>
          <w:szCs w:val="22"/>
          <w:b w:val="1"/>
          <w:bCs w:val="1"/>
          <w:color w:val="auto"/>
        </w:rPr>
        <w:t>Interim</w:t>
      </w:r>
      <w:r>
        <w:rPr>
          <w:rFonts w:ascii="Arial" w:cs="Arial" w:eastAsia="Arial" w:hAnsi="Arial"/>
          <w:sz w:val="22"/>
          <w:szCs w:val="22"/>
          <w:color w:val="auto"/>
        </w:rPr>
        <w:t xml:space="preserve"> </w:t>
      </w:r>
      <w:r>
        <w:rPr>
          <w:rFonts w:ascii="Arial" w:cs="Arial" w:eastAsia="Arial" w:hAnsi="Arial"/>
          <w:sz w:val="22"/>
          <w:szCs w:val="22"/>
          <w:b w:val="1"/>
          <w:bCs w:val="1"/>
          <w:color w:val="auto"/>
        </w:rPr>
        <w:t>MD&amp;A</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4"/>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4" w:lineRule="exact"/>
        <w:rPr>
          <w:rFonts w:ascii="Arial" w:cs="Arial" w:eastAsia="Arial" w:hAnsi="Arial"/>
          <w:sz w:val="22"/>
          <w:szCs w:val="22"/>
          <w:color w:val="auto"/>
        </w:rPr>
      </w:pPr>
    </w:p>
    <w:p>
      <w:pPr>
        <w:jc w:val="both"/>
        <w:ind w:left="660" w:hanging="396"/>
        <w:spacing w:after="0" w:line="249" w:lineRule="auto"/>
        <w:tabs>
          <w:tab w:leader="none" w:pos="687" w:val="left"/>
        </w:tabs>
        <w:numPr>
          <w:ilvl w:val="0"/>
          <w:numId w:val="14"/>
        </w:numPr>
        <w:rPr>
          <w:rFonts w:ascii="Arial" w:cs="Arial" w:eastAsia="Arial" w:hAnsi="Arial"/>
          <w:sz w:val="21"/>
          <w:szCs w:val="21"/>
          <w:color w:val="auto"/>
        </w:rPr>
      </w:pPr>
      <w:r>
        <w:rPr>
          <w:rFonts w:ascii="Arial" w:cs="Arial" w:eastAsia="Arial" w:hAnsi="Arial"/>
          <w:sz w:val="21"/>
          <w:szCs w:val="21"/>
          <w:color w:val="auto"/>
        </w:rPr>
        <w:t>material change report dated May 31, 2023 relating to the sale of up to US$30,000,000 of Common Shares to Lincoln Park Capital Fund, LLC (the “</w:t>
      </w:r>
      <w:r>
        <w:rPr>
          <w:rFonts w:ascii="Arial" w:cs="Arial" w:eastAsia="Arial" w:hAnsi="Arial"/>
          <w:sz w:val="21"/>
          <w:szCs w:val="21"/>
          <w:b w:val="1"/>
          <w:bCs w:val="1"/>
          <w:color w:val="auto"/>
        </w:rPr>
        <w:t>Investor</w:t>
      </w:r>
      <w:r>
        <w:rPr>
          <w:rFonts w:ascii="Arial" w:cs="Arial" w:eastAsia="Arial" w:hAnsi="Arial"/>
          <w:sz w:val="21"/>
          <w:szCs w:val="21"/>
          <w:color w:val="auto"/>
        </w:rPr>
        <w:t>”), upon the terms and subject to the conditions contained in the purchase agreement dated May 30, 2023 (the “</w:t>
      </w:r>
      <w:r>
        <w:rPr>
          <w:rFonts w:ascii="Arial" w:cs="Arial" w:eastAsia="Arial" w:hAnsi="Arial"/>
          <w:sz w:val="21"/>
          <w:szCs w:val="21"/>
          <w:b w:val="1"/>
          <w:bCs w:val="1"/>
          <w:color w:val="auto"/>
        </w:rPr>
        <w:t>Purchase Agreement</w:t>
      </w:r>
      <w:r>
        <w:rPr>
          <w:rFonts w:ascii="Arial" w:cs="Arial" w:eastAsia="Arial" w:hAnsi="Arial"/>
          <w:sz w:val="21"/>
          <w:szCs w:val="21"/>
          <w:color w:val="auto"/>
        </w:rPr>
        <w:t>”), and made pursuant to and qualified by a prospectus supplement dated May 30, 2023 (the “</w:t>
      </w:r>
      <w:r>
        <w:rPr>
          <w:rFonts w:ascii="Arial" w:cs="Arial" w:eastAsia="Arial" w:hAnsi="Arial"/>
          <w:sz w:val="21"/>
          <w:szCs w:val="21"/>
          <w:b w:val="1"/>
          <w:bCs w:val="1"/>
          <w:color w:val="auto"/>
        </w:rPr>
        <w:t>May 2023 Prospectus Supplement</w:t>
      </w:r>
      <w:r>
        <w:rPr>
          <w:rFonts w:ascii="Arial" w:cs="Arial" w:eastAsia="Arial" w:hAnsi="Arial"/>
          <w:sz w:val="21"/>
          <w:szCs w:val="21"/>
          <w:color w:val="auto"/>
        </w:rPr>
        <w:t>”), to the Corporation’s short form base shelf prospectus dated July 5, 2021 (the “</w:t>
      </w:r>
      <w:r>
        <w:rPr>
          <w:rFonts w:ascii="Arial" w:cs="Arial" w:eastAsia="Arial" w:hAnsi="Arial"/>
          <w:sz w:val="21"/>
          <w:szCs w:val="21"/>
          <w:b w:val="1"/>
          <w:bCs w:val="1"/>
          <w:color w:val="auto"/>
        </w:rPr>
        <w:t>2021 Base Shelf Prospectus</w:t>
      </w:r>
      <w:r>
        <w:rPr>
          <w:rFonts w:ascii="Arial" w:cs="Arial" w:eastAsia="Arial" w:hAnsi="Arial"/>
          <w:sz w:val="21"/>
          <w:szCs w:val="21"/>
          <w:color w:val="auto"/>
        </w:rPr>
        <w:t>”); and</w:t>
      </w:r>
    </w:p>
    <w:p>
      <w:pPr>
        <w:spacing w:after="0" w:line="178" w:lineRule="exact"/>
        <w:rPr>
          <w:rFonts w:ascii="Arial" w:cs="Arial" w:eastAsia="Arial" w:hAnsi="Arial"/>
          <w:sz w:val="21"/>
          <w:szCs w:val="21"/>
          <w:color w:val="auto"/>
        </w:rPr>
      </w:pPr>
    </w:p>
    <w:p>
      <w:pPr>
        <w:jc w:val="both"/>
        <w:ind w:left="660" w:hanging="396"/>
        <w:spacing w:after="0"/>
        <w:tabs>
          <w:tab w:leader="none" w:pos="687" w:val="left"/>
        </w:tabs>
        <w:numPr>
          <w:ilvl w:val="0"/>
          <w:numId w:val="14"/>
        </w:numPr>
        <w:rPr>
          <w:rFonts w:ascii="Arial" w:cs="Arial" w:eastAsia="Arial" w:hAnsi="Arial"/>
          <w:sz w:val="22"/>
          <w:szCs w:val="22"/>
          <w:color w:val="auto"/>
        </w:rPr>
      </w:pPr>
      <w:r>
        <w:rPr>
          <w:rFonts w:ascii="Arial" w:cs="Arial" w:eastAsia="Arial" w:hAnsi="Arial"/>
          <w:sz w:val="22"/>
          <w:szCs w:val="22"/>
          <w:color w:val="auto"/>
        </w:rPr>
        <w:t>material change report dated August 8, 2023 relating to the public offering of 24,264,706 units of the Corporation (the “</w:t>
      </w:r>
      <w:r>
        <w:rPr>
          <w:rFonts w:ascii="Arial" w:cs="Arial" w:eastAsia="Arial" w:hAnsi="Arial"/>
          <w:sz w:val="22"/>
          <w:szCs w:val="22"/>
          <w:b w:val="1"/>
          <w:bCs w:val="1"/>
          <w:color w:val="auto"/>
        </w:rPr>
        <w:t>Units</w:t>
      </w:r>
      <w:r>
        <w:rPr>
          <w:rFonts w:ascii="Arial" w:cs="Arial" w:eastAsia="Arial" w:hAnsi="Arial"/>
          <w:sz w:val="22"/>
          <w:szCs w:val="22"/>
          <w:color w:val="auto"/>
        </w:rPr>
        <w:t>”) at a price of US$0.34 per Unit for gross proceeds of US$8,250,000 pursuant to a prospectus supplement dated August 1, 2023 to the 2021 Base Shelf Prospectus (the “</w:t>
      </w:r>
      <w:r>
        <w:rPr>
          <w:rFonts w:ascii="Arial" w:cs="Arial" w:eastAsia="Arial" w:hAnsi="Arial"/>
          <w:sz w:val="22"/>
          <w:szCs w:val="22"/>
          <w:b w:val="1"/>
          <w:bCs w:val="1"/>
          <w:color w:val="auto"/>
        </w:rPr>
        <w:t>Offering</w:t>
      </w:r>
      <w:r>
        <w:rPr>
          <w:rFonts w:ascii="Arial" w:cs="Arial" w:eastAsia="Arial" w:hAnsi="Arial"/>
          <w:sz w:val="22"/>
          <w:szCs w:val="22"/>
          <w:color w:val="auto"/>
        </w:rPr>
        <w: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Any document of the type referred to in Item 11.1 of Form 44-101F1 - </w:t>
      </w:r>
      <w:r>
        <w:rPr>
          <w:rFonts w:ascii="Arial" w:cs="Arial" w:eastAsia="Arial" w:hAnsi="Arial"/>
          <w:sz w:val="22"/>
          <w:szCs w:val="22"/>
          <w:i w:val="1"/>
          <w:iCs w:val="1"/>
          <w:color w:val="auto"/>
        </w:rPr>
        <w:t>Short Form Prospectus</w:t>
      </w:r>
      <w:r>
        <w:rPr>
          <w:rFonts w:ascii="Arial" w:cs="Arial" w:eastAsia="Arial" w:hAnsi="Arial"/>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Arial" w:cs="Arial" w:eastAsia="Arial" w:hAnsi="Arial"/>
          <w:sz w:val="21"/>
          <w:szCs w:val="21"/>
          <w:b w:val="1"/>
          <w:bCs w:val="1"/>
          <w:color w:val="auto"/>
        </w:rPr>
        <w:t>Registration</w:t>
      </w:r>
      <w:r>
        <w:rPr>
          <w:rFonts w:ascii="Arial" w:cs="Arial" w:eastAsia="Arial" w:hAnsi="Arial"/>
          <w:sz w:val="21"/>
          <w:szCs w:val="21"/>
          <w:color w:val="auto"/>
        </w:rPr>
        <w:t xml:space="preserve"> </w:t>
      </w:r>
      <w:r>
        <w:rPr>
          <w:rFonts w:ascii="Arial" w:cs="Arial" w:eastAsia="Arial" w:hAnsi="Arial"/>
          <w:sz w:val="21"/>
          <w:szCs w:val="21"/>
          <w:b w:val="1"/>
          <w:bCs w:val="1"/>
          <w:color w:val="auto"/>
        </w:rPr>
        <w:t>Statement</w:t>
      </w:r>
      <w:r>
        <w:rPr>
          <w:rFonts w:ascii="Arial" w:cs="Arial" w:eastAsia="Arial" w:hAnsi="Arial"/>
          <w:sz w:val="21"/>
          <w:szCs w:val="21"/>
          <w:color w:val="auto"/>
        </w:rPr>
        <w:t>") of which this Prospectus forms a part. In addition, any other report on Form 6-K and the exhibits thereto filed or</w:t>
      </w:r>
      <w:r>
        <w:rPr>
          <w:rFonts w:ascii="Arial" w:cs="Arial" w:eastAsia="Arial" w:hAnsi="Arial"/>
          <w:sz w:val="21"/>
          <w:szCs w:val="21"/>
          <w:b w:val="1"/>
          <w:bCs w:val="1"/>
          <w:color w:val="auto"/>
        </w:rPr>
        <w:t xml:space="preserve"> </w:t>
      </w:r>
      <w:r>
        <w:rPr>
          <w:rFonts w:ascii="Arial" w:cs="Arial" w:eastAsia="Arial" w:hAnsi="Arial"/>
          <w:sz w:val="21"/>
          <w:szCs w:val="21"/>
          <w:color w:val="auto"/>
        </w:rPr>
        <w:t>furnished by the Corporation with the SEC, and any other reports filed, under the United States Securities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ectPr>
          <w:pgSz w:w="11900" w:h="16838" w:orient="portrait"/>
          <w:cols w:equalWidth="0" w:num="1">
            <w:col w:w="11240"/>
          </w:cols>
          <w:pgMar w:left="320" w:top="112" w:right="339" w:bottom="8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40" w:gutter="0" w:footer="0" w:header="0"/>
          <w:type w:val="continuous"/>
        </w:sectPr>
      </w:pPr>
    </w:p>
    <w:bookmarkStart w:id="48" w:name="page49"/>
    <w:bookmarkEnd w:id="48"/>
    <w:p>
      <w:pPr>
        <w:jc w:val="both"/>
        <w:spacing w:after="0" w:line="297" w:lineRule="auto"/>
        <w:rPr>
          <w:sz w:val="20"/>
          <w:szCs w:val="20"/>
          <w:color w:val="auto"/>
        </w:rPr>
      </w:pPr>
      <w:r>
        <w:rPr>
          <w:rFonts w:ascii="Arial" w:cs="Arial" w:eastAsia="Arial" w:hAnsi="Arial"/>
          <w:sz w:val="19"/>
          <w:szCs w:val="19"/>
          <w:color w:val="auto"/>
        </w:rPr>
        <w:t xml:space="preserve">Copies of the documents incorporated by reference herein will be available electronically on the Corporation's SEDAR+ profile, which can be accessed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from the Corporation's EDGAR profile at </w:t>
      </w:r>
      <w:r>
        <w:rPr>
          <w:rFonts w:ascii="Arial" w:cs="Arial" w:eastAsia="Arial" w:hAnsi="Arial"/>
          <w:sz w:val="19"/>
          <w:szCs w:val="19"/>
          <w:u w:val="single" w:color="auto"/>
          <w:color w:val="0000FF"/>
        </w:rPr>
        <w:t>www.sec.gov</w:t>
      </w:r>
      <w:r>
        <w:rPr>
          <w:rFonts w:ascii="Arial" w:cs="Arial" w:eastAsia="Arial" w:hAnsi="Arial"/>
          <w:sz w:val="19"/>
          <w:szCs w:val="19"/>
          <w:color w:val="auto"/>
        </w:rPr>
        <w:t>. The Corporation's filings through SEDAR+ and EDGAR are not incorporated by reference in the Prospectus except as specifically set out herein.</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and novel formulation approaches and treatment regimens.</w:t>
      </w:r>
      <w:r>
        <w:rPr>
          <w:rFonts w:ascii="Arial" w:cs="Arial" w:eastAsia="Arial" w:hAnsi="Arial"/>
          <w:sz w:val="35"/>
          <w:szCs w:val="35"/>
          <w:color w:val="auto"/>
          <w:vertAlign w:val="superscript"/>
        </w:rPr>
        <w:t>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Arial" w:cs="Arial" w:eastAsia="Arial" w:hAnsi="Arial"/>
          <w:sz w:val="19"/>
          <w:szCs w:val="19"/>
          <w:b w:val="1"/>
          <w:bCs w:val="1"/>
          <w:color w:val="auto"/>
        </w:rPr>
        <w:t>IP"</w:t>
      </w:r>
      <w:r>
        <w:rPr>
          <w:rFonts w:ascii="Arial" w:cs="Arial" w:eastAsia="Arial" w:hAnsi="Arial"/>
          <w:sz w:val="19"/>
          <w:szCs w:val="19"/>
          <w:color w:val="auto"/>
        </w:rPr>
        <w:t>) focused on developing the Corporation's platform technology, the progression of clinical development programs including CYB003, a deuterated psilocybin analog, CYB004, a deuterated version of N, N-dimethyltryptamine ("</w:t>
      </w:r>
      <w:r>
        <w:rPr>
          <w:rFonts w:ascii="Arial" w:cs="Arial" w:eastAsia="Arial" w:hAnsi="Arial"/>
          <w:sz w:val="19"/>
          <w:szCs w:val="19"/>
          <w:b w:val="1"/>
          <w:bCs w:val="1"/>
          <w:color w:val="auto"/>
        </w:rPr>
        <w:t>DMT</w:t>
      </w:r>
      <w:r>
        <w:rPr>
          <w:rFonts w:ascii="Arial" w:cs="Arial" w:eastAsia="Arial" w:hAnsi="Arial"/>
          <w:sz w:val="19"/>
          <w:szCs w:val="19"/>
          <w:color w:val="auto"/>
        </w:rPr>
        <w:t>"), CYB005, phenethylamine derivatives, and an expansive list of preclinical molecules to facilitate future drug development opportunities.</w:t>
      </w:r>
    </w:p>
    <w:p>
      <w:pPr>
        <w:spacing w:after="0" w:line="148" w:lineRule="exact"/>
        <w:rPr>
          <w:sz w:val="20"/>
          <w:szCs w:val="20"/>
          <w:color w:val="auto"/>
        </w:rPr>
      </w:pPr>
    </w:p>
    <w:p>
      <w:pPr>
        <w:jc w:val="both"/>
        <w:ind w:firstLine="54"/>
        <w:spacing w:after="0" w:line="250" w:lineRule="auto"/>
        <w:rPr>
          <w:sz w:val="20"/>
          <w:szCs w:val="20"/>
          <w:color w:val="auto"/>
        </w:rPr>
      </w:pPr>
      <w:r>
        <w:rPr>
          <w:rFonts w:ascii="Arial" w:cs="Arial" w:eastAsia="Arial" w:hAnsi="Arial"/>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Advancement of Mental Healthcare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inhalation, via intravenous ("</w:t>
      </w:r>
      <w:r>
        <w:rPr>
          <w:rFonts w:ascii="Arial" w:cs="Arial" w:eastAsia="Arial" w:hAnsi="Arial"/>
          <w:sz w:val="22"/>
          <w:szCs w:val="22"/>
          <w:b w:val="1"/>
          <w:bCs w:val="1"/>
          <w:color w:val="auto"/>
        </w:rPr>
        <w:t>IV</w:t>
      </w:r>
      <w:r>
        <w:rPr>
          <w:rFonts w:ascii="Arial" w:cs="Arial" w:eastAsia="Arial" w:hAnsi="Arial"/>
          <w:sz w:val="22"/>
          <w:szCs w:val="22"/>
          <w:color w:val="auto"/>
        </w:rPr>
        <w:t>"), and intramuscular, or subcutaneous ("</w:t>
      </w:r>
      <w:r>
        <w:rPr>
          <w:rFonts w:ascii="Arial" w:cs="Arial" w:eastAsia="Arial" w:hAnsi="Arial"/>
          <w:sz w:val="22"/>
          <w:szCs w:val="22"/>
          <w:b w:val="1"/>
          <w:bCs w:val="1"/>
          <w:color w:val="auto"/>
        </w:rPr>
        <w:t>SC</w:t>
      </w:r>
      <w:r>
        <w:rPr>
          <w:rFonts w:ascii="Arial" w:cs="Arial" w:eastAsia="Arial" w:hAnsi="Arial"/>
          <w:sz w:val="22"/>
          <w:szCs w:val="22"/>
          <w:color w:val="auto"/>
        </w:rPr>
        <w:t>") administration.</w:t>
      </w:r>
      <w:r>
        <w:rPr>
          <w:rFonts w:ascii="Arial" w:cs="Arial" w:eastAsia="Arial" w:hAnsi="Arial"/>
          <w:sz w:val="35"/>
          <w:szCs w:val="35"/>
          <w:color w:val="auto"/>
          <w:vertAlign w:val="superscript"/>
        </w:rPr>
        <w:t>2</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35"/>
          <w:szCs w:val="35"/>
          <w:color w:val="auto"/>
          <w:vertAlign w:val="superscript"/>
        </w:rPr>
        <w:t>3</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4</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5</w:t>
      </w:r>
      <w:r>
        <w:rPr>
          <w:rFonts w:ascii="Arial" w:cs="Arial" w:eastAsia="Arial" w:hAnsi="Arial"/>
          <w:sz w:val="22"/>
          <w:szCs w:val="22"/>
          <w:color w:val="auto"/>
        </w:rPr>
        <w:t>.</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Corporation’s Annual Information Form and Interim MD&amp;A incorporated by reference into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117" w:lineRule="exact"/>
        <w:rPr>
          <w:sz w:val="20"/>
          <w:szCs w:val="20"/>
          <w:color w:val="auto"/>
        </w:rPr>
      </w:pPr>
    </w:p>
    <w:p>
      <w:pPr>
        <w:jc w:val="both"/>
        <w:ind w:firstLine="8"/>
        <w:spacing w:after="0" w:line="229" w:lineRule="auto"/>
        <w:tabs>
          <w:tab w:leader="none" w:pos="135" w:val="left"/>
        </w:tabs>
        <w:numPr>
          <w:ilvl w:val="0"/>
          <w:numId w:val="15"/>
        </w:numPr>
        <w:rPr>
          <w:rFonts w:ascii="Arial" w:cs="Arial" w:eastAsia="Arial" w:hAnsi="Arial"/>
          <w:sz w:val="34"/>
          <w:szCs w:val="34"/>
          <w:color w:val="auto"/>
          <w:vertAlign w:val="superscript"/>
        </w:rPr>
      </w:pPr>
      <w:r>
        <w:rPr>
          <w:rFonts w:ascii="Arial" w:cs="Arial" w:eastAsia="Arial" w:hAnsi="Arial"/>
          <w:sz w:val="17"/>
          <w:szCs w:val="17"/>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0" w:lineRule="auto"/>
        <w:rPr>
          <w:sz w:val="20"/>
          <w:szCs w:val="20"/>
          <w:color w:val="auto"/>
        </w:rPr>
      </w:pPr>
      <w:r>
        <w:rPr>
          <w:rFonts w:ascii="Arial" w:cs="Arial" w:eastAsia="Arial" w:hAnsi="Arial"/>
          <w:sz w:val="35"/>
          <w:szCs w:val="35"/>
          <w:color w:val="auto"/>
          <w:vertAlign w:val="superscript"/>
        </w:rPr>
        <w:t>2</w:t>
      </w:r>
      <w:r>
        <w:rPr>
          <w:rFonts w:ascii="Arial" w:cs="Arial" w:eastAsia="Arial" w:hAnsi="Arial"/>
          <w:sz w:val="18"/>
          <w:szCs w:val="18"/>
          <w:color w:val="auto"/>
        </w:rPr>
        <w:t xml:space="preserve"> See footnote 1.</w:t>
      </w:r>
    </w:p>
    <w:p>
      <w:pPr>
        <w:ind w:left="160" w:hanging="152"/>
        <w:spacing w:after="0" w:line="183" w:lineRule="auto"/>
        <w:tabs>
          <w:tab w:leader="none" w:pos="160" w:val="left"/>
        </w:tabs>
        <w:numPr>
          <w:ilvl w:val="0"/>
          <w:numId w:val="16"/>
        </w:numPr>
        <w:rPr>
          <w:rFonts w:ascii="Arial" w:cs="Arial" w:eastAsia="Arial" w:hAnsi="Arial"/>
          <w:sz w:val="35"/>
          <w:szCs w:val="35"/>
          <w:color w:val="auto"/>
          <w:vertAlign w:val="superscript"/>
        </w:rPr>
      </w:pPr>
      <w:r>
        <w:rPr>
          <w:rFonts w:ascii="Arial" w:cs="Arial" w:eastAsia="Arial" w:hAnsi="Arial"/>
          <w:sz w:val="21"/>
          <w:szCs w:val="21"/>
          <w:color w:val="auto"/>
        </w:rPr>
        <w:t>See footnote 1.</w:t>
      </w:r>
    </w:p>
    <w:p>
      <w:pPr>
        <w:spacing w:after="0" w:line="40" w:lineRule="exact"/>
        <w:rPr>
          <w:rFonts w:ascii="Arial" w:cs="Arial" w:eastAsia="Arial" w:hAnsi="Arial"/>
          <w:sz w:val="35"/>
          <w:szCs w:val="35"/>
          <w:color w:val="auto"/>
          <w:vertAlign w:val="superscript"/>
        </w:rPr>
      </w:pPr>
    </w:p>
    <w:p>
      <w:pPr>
        <w:spacing w:after="0" w:line="182" w:lineRule="auto"/>
        <w:rPr>
          <w:rFonts w:ascii="Arial" w:cs="Arial" w:eastAsia="Arial" w:hAnsi="Arial"/>
          <w:sz w:val="35"/>
          <w:szCs w:val="35"/>
          <w:color w:val="auto"/>
          <w:vertAlign w:val="superscript"/>
        </w:rPr>
      </w:pPr>
      <w:r>
        <w:rPr>
          <w:rFonts w:ascii="Arial" w:cs="Arial" w:eastAsia="Arial" w:hAnsi="Arial"/>
          <w:sz w:val="34"/>
          <w:szCs w:val="34"/>
          <w:color w:val="auto"/>
          <w:vertAlign w:val="superscript"/>
        </w:rPr>
        <w:t>4</w:t>
      </w:r>
      <w:r>
        <w:rPr>
          <w:rFonts w:ascii="Arial" w:cs="Arial" w:eastAsia="Arial" w:hAnsi="Arial"/>
          <w:sz w:val="21"/>
          <w:szCs w:val="21"/>
          <w:color w:val="auto"/>
        </w:rPr>
        <w:t xml:space="preserve"> See footnote 1</w:t>
      </w:r>
      <w:r>
        <w:rPr>
          <w:rFonts w:ascii="Arial" w:cs="Arial" w:eastAsia="Arial" w:hAnsi="Arial"/>
          <w:sz w:val="21"/>
          <w:szCs w:val="21"/>
          <w:b w:val="1"/>
          <w:bCs w:val="1"/>
          <w:color w:val="auto"/>
        </w:rPr>
        <w:t>.</w:t>
      </w:r>
    </w:p>
    <w:p>
      <w:pPr>
        <w:spacing w:after="0"/>
        <w:rPr>
          <w:rFonts w:ascii="Arial" w:cs="Arial" w:eastAsia="Arial" w:hAnsi="Arial"/>
          <w:sz w:val="35"/>
          <w:szCs w:val="35"/>
          <w:color w:val="auto"/>
          <w:vertAlign w:val="superscript"/>
        </w:rPr>
      </w:pPr>
      <w:r>
        <w:rPr>
          <w:rFonts w:ascii="Arial" w:cs="Arial" w:eastAsia="Arial" w:hAnsi="Arial"/>
          <w:sz w:val="35"/>
          <w:szCs w:val="35"/>
          <w:color w:val="auto"/>
          <w:vertAlign w:val="superscript"/>
        </w:rPr>
        <w:t>5</w:t>
      </w:r>
      <w:r>
        <w:rPr>
          <w:rFonts w:ascii="Arial" w:cs="Arial" w:eastAsia="Arial" w:hAnsi="Arial"/>
          <w:sz w:val="22"/>
          <w:szCs w:val="22"/>
          <w:color w:val="auto"/>
        </w:rPr>
        <w:t xml:space="preserve"> See footnote 1</w:t>
      </w:r>
      <w:r>
        <w:rPr>
          <w:rFonts w:ascii="Arial" w:cs="Arial" w:eastAsia="Arial" w:hAnsi="Arial"/>
          <w:sz w:val="22"/>
          <w:szCs w:val="22"/>
          <w:b w:val="1"/>
          <w:bCs w:val="1"/>
          <w:color w:val="auto"/>
        </w:rPr>
        <w: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Inter-Corporate Relationships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124460</wp:posOffset>
            </wp:positionV>
            <wp:extent cx="2991485" cy="31546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914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20" w:right="1080" w:hanging="278"/>
        <w:spacing w:after="0" w:line="254" w:lineRule="auto"/>
        <w:tabs>
          <w:tab w:leader="none" w:pos="1456"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shareholders of Adelia Therapeutics Inc. ("</w:t>
      </w:r>
      <w:r>
        <w:rPr>
          <w:rFonts w:ascii="Arial" w:cs="Arial" w:eastAsia="Arial" w:hAnsi="Arial"/>
          <w:sz w:val="21"/>
          <w:szCs w:val="21"/>
          <w:b w:val="1"/>
          <w:bCs w:val="1"/>
          <w:color w:val="auto"/>
        </w:rPr>
        <w:t>Adelia</w:t>
      </w:r>
      <w:r>
        <w:rPr>
          <w:rFonts w:ascii="Arial" w:cs="Arial" w:eastAsia="Arial" w:hAnsi="Arial"/>
          <w:sz w:val="21"/>
          <w:szCs w:val="21"/>
          <w:color w:val="auto"/>
        </w:rPr>
        <w:t>") hold certain non-voting securities of Cybin U.S. issued in connection with the acquisition of Adelia on December 14, 2020 (the "</w:t>
      </w:r>
      <w:r>
        <w:rPr>
          <w:rFonts w:ascii="Arial" w:cs="Arial" w:eastAsia="Arial" w:hAnsi="Arial"/>
          <w:sz w:val="21"/>
          <w:szCs w:val="21"/>
          <w:b w:val="1"/>
          <w:bCs w:val="1"/>
          <w:color w:val="auto"/>
        </w:rPr>
        <w:t>Adelia</w:t>
      </w:r>
      <w:r>
        <w:rPr>
          <w:rFonts w:ascii="Arial" w:cs="Arial" w:eastAsia="Arial" w:hAnsi="Arial"/>
          <w:sz w:val="21"/>
          <w:szCs w:val="21"/>
          <w:color w:val="auto"/>
        </w:rPr>
        <w:t xml:space="preserve"> </w:t>
      </w:r>
      <w:r>
        <w:rPr>
          <w:rFonts w:ascii="Arial" w:cs="Arial" w:eastAsia="Arial" w:hAnsi="Arial"/>
          <w:sz w:val="21"/>
          <w:szCs w:val="21"/>
          <w:b w:val="1"/>
          <w:bCs w:val="1"/>
          <w:color w:val="auto"/>
        </w:rPr>
        <w:t>Transaction</w:t>
      </w:r>
      <w:r>
        <w:rPr>
          <w:rFonts w:ascii="Arial" w:cs="Arial" w:eastAsia="Arial" w:hAnsi="Arial"/>
          <w:sz w:val="21"/>
          <w:szCs w:val="21"/>
          <w:color w:val="auto"/>
        </w:rPr>
        <w:t>"). For additional information in respect of the Adelia Transaction, please see the</w:t>
      </w:r>
      <w:r>
        <w:rPr>
          <w:rFonts w:ascii="Arial" w:cs="Arial" w:eastAsia="Arial" w:hAnsi="Arial"/>
          <w:sz w:val="21"/>
          <w:szCs w:val="21"/>
          <w:b w:val="1"/>
          <w:bCs w:val="1"/>
          <w:color w:val="auto"/>
        </w:rPr>
        <w:t xml:space="preserve"> </w:t>
      </w:r>
      <w:r>
        <w:rPr>
          <w:rFonts w:ascii="Arial" w:cs="Arial" w:eastAsia="Arial" w:hAnsi="Arial"/>
          <w:sz w:val="21"/>
          <w:szCs w:val="21"/>
          <w:color w:val="auto"/>
        </w:rPr>
        <w:t>Annual Information Form incorporated by reference in this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Recent Developments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jc w:val="both"/>
        <w:spacing w:after="0" w:line="272" w:lineRule="auto"/>
        <w:rPr>
          <w:sz w:val="20"/>
          <w:szCs w:val="20"/>
          <w:color w:val="auto"/>
        </w:rPr>
      </w:pPr>
      <w:r>
        <w:rPr>
          <w:rFonts w:ascii="Arial" w:cs="Arial" w:eastAsia="Arial" w:hAnsi="Arial"/>
          <w:sz w:val="19"/>
          <w:szCs w:val="19"/>
          <w:color w:val="auto"/>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On June 29, 2023, the Corporation announced the appointment of Aaron Bartlone as Chief Operating Officer, effective July 1,</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2023. Mr. Bartlone has served as Chief Operating Officer of Cybin’s U.S. subsidiary, Cybin US Holdings, Inc., since March</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2021. Mr. Bartlone is a United States resident and currently holds 701,070 Common Shares and options exercisable into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1,315,000 Common Shares.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August 5, 2023, the Corporation’s at-the-market equity program to issue and sell up to US$35,000,000 of Common Shares (the “</w:t>
      </w:r>
      <w:r>
        <w:rPr>
          <w:rFonts w:ascii="Arial" w:cs="Arial" w:eastAsia="Arial" w:hAnsi="Arial"/>
          <w:sz w:val="21"/>
          <w:szCs w:val="21"/>
          <w:b w:val="1"/>
          <w:bCs w:val="1"/>
          <w:color w:val="auto"/>
        </w:rPr>
        <w:t>ATM Program</w:t>
      </w:r>
      <w:r>
        <w:rPr>
          <w:rFonts w:ascii="Arial" w:cs="Arial" w:eastAsia="Arial" w:hAnsi="Arial"/>
          <w:sz w:val="21"/>
          <w:szCs w:val="21"/>
          <w:color w:val="auto"/>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rFonts w:ascii="Arial" w:cs="Arial" w:eastAsia="Arial" w:hAnsi="Arial"/>
          <w:sz w:val="21"/>
          <w:szCs w:val="21"/>
          <w:b w:val="1"/>
          <w:bCs w:val="1"/>
          <w:color w:val="auto"/>
        </w:rPr>
        <w:t>MDD</w:t>
      </w:r>
      <w:r>
        <w:rPr>
          <w:rFonts w:ascii="Arial" w:cs="Arial" w:eastAsia="Arial" w:hAnsi="Arial"/>
          <w:sz w:val="21"/>
          <w:szCs w:val="21"/>
          <w:color w:val="auto"/>
        </w:rPr>
        <w:t>”) and treatment-resistant depression.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On August 17, 2023, the Corporation announced that it has initiated preparations for good manufacturing practices (“</w:t>
      </w:r>
      <w:r>
        <w:rPr>
          <w:rFonts w:ascii="Arial" w:cs="Arial" w:eastAsia="Arial" w:hAnsi="Arial"/>
          <w:sz w:val="22"/>
          <w:szCs w:val="22"/>
          <w:b w:val="1"/>
          <w:bCs w:val="1"/>
          <w:color w:val="auto"/>
        </w:rPr>
        <w:t>GMP</w:t>
      </w:r>
      <w:r>
        <w:rPr>
          <w:rFonts w:ascii="Arial" w:cs="Arial" w:eastAsia="Arial" w:hAnsi="Arial"/>
          <w:sz w:val="22"/>
          <w:szCs w:val="22"/>
          <w:color w:val="auto"/>
        </w:rPr>
        <w:t>”) production of a capsule formulation of CYB003, its proprietary deuterated psilocybin analog in development for the potential treatment of MDD.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REGULATORY OVERVIEW</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 summary of the applicable regulatory framework for the Corporation's various business segments and proposed business activity are set forth below.</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Arial" w:cs="Arial" w:eastAsia="Arial" w:hAnsi="Arial"/>
          <w:sz w:val="22"/>
          <w:szCs w:val="22"/>
          <w:b w:val="1"/>
          <w:bCs w:val="1"/>
          <w:color w:val="auto"/>
        </w:rPr>
        <w:t>Section 56 Exemption</w:t>
      </w:r>
      <w:r>
        <w:rPr>
          <w:rFonts w:ascii="Arial" w:cs="Arial" w:eastAsia="Arial" w:hAnsi="Arial"/>
          <w:sz w:val="22"/>
          <w:szCs w:val="22"/>
          <w:color w:val="auto"/>
        </w:rPr>
        <w:t>") is required. This exemption allows the holder to possess and use the controlled substance without being subject to the restrictions set out in the CDSA.</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Health Canada's Special Access Program ("</w:t>
      </w:r>
      <w:r>
        <w:rPr>
          <w:rFonts w:ascii="Arial" w:cs="Arial" w:eastAsia="Arial" w:hAnsi="Arial"/>
          <w:sz w:val="22"/>
          <w:szCs w:val="22"/>
          <w:b w:val="1"/>
          <w:bCs w:val="1"/>
          <w:color w:val="auto"/>
        </w:rPr>
        <w:t>SAP</w:t>
      </w:r>
      <w:r>
        <w:rPr>
          <w:rFonts w:ascii="Arial" w:cs="Arial" w:eastAsia="Arial" w:hAnsi="Arial"/>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Please see "</w:t>
      </w:r>
      <w:r>
        <w:rPr>
          <w:rFonts w:ascii="Arial" w:cs="Arial" w:eastAsia="Arial" w:hAnsi="Arial"/>
          <w:sz w:val="22"/>
          <w:szCs w:val="22"/>
          <w:i w:val="1"/>
          <w:iCs w:val="1"/>
          <w:color w:val="auto"/>
        </w:rPr>
        <w:t>Description of the Business - Research and Development"</w:t>
      </w:r>
      <w:r>
        <w:rPr>
          <w:rFonts w:ascii="Arial" w:cs="Arial" w:eastAsia="Arial" w:hAnsi="Arial"/>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United States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Arial" w:cs="Arial" w:eastAsia="Arial" w:hAnsi="Arial"/>
          <w:sz w:val="19"/>
          <w:szCs w:val="19"/>
          <w:b w:val="1"/>
          <w:bCs w:val="1"/>
          <w:color w:val="auto"/>
        </w:rPr>
        <w:t>IND</w:t>
      </w:r>
      <w:r>
        <w:rPr>
          <w:rFonts w:ascii="Arial" w:cs="Arial" w:eastAsia="Arial" w:hAnsi="Arial"/>
          <w:sz w:val="19"/>
          <w:szCs w:val="19"/>
          <w:color w:val="auto"/>
        </w:rPr>
        <w:t>”) related to its Deuterated Psilocybin Analog Program upon</w:t>
      </w:r>
    </w:p>
    <w:p>
      <w:pPr>
        <w:spacing w:after="0" w:line="1" w:lineRule="exact"/>
        <w:rPr>
          <w:sz w:val="20"/>
          <w:szCs w:val="20"/>
          <w:color w:val="auto"/>
        </w:rPr>
      </w:pPr>
    </w:p>
    <w:p>
      <w:pPr>
        <w:jc w:val="both"/>
        <w:spacing w:after="0" w:line="200" w:lineRule="auto"/>
        <w:rPr>
          <w:sz w:val="20"/>
          <w:szCs w:val="20"/>
          <w:color w:val="auto"/>
        </w:rPr>
      </w:pPr>
      <w:r>
        <w:rPr>
          <w:rFonts w:ascii="Arial" w:cs="Arial" w:eastAsia="Arial" w:hAnsi="Arial"/>
          <w:sz w:val="22"/>
          <w:szCs w:val="22"/>
          <w:color w:val="auto"/>
        </w:rPr>
        <w:t>completion of its pre-clinical studies and CMC development.</w:t>
      </w:r>
      <w:r>
        <w:rPr>
          <w:rFonts w:ascii="Arial" w:cs="Arial" w:eastAsia="Arial" w:hAnsi="Arial"/>
          <w:sz w:val="35"/>
          <w:szCs w:val="35"/>
          <w:color w:val="auto"/>
          <w:vertAlign w:val="superscript"/>
        </w:rPr>
        <w:t>6</w:t>
      </w:r>
      <w:r>
        <w:rPr>
          <w:rFonts w:ascii="Arial" w:cs="Arial" w:eastAsia="Arial" w:hAnsi="Arial"/>
          <w:sz w:val="22"/>
          <w:szCs w:val="22"/>
          <w:color w:val="auto"/>
        </w:rPr>
        <w:t xml:space="preserve"> Anticipated timelines related to regulatory filings are based on reasonable assumptions informed by current knowledge and information available to the Corporation.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Arial" w:cs="Arial" w:eastAsia="Arial" w:hAnsi="Arial"/>
          <w:sz w:val="19"/>
          <w:szCs w:val="19"/>
          <w:b w:val="1"/>
          <w:bCs w:val="1"/>
          <w:color w:val="auto"/>
        </w:rPr>
        <w:t>DEA</w:t>
      </w:r>
      <w:r>
        <w:rPr>
          <w:rFonts w:ascii="Arial" w:cs="Arial" w:eastAsia="Arial" w:hAnsi="Arial"/>
          <w:sz w:val="19"/>
          <w:szCs w:val="19"/>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i w:val="1"/>
          <w:iCs w:val="1"/>
          <w:color w:val="auto"/>
        </w:rPr>
        <w:t>"Description of the Business - Research and Development"</w:t>
      </w:r>
      <w:r>
        <w:rPr>
          <w:rFonts w:ascii="Arial" w:cs="Arial" w:eastAsia="Arial" w:hAnsi="Arial"/>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 (Netherlands)</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International Narcotics Control Board ("</w:t>
      </w:r>
      <w:r>
        <w:rPr>
          <w:rFonts w:ascii="Arial" w:cs="Arial" w:eastAsia="Arial" w:hAnsi="Arial"/>
          <w:sz w:val="19"/>
          <w:szCs w:val="19"/>
          <w:b w:val="1"/>
          <w:bCs w:val="1"/>
          <w:color w:val="auto"/>
        </w:rPr>
        <w:t>INCB</w:t>
      </w:r>
      <w:r>
        <w:rPr>
          <w:rFonts w:ascii="Arial" w:cs="Arial" w:eastAsia="Arial" w:hAnsi="Arial"/>
          <w:sz w:val="19"/>
          <w:szCs w:val="19"/>
          <w:color w:val="auto"/>
        </w:rPr>
        <w:t>"), a United Nations ("</w:t>
      </w:r>
      <w:r>
        <w:rPr>
          <w:rFonts w:ascii="Arial" w:cs="Arial" w:eastAsia="Arial" w:hAnsi="Arial"/>
          <w:sz w:val="19"/>
          <w:szCs w:val="19"/>
          <w:b w:val="1"/>
          <w:bCs w:val="1"/>
          <w:color w:val="auto"/>
        </w:rPr>
        <w:t>UN</w:t>
      </w:r>
      <w:r>
        <w:rPr>
          <w:rFonts w:ascii="Arial" w:cs="Arial" w:eastAsia="Arial" w:hAnsi="Arial"/>
          <w:sz w:val="19"/>
          <w:szCs w:val="19"/>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83" w:lineRule="exact"/>
        <w:rPr>
          <w:sz w:val="20"/>
          <w:szCs w:val="20"/>
          <w:color w:val="auto"/>
        </w:rPr>
      </w:pPr>
    </w:p>
    <w:p>
      <w:pPr>
        <w:jc w:val="both"/>
        <w:ind w:firstLine="8"/>
        <w:spacing w:after="0" w:line="236" w:lineRule="auto"/>
        <w:tabs>
          <w:tab w:leader="none" w:pos="148" w:val="left"/>
        </w:tabs>
        <w:numPr>
          <w:ilvl w:val="0"/>
          <w:numId w:val="18"/>
        </w:numPr>
        <w:rPr>
          <w:rFonts w:ascii="Arial" w:cs="Arial" w:eastAsia="Arial" w:hAnsi="Arial"/>
          <w:sz w:val="33"/>
          <w:szCs w:val="33"/>
          <w:color w:val="auto"/>
          <w:vertAlign w:val="superscript"/>
        </w:rPr>
      </w:pPr>
      <w:r>
        <w:rPr>
          <w:rFonts w:ascii="Arial" w:cs="Arial" w:eastAsia="Arial" w:hAnsi="Arial"/>
          <w:sz w:val="20"/>
          <w:szCs w:val="20"/>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Arial" w:cs="Arial" w:eastAsia="Arial" w:hAnsi="Arial"/>
          <w:sz w:val="20"/>
          <w:szCs w:val="20"/>
          <w:i w:val="1"/>
          <w:iCs w:val="1"/>
          <w:color w:val="auto"/>
        </w:rPr>
        <w:t>Risk Factors</w:t>
      </w:r>
      <w:r>
        <w:rPr>
          <w:rFonts w:ascii="Arial" w:cs="Arial" w:eastAsia="Arial" w:hAnsi="Arial"/>
          <w:sz w:val="20"/>
          <w:szCs w:val="20"/>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ind w:left="660"/>
        <w:spacing w:after="0" w:line="277" w:lineRule="auto"/>
        <w:rPr>
          <w:sz w:val="20"/>
          <w:szCs w:val="20"/>
          <w:color w:val="auto"/>
        </w:rPr>
      </w:pPr>
      <w:r>
        <w:rPr>
          <w:rFonts w:ascii="Arial" w:cs="Arial" w:eastAsia="Arial" w:hAnsi="Arial"/>
          <w:sz w:val="19"/>
          <w:szCs w:val="19"/>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66" w:lineRule="auto"/>
        <w:rPr>
          <w:sz w:val="20"/>
          <w:szCs w:val="20"/>
          <w:color w:val="auto"/>
        </w:rPr>
      </w:pPr>
      <w:r>
        <w:rPr>
          <w:rFonts w:ascii="Arial" w:cs="Arial" w:eastAsia="Arial" w:hAnsi="Arial"/>
          <w:sz w:val="19"/>
          <w:szCs w:val="19"/>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2" w:lineRule="auto"/>
        <w:rPr>
          <w:sz w:val="20"/>
          <w:szCs w:val="20"/>
          <w:color w:val="auto"/>
        </w:rPr>
      </w:pPr>
      <w:r>
        <w:rPr>
          <w:rFonts w:ascii="Arial" w:cs="Arial" w:eastAsia="Arial" w:hAnsi="Arial"/>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77" w:lineRule="auto"/>
        <w:rPr>
          <w:sz w:val="20"/>
          <w:szCs w:val="20"/>
          <w:color w:val="auto"/>
        </w:rPr>
      </w:pPr>
      <w:r>
        <w:rPr>
          <w:rFonts w:ascii="Arial" w:cs="Arial" w:eastAsia="Arial" w:hAnsi="Arial"/>
          <w:sz w:val="19"/>
          <w:szCs w:val="19"/>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-750570</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-441960</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Arial" w:cs="Arial" w:eastAsia="Arial" w:hAnsi="Arial"/>
          <w:sz w:val="19"/>
          <w:szCs w:val="19"/>
          <w:b w:val="1"/>
          <w:bCs w:val="1"/>
          <w:color w:val="auto"/>
        </w:rPr>
        <w:t>Dutch Opium Act</w:t>
      </w:r>
      <w:r>
        <w:rPr>
          <w:rFonts w:ascii="Arial" w:cs="Arial" w:eastAsia="Arial" w:hAnsi="Arial"/>
          <w:sz w:val="19"/>
          <w:szCs w:val="19"/>
          <w:color w:val="auto"/>
        </w:rPr>
        <w:t>") and as such, subject to express authorization being obtained, the production, trade and possession of DMT are prohibited.</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to the Dutch Opium Act, two other Dutch Acts may be relevant when it comes to drugs: the Medicines Act and the Commodities Act.</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Arial" w:cs="Arial" w:eastAsia="Arial" w:hAnsi="Arial"/>
          <w:sz w:val="22"/>
          <w:szCs w:val="22"/>
          <w:b w:val="1"/>
          <w:bCs w:val="1"/>
          <w:color w:val="auto"/>
        </w:rPr>
        <w:t>CCMO</w:t>
      </w:r>
      <w:r>
        <w:rPr>
          <w:rFonts w:ascii="Arial" w:cs="Arial" w:eastAsia="Arial" w:hAnsi="Arial"/>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Ireland, psilocin is a controlled substance under the Misuse of Drugs Act, 1977, 1984 and 2015 (the "</w:t>
      </w:r>
      <w:r>
        <w:rPr>
          <w:rFonts w:ascii="Arial" w:cs="Arial" w:eastAsia="Arial" w:hAnsi="Arial"/>
          <w:sz w:val="19"/>
          <w:szCs w:val="19"/>
          <w:b w:val="1"/>
          <w:bCs w:val="1"/>
          <w:color w:val="auto"/>
        </w:rPr>
        <w:t>Ireland MDA</w:t>
      </w:r>
      <w:r>
        <w:rPr>
          <w:rFonts w:ascii="Arial" w:cs="Arial" w:eastAsia="Arial" w:hAnsi="Arial"/>
          <w:sz w:val="19"/>
          <w:szCs w:val="19"/>
          <w:color w:val="auto"/>
        </w:rPr>
        <w:t>"), the Misuse of Drugs Regulations 2017 (the "</w:t>
      </w:r>
      <w:r>
        <w:rPr>
          <w:rFonts w:ascii="Arial" w:cs="Arial" w:eastAsia="Arial" w:hAnsi="Arial"/>
          <w:sz w:val="19"/>
          <w:szCs w:val="19"/>
          <w:b w:val="1"/>
          <w:bCs w:val="1"/>
          <w:color w:val="auto"/>
        </w:rPr>
        <w:t>Ireland MDR</w:t>
      </w:r>
      <w:r>
        <w:rPr>
          <w:rFonts w:ascii="Arial" w:cs="Arial" w:eastAsia="Arial" w:hAnsi="Arial"/>
          <w:sz w:val="19"/>
          <w:szCs w:val="19"/>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jc w:val="both"/>
        <w:spacing w:after="0" w:line="297" w:lineRule="auto"/>
        <w:rPr>
          <w:sz w:val="20"/>
          <w:szCs w:val="20"/>
          <w:color w:val="auto"/>
        </w:rPr>
      </w:pPr>
      <w:r>
        <w:rPr>
          <w:rFonts w:ascii="Arial" w:cs="Arial" w:eastAsia="Arial" w:hAnsi="Arial"/>
          <w:sz w:val="19"/>
          <w:szCs w:val="19"/>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main controlled drugs legislation in the United Kingdom is the Misuse of Drugs Act 1971 ("</w:t>
      </w:r>
      <w:r>
        <w:rPr>
          <w:rFonts w:ascii="Arial" w:cs="Arial" w:eastAsia="Arial" w:hAnsi="Arial"/>
          <w:sz w:val="22"/>
          <w:szCs w:val="22"/>
          <w:b w:val="1"/>
          <w:bCs w:val="1"/>
          <w:color w:val="auto"/>
        </w:rPr>
        <w:t>MDA</w:t>
      </w:r>
      <w:r>
        <w:rPr>
          <w:rFonts w:ascii="Arial" w:cs="Arial" w:eastAsia="Arial" w:hAnsi="Arial"/>
          <w:sz w:val="22"/>
          <w:szCs w:val="22"/>
          <w:color w:val="auto"/>
        </w:rPr>
        <w:t>") and the Misuse of Drugs Regulations 2001 ("</w:t>
      </w:r>
      <w:r>
        <w:rPr>
          <w:rFonts w:ascii="Arial" w:cs="Arial" w:eastAsia="Arial" w:hAnsi="Arial"/>
          <w:sz w:val="22"/>
          <w:szCs w:val="22"/>
          <w:b w:val="1"/>
          <w:bCs w:val="1"/>
          <w:color w:val="auto"/>
        </w:rPr>
        <w:t>MDR</w:t>
      </w:r>
      <w:r>
        <w:rPr>
          <w:rFonts w:ascii="Arial" w:cs="Arial" w:eastAsia="Arial" w:hAnsi="Arial"/>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Corporation previously disclosed that it intended to file a clinical trial application with the United Kingdom Medicines and Healthcare products Regulatory Agency (the "</w:t>
      </w:r>
      <w:r>
        <w:rPr>
          <w:rFonts w:ascii="Arial" w:cs="Arial" w:eastAsia="Arial" w:hAnsi="Arial"/>
          <w:sz w:val="21"/>
          <w:szCs w:val="21"/>
          <w:b w:val="1"/>
          <w:bCs w:val="1"/>
          <w:color w:val="auto"/>
        </w:rPr>
        <w:t>MHRA</w:t>
      </w:r>
      <w:r>
        <w:rPr>
          <w:rFonts w:ascii="Arial" w:cs="Arial" w:eastAsia="Arial" w:hAnsi="Arial"/>
          <w:sz w:val="21"/>
          <w:szCs w:val="21"/>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Licensing Requirements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Arial" w:cs="Arial" w:eastAsia="Arial" w:hAnsi="Arial"/>
          <w:sz w:val="19"/>
          <w:szCs w:val="19"/>
          <w:b w:val="1"/>
          <w:bCs w:val="1"/>
          <w:color w:val="auto"/>
        </w:rPr>
        <w:t>Asset Acquisition</w:t>
      </w:r>
      <w:r>
        <w:rPr>
          <w:rFonts w:ascii="Arial" w:cs="Arial" w:eastAsia="Arial" w:hAnsi="Arial"/>
          <w:sz w:val="19"/>
          <w:szCs w:val="19"/>
          <w:color w:val="auto"/>
        </w:rPr>
        <w:t>"), the Corporation also acquired API. The CYB004-E API was</w:t>
      </w:r>
    </w:p>
    <w:p>
      <w:pPr>
        <w:spacing w:after="0"/>
        <w:rPr>
          <w:sz w:val="20"/>
          <w:szCs w:val="20"/>
          <w:color w:val="auto"/>
        </w:rPr>
      </w:pPr>
      <w:r>
        <w:rPr>
          <w:rFonts w:ascii="Arial" w:cs="Arial" w:eastAsia="Arial" w:hAnsi="Arial"/>
          <w:sz w:val="22"/>
          <w:szCs w:val="22"/>
          <w:color w:val="auto"/>
        </w:rPr>
        <w:t>manufactured in the Netherlands by a pharmaceutical ingredient provider that is United States FDA-inspected.</w:t>
      </w:r>
      <w:r>
        <w:rPr>
          <w:rFonts w:ascii="Arial" w:cs="Arial" w:eastAsia="Arial" w:hAnsi="Arial"/>
          <w:sz w:val="35"/>
          <w:szCs w:val="35"/>
          <w:color w:val="auto"/>
          <w:vertAlign w:val="superscript"/>
        </w:rPr>
        <w:t>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117" w:lineRule="exact"/>
        <w:rPr>
          <w:sz w:val="20"/>
          <w:szCs w:val="20"/>
          <w:color w:val="auto"/>
        </w:rPr>
      </w:pPr>
    </w:p>
    <w:p>
      <w:pPr>
        <w:jc w:val="both"/>
        <w:ind w:firstLine="8"/>
        <w:spacing w:after="0" w:line="215" w:lineRule="auto"/>
        <w:tabs>
          <w:tab w:leader="none" w:pos="166" w:val="left"/>
        </w:tabs>
        <w:numPr>
          <w:ilvl w:val="0"/>
          <w:numId w:val="19"/>
        </w:numPr>
        <w:rPr>
          <w:rFonts w:ascii="Arial" w:cs="Arial" w:eastAsia="Arial" w:hAnsi="Arial"/>
          <w:sz w:val="32"/>
          <w:szCs w:val="32"/>
          <w:color w:val="auto"/>
          <w:vertAlign w:val="superscript"/>
        </w:rPr>
      </w:pPr>
      <w:r>
        <w:rPr>
          <w:rFonts w:ascii="Arial" w:cs="Arial" w:eastAsia="Arial" w:hAnsi="Arial"/>
          <w:sz w:val="16"/>
          <w:szCs w:val="16"/>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9"/>
          <w:szCs w:val="19"/>
          <w:color w:val="auto"/>
        </w:rPr>
        <w:t xml:space="preserve">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 </w:t>
      </w:r>
      <w:r>
        <w:rPr>
          <w:rFonts w:ascii="Arial" w:cs="Arial" w:eastAsia="Arial" w:hAnsi="Arial"/>
          <w:sz w:val="19"/>
          <w:szCs w:val="19"/>
          <w:i w:val="1"/>
          <w:iCs w:val="1"/>
          <w:color w:val="auto"/>
        </w:rPr>
        <w:t>Pharmaceutical Products</w:t>
      </w:r>
      <w:r>
        <w:rPr>
          <w:rFonts w:ascii="Arial" w:cs="Arial" w:eastAsia="Arial" w:hAnsi="Arial"/>
          <w:sz w:val="19"/>
          <w:szCs w:val="19"/>
          <w:color w:val="auto"/>
        </w:rPr>
        <w:t>", depending on how the API is developed, certain authorizations and licences from the MHRA may be required to authorize some of the activities carried on at the UK-based facilities in relation to the API.</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All premises that are licensed in connection with the possession, supply, manufacture and/or production of controlled drugs are required to adhere to detailed security standards.</w:t>
      </w:r>
      <w:r>
        <w:rPr>
          <w:rFonts w:ascii="Arial" w:cs="Arial" w:eastAsia="Arial" w:hAnsi="Arial"/>
          <w:sz w:val="35"/>
          <w:szCs w:val="35"/>
          <w:color w:val="auto"/>
          <w:vertAlign w:val="superscript"/>
        </w:rPr>
        <w:t>8</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w:t>
      </w:r>
    </w:p>
    <w:p>
      <w:pPr>
        <w:ind w:right="4540"/>
        <w:spacing w:after="0" w:line="304" w:lineRule="auto"/>
        <w:rPr>
          <w:sz w:val="20"/>
          <w:szCs w:val="20"/>
          <w:color w:val="auto"/>
        </w:rPr>
      </w:pPr>
      <w:r>
        <w:rPr>
          <w:rFonts w:ascii="Arial" w:cs="Arial" w:eastAsia="Arial" w:hAnsi="Arial"/>
          <w:sz w:val="22"/>
          <w:szCs w:val="22"/>
          <w:color w:val="auto"/>
        </w:rPr>
        <w:t>responsibilities, record keeping, reconciliation and reporting of thefts/losses.</w:t>
      </w:r>
      <w:r>
        <w:rPr>
          <w:rFonts w:ascii="Arial" w:cs="Arial" w:eastAsia="Arial" w:hAnsi="Arial"/>
          <w:sz w:val="35"/>
          <w:szCs w:val="35"/>
          <w:color w:val="auto"/>
          <w:vertAlign w:val="superscript"/>
        </w:rPr>
        <w:t>9</w:t>
      </w:r>
      <w:r>
        <w:rPr>
          <w:rFonts w:ascii="Arial" w:cs="Arial" w:eastAsia="Arial" w:hAnsi="Arial"/>
          <w:sz w:val="22"/>
          <w:szCs w:val="22"/>
          <w:color w:val="auto"/>
        </w:rPr>
        <w:t xml:space="preserve"> </w:t>
      </w:r>
      <w:r>
        <w:rPr>
          <w:rFonts w:ascii="Arial" w:cs="Arial" w:eastAsia="Arial" w:hAnsi="Arial"/>
          <w:sz w:val="22"/>
          <w:szCs w:val="22"/>
          <w:u w:val="single" w:color="auto"/>
          <w:color w:val="auto"/>
        </w:rPr>
        <w:t>Pharmaceutical Products</w:t>
      </w:r>
    </w:p>
    <w:p>
      <w:pPr>
        <w:spacing w:after="0" w:line="11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8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rFonts w:ascii="Arial" w:cs="Arial" w:eastAsia="Arial" w:hAnsi="Arial"/>
          <w:sz w:val="22"/>
          <w:szCs w:val="22"/>
          <w:b w:val="1"/>
          <w:bCs w:val="1"/>
          <w:color w:val="auto"/>
        </w:rPr>
        <w:t>GDP</w:t>
      </w:r>
      <w:r>
        <w:rPr>
          <w:rFonts w:ascii="Arial" w:cs="Arial" w:eastAsia="Arial" w:hAnsi="Arial"/>
          <w:sz w:val="22"/>
          <w:szCs w:val="22"/>
          <w:color w:val="auto"/>
        </w:rPr>
        <w:t>")) and to hold a related licence from the MHRA</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How the API is subsequently processed will determine the licences that the UK-based facility must hold. In particular:</w:t>
      </w:r>
    </w:p>
    <w:p>
      <w:pPr>
        <w:spacing w:after="0" w:line="212" w:lineRule="exact"/>
        <w:rPr>
          <w:sz w:val="20"/>
          <w:szCs w:val="20"/>
          <w:color w:val="auto"/>
        </w:rPr>
      </w:pPr>
    </w:p>
    <w:p>
      <w:pPr>
        <w:jc w:val="both"/>
        <w:ind w:left="660"/>
        <w:spacing w:after="0" w:line="243" w:lineRule="auto"/>
        <w:rPr>
          <w:sz w:val="20"/>
          <w:szCs w:val="20"/>
          <w:color w:val="auto"/>
        </w:rPr>
      </w:pPr>
      <w:r>
        <w:rPr>
          <w:rFonts w:ascii="Arial" w:cs="Arial" w:eastAsia="Arial" w:hAnsi="Arial"/>
          <w:sz w:val="22"/>
          <w:szCs w:val="22"/>
          <w:color w:val="auto"/>
        </w:rPr>
        <w:t>if the API is just one 'ingredient' of the investigational medicinal product ("</w:t>
      </w:r>
      <w:r>
        <w:rPr>
          <w:rFonts w:ascii="Arial" w:cs="Arial" w:eastAsia="Arial" w:hAnsi="Arial"/>
          <w:sz w:val="22"/>
          <w:szCs w:val="22"/>
          <w:b w:val="1"/>
          <w:bCs w:val="1"/>
          <w:color w:val="auto"/>
        </w:rPr>
        <w:t>IMP</w:t>
      </w:r>
      <w:r>
        <w:rPr>
          <w:rFonts w:ascii="Arial" w:cs="Arial" w:eastAsia="Arial" w:hAnsi="Arial"/>
          <w:sz w:val="22"/>
          <w:szCs w:val="22"/>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-422275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conversely, if the API will itself constitute the IMP, the manufacturer must, except in certain limited circumstances, hold a Manufacturer's Authorisations for IMPs licence ("</w:t>
      </w:r>
      <w:r>
        <w:rPr>
          <w:rFonts w:ascii="Arial" w:cs="Arial" w:eastAsia="Arial" w:hAnsi="Arial"/>
          <w:sz w:val="22"/>
          <w:szCs w:val="22"/>
          <w:b w:val="1"/>
          <w:bCs w:val="1"/>
          <w:color w:val="auto"/>
        </w:rPr>
        <w:t>MIA(IMP</w:t>
      </w:r>
      <w:r>
        <w:rPr>
          <w:rFonts w:ascii="Arial" w:cs="Arial" w:eastAsia="Arial" w:hAnsi="Arial"/>
          <w:sz w:val="22"/>
          <w:szCs w:val="22"/>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-575310</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ind w:left="200" w:hanging="192"/>
        <w:spacing w:after="0" w:line="205" w:lineRule="auto"/>
        <w:tabs>
          <w:tab w:leader="none" w:pos="200" w:val="left"/>
        </w:tabs>
        <w:numPr>
          <w:ilvl w:val="0"/>
          <w:numId w:val="20"/>
        </w:numPr>
        <w:rPr>
          <w:rFonts w:ascii="Arial" w:cs="Arial" w:eastAsia="Arial" w:hAnsi="Arial"/>
          <w:sz w:val="35"/>
          <w:szCs w:val="35"/>
          <w:color w:val="auto"/>
          <w:vertAlign w:val="superscript"/>
        </w:rPr>
      </w:pPr>
      <w:r>
        <w:rPr>
          <w:rFonts w:ascii="Arial" w:cs="Arial" w:eastAsia="Arial" w:hAnsi="Arial"/>
          <w:sz w:val="21"/>
          <w:szCs w:val="21"/>
          <w:color w:val="auto"/>
        </w:rPr>
        <w:t>Home Office guidance; Security guidance for all existing or prospective Home Office Controlled Drug Licensees and/or</w:t>
      </w:r>
    </w:p>
    <w:p>
      <w:pPr>
        <w:spacing w:after="0" w:line="232" w:lineRule="auto"/>
        <w:rPr>
          <w:rFonts w:ascii="Arial" w:cs="Arial" w:eastAsia="Arial" w:hAnsi="Arial"/>
          <w:sz w:val="35"/>
          <w:szCs w:val="35"/>
          <w:color w:val="auto"/>
          <w:vertAlign w:val="superscript"/>
        </w:rPr>
      </w:pPr>
      <w:r>
        <w:rPr>
          <w:rFonts w:ascii="Arial" w:cs="Arial" w:eastAsia="Arial" w:hAnsi="Arial"/>
          <w:sz w:val="22"/>
          <w:szCs w:val="22"/>
          <w:color w:val="auto"/>
        </w:rPr>
        <w:t>Precursor Chemical Licensees or Registrants; 2022; https://assets.publishing.service.gov.uk/government/uploads/system/uploads/attachment_data/file/1125889/ Security_Guidance_for_all_Businesses_and_Other_Organisations_v1.5_Nov_2022.pdf.</w:t>
      </w:r>
    </w:p>
    <w:p>
      <w:pPr>
        <w:spacing w:after="0"/>
        <w:tabs>
          <w:tab w:leader="none" w:pos="600" w:val="left"/>
          <w:tab w:leader="none" w:pos="1660" w:val="left"/>
          <w:tab w:leader="none" w:pos="2740" w:val="left"/>
          <w:tab w:leader="none" w:pos="4100" w:val="left"/>
          <w:tab w:leader="none" w:pos="5560" w:val="left"/>
          <w:tab w:leader="none" w:pos="6340" w:val="left"/>
          <w:tab w:leader="none" w:pos="7640" w:val="left"/>
          <w:tab w:leader="none" w:pos="9040" w:val="left"/>
          <w:tab w:leader="none" w:pos="10520" w:val="left"/>
        </w:tabs>
        <w:rPr>
          <w:sz w:val="20"/>
          <w:szCs w:val="20"/>
          <w:color w:val="auto"/>
        </w:rPr>
      </w:pPr>
      <w:r>
        <w:rPr>
          <w:rFonts w:ascii="Arial" w:cs="Arial" w:eastAsia="Arial" w:hAnsi="Arial"/>
          <w:sz w:val="30"/>
          <w:szCs w:val="30"/>
          <w:color w:val="auto"/>
          <w:vertAlign w:val="superscript"/>
        </w:rPr>
        <w:t>9</w:t>
      </w:r>
      <w:r>
        <w:rPr>
          <w:sz w:val="20"/>
          <w:szCs w:val="20"/>
          <w:color w:val="auto"/>
        </w:rPr>
        <w:tab/>
      </w:r>
      <w:r>
        <w:rPr>
          <w:rFonts w:ascii="Arial" w:cs="Arial" w:eastAsia="Arial" w:hAnsi="Arial"/>
          <w:sz w:val="18"/>
          <w:szCs w:val="18"/>
          <w:color w:val="auto"/>
        </w:rPr>
        <w:t>Home</w:t>
      </w:r>
      <w:r>
        <w:rPr>
          <w:sz w:val="20"/>
          <w:szCs w:val="20"/>
          <w:color w:val="auto"/>
        </w:rPr>
        <w:tab/>
      </w:r>
      <w:r>
        <w:rPr>
          <w:rFonts w:ascii="Arial" w:cs="Arial" w:eastAsia="Arial" w:hAnsi="Arial"/>
          <w:sz w:val="22"/>
          <w:szCs w:val="22"/>
          <w:color w:val="auto"/>
        </w:rPr>
        <w:t>Office</w:t>
      </w:r>
      <w:r>
        <w:rPr>
          <w:sz w:val="20"/>
          <w:szCs w:val="20"/>
          <w:color w:val="auto"/>
        </w:rPr>
        <w:tab/>
      </w:r>
      <w:r>
        <w:rPr>
          <w:rFonts w:ascii="Arial" w:cs="Arial" w:eastAsia="Arial" w:hAnsi="Arial"/>
          <w:sz w:val="22"/>
          <w:szCs w:val="22"/>
          <w:color w:val="auto"/>
        </w:rPr>
        <w:t>guidance;</w:t>
      </w:r>
      <w:r>
        <w:rPr>
          <w:sz w:val="20"/>
          <w:szCs w:val="20"/>
          <w:color w:val="auto"/>
        </w:rPr>
        <w:tab/>
      </w:r>
      <w:r>
        <w:rPr>
          <w:rFonts w:ascii="Arial" w:cs="Arial" w:eastAsia="Arial" w:hAnsi="Arial"/>
          <w:sz w:val="22"/>
          <w:szCs w:val="22"/>
          <w:color w:val="auto"/>
        </w:rPr>
        <w:t>Guidelines</w:t>
      </w:r>
      <w:r>
        <w:rPr>
          <w:sz w:val="20"/>
          <w:szCs w:val="20"/>
          <w:color w:val="auto"/>
        </w:rPr>
        <w:tab/>
      </w:r>
      <w:r>
        <w:rPr>
          <w:rFonts w:ascii="Arial" w:cs="Arial" w:eastAsia="Arial" w:hAnsi="Arial"/>
          <w:sz w:val="22"/>
          <w:szCs w:val="22"/>
          <w:color w:val="auto"/>
        </w:rPr>
        <w:t>for</w:t>
      </w:r>
      <w:r>
        <w:rPr>
          <w:sz w:val="20"/>
          <w:szCs w:val="20"/>
          <w:color w:val="auto"/>
        </w:rPr>
        <w:tab/>
      </w:r>
      <w:r>
        <w:rPr>
          <w:rFonts w:ascii="Arial" w:cs="Arial" w:eastAsia="Arial" w:hAnsi="Arial"/>
          <w:sz w:val="22"/>
          <w:szCs w:val="22"/>
          <w:color w:val="auto"/>
        </w:rPr>
        <w:t>Standard</w:t>
      </w:r>
      <w:r>
        <w:rPr>
          <w:sz w:val="20"/>
          <w:szCs w:val="20"/>
          <w:color w:val="auto"/>
        </w:rPr>
        <w:tab/>
      </w:r>
      <w:r>
        <w:rPr>
          <w:rFonts w:ascii="Arial" w:cs="Arial" w:eastAsia="Arial" w:hAnsi="Arial"/>
          <w:sz w:val="22"/>
          <w:szCs w:val="22"/>
          <w:color w:val="auto"/>
        </w:rPr>
        <w:t>Operating</w:t>
      </w:r>
      <w:r>
        <w:rPr>
          <w:sz w:val="20"/>
          <w:szCs w:val="20"/>
          <w:color w:val="auto"/>
        </w:rPr>
        <w:tab/>
      </w:r>
      <w:r>
        <w:rPr>
          <w:rFonts w:ascii="Arial" w:cs="Arial" w:eastAsia="Arial" w:hAnsi="Arial"/>
          <w:sz w:val="22"/>
          <w:szCs w:val="22"/>
          <w:color w:val="auto"/>
        </w:rPr>
        <w:t>Procedures</w:t>
      </w:r>
      <w:r>
        <w:rPr>
          <w:sz w:val="20"/>
          <w:szCs w:val="20"/>
          <w:color w:val="auto"/>
        </w:rPr>
        <w:tab/>
      </w:r>
      <w:r>
        <w:rPr>
          <w:rFonts w:ascii="Arial" w:cs="Arial" w:eastAsia="Arial" w:hAnsi="Arial"/>
          <w:sz w:val="19"/>
          <w:szCs w:val="19"/>
          <w:color w:val="auto"/>
        </w:rPr>
        <w:t>(SOPs);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https://assets.publishing.service.gov.uk/government/uploads/</w:t>
      </w:r>
    </w:p>
    <w:p>
      <w:pPr>
        <w:spacing w:after="0"/>
        <w:rPr>
          <w:sz w:val="20"/>
          <w:szCs w:val="20"/>
          <w:color w:val="auto"/>
        </w:rPr>
      </w:pPr>
      <w:r>
        <w:rPr>
          <w:rFonts w:ascii="Arial" w:cs="Arial" w:eastAsia="Arial" w:hAnsi="Arial"/>
          <w:sz w:val="22"/>
          <w:szCs w:val="22"/>
          <w:color w:val="auto"/>
        </w:rPr>
        <w:t>system/uploads/attachment_data/file/480572/StandardOpProcedure.pdf.</w:t>
      </w:r>
    </w:p>
    <w:p>
      <w:pPr>
        <w:sectPr>
          <w:pgSz w:w="11900" w:h="16838" w:orient="portrait"/>
          <w:cols w:equalWidth="0" w:num="1">
            <w:col w:w="11240"/>
          </w:cols>
          <w:pgMar w:left="320" w:top="118"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jc w:val="both"/>
        <w:spacing w:after="0" w:line="252" w:lineRule="auto"/>
        <w:rPr>
          <w:sz w:val="20"/>
          <w:szCs w:val="20"/>
          <w:color w:val="auto"/>
        </w:rPr>
      </w:pPr>
      <w:r>
        <w:rPr>
          <w:rFonts w:ascii="Arial" w:cs="Arial" w:eastAsia="Arial" w:hAnsi="Arial"/>
          <w:sz w:val="21"/>
          <w:szCs w:val="21"/>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9"/>
          <w:szCs w:val="19"/>
          <w:i w:val="1"/>
          <w:iCs w:val="1"/>
          <w:color w:val="auto"/>
        </w:rPr>
        <w:t>Psilocybe</w:t>
      </w:r>
      <w:r>
        <w:rPr>
          <w:rFonts w:ascii="Arial" w:cs="Arial" w:eastAsia="Arial" w:hAnsi="Arial"/>
          <w:sz w:val="19"/>
          <w:szCs w:val="19"/>
          <w:color w:val="auto"/>
        </w:rPr>
        <w:t xml:space="preserve">, such as </w:t>
      </w:r>
      <w:r>
        <w:rPr>
          <w:rFonts w:ascii="Arial" w:cs="Arial" w:eastAsia="Arial" w:hAnsi="Arial"/>
          <w:sz w:val="19"/>
          <w:szCs w:val="19"/>
          <w:i w:val="1"/>
          <w:iCs w:val="1"/>
          <w:color w:val="auto"/>
        </w:rPr>
        <w:t>P. azurescens, P. semilanceata</w:t>
      </w:r>
      <w:r>
        <w:rPr>
          <w:rFonts w:ascii="Arial" w:cs="Arial" w:eastAsia="Arial" w:hAnsi="Arial"/>
          <w:sz w:val="19"/>
          <w:szCs w:val="19"/>
          <w:color w:val="auto"/>
        </w:rPr>
        <w:t xml:space="preserve">, and </w:t>
      </w:r>
      <w:r>
        <w:rPr>
          <w:rFonts w:ascii="Arial" w:cs="Arial" w:eastAsia="Arial" w:hAnsi="Arial"/>
          <w:sz w:val="19"/>
          <w:szCs w:val="19"/>
          <w:i w:val="1"/>
          <w:iCs w:val="1"/>
          <w:color w:val="auto"/>
        </w:rPr>
        <w:t>P. cyanescens</w:t>
      </w:r>
      <w:r>
        <w:rPr>
          <w:rFonts w:ascii="Arial" w:cs="Arial" w:eastAsia="Arial" w:hAnsi="Arial"/>
          <w:sz w:val="19"/>
          <w:szCs w:val="19"/>
          <w:color w:val="auto"/>
        </w:rPr>
        <w:t>, but psilocybin has also been isolated from about a dozen other genera. As a prodrug, psilocybin is quickly converted by the body to psilocin, which has mind-altering effects.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pharmacokinetics, pharmacology and human metabolism of psilocybin are well known and well characterized. In conjunction with psychotherapy, psilocybin has been utilized broadly in phase II clinical trials.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Cybin has commenced research and development on the delivery of synthetic psilocybin and other psychedelics through mechanisms such as sublingual film delivery, IV, and by way of inhalation.</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process required before a prescription drug product candidate may be marketed in Canada generally involves:</w:t>
      </w:r>
    </w:p>
    <w:p>
      <w:pPr>
        <w:spacing w:after="0" w:line="206" w:lineRule="exact"/>
        <w:rPr>
          <w:sz w:val="20"/>
          <w:szCs w:val="20"/>
          <w:color w:val="auto"/>
        </w:rPr>
      </w:pPr>
    </w:p>
    <w:p>
      <w:pPr>
        <w:jc w:val="both"/>
        <w:ind w:left="660"/>
        <w:spacing w:after="0"/>
        <w:rPr>
          <w:sz w:val="20"/>
          <w:szCs w:val="20"/>
          <w:color w:val="auto"/>
        </w:rPr>
      </w:pPr>
      <w:r>
        <w:rPr>
          <w:rFonts w:ascii="Arial" w:cs="Arial" w:eastAsia="Arial" w:hAnsi="Arial"/>
          <w:sz w:val="22"/>
          <w:szCs w:val="22"/>
          <w:i w:val="1"/>
          <w:iCs w:val="1"/>
          <w:color w:val="auto"/>
        </w:rPr>
        <w:t xml:space="preserve">Chemical and Biological Research - </w:t>
      </w:r>
      <w:r>
        <w:rPr>
          <w:rFonts w:ascii="Arial" w:cs="Arial" w:eastAsia="Arial" w:hAnsi="Arial"/>
          <w:sz w:val="22"/>
          <w:szCs w:val="22"/>
          <w:color w:val="auto"/>
        </w:rPr>
        <w:t>Laboratory tests are carried out on tissue cultures and with a variety of small animals</w:t>
      </w:r>
      <w:r>
        <w:rPr>
          <w:rFonts w:ascii="Arial" w:cs="Arial" w:eastAsia="Arial" w:hAnsi="Arial"/>
          <w:sz w:val="22"/>
          <w:szCs w:val="22"/>
          <w:i w:val="1"/>
          <w:iCs w:val="1"/>
          <w:color w:val="auto"/>
        </w:rPr>
        <w:t xml:space="preserve"> </w:t>
      </w:r>
      <w:r>
        <w:rPr>
          <w:rFonts w:ascii="Arial" w:cs="Arial" w:eastAsia="Arial" w:hAnsi="Arial"/>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79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both"/>
        <w:ind w:left="660"/>
        <w:spacing w:after="0" w:line="241" w:lineRule="auto"/>
        <w:rPr>
          <w:sz w:val="20"/>
          <w:szCs w:val="20"/>
          <w:color w:val="auto"/>
        </w:rPr>
      </w:pPr>
      <w:r>
        <w:rPr>
          <w:rFonts w:ascii="Arial" w:cs="Arial" w:eastAsia="Arial" w:hAnsi="Arial"/>
          <w:sz w:val="22"/>
          <w:szCs w:val="22"/>
          <w:i w:val="1"/>
          <w:iCs w:val="1"/>
          <w:color w:val="auto"/>
        </w:rPr>
        <w:t xml:space="preserve">Pre-Clinical Development - </w:t>
      </w:r>
      <w:r>
        <w:rPr>
          <w:rFonts w:ascii="Arial" w:cs="Arial" w:eastAsia="Arial" w:hAnsi="Arial"/>
          <w:sz w:val="22"/>
          <w:szCs w:val="22"/>
          <w:color w:val="auto"/>
        </w:rPr>
        <w:t>Animals are given the drug in varying amounts over differing periods of time. If it can be</w:t>
      </w:r>
      <w:r>
        <w:rPr>
          <w:rFonts w:ascii="Arial" w:cs="Arial" w:eastAsia="Arial" w:hAnsi="Arial"/>
          <w:sz w:val="22"/>
          <w:szCs w:val="22"/>
          <w:i w:val="1"/>
          <w:iCs w:val="1"/>
          <w:color w:val="auto"/>
        </w:rPr>
        <w:t xml:space="preserve"> </w:t>
      </w:r>
      <w:r>
        <w:rPr>
          <w:rFonts w:ascii="Arial" w:cs="Arial" w:eastAsia="Arial" w:hAnsi="Arial"/>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-422275</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4" w:lineRule="exact"/>
        <w:rPr>
          <w:sz w:val="20"/>
          <w:szCs w:val="20"/>
          <w:color w:val="auto"/>
        </w:rPr>
      </w:pPr>
    </w:p>
    <w:p>
      <w:pPr>
        <w:jc w:val="both"/>
        <w:ind w:left="660"/>
        <w:spacing w:after="0" w:line="249" w:lineRule="auto"/>
        <w:rPr>
          <w:sz w:val="20"/>
          <w:szCs w:val="20"/>
          <w:color w:val="auto"/>
        </w:rPr>
      </w:pPr>
      <w:r>
        <w:rPr>
          <w:rFonts w:ascii="Arial" w:cs="Arial" w:eastAsia="Arial" w:hAnsi="Arial"/>
          <w:sz w:val="21"/>
          <w:szCs w:val="21"/>
          <w:i w:val="1"/>
          <w:iCs w:val="1"/>
          <w:color w:val="auto"/>
        </w:rPr>
        <w:t xml:space="preserve">Clinical Trials - Phase I - </w:t>
      </w:r>
      <w:r>
        <w:rPr>
          <w:rFonts w:ascii="Arial" w:cs="Arial" w:eastAsia="Arial" w:hAnsi="Arial"/>
          <w:sz w:val="21"/>
          <w:szCs w:val="21"/>
          <w:color w:val="auto"/>
        </w:rPr>
        <w:t>The first administration in humans is to test if people can tolerate the drug. If this testing is to</w:t>
      </w:r>
      <w:r>
        <w:rPr>
          <w:rFonts w:ascii="Arial" w:cs="Arial" w:eastAsia="Arial" w:hAnsi="Arial"/>
          <w:sz w:val="21"/>
          <w:szCs w:val="21"/>
          <w:i w:val="1"/>
          <w:iCs w:val="1"/>
          <w:color w:val="auto"/>
        </w:rPr>
        <w:t xml:space="preserve"> </w:t>
      </w:r>
      <w:r>
        <w:rPr>
          <w:rFonts w:ascii="Arial" w:cs="Arial" w:eastAsia="Arial" w:hAnsi="Arial"/>
          <w:sz w:val="21"/>
          <w:szCs w:val="21"/>
          <w:color w:val="auto"/>
        </w:rPr>
        <w:t>take place in Canada, the manufacturer must prepare a clinical trial application for the Therapeutic Products Directorate of Health Canada (the "</w:t>
      </w:r>
      <w:r>
        <w:rPr>
          <w:rFonts w:ascii="Arial" w:cs="Arial" w:eastAsia="Arial" w:hAnsi="Arial"/>
          <w:sz w:val="21"/>
          <w:szCs w:val="21"/>
          <w:b w:val="1"/>
          <w:bCs w:val="1"/>
          <w:color w:val="auto"/>
        </w:rPr>
        <w:t>TPD</w:t>
      </w:r>
      <w:r>
        <w:rPr>
          <w:rFonts w:ascii="Arial" w:cs="Arial" w:eastAsia="Arial" w:hAnsi="Arial"/>
          <w:sz w:val="21"/>
          <w:szCs w:val="21"/>
          <w:color w:val="auto"/>
        </w:rPr>
        <w:t>"). This includes the results of the first two steps and a proposal for testing in humans. If the information is sufficient, the Health Products and Food Branch of Health Canada (the "</w:t>
      </w:r>
      <w:r>
        <w:rPr>
          <w:rFonts w:ascii="Arial" w:cs="Arial" w:eastAsia="Arial" w:hAnsi="Arial"/>
          <w:sz w:val="21"/>
          <w:szCs w:val="21"/>
          <w:b w:val="1"/>
          <w:bCs w:val="1"/>
          <w:color w:val="auto"/>
        </w:rPr>
        <w:t>HPFB</w:t>
      </w:r>
      <w:r>
        <w:rPr>
          <w:rFonts w:ascii="Arial" w:cs="Arial" w:eastAsia="Arial" w:hAnsi="Arial"/>
          <w:sz w:val="21"/>
          <w:szCs w:val="21"/>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-734060</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i w:val="1"/>
          <w:iCs w:val="1"/>
          <w:color w:val="auto"/>
        </w:rPr>
        <w:t xml:space="preserve">Clinical Trials - Phase II - </w:t>
      </w:r>
      <w:r>
        <w:rPr>
          <w:rFonts w:ascii="Arial" w:cs="Arial" w:eastAsia="Arial" w:hAnsi="Arial"/>
          <w:sz w:val="22"/>
          <w:szCs w:val="22"/>
          <w:color w:val="auto"/>
        </w:rPr>
        <w:t>Phase II trials are carried out on people with the target condition, who are usually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-575310</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i w:val="1"/>
          <w:iCs w:val="1"/>
          <w:color w:val="auto"/>
        </w:rPr>
        <w:t xml:space="preserve">Clinical Trials - Phase III - </w:t>
      </w:r>
      <w:r>
        <w:rPr>
          <w:rFonts w:ascii="Arial" w:cs="Arial" w:eastAsia="Arial" w:hAnsi="Arial"/>
          <w:sz w:val="22"/>
          <w:szCs w:val="22"/>
          <w:color w:val="auto"/>
        </w:rPr>
        <w:t>If the results from phase II show promise, the manufacturer provides an updated clinical trial</w:t>
      </w:r>
      <w:r>
        <w:rPr>
          <w:rFonts w:ascii="Arial" w:cs="Arial" w:eastAsia="Arial" w:hAnsi="Arial"/>
          <w:sz w:val="22"/>
          <w:szCs w:val="22"/>
          <w:i w:val="1"/>
          <w:iCs w:val="1"/>
          <w:color w:val="auto"/>
        </w:rPr>
        <w:t xml:space="preserve"> </w:t>
      </w:r>
      <w:r>
        <w:rPr>
          <w:rFonts w:ascii="Arial" w:cs="Arial" w:eastAsia="Arial" w:hAnsi="Arial"/>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both"/>
        <w:ind w:left="660"/>
        <w:spacing w:after="0" w:line="282" w:lineRule="auto"/>
        <w:rPr>
          <w:sz w:val="20"/>
          <w:szCs w:val="20"/>
          <w:color w:val="auto"/>
        </w:rPr>
      </w:pPr>
      <w:r>
        <w:rPr>
          <w:rFonts w:ascii="Arial" w:cs="Arial" w:eastAsia="Arial" w:hAnsi="Arial"/>
          <w:sz w:val="19"/>
          <w:szCs w:val="19"/>
          <w:i w:val="1"/>
          <w:iCs w:val="1"/>
          <w:color w:val="auto"/>
        </w:rPr>
        <w:t xml:space="preserve">New Drug Submission - </w:t>
      </w:r>
      <w:r>
        <w:rPr>
          <w:rFonts w:ascii="Arial" w:cs="Arial" w:eastAsia="Arial" w:hAnsi="Arial"/>
          <w:sz w:val="19"/>
          <w:szCs w:val="19"/>
          <w:color w:val="auto"/>
        </w:rPr>
        <w:t>If the results from phase III continue to be favourable, the drug manufacturer can submit a new</w:t>
      </w:r>
      <w:r>
        <w:rPr>
          <w:rFonts w:ascii="Arial" w:cs="Arial" w:eastAsia="Arial" w:hAnsi="Arial"/>
          <w:sz w:val="19"/>
          <w:szCs w:val="19"/>
          <w:i w:val="1"/>
          <w:iCs w:val="1"/>
          <w:color w:val="auto"/>
        </w:rPr>
        <w:t xml:space="preserve"> </w:t>
      </w:r>
      <w:r>
        <w:rPr>
          <w:rFonts w:ascii="Arial" w:cs="Arial" w:eastAsia="Arial" w:hAnsi="Arial"/>
          <w:sz w:val="19"/>
          <w:szCs w:val="19"/>
          <w:color w:val="auto"/>
        </w:rPr>
        <w:t>drug submission ("</w:t>
      </w:r>
      <w:r>
        <w:rPr>
          <w:rFonts w:ascii="Arial" w:cs="Arial" w:eastAsia="Arial" w:hAnsi="Arial"/>
          <w:sz w:val="19"/>
          <w:szCs w:val="19"/>
          <w:b w:val="1"/>
          <w:bCs w:val="1"/>
          <w:color w:val="auto"/>
        </w:rPr>
        <w:t>NDS</w:t>
      </w:r>
      <w:r>
        <w:rPr>
          <w:rFonts w:ascii="Arial" w:cs="Arial" w:eastAsia="Arial" w:hAnsi="Arial"/>
          <w:sz w:val="19"/>
          <w:szCs w:val="19"/>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-753745</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United States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The process required before a prescription drug product candidate may be marketed in the United States generally involves:</w:t>
      </w:r>
    </w:p>
    <w:p>
      <w:pPr>
        <w:spacing w:after="0" w:line="241"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submission to the FDA of a New Drug Application ("</w:t>
      </w:r>
      <w:r>
        <w:rPr>
          <w:rFonts w:ascii="Arial" w:cs="Arial" w:eastAsia="Arial" w:hAnsi="Arial"/>
          <w:sz w:val="22"/>
          <w:szCs w:val="22"/>
          <w:b w:val="1"/>
          <w:bCs w:val="1"/>
          <w:color w:val="auto"/>
        </w:rPr>
        <w:t>NDA</w:t>
      </w:r>
      <w:r>
        <w:rPr>
          <w:rFonts w:ascii="Arial" w:cs="Arial" w:eastAsia="Arial" w:hAnsi="Arial"/>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both"/>
        <w:spacing w:after="0" w:line="258" w:lineRule="auto"/>
        <w:rPr>
          <w:sz w:val="20"/>
          <w:szCs w:val="20"/>
          <w:color w:val="auto"/>
        </w:rPr>
      </w:pPr>
      <w:r>
        <w:rPr>
          <w:rFonts w:ascii="Arial" w:cs="Arial" w:eastAsia="Arial" w:hAnsi="Arial"/>
          <w:sz w:val="21"/>
          <w:szCs w:val="21"/>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An independent institutional review board ("</w:t>
      </w:r>
      <w:r>
        <w:rPr>
          <w:rFonts w:ascii="Arial" w:cs="Arial" w:eastAsia="Arial" w:hAnsi="Arial"/>
          <w:sz w:val="21"/>
          <w:szCs w:val="21"/>
          <w:b w:val="1"/>
          <w:bCs w:val="1"/>
          <w:color w:val="auto"/>
        </w:rPr>
        <w:t>IRB</w:t>
      </w:r>
      <w:r>
        <w:rPr>
          <w:rFonts w:ascii="Arial" w:cs="Arial" w:eastAsia="Arial" w:hAnsi="Arial"/>
          <w:sz w:val="21"/>
          <w:szCs w:val="21"/>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0" w:name="page61"/>
    <w:bookmarkEnd w:id="60"/>
    <w:p>
      <w:pPr>
        <w:jc w:val="both"/>
        <w:spacing w:after="0" w:line="235" w:lineRule="auto"/>
        <w:rPr>
          <w:sz w:val="20"/>
          <w:szCs w:val="20"/>
          <w:color w:val="auto"/>
        </w:rPr>
      </w:pPr>
      <w:r>
        <w:rPr>
          <w:rFonts w:ascii="Arial" w:cs="Arial" w:eastAsia="Arial" w:hAnsi="Arial"/>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the United States, pharmaceutical manufacturers are subject to complex laws and regulations pertaining to healthcare "fraud and abuse," including, but not limited to, the Anti-Kickback Statute, the federal False Claims Act (the "</w:t>
      </w:r>
      <w:r>
        <w:rPr>
          <w:rFonts w:ascii="Arial" w:cs="Arial" w:eastAsia="Arial" w:hAnsi="Arial"/>
          <w:sz w:val="21"/>
          <w:szCs w:val="21"/>
          <w:b w:val="1"/>
          <w:bCs w:val="1"/>
          <w:color w:val="auto"/>
        </w:rPr>
        <w:t>FCA</w:t>
      </w:r>
      <w:r>
        <w:rPr>
          <w:rFonts w:ascii="Arial" w:cs="Arial" w:eastAsia="Arial" w:hAnsi="Arial"/>
          <w:sz w:val="21"/>
          <w:szCs w:val="21"/>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Controlled Substances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both"/>
        <w:spacing w:after="0" w:line="238" w:lineRule="auto"/>
        <w:rPr>
          <w:sz w:val="20"/>
          <w:szCs w:val="20"/>
          <w:color w:val="auto"/>
        </w:rPr>
      </w:pPr>
      <w:r>
        <w:rPr>
          <w:rFonts w:ascii="Arial" w:cs="Arial" w:eastAsia="Arial" w:hAnsi="Arial"/>
          <w:sz w:val="22"/>
          <w:szCs w:val="22"/>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200" w:lineRule="exact"/>
        <w:rPr>
          <w:sz w:val="20"/>
          <w:szCs w:val="20"/>
          <w:color w:val="auto"/>
        </w:rPr>
      </w:pP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5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Netherlands</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Regulation (EU) No 536/2014 on Clinical Trials on Medicinal Products for Human Use ( the "</w:t>
      </w:r>
      <w:r>
        <w:rPr>
          <w:rFonts w:ascii="Arial" w:cs="Arial" w:eastAsia="Arial" w:hAnsi="Arial"/>
          <w:sz w:val="21"/>
          <w:szCs w:val="21"/>
          <w:b w:val="1"/>
          <w:bCs w:val="1"/>
          <w:color w:val="auto"/>
        </w:rPr>
        <w:t>CTR</w:t>
      </w:r>
      <w:r>
        <w:rPr>
          <w:rFonts w:ascii="Arial" w:cs="Arial" w:eastAsia="Arial" w:hAnsi="Arial"/>
          <w:sz w:val="21"/>
          <w:szCs w:val="21"/>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both"/>
        <w:spacing w:after="0" w:line="279" w:lineRule="auto"/>
        <w:rPr>
          <w:sz w:val="20"/>
          <w:szCs w:val="20"/>
          <w:color w:val="auto"/>
        </w:rPr>
      </w:pPr>
      <w:r>
        <w:rPr>
          <w:rFonts w:ascii="Arial" w:cs="Arial" w:eastAsia="Arial" w:hAnsi="Arial"/>
          <w:sz w:val="19"/>
          <w:szCs w:val="19"/>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Arial" w:cs="Arial" w:eastAsia="Arial" w:hAnsi="Arial"/>
          <w:sz w:val="19"/>
          <w:szCs w:val="19"/>
          <w:b w:val="1"/>
          <w:bCs w:val="1"/>
          <w:color w:val="auto"/>
        </w:rPr>
        <w:t>IMP</w:t>
      </w:r>
      <w:r>
        <w:rPr>
          <w:rFonts w:ascii="Arial" w:cs="Arial" w:eastAsia="Arial" w:hAnsi="Arial"/>
          <w:sz w:val="19"/>
          <w:szCs w:val="19"/>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Pharmaceutical Products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pgSz w:w="11900" w:h="16838" w:orient="portrait"/>
          <w:cols w:equalWidth="0" w:num="1">
            <w:col w:w="11240"/>
          </w:cols>
          <w:pgMar w:left="320" w:top="118" w:right="339" w:bottom="358"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358" w:gutter="0" w:footer="0" w:header="0"/>
          <w:type w:val="continuous"/>
        </w:sectPr>
      </w:pPr>
    </w:p>
    <w:bookmarkStart w:id="63" w:name="page64"/>
    <w:bookmarkEnd w:id="63"/>
    <w:p>
      <w:pPr>
        <w:jc w:val="both"/>
        <w:spacing w:after="0" w:line="245" w:lineRule="auto"/>
        <w:rPr>
          <w:sz w:val="20"/>
          <w:szCs w:val="20"/>
          <w:color w:val="auto"/>
        </w:rPr>
      </w:pPr>
      <w:r>
        <w:rPr>
          <w:rFonts w:ascii="Arial" w:cs="Arial" w:eastAsia="Arial" w:hAnsi="Arial"/>
          <w:sz w:val="21"/>
          <w:szCs w:val="21"/>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Market Authorization Regulatory Process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both"/>
        <w:spacing w:after="0" w:line="272" w:lineRule="auto"/>
        <w:rPr>
          <w:sz w:val="20"/>
          <w:szCs w:val="20"/>
          <w:color w:val="auto"/>
        </w:rPr>
      </w:pPr>
      <w:r>
        <w:rPr>
          <w:rFonts w:ascii="Arial" w:cs="Arial" w:eastAsia="Arial" w:hAnsi="Arial"/>
          <w:sz w:val="19"/>
          <w:szCs w:val="19"/>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Arial" w:cs="Arial" w:eastAsia="Arial" w:hAnsi="Arial"/>
          <w:sz w:val="19"/>
          <w:szCs w:val="19"/>
          <w:b w:val="1"/>
          <w:bCs w:val="1"/>
          <w:color w:val="auto"/>
        </w:rPr>
        <w:t>CMDh</w:t>
      </w:r>
      <w:r>
        <w:rPr>
          <w:rFonts w:ascii="Arial" w:cs="Arial" w:eastAsia="Arial" w:hAnsi="Arial"/>
          <w:sz w:val="19"/>
          <w:szCs w:val="19"/>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Cooperation Treaty</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The Patent Cooperation Treaty (the "</w:t>
      </w:r>
      <w:r>
        <w:rPr>
          <w:rFonts w:ascii="Arial" w:cs="Arial" w:eastAsia="Arial" w:hAnsi="Arial"/>
          <w:sz w:val="21"/>
          <w:szCs w:val="21"/>
          <w:b w:val="1"/>
          <w:bCs w:val="1"/>
          <w:color w:val="auto"/>
        </w:rPr>
        <w:t>PCT</w:t>
      </w:r>
      <w:r>
        <w:rPr>
          <w:rFonts w:ascii="Arial" w:cs="Arial" w:eastAsia="Arial" w:hAnsi="Arial"/>
          <w:sz w:val="21"/>
          <w:szCs w:val="21"/>
          <w:color w:val="auto"/>
        </w:rPr>
        <w:t>") facilitates filing for patent recognition in multiple jurisdictions simultaneously using a single uniform patent application. 157 countries, including Canada and the United States have ratified the PCT.</w:t>
      </w:r>
    </w:p>
    <w:p>
      <w:pPr>
        <w:spacing w:after="0" w:line="14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COMPLIANCE PROGRAM</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both"/>
        <w:spacing w:after="0" w:line="238" w:lineRule="auto"/>
        <w:rPr>
          <w:sz w:val="20"/>
          <w:szCs w:val="20"/>
          <w:color w:val="auto"/>
        </w:rPr>
      </w:pPr>
      <w:r>
        <w:rPr>
          <w:rFonts w:ascii="Arial" w:cs="Arial" w:eastAsia="Arial" w:hAnsi="Arial"/>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have been no material changes to the share and loan capitalization of the Corporation since the date of the Interim Financial Statements.</w:t>
      </w:r>
    </w:p>
    <w:p>
      <w:pPr>
        <w:spacing w:after="0" w:line="17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9"/>
          <w:szCs w:val="19"/>
          <w:i w:val="1"/>
          <w:iCs w:val="1"/>
          <w:color w:val="auto"/>
        </w:rPr>
        <w:t>"Risk Factors - Risks</w:t>
      </w:r>
      <w:r>
        <w:rPr>
          <w:rFonts w:ascii="Arial" w:cs="Arial" w:eastAsia="Arial" w:hAnsi="Arial"/>
          <w:sz w:val="19"/>
          <w:szCs w:val="19"/>
          <w:color w:val="auto"/>
        </w:rPr>
        <w:t xml:space="preserve"> </w:t>
      </w:r>
      <w:r>
        <w:rPr>
          <w:rFonts w:ascii="Arial" w:cs="Arial" w:eastAsia="Arial" w:hAnsi="Arial"/>
          <w:sz w:val="19"/>
          <w:szCs w:val="19"/>
          <w:i w:val="1"/>
          <w:iCs w:val="1"/>
          <w:color w:val="auto"/>
        </w:rPr>
        <w:t>Related to an Offering - Discretion over the Use of Proceeds"</w:t>
      </w:r>
      <w:r>
        <w:rPr>
          <w:rFonts w:ascii="Arial" w:cs="Arial" w:eastAsia="Arial" w:hAnsi="Arial"/>
          <w:sz w:val="19"/>
          <w:szCs w:val="19"/>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Capital</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both"/>
        <w:spacing w:after="0" w:line="247" w:lineRule="auto"/>
        <w:rPr>
          <w:sz w:val="20"/>
          <w:szCs w:val="20"/>
          <w:color w:val="auto"/>
        </w:rPr>
      </w:pPr>
      <w:r>
        <w:rPr>
          <w:rFonts w:ascii="Arial" w:cs="Arial" w:eastAsia="Arial" w:hAnsi="Arial"/>
          <w:sz w:val="21"/>
          <w:szCs w:val="21"/>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Anticipated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12 Month Use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Anticipated</w:t>
            </w:r>
          </w:p>
        </w:tc>
        <w:tc>
          <w:tcPr>
            <w:tcW w:w="0" w:type="dxa"/>
            <w:vAlign w:val="bottom"/>
          </w:tcPr>
          <w:p>
            <w:pPr>
              <w:spacing w:after="0"/>
              <w:rPr>
                <w:sz w:val="1"/>
                <w:szCs w:val="1"/>
                <w:color w:val="auto"/>
              </w:rPr>
            </w:pPr>
          </w:p>
        </w:tc>
      </w:tr>
      <w:tr>
        <w:trPr>
          <w:trHeight w:val="221"/>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240" w:type="dxa"/>
            <w:vAlign w:val="bottom"/>
            <w:gridSpan w:val="2"/>
          </w:tcPr>
          <w:p>
            <w:pPr>
              <w:jc w:val="center"/>
              <w:ind w:right="240"/>
              <w:spacing w:after="0" w:line="221" w:lineRule="exact"/>
              <w:rPr>
                <w:sz w:val="20"/>
                <w:szCs w:val="20"/>
                <w:color w:val="auto"/>
              </w:rPr>
            </w:pPr>
            <w:r>
              <w:rPr>
                <w:rFonts w:ascii="Arial" w:cs="Arial" w:eastAsia="Arial" w:hAnsi="Arial"/>
                <w:sz w:val="16"/>
                <w:szCs w:val="16"/>
                <w:b w:val="1"/>
                <w:bCs w:val="1"/>
                <w:color w:val="auto"/>
                <w:w w:val="95"/>
              </w:rPr>
              <w:t>of Funds</w:t>
            </w:r>
            <w:r>
              <w:rPr>
                <w:rFonts w:ascii="Arial" w:cs="Arial" w:eastAsia="Arial" w:hAnsi="Arial"/>
                <w:sz w:val="25"/>
                <w:szCs w:val="25"/>
                <w:b w:val="1"/>
                <w:bCs w:val="1"/>
                <w:color w:val="auto"/>
                <w:w w:val="95"/>
                <w:vertAlign w:val="superscript"/>
              </w:rPr>
              <w:t>(2)(3)</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Timeline for</w:t>
            </w:r>
          </w:p>
        </w:tc>
        <w:tc>
          <w:tcPr>
            <w:tcW w:w="0" w:type="dxa"/>
            <w:vAlign w:val="bottom"/>
          </w:tcPr>
          <w:p>
            <w:pPr>
              <w:spacing w:after="0"/>
              <w:rPr>
                <w:sz w:val="1"/>
                <w:szCs w:val="1"/>
                <w:color w:val="auto"/>
              </w:rPr>
            </w:pPr>
          </w:p>
        </w:tc>
      </w:tr>
      <w:tr>
        <w:trPr>
          <w:trHeight w:val="162"/>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w w:val="89"/>
              </w:rPr>
              <w:t>Program</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w w:val="87"/>
              </w:rPr>
              <w:t>(1)</w:t>
            </w:r>
          </w:p>
        </w:tc>
        <w:tc>
          <w:tcPr>
            <w:tcW w:w="5460" w:type="dxa"/>
            <w:vAlign w:val="bottom"/>
            <w:vMerge w:val="restart"/>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14"/>
                <w:szCs w:val="14"/>
                <w:color w:val="auto"/>
              </w:rPr>
            </w:pPr>
          </w:p>
        </w:tc>
        <w:tc>
          <w:tcPr>
            <w:tcW w:w="1540" w:type="dxa"/>
            <w:vAlign w:val="bottom"/>
            <w:vMerge w:val="restart"/>
          </w:tcPr>
          <w:p>
            <w:pPr>
              <w:jc w:val="center"/>
              <w:spacing w:after="0" w:line="230" w:lineRule="exact"/>
              <w:rPr>
                <w:sz w:val="20"/>
                <w:szCs w:val="20"/>
                <w:color w:val="auto"/>
              </w:rPr>
            </w:pPr>
            <w:r>
              <w:rPr>
                <w:rFonts w:ascii="Arial" w:cs="Arial" w:eastAsia="Arial" w:hAnsi="Arial"/>
                <w:sz w:val="16"/>
                <w:szCs w:val="16"/>
                <w:b w:val="1"/>
                <w:bCs w:val="1"/>
                <w:color w:val="auto"/>
                <w:w w:val="98"/>
              </w:rPr>
              <w:t>Completio</w:t>
            </w:r>
            <w:r>
              <w:rPr>
                <w:rFonts w:ascii="Arial" w:cs="Arial" w:eastAsia="Arial" w:hAnsi="Arial"/>
                <w:sz w:val="26"/>
                <w:szCs w:val="26"/>
                <w:b w:val="1"/>
                <w:bCs w:val="1"/>
                <w:color w:val="auto"/>
                <w:w w:val="98"/>
                <w:vertAlign w:val="superscript"/>
              </w:rPr>
              <w:t>(4)</w:t>
            </w:r>
          </w:p>
        </w:tc>
        <w:tc>
          <w:tcPr>
            <w:tcW w:w="0" w:type="dxa"/>
            <w:vAlign w:val="bottom"/>
          </w:tcPr>
          <w:p>
            <w:pPr>
              <w:spacing w:after="0"/>
              <w:rPr>
                <w:sz w:val="1"/>
                <w:szCs w:val="1"/>
                <w:color w:val="auto"/>
              </w:rPr>
            </w:pPr>
          </w:p>
        </w:tc>
      </w:tr>
      <w:tr>
        <w:trPr>
          <w:trHeight w:val="53"/>
        </w:trPr>
        <w:tc>
          <w:tcPr>
            <w:tcW w:w="6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54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80" w:type="dxa"/>
            <w:vAlign w:val="bottom"/>
            <w:tcBorders>
              <w:bottom w:val="single" w:sz="8" w:color="E6EFFF"/>
            </w:tcBorders>
          </w:tcPr>
          <w:p>
            <w:pPr>
              <w:spacing w:after="0" w:line="20" w:lineRule="exact"/>
              <w:rPr>
                <w:sz w:val="1"/>
                <w:szCs w:val="1"/>
                <w:color w:val="auto"/>
              </w:rPr>
            </w:pPr>
          </w:p>
        </w:tc>
        <w:tc>
          <w:tcPr>
            <w:tcW w:w="180" w:type="dxa"/>
            <w:vAlign w:val="bottom"/>
            <w:tcBorders>
              <w:bottom w:val="single" w:sz="8" w:color="E6EFFF"/>
            </w:tcBorders>
          </w:tcPr>
          <w:p>
            <w:pPr>
              <w:spacing w:after="0" w:line="20" w:lineRule="exact"/>
              <w:rPr>
                <w:sz w:val="1"/>
                <w:szCs w:val="1"/>
                <w:color w:val="auto"/>
              </w:rPr>
            </w:pPr>
          </w:p>
        </w:tc>
        <w:tc>
          <w:tcPr>
            <w:tcW w:w="5460" w:type="dxa"/>
            <w:vAlign w:val="bottom"/>
            <w:tcBorders>
              <w:bottom w:val="single" w:sz="8" w:color="E6EF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6E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Deuterated Psilocybin Analog Program</w:t>
            </w:r>
          </w:p>
        </w:tc>
        <w:tc>
          <w:tcPr>
            <w:tcW w:w="2000" w:type="dxa"/>
            <w:vAlign w:val="bottom"/>
            <w:shd w:val="clear" w:color="auto" w:fill="E6EFFF"/>
          </w:tcPr>
          <w:p>
            <w:pPr>
              <w:spacing w:after="0"/>
              <w:rPr>
                <w:sz w:val="18"/>
                <w:szCs w:val="18"/>
                <w:color w:val="auto"/>
              </w:rPr>
            </w:pP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Provide topline data readout from the Phase 1/2a study</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3,880,627</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Q3/Q4 2023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Complete FDA submission of Phase 1/2a data</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2,500,200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Deuterated Dimethyltryptamine Program</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Provide topline data from Phase 1 CYB004-E trial</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1,269,000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Q3/Q4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Complete FDA IND submission</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1,372,950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Q1 2024</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Phenethylamine Derivatives Program</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Technology Programs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20" w:type="dxa"/>
            <w:vAlign w:val="bottom"/>
            <w:gridSpan w:val="3"/>
            <w:shd w:val="clear" w:color="auto" w:fill="E6EFFF"/>
          </w:tcPr>
          <w:p>
            <w:pPr>
              <w:spacing w:after="0" w:line="256" w:lineRule="exact"/>
              <w:rPr>
                <w:sz w:val="20"/>
                <w:szCs w:val="20"/>
                <w:color w:val="auto"/>
              </w:rPr>
            </w:pPr>
            <w:r>
              <w:rPr>
                <w:rFonts w:ascii="Arial" w:cs="Arial" w:eastAsia="Arial" w:hAnsi="Arial"/>
                <w:sz w:val="18"/>
                <w:szCs w:val="18"/>
                <w:color w:val="auto"/>
              </w:rPr>
              <w:t>Working Capital, and General Corporate Purposes</w:t>
            </w:r>
            <w:r>
              <w:rPr>
                <w:rFonts w:ascii="Arial" w:cs="Arial" w:eastAsia="Arial" w:hAnsi="Arial"/>
                <w:sz w:val="29"/>
                <w:szCs w:val="29"/>
                <w:color w:val="auto"/>
                <w:vertAlign w:val="superscript"/>
              </w:rPr>
              <w:t>(5)</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12,059,223</w:t>
            </w:r>
          </w:p>
        </w:tc>
        <w:tc>
          <w:tcPr>
            <w:tcW w:w="240" w:type="dxa"/>
            <w:vAlign w:val="bottom"/>
            <w:shd w:val="clear" w:color="auto" w:fill="E6EFFF"/>
          </w:tcPr>
          <w:p>
            <w:pPr>
              <w:spacing w:after="0"/>
              <w:rPr>
                <w:sz w:val="22"/>
                <w:szCs w:val="22"/>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tcPr>
          <w:p>
            <w:pPr>
              <w:ind w:left="2100"/>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21,082,000</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22"/>
          <w:szCs w:val="22"/>
          <w:b w:val="1"/>
          <w:bCs w:val="1"/>
          <w:u w:val="single" w:color="auto"/>
          <w:color w:val="auto"/>
        </w:rPr>
        <w:t>Notes:</w:t>
      </w:r>
    </w:p>
    <w:p>
      <w:pPr>
        <w:spacing w:after="0" w:line="212" w:lineRule="exact"/>
        <w:rPr>
          <w:sz w:val="20"/>
          <w:szCs w:val="20"/>
          <w:color w:val="auto"/>
        </w:rPr>
      </w:pPr>
    </w:p>
    <w:p>
      <w:pPr>
        <w:jc w:val="both"/>
        <w:ind w:left="780" w:hanging="276"/>
        <w:spacing w:after="0" w:line="236" w:lineRule="auto"/>
        <w:tabs>
          <w:tab w:leader="none" w:pos="825" w:val="left"/>
        </w:tabs>
        <w:numPr>
          <w:ilvl w:val="0"/>
          <w:numId w:val="21"/>
        </w:numPr>
        <w:rPr>
          <w:rFonts w:ascii="Arial" w:cs="Arial" w:eastAsia="Arial" w:hAnsi="Arial"/>
          <w:sz w:val="22"/>
          <w:szCs w:val="22"/>
          <w:color w:val="auto"/>
        </w:rPr>
      </w:pPr>
      <w:r>
        <w:rPr>
          <w:rFonts w:ascii="Arial" w:cs="Arial" w:eastAsia="Arial" w:hAnsi="Arial"/>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820" w:hanging="316"/>
        <w:spacing w:after="0" w:line="230" w:lineRule="auto"/>
        <w:tabs>
          <w:tab w:leader="none" w:pos="8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Certain amounts have been converted from USD to CAD at an exchange rate of 1.35:1.</w:t>
      </w:r>
    </w:p>
    <w:p>
      <w:pPr>
        <w:ind w:left="780" w:hanging="276"/>
        <w:spacing w:after="0" w:line="230" w:lineRule="auto"/>
        <w:tabs>
          <w:tab w:leader="none" w:pos="825"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Represents proceeds from private placements and offerings previously disclosed, as well proceeds from the ATM Program and May 2023 Prospectus.</w:t>
      </w:r>
    </w:p>
    <w:p>
      <w:pPr>
        <w:spacing w:after="0" w:line="1" w:lineRule="exact"/>
        <w:rPr>
          <w:rFonts w:ascii="Arial" w:cs="Arial" w:eastAsia="Arial" w:hAnsi="Arial"/>
          <w:sz w:val="22"/>
          <w:szCs w:val="22"/>
          <w:color w:val="auto"/>
        </w:rPr>
      </w:pPr>
    </w:p>
    <w:p>
      <w:pPr>
        <w:jc w:val="both"/>
        <w:ind w:left="780" w:hanging="276"/>
        <w:spacing w:after="0" w:line="230" w:lineRule="auto"/>
        <w:tabs>
          <w:tab w:leader="none" w:pos="825"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Arial" w:cs="Arial" w:eastAsia="Arial" w:hAnsi="Arial"/>
          <w:sz w:val="22"/>
          <w:szCs w:val="22"/>
          <w:color w:val="auto"/>
        </w:rPr>
      </w:pPr>
    </w:p>
    <w:p>
      <w:pPr>
        <w:jc w:val="both"/>
        <w:ind w:left="780" w:hanging="276"/>
        <w:spacing w:after="0" w:line="280" w:lineRule="auto"/>
        <w:tabs>
          <w:tab w:leader="none" w:pos="825"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w:t>
      </w:r>
    </w:p>
    <w:p>
      <w:pPr>
        <w:jc w:val="both"/>
        <w:spacing w:after="0" w:line="217" w:lineRule="auto"/>
        <w:rPr>
          <w:sz w:val="20"/>
          <w:szCs w:val="20"/>
          <w:color w:val="auto"/>
        </w:rPr>
      </w:pPr>
      <w:r>
        <w:rPr>
          <w:rFonts w:ascii="Arial" w:cs="Arial" w:eastAsia="Arial" w:hAnsi="Arial"/>
          <w:sz w:val="21"/>
          <w:szCs w:val="21"/>
          <w:color w:val="auto"/>
        </w:rPr>
        <w:t>approximate remaining spend as of June 30, 2023 of $76,000 by September 30, 2023.</w:t>
      </w:r>
      <w:r>
        <w:rPr>
          <w:rFonts w:ascii="Arial" w:cs="Arial" w:eastAsia="Arial" w:hAnsi="Arial"/>
          <w:sz w:val="34"/>
          <w:szCs w:val="34"/>
          <w:color w:val="auto"/>
          <w:vertAlign w:val="superscript"/>
        </w:rPr>
        <w:t>10</w:t>
      </w:r>
      <w:r>
        <w:rPr>
          <w:rFonts w:ascii="Arial" w:cs="Arial" w:eastAsia="Arial" w:hAnsi="Arial"/>
          <w:sz w:val="21"/>
          <w:szCs w:val="21"/>
          <w:color w:val="auto"/>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83" w:lineRule="exact"/>
        <w:rPr>
          <w:sz w:val="20"/>
          <w:szCs w:val="20"/>
          <w:color w:val="auto"/>
        </w:rPr>
      </w:pPr>
    </w:p>
    <w:p>
      <w:pPr>
        <w:jc w:val="both"/>
        <w:ind w:firstLine="8"/>
        <w:spacing w:after="0" w:line="241" w:lineRule="auto"/>
        <w:tabs>
          <w:tab w:leader="none" w:pos="252" w:val="left"/>
        </w:tabs>
        <w:numPr>
          <w:ilvl w:val="0"/>
          <w:numId w:val="22"/>
        </w:numPr>
        <w:rPr>
          <w:rFonts w:ascii="Arial" w:cs="Arial" w:eastAsia="Arial" w:hAnsi="Arial"/>
          <w:sz w:val="32"/>
          <w:szCs w:val="32"/>
          <w:color w:val="auto"/>
          <w:vertAlign w:val="superscript"/>
        </w:rPr>
      </w:pPr>
      <w:r>
        <w:rPr>
          <w:rFonts w:ascii="Arial" w:cs="Arial" w:eastAsia="Arial" w:hAnsi="Arial"/>
          <w:sz w:val="20"/>
          <w:szCs w:val="20"/>
          <w:color w:val="auto"/>
        </w:rPr>
        <w:t>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18" w:right="339" w:bottom="0" w:gutter="0" w:footer="0" w:header="0"/>
        </w:sectPr>
      </w:pPr>
    </w:p>
    <w:bookmarkStart w:id="67" w:name="page68"/>
    <w:bookmarkEnd w:id="67"/>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8" w:name="page69"/>
    <w:bookmarkEnd w:id="68"/>
    <w:p>
      <w:pPr>
        <w:jc w:val="both"/>
        <w:ind w:right="20"/>
        <w:spacing w:after="0" w:line="251" w:lineRule="auto"/>
        <w:rPr>
          <w:sz w:val="20"/>
          <w:szCs w:val="20"/>
          <w:color w:val="auto"/>
        </w:rPr>
      </w:pPr>
      <w:r>
        <w:rPr>
          <w:rFonts w:ascii="Arial" w:cs="Arial" w:eastAsia="Arial" w:hAnsi="Arial"/>
          <w:sz w:val="22"/>
          <w:szCs w:val="22"/>
          <w:color w:val="auto"/>
        </w:rPr>
        <w:t>The Corporation's expectation is based on certain assumptions and risks as set forth in the section "</w:t>
      </w:r>
      <w:r>
        <w:rPr>
          <w:rFonts w:ascii="Arial" w:cs="Arial" w:eastAsia="Arial" w:hAnsi="Arial"/>
          <w:sz w:val="22"/>
          <w:szCs w:val="22"/>
          <w:i w:val="1"/>
          <w:iCs w:val="1"/>
          <w:color w:val="auto"/>
        </w:rPr>
        <w:t>Cautionary Note Regarding</w:t>
      </w:r>
      <w:r>
        <w:rPr>
          <w:rFonts w:ascii="Arial" w:cs="Arial" w:eastAsia="Arial" w:hAnsi="Arial"/>
          <w:sz w:val="22"/>
          <w:szCs w:val="22"/>
          <w:color w:val="auto"/>
        </w:rPr>
        <w:t xml:space="preserve"> </w:t>
      </w:r>
      <w:r>
        <w:rPr>
          <w:rFonts w:ascii="Arial" w:cs="Arial" w:eastAsia="Arial" w:hAnsi="Arial"/>
          <w:sz w:val="22"/>
          <w:szCs w:val="22"/>
          <w:i w:val="1"/>
          <w:iCs w:val="1"/>
          <w:color w:val="auto"/>
        </w:rPr>
        <w:t>Forward Looking Information</w:t>
      </w:r>
      <w:r>
        <w:rPr>
          <w:rFonts w:ascii="Arial" w:cs="Arial" w:eastAsia="Arial" w:hAnsi="Arial"/>
          <w:sz w:val="22"/>
          <w:szCs w:val="22"/>
          <w:color w:val="auto"/>
        </w:rPr>
        <w:t>" and "</w:t>
      </w:r>
      <w:r>
        <w:rPr>
          <w:rFonts w:ascii="Arial" w:cs="Arial" w:eastAsia="Arial" w:hAnsi="Arial"/>
          <w:sz w:val="22"/>
          <w:szCs w:val="22"/>
          <w:i w:val="1"/>
          <w:iCs w:val="1"/>
          <w:color w:val="auto"/>
        </w:rPr>
        <w:t>Risk Factors</w:t>
      </w:r>
      <w:r>
        <w:rPr>
          <w:rFonts w:ascii="Arial" w:cs="Arial" w:eastAsia="Arial" w:hAnsi="Arial"/>
          <w:sz w:val="22"/>
          <w:szCs w:val="22"/>
          <w:color w:val="auto"/>
        </w:rPr>
        <w:t>" in this Prospectus.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9"/>
          <w:szCs w:val="19"/>
          <w:i w:val="1"/>
          <w:iCs w:val="1"/>
          <w:color w:val="auto"/>
        </w:rPr>
        <w:t>Cautionary Note Regarding Forward-Looking Information"</w:t>
      </w:r>
      <w:r>
        <w:rPr>
          <w:rFonts w:ascii="Arial" w:cs="Arial" w:eastAsia="Arial" w:hAnsi="Arial"/>
          <w:sz w:val="19"/>
          <w:szCs w:val="19"/>
          <w:color w:val="auto"/>
        </w:rPr>
        <w:t xml:space="preserve"> section above. The actual amount that the Corporation spends in connection with each of the identified uses and programs will depend on a number of factors, including those listed under </w:t>
      </w:r>
      <w:r>
        <w:rPr>
          <w:rFonts w:ascii="Arial" w:cs="Arial" w:eastAsia="Arial" w:hAnsi="Arial"/>
          <w:sz w:val="19"/>
          <w:szCs w:val="19"/>
          <w:i w:val="1"/>
          <w:iCs w:val="1"/>
          <w:color w:val="auto"/>
        </w:rPr>
        <w:t xml:space="preserve">"Risk Factors" </w:t>
      </w:r>
      <w:r>
        <w:rPr>
          <w:rFonts w:ascii="Arial" w:cs="Arial" w:eastAsia="Arial" w:hAnsi="Arial"/>
          <w:sz w:val="19"/>
          <w:szCs w:val="19"/>
          <w:color w:val="auto"/>
        </w:rPr>
        <w:t>in, or incorporated by reference in,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Negative Cash Flow From Operations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9"/>
          <w:szCs w:val="19"/>
          <w:i w:val="1"/>
          <w:iCs w:val="1"/>
          <w:color w:val="auto"/>
        </w:rPr>
        <w:t>"Risk Factors - Risks Related to an Offering - Negative Operating Cash Flow and</w:t>
      </w:r>
      <w:r>
        <w:rPr>
          <w:rFonts w:ascii="Arial" w:cs="Arial" w:eastAsia="Arial" w:hAnsi="Arial"/>
          <w:sz w:val="19"/>
          <w:szCs w:val="19"/>
          <w:color w:val="auto"/>
        </w:rPr>
        <w:t xml:space="preserve"> </w:t>
      </w:r>
      <w:r>
        <w:rPr>
          <w:rFonts w:ascii="Arial" w:cs="Arial" w:eastAsia="Arial" w:hAnsi="Arial"/>
          <w:sz w:val="19"/>
          <w:szCs w:val="19"/>
          <w:i w:val="1"/>
          <w:iCs w:val="1"/>
          <w:color w:val="auto"/>
        </w:rPr>
        <w:t>Going Concern".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 POLICY</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9"/>
          <w:szCs w:val="19"/>
          <w:i w:val="1"/>
          <w:iCs w:val="1"/>
          <w:color w:val="auto"/>
        </w:rPr>
        <w:t>Risk Factors -</w:t>
      </w:r>
      <w:r>
        <w:rPr>
          <w:rFonts w:ascii="Arial" w:cs="Arial" w:eastAsia="Arial" w:hAnsi="Arial"/>
          <w:sz w:val="19"/>
          <w:szCs w:val="19"/>
          <w:color w:val="auto"/>
        </w:rPr>
        <w:t xml:space="preserve"> </w:t>
      </w:r>
      <w:r>
        <w:rPr>
          <w:rFonts w:ascii="Arial" w:cs="Arial" w:eastAsia="Arial" w:hAnsi="Arial"/>
          <w:sz w:val="19"/>
          <w:szCs w:val="19"/>
          <w:i w:val="1"/>
          <w:iCs w:val="1"/>
          <w:color w:val="auto"/>
        </w:rPr>
        <w:t>Risks Related to an Offering - Speculative Nature of Investment Risk</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 BEING DISTRIBUTED</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Common Shares</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is authorized to issue an unlimited number of Common Shares and an unlimited number of preferred shares. As at August 16, 2023, the Corporation had 234,683,234 Common Shares and nil preferred shares issued and outstanding.</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2"/>
          <w:szCs w:val="22"/>
          <w:b w:val="1"/>
          <w:bCs w:val="1"/>
          <w:color w:val="auto"/>
        </w:rPr>
        <w:t>Units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7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Securities comprising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Securities</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Debt Securities may be issued in one or more series under an indenture (the "</w:t>
      </w:r>
      <w:r>
        <w:rPr>
          <w:rFonts w:ascii="Arial" w:cs="Arial" w:eastAsia="Arial" w:hAnsi="Arial"/>
          <w:sz w:val="19"/>
          <w:szCs w:val="19"/>
          <w:b w:val="1"/>
          <w:bCs w:val="1"/>
          <w:color w:val="auto"/>
        </w:rPr>
        <w:t>Indenture</w:t>
      </w:r>
      <w:r>
        <w:rPr>
          <w:rFonts w:ascii="Arial" w:cs="Arial" w:eastAsia="Arial" w:hAnsi="Arial"/>
          <w:sz w:val="19"/>
          <w:szCs w:val="19"/>
          <w:color w:val="auto"/>
        </w:rPr>
        <w:t>") to be entered into between the Corporation and one or more trustees (the "</w:t>
      </w:r>
      <w:r>
        <w:rPr>
          <w:rFonts w:ascii="Arial" w:cs="Arial" w:eastAsia="Arial" w:hAnsi="Arial"/>
          <w:sz w:val="19"/>
          <w:szCs w:val="19"/>
          <w:b w:val="1"/>
          <w:bCs w:val="1"/>
          <w:color w:val="auto"/>
        </w:rPr>
        <w:t>Trustee</w:t>
      </w:r>
      <w:r>
        <w:rPr>
          <w:rFonts w:ascii="Arial" w:cs="Arial" w:eastAsia="Arial" w:hAnsi="Arial"/>
          <w:sz w:val="19"/>
          <w:szCs w:val="19"/>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-77470</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1" w:name="page72"/>
    <w:bookmarkEnd w:id="71"/>
    <w:p>
      <w:pPr>
        <w:ind w:left="660"/>
        <w:spacing w:after="0" w:line="251" w:lineRule="auto"/>
        <w:rPr>
          <w:sz w:val="20"/>
          <w:szCs w:val="20"/>
          <w:color w:val="auto"/>
        </w:rPr>
      </w:pPr>
      <w:r>
        <w:rPr>
          <w:rFonts w:ascii="Arial" w:cs="Arial" w:eastAsia="Arial" w:hAnsi="Arial"/>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-274320</wp:posOffset>
            </wp:positionV>
            <wp:extent cx="68580"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660"/>
        <w:spacing w:after="0" w:line="256" w:lineRule="auto"/>
        <w:rPr>
          <w:sz w:val="20"/>
          <w:szCs w:val="20"/>
          <w:color w:val="auto"/>
        </w:rPr>
      </w:pPr>
      <w:r>
        <w:rPr>
          <w:rFonts w:ascii="Arial" w:cs="Arial" w:eastAsia="Arial" w:hAnsi="Arial"/>
          <w:sz w:val="22"/>
          <w:szCs w:val="22"/>
          <w:color w:val="auto"/>
        </w:rPr>
        <w:t>whether the Debt Securities will be issuable in the form of global securities ("</w:t>
      </w:r>
      <w:r>
        <w:rPr>
          <w:rFonts w:ascii="Arial" w:cs="Arial" w:eastAsia="Arial" w:hAnsi="Arial"/>
          <w:sz w:val="22"/>
          <w:szCs w:val="22"/>
          <w:b w:val="1"/>
          <w:bCs w:val="1"/>
          <w:color w:val="auto"/>
        </w:rPr>
        <w:t>Global Securities</w:t>
      </w:r>
      <w:r>
        <w:rPr>
          <w:rFonts w:ascii="Arial" w:cs="Arial" w:eastAsia="Arial" w:hAnsi="Arial"/>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-277495</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-92075</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series of Debt Securities may be issued at various times with different maturity dates, may bear interest at different rates and may otherwise vary.</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Corporation may, from time to time, issue Debt Securities and incur additional indebtedness other than through the issue of Debt Securities pursuant to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Subscription Receipts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Subscription Receipts may be offered separately or together with other Securities, as the case may be. The Subscription Receipts may be issued under a subscription receipt agreement.</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pgSz w:w="11900" w:h="16838" w:orient="portrait"/>
          <w:cols w:equalWidth="0" w:num="1">
            <w:col w:w="11240"/>
          </w:cols>
          <w:pgMar w:left="320" w:top="118" w:right="339" w:bottom="11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15" w:gutter="0" w:footer="0" w:header="0"/>
          <w:type w:val="continuous"/>
        </w:sectPr>
      </w:pPr>
    </w:p>
    <w:bookmarkStart w:id="72" w:name="page73"/>
    <w:bookmarkEnd w:id="72"/>
    <w:p>
      <w:pPr>
        <w:ind w:left="660"/>
        <w:spacing w:after="0"/>
        <w:rPr>
          <w:sz w:val="20"/>
          <w:szCs w:val="20"/>
          <w:color w:val="auto"/>
        </w:rPr>
      </w:pPr>
      <w:r>
        <w:rPr>
          <w:rFonts w:ascii="Arial" w:cs="Arial" w:eastAsia="Arial" w:hAnsi="Arial"/>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-98425</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terms applicable to the gross or net proceeds from the sale of the Subscription Receipts plus any interest earned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-77470</wp:posOffset>
            </wp:positionV>
            <wp:extent cx="6858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PLAN OF DISTRIBUTION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Corporation may from time to time during the 25-month period that this Prospectus, including any amendments and supplements hereto, remains valid, offer for sale and sell up to an aggregate of $160,000,000 in Securities hereunder.</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both"/>
        <w:spacing w:after="0" w:line="235" w:lineRule="auto"/>
        <w:rPr>
          <w:sz w:val="20"/>
          <w:szCs w:val="20"/>
          <w:color w:val="auto"/>
        </w:rPr>
      </w:pPr>
      <w:r>
        <w:rPr>
          <w:rFonts w:ascii="Arial" w:cs="Arial" w:eastAsia="Arial" w:hAnsi="Arial"/>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connection with the sale of the Securities, underwriters, dealers or agents may receive compensation from the Corporation including in the form of underwriters', dealers' or agents' fees, commissions or concessions.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9"/>
          <w:szCs w:val="19"/>
          <w:i w:val="1"/>
          <w:iCs w:val="1"/>
          <w:color w:val="auto"/>
        </w:rPr>
        <w:t>"Risk Factors"</w:t>
      </w:r>
      <w:r>
        <w:rPr>
          <w:rFonts w:ascii="Arial" w:cs="Arial" w:eastAsia="Arial" w:hAnsi="Arial"/>
          <w:sz w:val="19"/>
          <w:szCs w:val="19"/>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xml:space="preserve"> in the Annual Information Form and under the heading </w:t>
      </w:r>
      <w:r>
        <w:rPr>
          <w:rFonts w:ascii="Arial" w:cs="Arial" w:eastAsia="Arial" w:hAnsi="Arial"/>
          <w:sz w:val="19"/>
          <w:szCs w:val="19"/>
          <w:b w:val="1"/>
          <w:bCs w:val="1"/>
          <w:i w:val="1"/>
          <w:iCs w:val="1"/>
          <w:color w:val="auto"/>
        </w:rPr>
        <w:t>“Risks and Uncertainties”</w:t>
      </w:r>
      <w:r>
        <w:rPr>
          <w:rFonts w:ascii="Arial" w:cs="Arial" w:eastAsia="Arial" w:hAnsi="Arial"/>
          <w:sz w:val="19"/>
          <w:szCs w:val="19"/>
          <w:b w:val="1"/>
          <w:bCs w:val="1"/>
          <w:color w:val="auto"/>
        </w:rPr>
        <w:t xml:space="preserve"> in the Interim MD&amp;A, and any other risk factors described herein or in a document incorporated by reference herein, which investors should carefully consider before investing. </w:t>
      </w:r>
      <w:r>
        <w:rPr>
          <w:rFonts w:ascii="Arial" w:cs="Arial" w:eastAsia="Arial" w:hAnsi="Arial"/>
          <w:sz w:val="19"/>
          <w:szCs w:val="19"/>
          <w:color w:val="auto"/>
        </w:rPr>
        <w:t>Additional risk</w:t>
      </w:r>
      <w:r>
        <w:rPr>
          <w:rFonts w:ascii="Arial" w:cs="Arial" w:eastAsia="Arial" w:hAnsi="Arial"/>
          <w:sz w:val="19"/>
          <w:szCs w:val="19"/>
          <w:b w:val="1"/>
          <w:bCs w:val="1"/>
          <w:color w:val="auto"/>
        </w:rPr>
        <w:t xml:space="preserve"> </w:t>
      </w:r>
      <w:r>
        <w:rPr>
          <w:rFonts w:ascii="Arial" w:cs="Arial" w:eastAsia="Arial" w:hAnsi="Arial"/>
          <w:sz w:val="19"/>
          <w:szCs w:val="19"/>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auto"/>
        </w:rPr>
        <w:t>Risks Related to the Business of the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Ongoing Impact of the Novel Coronavirus "COVID-19"</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outbreak of COVID-19 and its eventual declaration as a pandemic by the World Health Organization ("</w:t>
      </w:r>
      <w:r>
        <w:rPr>
          <w:rFonts w:ascii="Arial" w:cs="Arial" w:eastAsia="Arial" w:hAnsi="Arial"/>
          <w:sz w:val="19"/>
          <w:szCs w:val="19"/>
          <w:b w:val="1"/>
          <w:bCs w:val="1"/>
          <w:color w:val="auto"/>
        </w:rPr>
        <w:t>WHO</w:t>
      </w:r>
      <w:r>
        <w:rPr>
          <w:rFonts w:ascii="Arial" w:cs="Arial" w:eastAsia="Arial" w:hAnsi="Arial"/>
          <w:sz w:val="19"/>
          <w:szCs w:val="19"/>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Regulatory Risks and Uncertainties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loss of the necessary licences and permits for any of the above scheduled drugs could have an adverse effect on the Corporation's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pgSz w:w="11900" w:h="16838" w:orient="portrait"/>
          <w:cols w:equalWidth="0" w:num="1">
            <w:col w:w="11240"/>
          </w:cols>
          <w:pgMar w:left="320" w:top="112"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5" w:name="page76"/>
    <w:bookmarkEnd w:id="75"/>
    <w:p>
      <w:pPr>
        <w:jc w:val="both"/>
        <w:spacing w:after="0" w:line="297" w:lineRule="auto"/>
        <w:rPr>
          <w:sz w:val="20"/>
          <w:szCs w:val="20"/>
          <w:color w:val="auto"/>
        </w:rPr>
      </w:pPr>
      <w:r>
        <w:rPr>
          <w:rFonts w:ascii="Arial" w:cs="Arial" w:eastAsia="Arial" w:hAnsi="Arial"/>
          <w:sz w:val="19"/>
          <w:szCs w:val="19"/>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Private Issuer" Status Under the U.S. Securities Laws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an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Speculative Nature of Investment Risk</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i w:val="1"/>
          <w:iCs w:val="1"/>
          <w:color w:val="auto"/>
        </w:rPr>
        <w:t>Negative Operating Cash Flow and Going Concern</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Discretion over the Use of Proceeds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9"/>
          <w:szCs w:val="19"/>
          <w:i w:val="1"/>
          <w:iCs w:val="1"/>
          <w:color w:val="auto"/>
        </w:rPr>
        <w:t>"Use of Proceeds"</w:t>
      </w:r>
      <w:r>
        <w:rPr>
          <w:rFonts w:ascii="Arial" w:cs="Arial" w:eastAsia="Arial" w:hAnsi="Arial"/>
          <w:sz w:val="19"/>
          <w:szCs w:val="19"/>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Need for Additional Financing</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9"/>
          <w:szCs w:val="19"/>
          <w:i w:val="1"/>
          <w:iCs w:val="1"/>
          <w:color w:val="auto"/>
        </w:rPr>
        <w:t>"Risk Factors - Risks Related to an Offering</w:t>
      </w:r>
    </w:p>
    <w:p>
      <w:pPr>
        <w:spacing w:after="0" w:line="5" w:lineRule="exact"/>
        <w:rPr>
          <w:sz w:val="20"/>
          <w:szCs w:val="20"/>
          <w:color w:val="auto"/>
        </w:rPr>
      </w:pPr>
    </w:p>
    <w:p>
      <w:pPr>
        <w:ind w:right="4180" w:firstLine="8"/>
        <w:spacing w:after="0" w:line="426" w:lineRule="auto"/>
        <w:tabs>
          <w:tab w:leader="none" w:pos="126" w:val="left"/>
        </w:tabs>
        <w:numPr>
          <w:ilvl w:val="0"/>
          <w:numId w:val="23"/>
        </w:numPr>
        <w:rPr>
          <w:rFonts w:ascii="Arial" w:cs="Arial" w:eastAsia="Arial" w:hAnsi="Arial"/>
          <w:sz w:val="22"/>
          <w:szCs w:val="22"/>
          <w:i w:val="1"/>
          <w:iCs w:val="1"/>
          <w:color w:val="auto"/>
        </w:rPr>
      </w:pPr>
      <w:r>
        <w:rPr>
          <w:rFonts w:ascii="Arial" w:cs="Arial" w:eastAsia="Arial" w:hAnsi="Arial"/>
          <w:sz w:val="22"/>
          <w:szCs w:val="22"/>
          <w:i w:val="1"/>
          <w:iCs w:val="1"/>
          <w:color w:val="auto"/>
        </w:rPr>
        <w:t>Negative Operating Cash Flow and Going Concern" and "- Potential Dilution". Volatile Market Price of Corporation's Common Shares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jc w:val="both"/>
        <w:spacing w:after="0" w:line="273" w:lineRule="auto"/>
        <w:rPr>
          <w:sz w:val="20"/>
          <w:szCs w:val="20"/>
          <w:color w:val="auto"/>
        </w:rPr>
      </w:pPr>
      <w:r>
        <w:rPr>
          <w:rFonts w:ascii="Arial" w:cs="Arial" w:eastAsia="Arial" w:hAnsi="Arial"/>
          <w:sz w:val="19"/>
          <w:szCs w:val="19"/>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9"/>
          <w:szCs w:val="19"/>
          <w:i w:val="1"/>
          <w:iCs w:val="1"/>
          <w:color w:val="auto"/>
        </w:rPr>
        <w:t>"Cautionary Note Regarding</w:t>
      </w:r>
      <w:r>
        <w:rPr>
          <w:rFonts w:ascii="Arial" w:cs="Arial" w:eastAsia="Arial" w:hAnsi="Arial"/>
          <w:sz w:val="19"/>
          <w:szCs w:val="19"/>
          <w:color w:val="auto"/>
        </w:rPr>
        <w:t xml:space="preserve"> </w:t>
      </w:r>
      <w:r>
        <w:rPr>
          <w:rFonts w:ascii="Arial" w:cs="Arial" w:eastAsia="Arial" w:hAnsi="Arial"/>
          <w:sz w:val="19"/>
          <w:szCs w:val="19"/>
          <w:i w:val="1"/>
          <w:iCs w:val="1"/>
          <w:color w:val="auto"/>
        </w:rPr>
        <w:t>Forward-Looking Information"</w:t>
      </w:r>
      <w:r>
        <w:rPr>
          <w:rFonts w:ascii="Arial" w:cs="Arial" w:eastAsia="Arial" w:hAnsi="Arial"/>
          <w:sz w:val="19"/>
          <w:szCs w:val="19"/>
          <w:color w:val="auto"/>
        </w:rPr>
        <w:t>. In addition, the market price for securities on stock markets, including the Neo is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200" w:lineRule="exact"/>
        <w:rPr>
          <w:sz w:val="20"/>
          <w:szCs w:val="20"/>
          <w:color w:val="auto"/>
        </w:rPr>
      </w:pP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Potential Dilution</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9"/>
          <w:szCs w:val="19"/>
          <w:i w:val="1"/>
          <w:iCs w:val="1"/>
          <w:color w:val="auto"/>
        </w:rPr>
        <w:t>"Risk Factors - Risks Related to an Offering - Potential Need for Additional Financing</w:t>
      </w:r>
      <w:r>
        <w:rPr>
          <w:rFonts w:ascii="Arial" w:cs="Arial" w:eastAsia="Arial" w:hAnsi="Arial"/>
          <w:sz w:val="19"/>
          <w:szCs w:val="19"/>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Market for Securities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both"/>
        <w:spacing w:after="0" w:line="273" w:lineRule="auto"/>
        <w:rPr>
          <w:sz w:val="20"/>
          <w:szCs w:val="20"/>
          <w:color w:val="auto"/>
        </w:rPr>
      </w:pPr>
      <w:r>
        <w:rPr>
          <w:rFonts w:ascii="Arial" w:cs="Arial" w:eastAsia="Arial" w:hAnsi="Arial"/>
          <w:sz w:val="19"/>
          <w:szCs w:val="19"/>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6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FEDERAL INCOME TAX CONSIDERATIONS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MATTERS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47" w:lineRule="exact"/>
        <w:rPr>
          <w:sz w:val="20"/>
          <w:szCs w:val="20"/>
          <w:color w:val="auto"/>
        </w:rPr>
      </w:pPr>
    </w:p>
    <w:p>
      <w:pPr>
        <w:jc w:val="center"/>
        <w:ind w:right="500"/>
        <w:spacing w:after="0" w:line="455" w:lineRule="auto"/>
        <w:rPr>
          <w:sz w:val="20"/>
          <w:szCs w:val="20"/>
          <w:color w:val="auto"/>
        </w:rPr>
      </w:pPr>
      <w:r>
        <w:rPr>
          <w:rFonts w:ascii="Arial" w:cs="Arial" w:eastAsia="Arial" w:hAnsi="Arial"/>
          <w:sz w:val="22"/>
          <w:szCs w:val="22"/>
          <w:color w:val="auto"/>
        </w:rPr>
        <w:t>The registrar and transfer agent of the Common Shares is Odyssey Trust Company at its principal office in Calgary, Alberta.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Roman"/>
      <w:start w:val="2"/>
    </w:lvl>
  </w:abstractNum>
  <w:abstractNum w:abstractNumId="1">
    <w:nsid w:val="140E0F76"/>
    <w:multiLevelType w:val="hybridMultilevel"/>
    <w:lvl w:ilvl="0">
      <w:lvlJc w:val="left"/>
      <w:lvlText w:val="(%1)"/>
      <w:numFmt w:val="lowerRoman"/>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bullet"/>
      <w:start w:val="1"/>
    </w:lvl>
  </w:abstractNum>
  <w:abstractNum w:abstractNumId="5">
    <w:nsid w:val="7FDCC233"/>
    <w:multiLevelType w:val="hybridMultilevel"/>
    <w:lvl w:ilvl="0">
      <w:lvlJc w:val="left"/>
      <w:lvlText w:val="2"/>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lowerRoman"/>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3"/>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6"/>
      <w:numFmt w:val="bullet"/>
      <w:start w:val="1"/>
    </w:lvl>
  </w:abstractNum>
  <w:abstractNum w:abstractNumId="18">
    <w:nsid w:val="628C895D"/>
    <w:multiLevelType w:val="hybridMultilevel"/>
    <w:lvl w:ilvl="0">
      <w:lvlJc w:val="left"/>
      <w:lvlText w:val="7"/>
      <w:numFmt w:val="bullet"/>
      <w:start w:val="1"/>
    </w:lvl>
  </w:abstractNum>
  <w:abstractNum w:abstractNumId="19">
    <w:nsid w:val="333AB105"/>
    <w:multiLevelType w:val="hybridMultilevel"/>
    <w:lvl w:ilvl="0">
      <w:lvlJc w:val="left"/>
      <w:lvlText w:val="8"/>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2023-08-18T12:52:27Z</dcterms:created>
  <dcterms:modified xsi:type="dcterms:W3CDTF">2023-08-18T12:52:27Z</dcterms:modified>
</cp:coreProperties>
</file>