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suppl.htm"/>
      <w:bookmarkStart w:id="1" w:name="ksformsuppl"/>
      <w:bookmarkStart w:id="2" w:name="formsuppl.htm"/>
      <w:bookmarkStart w:id="3" w:name="ksformsuppl"/>
      <w:bookmarkEnd w:id="2"/>
      <w:bookmarkEnd w:id="3"/>
    </w:p>
    <w:p>
      <w:pPr>
        <w:pStyle w:val="TextBody"/>
        <w:bidi w:val="0"/>
        <w:jc w:val="right"/>
        <w:rPr>
          <w:b/>
        </w:rPr>
      </w:pPr>
      <w:bookmarkStart w:id="4" w:name="page_1"/>
      <w:bookmarkEnd w:id="4"/>
      <w:r>
        <w:rPr>
          <w:b/>
        </w:rPr>
        <w:t>Filed Pursuant to General Instruction II.L of Form F-10</w:t>
        <w:br/>
        <w:t>File No. 333-259994</w:t>
      </w:r>
    </w:p>
    <w:p>
      <w:pPr>
        <w:pStyle w:val="TextBody"/>
        <w:bidi w:val="0"/>
        <w:jc w:val="both"/>
        <w:rPr>
          <w:i/>
        </w:rPr>
      </w:pPr>
      <w:r>
        <w:rPr>
          <w:i/>
        </w:rPr>
        <w:t>This prospectus supplement (the "</w:t>
      </w:r>
      <w:r>
        <w:rPr>
          <w:b/>
          <w:i/>
        </w:rPr>
        <w:t>Prospectus Supplement</w:t>
      </w:r>
      <w:r>
        <w:rPr>
          <w:i/>
        </w:rPr>
        <w:t>"), together with the short form base shelf prospectus dated July 5, 2021 to which it relates, as amended or supplemented (the "</w:t>
      </w:r>
      <w:r>
        <w:rPr>
          <w:b/>
          <w:i/>
        </w:rPr>
        <w:t>Base Shelf Prospectus</w:t>
      </w:r>
      <w:r>
        <w:rPr>
          <w:i/>
        </w:rPr>
        <w:t>"), and each document deemed to be incorporated by reference into this Prospectus Supplement and the Base Shelf Prospectus, as amended or supplemented (collectively, the "</w:t>
      </w:r>
      <w:r>
        <w:rPr>
          <w:b/>
          <w:i/>
        </w:rPr>
        <w:t>Prospectus</w:t>
      </w:r>
      <w:r>
        <w:rPr>
          <w:i/>
        </w:rPr>
        <w:t xml:space="preserve">"), constitutes a public offering of these securities only in those jurisdictions where they may be lawfully offered for sale and only by persons permitted to sell such securities. </w:t>
      </w:r>
      <w:r>
        <w:rPr>
          <w:b/>
          <w:i/>
        </w:rPr>
        <w:t>No securities regulatory authority has expressed an opinion about these securities and it is an offence to claim otherwise.</w:t>
      </w:r>
    </w:p>
    <w:p>
      <w:pPr>
        <w:pStyle w:val="TextBody"/>
        <w:bidi w:val="0"/>
        <w:jc w:val="both"/>
        <w:rPr/>
      </w:pPr>
      <w:r>
        <w:rPr>
          <w:b/>
          <w:i/>
        </w:rPr>
        <w:t xml:space="preserve">Information has been incorporated by reference in the Prospectus from documents filed with securities commissions or similar authorities in Canada. </w:t>
      </w:r>
      <w:r>
        <w:rPr>
          <w:i/>
        </w:rPr>
        <w:t xml:space="preserve">Copies of the documents incorporated herein by reference may be obtained on request without charge from the Secretary of Cybin Inc. at 100 King Street West, Suite 5600, Toronto, Ontario M5X 1C9, telephone 1-866-292-4601, and are also available electronically at </w:t>
      </w:r>
      <w:r>
        <w:rPr>
          <w:i/>
          <w:color w:val="0563C1"/>
          <w:u w:val="single"/>
        </w:rPr>
        <w:t>www.sedar.com</w:t>
      </w:r>
      <w:r>
        <w:rPr/>
        <w:t xml:space="preserve"> </w:t>
      </w:r>
      <w:r>
        <w:rPr>
          <w:i/>
        </w:rPr>
        <w:t xml:space="preserve">and </w:t>
      </w:r>
      <w:r>
        <w:rPr>
          <w:i/>
          <w:color w:val="0563C1"/>
          <w:u w:val="single"/>
        </w:rPr>
        <w:t>www.sec.gov/edgar</w:t>
      </w:r>
      <w:r>
        <w:rPr>
          <w:i/>
        </w:rPr>
        <w:t xml:space="preserve">. </w:t>
      </w:r>
    </w:p>
    <w:p>
      <w:pPr>
        <w:pStyle w:val="TextBody"/>
        <w:bidi w:val="0"/>
        <w:spacing w:before="0" w:after="0"/>
        <w:jc w:val="center"/>
        <w:rPr>
          <w:b/>
        </w:rPr>
      </w:pPr>
      <w:r>
        <w:rPr>
          <w:b/>
        </w:rPr>
        <w:t xml:space="preserve">PROSPECTUS SUPPLEMENT </w:t>
      </w:r>
    </w:p>
    <w:p>
      <w:pPr>
        <w:pStyle w:val="TextBody"/>
        <w:bidi w:val="0"/>
        <w:spacing w:before="0" w:after="283"/>
        <w:jc w:val="center"/>
        <w:rPr>
          <w:b/>
        </w:rPr>
      </w:pPr>
      <w:r>
        <w:rPr>
          <w:b/>
        </w:rPr>
        <w:t>TO THE SHORT FORM BASE SHELF PROSPECTUS DATED JULY 5, 2021</w:t>
      </w:r>
    </w:p>
    <w:tbl>
      <w:tblPr>
        <w:tblW w:w="2485" w:type="dxa"/>
        <w:jc w:val="left"/>
        <w:tblInd w:w="0" w:type="dxa"/>
        <w:tblLayout w:type="fixed"/>
        <w:tblCellMar>
          <w:top w:w="0" w:type="dxa"/>
          <w:left w:w="0" w:type="dxa"/>
          <w:bottom w:w="0" w:type="dxa"/>
          <w:right w:w="0" w:type="dxa"/>
        </w:tblCellMar>
      </w:tblPr>
      <w:tblGrid>
        <w:gridCol w:w="995"/>
        <w:gridCol w:w="1490"/>
      </w:tblGrid>
      <w:tr>
        <w:trPr/>
        <w:tc>
          <w:tcPr>
            <w:tcW w:w="995" w:type="dxa"/>
            <w:tcBorders/>
            <w:vAlign w:val="center"/>
          </w:tcPr>
          <w:p>
            <w:pPr>
              <w:pStyle w:val="TableContents"/>
              <w:bidi w:val="0"/>
              <w:spacing w:before="0" w:after="283"/>
              <w:jc w:val="left"/>
              <w:rPr>
                <w:i/>
                <w:u w:val="single"/>
              </w:rPr>
            </w:pPr>
            <w:r>
              <w:rPr>
                <w:i/>
                <w:u w:val="single"/>
              </w:rPr>
              <w:t>New Issue</w:t>
            </w:r>
          </w:p>
        </w:tc>
        <w:tc>
          <w:tcPr>
            <w:tcW w:w="1490" w:type="dxa"/>
            <w:tcBorders/>
            <w:vAlign w:val="center"/>
          </w:tcPr>
          <w:p>
            <w:pPr>
              <w:pStyle w:val="TableContents"/>
              <w:bidi w:val="0"/>
              <w:spacing w:before="0" w:after="283"/>
              <w:jc w:val="right"/>
              <w:rPr/>
            </w:pPr>
            <w:r>
              <w:rPr/>
              <w:t>August 3, 2023</w:t>
            </w:r>
          </w:p>
        </w:tc>
      </w:tr>
    </w:tbl>
    <w:p>
      <w:pPr>
        <w:pStyle w:val="TextBody"/>
        <w:bidi w:val="0"/>
        <w:spacing w:before="0" w:after="283"/>
        <w:jc w:val="center"/>
        <w:rPr/>
      </w:pPr>
      <w:r>
        <w:rPr/>
        <w:t> </w:t>
      </w:r>
    </w:p>
    <w:p>
      <w:pPr>
        <w:pStyle w:val="TextBody"/>
        <w:bidi w:val="0"/>
        <w:jc w:val="center"/>
        <w:rPr/>
      </w:pPr>
      <w:r>
        <w:rPr/>
        <w:drawing>
          <wp:inline distT="0" distB="0" distL="0" distR="0">
            <wp:extent cx="1733550"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1114425"/>
                    </a:xfrm>
                    <a:prstGeom prst="rect">
                      <a:avLst/>
                    </a:prstGeom>
                  </pic:spPr>
                </pic:pic>
              </a:graphicData>
            </a:graphic>
          </wp:inline>
        </w:drawing>
      </w:r>
    </w:p>
    <w:p>
      <w:pPr>
        <w:pStyle w:val="TextBody"/>
        <w:bidi w:val="0"/>
        <w:jc w:val="center"/>
        <w:rPr>
          <w:b/>
        </w:rPr>
      </w:pPr>
      <w:r>
        <w:rPr>
          <w:b/>
        </w:rPr>
        <w:t>CYBIN INC.</w:t>
      </w:r>
    </w:p>
    <w:p>
      <w:pPr>
        <w:pStyle w:val="TextBody"/>
        <w:bidi w:val="0"/>
        <w:spacing w:before="0" w:after="0"/>
        <w:jc w:val="center"/>
        <w:rPr/>
      </w:pPr>
      <w:r>
        <w:rPr>
          <w:b/>
        </w:rPr>
        <w:t>24,264,706</w:t>
      </w:r>
      <w:r>
        <w:rPr/>
        <w:t xml:space="preserve"> </w:t>
      </w:r>
      <w:r>
        <w:rPr>
          <w:b/>
        </w:rPr>
        <w:t>Common Shares</w:t>
      </w:r>
    </w:p>
    <w:p>
      <w:pPr>
        <w:pStyle w:val="TextBody"/>
        <w:bidi w:val="0"/>
        <w:spacing w:before="0" w:after="0"/>
        <w:jc w:val="both"/>
        <w:rPr/>
      </w:pPr>
      <w:r>
        <w:rPr/>
        <w:t>This Prospectus Supplement to the Base Shelf Prospectus of Cybin Inc. (“</w:t>
      </w:r>
      <w:r>
        <w:rPr>
          <w:b/>
        </w:rPr>
        <w:t>Cybin</w:t>
      </w:r>
      <w:r>
        <w:rPr/>
        <w:t>” or the “</w:t>
      </w:r>
      <w:r>
        <w:rPr>
          <w:b/>
        </w:rPr>
        <w:t>Corporation</w:t>
      </w:r>
      <w:r>
        <w:rPr/>
        <w:t>”) relates to: (i) 24,264,706 common shares of Cybin (the “</w:t>
      </w:r>
      <w:r>
        <w:rPr>
          <w:b/>
        </w:rPr>
        <w:t>Warrant Shares</w:t>
      </w:r>
      <w:r>
        <w:rPr/>
        <w:t>”), issuable from time to time upon the exercise of 24,264,706 common share purchase warrants (the “</w:t>
      </w:r>
      <w:r>
        <w:rPr>
          <w:b/>
        </w:rPr>
        <w:t>Warrants</w:t>
      </w:r>
      <w:r>
        <w:rPr/>
        <w:t>”) expected to be issued by the Corporation pursuant to the Unit Offering (defined below); and (ii) such indeterminate number of additional Warrant Shares (the “</w:t>
      </w:r>
      <w:r>
        <w:rPr>
          <w:b/>
        </w:rPr>
        <w:t>Anti-Dilution Warrant Shares</w:t>
      </w:r>
      <w:r>
        <w:rPr/>
        <w:t>”) that may be issuable by reason of the anti-dilution provisions contained in a warrant indenture (the “</w:t>
      </w:r>
      <w:r>
        <w:rPr>
          <w:b/>
        </w:rPr>
        <w:t>Warrant Indenture</w:t>
      </w:r>
      <w:r>
        <w:rPr/>
        <w:t>”) to be entered into between the Corporation and Odyssey Trust Company (the “</w:t>
      </w:r>
      <w:r>
        <w:rPr>
          <w:b/>
        </w:rPr>
        <w:t>Warrant Agent</w:t>
      </w:r>
      <w:r>
        <w:rPr/>
        <w:t>”) (the “</w:t>
      </w:r>
      <w:r>
        <w:rPr>
          <w:b/>
        </w:rPr>
        <w:t>Offering</w:t>
      </w:r>
      <w:r>
        <w:rPr/>
        <w:t>”).</w:t>
      </w:r>
    </w:p>
    <w:p>
      <w:pPr>
        <w:pStyle w:val="TextBody"/>
        <w:bidi w:val="0"/>
        <w:jc w:val="both"/>
        <w:rPr/>
      </w:pPr>
      <w:r>
        <w:rPr/>
        <w:t>The Corporation filed a preliminary prospectus supplement dated July 31, 2023 and a final prospectus supplement dated August 1, 2023 to its Base Shelf Prospectus with the securities commission or similar regulatory authority in each of the provinces of Canada, other than Québec, and in connection therewith a preliminary prospectus supplement dated July 31, 2023 and a final prospectus supplement dated August 1, 2023 to its registration statement on Form F-10 (File No. 333-259994) (the “</w:t>
      </w:r>
      <w:r>
        <w:rPr>
          <w:b/>
        </w:rPr>
        <w:t>Registration Statement</w:t>
      </w:r>
      <w:r>
        <w:rPr/>
        <w:t>”) in the United States with the United States Securities and Exchange Commission (the “</w:t>
      </w:r>
      <w:r>
        <w:rPr>
          <w:b/>
        </w:rPr>
        <w:t>SEC</w:t>
      </w:r>
      <w:r>
        <w:rPr/>
        <w:t>”), relating to the offering (the “</w:t>
      </w:r>
      <w:r>
        <w:rPr>
          <w:b/>
        </w:rPr>
        <w:t>Unit</w:t>
      </w:r>
      <w:r>
        <w:rPr/>
        <w:t xml:space="preserve"> </w:t>
      </w:r>
      <w:r>
        <w:rPr>
          <w:b/>
        </w:rPr>
        <w:t>Offering</w:t>
      </w:r>
      <w:r>
        <w:rPr/>
        <w:t>”) by the Corporation to the public in Canada and the United States of 24,264,706 units (“</w:t>
      </w:r>
      <w:r>
        <w:rPr>
          <w:b/>
        </w:rPr>
        <w:t>Units</w:t>
      </w:r>
      <w:r>
        <w:rPr/>
        <w:t>”) of the Corporation at a price of US$0.34 per Unit, for aggregate gross proceeds of US$8,250,000. Each Unit will be comprised of one common share of the Corporation (a “</w:t>
      </w:r>
      <w:r>
        <w:rPr>
          <w:b/>
        </w:rPr>
        <w:t>Common Share</w:t>
      </w:r>
      <w:r>
        <w:rPr/>
        <w:t>”) and one Warrant. Each Warrant shall be exercisable to acquire one Warrant Share, subject to adjustment in certain circumstances, at an exercise price of US$0.40 for a period of 60 months from the closing of the Unit Offering (the “</w:t>
      </w:r>
      <w:r>
        <w:rPr>
          <w:b/>
        </w:rPr>
        <w:t>Warrant Expiry Date</w:t>
      </w:r>
      <w:r>
        <w:rPr/>
        <w:t>”), subject to acceleration in certain circumstances. The Warrants will be issued and subject to the terms of the Warrant Indenture. The Common Shares underlying the Units (the “</w:t>
      </w:r>
      <w:r>
        <w:rPr>
          <w:b/>
        </w:rPr>
        <w:t>Unit Shares</w:t>
      </w:r>
      <w:r>
        <w:rPr/>
        <w:t>”) and Warrants underlying the Units will be separated immediately upon closing of the Unit Offering.</w:t>
      </w:r>
    </w:p>
    <w:p>
      <w:pPr>
        <w:pStyle w:val="TextBody"/>
        <w:bidi w:val="0"/>
        <w:jc w:val="both"/>
        <w:rPr/>
      </w:pPr>
      <w:r>
        <w:rPr/>
        <w:t>The Unit Offering is being made in each of the provinces of Canada, other than Québec, and in the United States. The Units are being issued pursuant to an underwriting agreement dated August 1, 2023 (the “</w:t>
      </w:r>
      <w:r>
        <w:rPr>
          <w:b/>
        </w:rPr>
        <w:t>Underwriting Agreement</w:t>
      </w:r>
      <w:r>
        <w:rPr/>
        <w:t>”) among the Corporation and Cantor Fitzgerald &amp; Co. as sole bookrunner and lead underwriter (the “</w:t>
      </w:r>
      <w:r>
        <w:rPr>
          <w:b/>
        </w:rPr>
        <w:t>Lead Underwriter</w:t>
      </w:r>
      <w:r>
        <w:rPr/>
        <w:t>”), on behalf of itself and A.G.P./Alliance Global Partners, as lead manager (together with the Lead Underwriter, the “</w:t>
      </w:r>
      <w:r>
        <w:rPr>
          <w:b/>
        </w:rPr>
        <w:t>Underwriters</w:t>
      </w:r>
      <w:r>
        <w:rPr/>
        <w:t>”), relating to the Units offered under the Unit Offering. The Units will be offered in Canada and the United States through the Underwriters either directly or through their respective U.S. or Canadian broker-dealer affiliates or agents. The Unit Offering is being made concurrently in the United States under the terms of the Registration Statement, of which this Prospectus Supplement forms a part, filed with the SEC under the Securities Act of 1933, as amended (the “</w:t>
      </w:r>
      <w:r>
        <w:rPr>
          <w:b/>
        </w:rPr>
        <w:t>U.S. Securities Act</w:t>
      </w:r>
      <w:r>
        <w:rPr/>
        <w:t>”). The Units will be offered in the United States by Cantor Fitzgerald &amp; Co., and A.G.P./Alliance Global Partners under a prospectus supplement filed with the SEC, and in Canada by Cantor Fitzgerald Canada Corporation under this Prospectus Supplement. See “</w:t>
      </w:r>
      <w:r>
        <w:rPr>
          <w:i/>
        </w:rPr>
        <w:t>Plan of Distribution</w:t>
      </w:r>
      <w:r>
        <w:rPr/>
        <w:t>”.</w:t>
      </w:r>
    </w:p>
    <w:p>
      <w:pPr>
        <w:pStyle w:val="HorizontalLine"/>
        <w:pBdr>
          <w:bottom w:val="single" w:sz="30" w:space="0" w:color="000000"/>
        </w:pBdr>
        <w:bidi w:val="0"/>
        <w:jc w:val="left"/>
        <w:rPr/>
      </w:pPr>
      <w:r>
        <w:rPr/>
      </w:r>
    </w:p>
    <w:p>
      <w:pPr>
        <w:pStyle w:val="TextBody"/>
        <w:bidi w:val="0"/>
        <w:jc w:val="both"/>
        <w:rPr/>
      </w:pPr>
      <w:bookmarkStart w:id="5" w:name="page_2"/>
      <w:bookmarkEnd w:id="5"/>
      <w:r>
        <w:rPr/>
        <w:t>The Common Shares are listed on the Neo Exchange Inc., now operating as Cboe Canada (the “</w:t>
      </w:r>
      <w:r>
        <w:rPr>
          <w:b/>
        </w:rPr>
        <w:t>NEO</w:t>
      </w:r>
      <w:r>
        <w:rPr/>
        <w:t>”) under the trading symbol “CYBN”, and in the United States on the NYSE American LLC (the “</w:t>
      </w:r>
      <w:r>
        <w:rPr>
          <w:b/>
        </w:rPr>
        <w:t>NYSE American</w:t>
      </w:r>
      <w:r>
        <w:rPr/>
        <w:t>”) under the symbol “CYBN”. On August 2, 2023, the last trading day prior to the date hereof, the closing prices of the Common Shares listed on the NEO and NYSE American were $ 0.375 and US$0.29, respectively. The Corporation has applied to list the Warrant Shares offered by this Prospectus Supplement on the NEO and the NYSE American.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This may affect the pricing of the securities in the secondary market, the transparency and availability of trading prices, the liquidity of the securities, and the extent of issuer regulation.</w:t>
      </w:r>
    </w:p>
    <w:p>
      <w:pPr>
        <w:pStyle w:val="TextBody"/>
        <w:bidi w:val="0"/>
        <w:jc w:val="both"/>
        <w:rPr>
          <w:b/>
        </w:rPr>
      </w:pPr>
      <w:r>
        <w:rPr>
          <w:b/>
        </w:rPr>
        <w:t>Prospective investors should be aware that the acquisition of the Warrant Shares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Warrant Shares pursuant to this Offering. Investors should read the tax discussion in this Prospectus Supplement and consult their own tax advisors with respect to their own particular circumstances. See “</w:t>
      </w:r>
      <w:r>
        <w:rPr>
          <w:b/>
          <w:i/>
        </w:rPr>
        <w:t>Certain Canadian Federal Income Tax Considerations</w:t>
      </w:r>
      <w:r>
        <w:rPr>
          <w:b/>
        </w:rPr>
        <w:t>”, “</w:t>
      </w:r>
      <w:r>
        <w:rPr>
          <w:b/>
          <w:i/>
        </w:rPr>
        <w:t>Certain United States Federal Income Tax Considerations</w:t>
      </w:r>
      <w:r>
        <w:rPr>
          <w:b/>
        </w:rPr>
        <w:t>” and “</w:t>
      </w:r>
      <w:r>
        <w:rPr>
          <w:b/>
          <w:i/>
        </w:rPr>
        <w:t>Risk Factors</w:t>
      </w:r>
      <w:r>
        <w:rPr>
          <w:b/>
        </w:rPr>
        <w:t xml:space="preserve">”. </w:t>
      </w:r>
    </w:p>
    <w:p>
      <w:pPr>
        <w:pStyle w:val="TextBody"/>
        <w:bidi w:val="0"/>
        <w:jc w:val="both"/>
        <w:rPr/>
      </w:pPr>
      <w:r>
        <w:rPr/>
        <w:t>The Corporation is not making any offer of the Warrant Shares in any jurisdiction where the offer is not permitted by law.</w:t>
      </w:r>
    </w:p>
    <w:p>
      <w:pPr>
        <w:pStyle w:val="TextBody"/>
        <w:bidi w:val="0"/>
        <w:jc w:val="both"/>
        <w:rPr>
          <w:b/>
        </w:rPr>
      </w:pPr>
      <w:r>
        <w:rPr>
          <w:b/>
        </w:rPr>
        <w:t>An investment in the Warrant Shares is highly speculative and involves significant risks that investors should consider before purchasing such Securities. Investors should carefully review the “Risk Factors” section of this Prospectus Supplement, the Base Shelf Prospectus and the documents incorporated by reference herein and therein as well as the information under the heading “Cautionary Note Regarding Forward-Looking Information”.</w:t>
      </w:r>
    </w:p>
    <w:p>
      <w:pPr>
        <w:pStyle w:val="TextBody"/>
        <w:bidi w:val="0"/>
        <w:jc w:val="both"/>
        <w:rPr>
          <w:b/>
        </w:rPr>
      </w:pPr>
      <w:r>
        <w:rPr>
          <w:b/>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pStyle w:val="TextBody"/>
        <w:bidi w:val="0"/>
        <w:jc w:val="both"/>
        <w:rPr/>
      </w:pPr>
      <w:r>
        <w:rPr>
          <w:b/>
        </w:rPr>
        <w:t>This Prospectus Supplement registers the offering of the securities to which it relates under the U.S. Securities Act in accordance with the MJDS.</w:t>
      </w:r>
      <w:r>
        <w:rPr/>
        <w:t xml:space="preserve"> </w:t>
      </w:r>
      <w:r>
        <w:rPr>
          <w:b/>
        </w:rPr>
        <w:t>This Prospectus Supplement does not qualify in any of the</w:t>
      </w:r>
      <w:r>
        <w:rPr/>
        <w:t xml:space="preserve"> </w:t>
      </w:r>
      <w:r>
        <w:rPr>
          <w:b/>
        </w:rPr>
        <w:t>provinces or territories of Canada the distribution of the Warrant Shares to which it relates.</w:t>
      </w:r>
      <w:r>
        <w:rPr/>
        <w:t xml:space="preserve"> </w:t>
      </w:r>
      <w:r>
        <w:rPr>
          <w:b/>
        </w:rPr>
        <w:t>The Warrant Shares to which this Prospectus Supplement relates will be sold directly by the Corporation</w:t>
      </w:r>
      <w:r>
        <w:rPr/>
        <w:t xml:space="preserve"> </w:t>
      </w:r>
      <w:r>
        <w:rPr>
          <w:b/>
        </w:rPr>
        <w:t>to holders of Warrants upon any exercise of such Warrants. No underwriters, dealers or agents have been involved in the preparation of this Prospectus Supplement or the accompanying Base Shelf Prospectus, nor will be</w:t>
      </w:r>
      <w:r>
        <w:rPr/>
        <w:t xml:space="preserve"> </w:t>
      </w:r>
      <w:r>
        <w:rPr>
          <w:b/>
        </w:rPr>
        <w:t>involved in these sales.</w:t>
      </w:r>
    </w:p>
    <w:p>
      <w:pPr>
        <w:pStyle w:val="TextBody"/>
        <w:bidi w:val="0"/>
        <w:jc w:val="both"/>
        <w:rPr/>
      </w:pPr>
      <w:r>
        <w:rPr>
          <w:b/>
        </w:rPr>
        <w:t>The enforcement by investors of civil liabilities under the United States federal securities laws may be</w:t>
      </w:r>
      <w:r>
        <w:rPr/>
        <w:t xml:space="preserve"> </w:t>
      </w:r>
      <w:r>
        <w:rPr>
          <w:b/>
        </w:rPr>
        <w:t>affected adversely by the fact that the Corporation is incorporated under the laws of Ontario, Canada, that</w:t>
      </w:r>
      <w:r>
        <w:rPr/>
        <w:t xml:space="preserve"> </w:t>
      </w:r>
      <w:r>
        <w:rPr>
          <w:b/>
        </w:rPr>
        <w:t>the majority of its officers and directors are residents of Canada and that a substantial portion of the assets</w:t>
      </w:r>
      <w:r>
        <w:rPr/>
        <w:t xml:space="preserve"> </w:t>
      </w:r>
      <w:r>
        <w:rPr>
          <w:b/>
        </w:rPr>
        <w:t>of the Corporation and said persons are located outside the United States. See “</w:t>
      </w:r>
      <w:r>
        <w:rPr>
          <w:b/>
          <w:i/>
        </w:rPr>
        <w:t>Enforceability of Civil</w:t>
      </w:r>
      <w:r>
        <w:rPr/>
        <w:t xml:space="preserve"> </w:t>
      </w:r>
      <w:r>
        <w:rPr>
          <w:b/>
          <w:i/>
        </w:rPr>
        <w:t>Liabilities by U.S. Investors.”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 w:name="page_3"/>
      <w:bookmarkEnd w:id="6"/>
      <w:r>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pStyle w:val="TextBody"/>
        <w:bidi w:val="0"/>
        <w:jc w:val="both"/>
        <w:rPr/>
      </w:pPr>
      <w:r>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i/>
        </w:rPr>
        <w:t>Currency and Exchange Rate</w:t>
      </w:r>
      <w:r>
        <w:rPr/>
        <w:t>”.</w:t>
      </w:r>
    </w:p>
    <w:p>
      <w:pPr>
        <w:pStyle w:val="TextBody"/>
        <w:bidi w:val="0"/>
        <w:jc w:val="both"/>
        <w:rPr/>
      </w:pPr>
      <w:r>
        <w:rPr/>
        <w:t>The Corporation’s head and registered office is located at 100 King Street West, Suite 5600, Toronto, ON M5X 1C9.</w:t>
      </w:r>
    </w:p>
    <w:p>
      <w:pPr>
        <w:pStyle w:val="TextBody"/>
        <w:bidi w:val="0"/>
        <w:jc w:val="both"/>
        <w:rPr>
          <w:b/>
        </w:rPr>
      </w:pPr>
      <w:r>
        <w:rPr>
          <w:b/>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iii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7" w:name="page_4"/>
      <w:bookmarkEnd w:id="7"/>
      <w:r>
        <w:rPr>
          <w:b/>
        </w:rPr>
        <w:t>TABLE OF CONTENTS</w:t>
      </w:r>
    </w:p>
    <w:p>
      <w:pPr>
        <w:pStyle w:val="TextBody"/>
        <w:bidi w:val="0"/>
        <w:jc w:val="both"/>
        <w:rPr>
          <w:b/>
        </w:rPr>
      </w:pPr>
      <w:r>
        <w:rPr>
          <w:b/>
        </w:rPr>
        <w:t>Prospectus Supplement</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EEEEEE" w:val="clear"/>
            <w:vAlign w:val="center"/>
          </w:tcPr>
          <w:p>
            <w:pPr>
              <w:pStyle w:val="TableContents"/>
              <w:bidi w:val="0"/>
              <w:spacing w:before="0" w:after="283"/>
              <w:jc w:val="left"/>
              <w:rPr/>
            </w:pPr>
            <w:hyperlink w:anchor="page_5">
              <w:r>
                <w:rPr>
                  <w:rStyle w:val="InternetLink"/>
                </w:rPr>
                <w:t>ABOUT THIS PROSPECTUS</w:t>
              </w:r>
            </w:hyperlink>
          </w:p>
        </w:tc>
        <w:tc>
          <w:tcPr>
            <w:tcW w:w="275" w:type="dxa"/>
            <w:tcBorders/>
            <w:shd w:fill="EEEEEE" w:val="clear"/>
            <w:vAlign w:val="center"/>
          </w:tcPr>
          <w:p>
            <w:pPr>
              <w:pStyle w:val="TableContents"/>
              <w:bidi w:val="0"/>
              <w:spacing w:before="0" w:after="283"/>
              <w:jc w:val="right"/>
              <w:rPr/>
            </w:pPr>
            <w:hyperlink w:anchor="page_5">
              <w:r>
                <w:rPr>
                  <w:rStyle w:val="InternetLink"/>
                </w:rPr>
                <w:t>1</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5">
              <w:r>
                <w:rPr>
                  <w:rStyle w:val="InternetLink"/>
                </w:rPr>
                <w:t>CAUTIONARY STATEMENT REGARDING FORWARD-LOOKING INFORMATION</w:t>
              </w:r>
            </w:hyperlink>
          </w:p>
        </w:tc>
        <w:tc>
          <w:tcPr>
            <w:tcW w:w="275" w:type="dxa"/>
            <w:tcBorders/>
            <w:shd w:fill="EEEEEE" w:val="clear"/>
            <w:vAlign w:val="center"/>
          </w:tcPr>
          <w:p>
            <w:pPr>
              <w:pStyle w:val="TableContents"/>
              <w:bidi w:val="0"/>
              <w:spacing w:before="0" w:after="283"/>
              <w:jc w:val="right"/>
              <w:rPr/>
            </w:pPr>
            <w:hyperlink w:anchor="page_5">
              <w:r>
                <w:rPr>
                  <w:rStyle w:val="InternetLink"/>
                </w:rPr>
                <w:t>1</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8">
              <w:r>
                <w:rPr>
                  <w:rStyle w:val="InternetLink"/>
                </w:rPr>
                <w:t>DOCUMENTS INCORPORATED BY REFERENCE</w:t>
              </w:r>
            </w:hyperlink>
          </w:p>
        </w:tc>
        <w:tc>
          <w:tcPr>
            <w:tcW w:w="275" w:type="dxa"/>
            <w:tcBorders/>
            <w:shd w:fill="EEEEEE" w:val="clear"/>
            <w:vAlign w:val="center"/>
          </w:tcPr>
          <w:p>
            <w:pPr>
              <w:pStyle w:val="TableContents"/>
              <w:bidi w:val="0"/>
              <w:spacing w:before="0" w:after="283"/>
              <w:jc w:val="right"/>
              <w:rPr/>
            </w:pPr>
            <w:hyperlink w:anchor="page_8">
              <w:r>
                <w:rPr>
                  <w:rStyle w:val="InternetLink"/>
                </w:rPr>
                <w:t>4</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9">
              <w:r>
                <w:rPr>
                  <w:rStyle w:val="InternetLink"/>
                </w:rPr>
                <w:t>DOCUMENTS FILED AS PART OF THE REGISTRATION STATEMENT</w:t>
              </w:r>
            </w:hyperlink>
          </w:p>
        </w:tc>
        <w:tc>
          <w:tcPr>
            <w:tcW w:w="275" w:type="dxa"/>
            <w:tcBorders/>
            <w:shd w:fill="EEEEEE" w:val="clear"/>
            <w:vAlign w:val="center"/>
          </w:tcPr>
          <w:p>
            <w:pPr>
              <w:pStyle w:val="TableContents"/>
              <w:bidi w:val="0"/>
              <w:spacing w:before="0" w:after="283"/>
              <w:jc w:val="right"/>
              <w:rPr/>
            </w:pPr>
            <w:hyperlink w:anchor="page_9">
              <w:r>
                <w:rPr>
                  <w:rStyle w:val="InternetLink"/>
                </w:rPr>
                <w:t>5</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9">
              <w:r>
                <w:rPr>
                  <w:rStyle w:val="InternetLink"/>
                </w:rPr>
                <w:t>CURRENCY AND EXCHANGE RATE INFORMATION</w:t>
              </w:r>
            </w:hyperlink>
          </w:p>
        </w:tc>
        <w:tc>
          <w:tcPr>
            <w:tcW w:w="275" w:type="dxa"/>
            <w:tcBorders/>
            <w:shd w:fill="EEEEEE" w:val="clear"/>
            <w:vAlign w:val="center"/>
          </w:tcPr>
          <w:p>
            <w:pPr>
              <w:pStyle w:val="TableContents"/>
              <w:bidi w:val="0"/>
              <w:spacing w:before="0" w:after="283"/>
              <w:jc w:val="right"/>
              <w:rPr/>
            </w:pPr>
            <w:hyperlink w:anchor="page_9">
              <w:r>
                <w:rPr>
                  <w:rStyle w:val="InternetLink"/>
                </w:rPr>
                <w:t>5</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9">
              <w:r>
                <w:rPr>
                  <w:rStyle w:val="InternetLink"/>
                </w:rPr>
                <w:t>THE CORPORATION</w:t>
              </w:r>
            </w:hyperlink>
          </w:p>
        </w:tc>
        <w:tc>
          <w:tcPr>
            <w:tcW w:w="275" w:type="dxa"/>
            <w:tcBorders/>
            <w:shd w:fill="EEEEEE" w:val="clear"/>
            <w:vAlign w:val="center"/>
          </w:tcPr>
          <w:p>
            <w:pPr>
              <w:pStyle w:val="TableContents"/>
              <w:bidi w:val="0"/>
              <w:spacing w:before="0" w:after="283"/>
              <w:jc w:val="right"/>
              <w:rPr/>
            </w:pPr>
            <w:hyperlink w:anchor="page_9">
              <w:r>
                <w:rPr>
                  <w:rStyle w:val="InternetLink"/>
                </w:rPr>
                <w:t>5</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12">
              <w:r>
                <w:rPr>
                  <w:rStyle w:val="InternetLink"/>
                </w:rPr>
                <w:t>DESCRIPTION OF SECURITIES BEING DISTRIBUTED</w:t>
              </w:r>
            </w:hyperlink>
          </w:p>
        </w:tc>
        <w:tc>
          <w:tcPr>
            <w:tcW w:w="275" w:type="dxa"/>
            <w:tcBorders/>
            <w:shd w:fill="EEEEEE" w:val="clear"/>
            <w:vAlign w:val="center"/>
          </w:tcPr>
          <w:p>
            <w:pPr>
              <w:pStyle w:val="TableContents"/>
              <w:bidi w:val="0"/>
              <w:spacing w:before="0" w:after="283"/>
              <w:jc w:val="right"/>
              <w:rPr/>
            </w:pPr>
            <w:hyperlink w:anchor="page_12">
              <w:r>
                <w:rPr>
                  <w:rStyle w:val="InternetLink"/>
                </w:rPr>
                <w:t>8</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12">
              <w:r>
                <w:rPr>
                  <w:rStyle w:val="InternetLink"/>
                </w:rPr>
                <w:t>USE OF PROCEEDS</w:t>
              </w:r>
            </w:hyperlink>
          </w:p>
        </w:tc>
        <w:tc>
          <w:tcPr>
            <w:tcW w:w="275" w:type="dxa"/>
            <w:tcBorders/>
            <w:shd w:fill="EEEEEE" w:val="clear"/>
            <w:vAlign w:val="center"/>
          </w:tcPr>
          <w:p>
            <w:pPr>
              <w:pStyle w:val="TableContents"/>
              <w:bidi w:val="0"/>
              <w:spacing w:before="0" w:after="283"/>
              <w:jc w:val="right"/>
              <w:rPr/>
            </w:pPr>
            <w:hyperlink w:anchor="page_12">
              <w:r>
                <w:rPr>
                  <w:rStyle w:val="InternetLink"/>
                </w:rPr>
                <w:t>8</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14">
              <w:r>
                <w:rPr>
                  <w:rStyle w:val="InternetLink"/>
                </w:rPr>
                <w:t>CONSOLIDATED CAPITALIZATION</w:t>
              </w:r>
            </w:hyperlink>
          </w:p>
        </w:tc>
        <w:tc>
          <w:tcPr>
            <w:tcW w:w="275" w:type="dxa"/>
            <w:tcBorders/>
            <w:shd w:fill="EEEEEE" w:val="clear"/>
            <w:vAlign w:val="center"/>
          </w:tcPr>
          <w:p>
            <w:pPr>
              <w:pStyle w:val="TableContents"/>
              <w:bidi w:val="0"/>
              <w:spacing w:before="0" w:after="283"/>
              <w:jc w:val="right"/>
              <w:rPr/>
            </w:pPr>
            <w:hyperlink w:anchor="page_14">
              <w:r>
                <w:rPr>
                  <w:rStyle w:val="InternetLink"/>
                </w:rPr>
                <w:t>10</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14">
              <w:r>
                <w:rPr>
                  <w:rStyle w:val="InternetLink"/>
                </w:rPr>
                <w:t>PLAN OF DISTRIBUTION</w:t>
              </w:r>
            </w:hyperlink>
          </w:p>
        </w:tc>
        <w:tc>
          <w:tcPr>
            <w:tcW w:w="275" w:type="dxa"/>
            <w:tcBorders/>
            <w:shd w:fill="EEEEEE" w:val="clear"/>
            <w:vAlign w:val="center"/>
          </w:tcPr>
          <w:p>
            <w:pPr>
              <w:pStyle w:val="TableContents"/>
              <w:bidi w:val="0"/>
              <w:spacing w:before="0" w:after="283"/>
              <w:jc w:val="right"/>
              <w:rPr/>
            </w:pPr>
            <w:hyperlink w:anchor="page_14">
              <w:r>
                <w:rPr>
                  <w:rStyle w:val="InternetLink"/>
                </w:rPr>
                <w:t>10</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16">
              <w:r>
                <w:rPr>
                  <w:rStyle w:val="InternetLink"/>
                </w:rPr>
                <w:t>TRADING PRICE AND VOLUME</w:t>
              </w:r>
            </w:hyperlink>
          </w:p>
        </w:tc>
        <w:tc>
          <w:tcPr>
            <w:tcW w:w="275" w:type="dxa"/>
            <w:tcBorders/>
            <w:shd w:fill="EEEEEE" w:val="clear"/>
            <w:vAlign w:val="center"/>
          </w:tcPr>
          <w:p>
            <w:pPr>
              <w:pStyle w:val="TableContents"/>
              <w:bidi w:val="0"/>
              <w:spacing w:before="0" w:after="283"/>
              <w:jc w:val="right"/>
              <w:rPr/>
            </w:pPr>
            <w:hyperlink w:anchor="page_16">
              <w:r>
                <w:rPr>
                  <w:rStyle w:val="InternetLink"/>
                </w:rPr>
                <w:t>12</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18">
              <w:r>
                <w:rPr>
                  <w:rStyle w:val="InternetLink"/>
                </w:rPr>
                <w:t>PRIOR SALES</w:t>
              </w:r>
            </w:hyperlink>
          </w:p>
        </w:tc>
        <w:tc>
          <w:tcPr>
            <w:tcW w:w="275" w:type="dxa"/>
            <w:tcBorders/>
            <w:shd w:fill="EEEEEE" w:val="clear"/>
            <w:vAlign w:val="center"/>
          </w:tcPr>
          <w:p>
            <w:pPr>
              <w:pStyle w:val="TableContents"/>
              <w:bidi w:val="0"/>
              <w:spacing w:before="0" w:after="283"/>
              <w:jc w:val="right"/>
              <w:rPr/>
            </w:pPr>
            <w:hyperlink w:anchor="page_18">
              <w:r>
                <w:rPr>
                  <w:rStyle w:val="InternetLink"/>
                </w:rPr>
                <w:t>14</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21">
              <w:r>
                <w:rPr>
                  <w:rStyle w:val="InternetLink"/>
                </w:rPr>
                <w:t>RISK FACTORS</w:t>
              </w:r>
            </w:hyperlink>
          </w:p>
        </w:tc>
        <w:tc>
          <w:tcPr>
            <w:tcW w:w="275" w:type="dxa"/>
            <w:tcBorders/>
            <w:shd w:fill="EEEEEE" w:val="clear"/>
            <w:vAlign w:val="center"/>
          </w:tcPr>
          <w:p>
            <w:pPr>
              <w:pStyle w:val="TableContents"/>
              <w:bidi w:val="0"/>
              <w:spacing w:before="0" w:after="283"/>
              <w:jc w:val="right"/>
              <w:rPr/>
            </w:pPr>
            <w:hyperlink w:anchor="page_21">
              <w:r>
                <w:rPr>
                  <w:rStyle w:val="InternetLink"/>
                </w:rPr>
                <w:t>17</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25">
              <w:r>
                <w:rPr>
                  <w:rStyle w:val="InternetLink"/>
                </w:rPr>
                <w:t>CERTAIN CANADIAN INCOME TAX CONSIDERATIONS</w:t>
              </w:r>
            </w:hyperlink>
          </w:p>
        </w:tc>
        <w:tc>
          <w:tcPr>
            <w:tcW w:w="275" w:type="dxa"/>
            <w:tcBorders/>
            <w:shd w:fill="EEEEEE" w:val="clear"/>
            <w:vAlign w:val="center"/>
          </w:tcPr>
          <w:p>
            <w:pPr>
              <w:pStyle w:val="TableContents"/>
              <w:bidi w:val="0"/>
              <w:spacing w:before="0" w:after="283"/>
              <w:jc w:val="right"/>
              <w:rPr/>
            </w:pPr>
            <w:hyperlink w:anchor="page_25">
              <w:r>
                <w:rPr>
                  <w:rStyle w:val="InternetLink"/>
                </w:rPr>
                <w:t>21</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28">
              <w:r>
                <w:rPr>
                  <w:rStyle w:val="InternetLink"/>
                </w:rPr>
                <w:t>CERTAIN UNITED STATES FEDERAL INCOME TAX CONSIDERATIONS TO U.S. HOLDERS</w:t>
              </w:r>
            </w:hyperlink>
          </w:p>
        </w:tc>
        <w:tc>
          <w:tcPr>
            <w:tcW w:w="275" w:type="dxa"/>
            <w:tcBorders/>
            <w:shd w:fill="EEEEEE" w:val="clear"/>
            <w:vAlign w:val="center"/>
          </w:tcPr>
          <w:p>
            <w:pPr>
              <w:pStyle w:val="TableContents"/>
              <w:bidi w:val="0"/>
              <w:spacing w:before="0" w:after="283"/>
              <w:jc w:val="right"/>
              <w:rPr/>
            </w:pPr>
            <w:hyperlink w:anchor="page_28">
              <w:r>
                <w:rPr>
                  <w:rStyle w:val="InternetLink"/>
                </w:rPr>
                <w:t>24</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37">
              <w:r>
                <w:rPr>
                  <w:rStyle w:val="InternetLink"/>
                </w:rPr>
                <w:t>EXPERTS</w:t>
              </w:r>
            </w:hyperlink>
          </w:p>
        </w:tc>
        <w:tc>
          <w:tcPr>
            <w:tcW w:w="275" w:type="dxa"/>
            <w:tcBorders/>
            <w:shd w:fill="EEEEEE" w:val="clear"/>
            <w:vAlign w:val="center"/>
          </w:tcPr>
          <w:p>
            <w:pPr>
              <w:pStyle w:val="TableContents"/>
              <w:bidi w:val="0"/>
              <w:spacing w:before="0" w:after="283"/>
              <w:jc w:val="right"/>
              <w:rPr/>
            </w:pPr>
            <w:hyperlink w:anchor="page_37">
              <w:r>
                <w:rPr>
                  <w:rStyle w:val="InternetLink"/>
                </w:rPr>
                <w:t>33</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37">
              <w:r>
                <w:rPr>
                  <w:rStyle w:val="InternetLink"/>
                </w:rPr>
                <w:t>AUDITORS, TRANSFER AGENT AND REGISTRAR</w:t>
              </w:r>
            </w:hyperlink>
          </w:p>
        </w:tc>
        <w:tc>
          <w:tcPr>
            <w:tcW w:w="275" w:type="dxa"/>
            <w:tcBorders/>
            <w:shd w:fill="EEEEEE" w:val="clear"/>
            <w:vAlign w:val="center"/>
          </w:tcPr>
          <w:p>
            <w:pPr>
              <w:pStyle w:val="TableContents"/>
              <w:bidi w:val="0"/>
              <w:spacing w:before="0" w:after="283"/>
              <w:jc w:val="right"/>
              <w:rPr/>
            </w:pPr>
            <w:hyperlink w:anchor="page_37">
              <w:r>
                <w:rPr>
                  <w:rStyle w:val="InternetLink"/>
                </w:rPr>
                <w:t>33</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37">
              <w:r>
                <w:rPr>
                  <w:rStyle w:val="InternetLink"/>
                </w:rPr>
                <w:t>EXEMPTIONS</w:t>
              </w:r>
            </w:hyperlink>
          </w:p>
        </w:tc>
        <w:tc>
          <w:tcPr>
            <w:tcW w:w="275" w:type="dxa"/>
            <w:tcBorders/>
            <w:shd w:fill="EEEEEE" w:val="clear"/>
            <w:vAlign w:val="center"/>
          </w:tcPr>
          <w:p>
            <w:pPr>
              <w:pStyle w:val="TableContents"/>
              <w:bidi w:val="0"/>
              <w:spacing w:before="0" w:after="283"/>
              <w:jc w:val="right"/>
              <w:rPr/>
            </w:pPr>
            <w:hyperlink w:anchor="page_37">
              <w:r>
                <w:rPr>
                  <w:rStyle w:val="InternetLink"/>
                </w:rPr>
                <w:t>33</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38">
              <w:r>
                <w:rPr>
                  <w:rStyle w:val="InternetLink"/>
                </w:rPr>
                <w:t>ADDITIONAL INFORMATION</w:t>
              </w:r>
            </w:hyperlink>
          </w:p>
        </w:tc>
        <w:tc>
          <w:tcPr>
            <w:tcW w:w="275" w:type="dxa"/>
            <w:tcBorders/>
            <w:shd w:fill="EEEEEE" w:val="clear"/>
            <w:vAlign w:val="center"/>
          </w:tcPr>
          <w:p>
            <w:pPr>
              <w:pStyle w:val="TableContents"/>
              <w:bidi w:val="0"/>
              <w:spacing w:before="0" w:after="283"/>
              <w:jc w:val="right"/>
              <w:rPr/>
            </w:pPr>
            <w:hyperlink w:anchor="page_38">
              <w:r>
                <w:rPr>
                  <w:rStyle w:val="InternetLink"/>
                </w:rPr>
                <w:t>34</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shd w:fill="EEEEEE" w:val="clear"/>
            <w:vAlign w:val="center"/>
          </w:tcPr>
          <w:p>
            <w:pPr>
              <w:pStyle w:val="TableContents"/>
              <w:bidi w:val="0"/>
              <w:spacing w:before="0" w:after="283"/>
              <w:jc w:val="left"/>
              <w:rPr/>
            </w:pPr>
            <w:hyperlink w:anchor="page_38">
              <w:r>
                <w:rPr>
                  <w:rStyle w:val="InternetLink"/>
                </w:rPr>
                <w:t>ENFORCEABILITY OF CIVIL LIABILITIES BY U.S. INVESTORS</w:t>
              </w:r>
            </w:hyperlink>
          </w:p>
        </w:tc>
        <w:tc>
          <w:tcPr>
            <w:tcW w:w="275" w:type="dxa"/>
            <w:tcBorders/>
            <w:shd w:fill="EEEEEE" w:val="clear"/>
            <w:vAlign w:val="center"/>
          </w:tcPr>
          <w:p>
            <w:pPr>
              <w:pStyle w:val="TableContents"/>
              <w:bidi w:val="0"/>
              <w:spacing w:before="0" w:after="283"/>
              <w:jc w:val="right"/>
              <w:rPr/>
            </w:pPr>
            <w:hyperlink w:anchor="page_38">
              <w:r>
                <w:rPr>
                  <w:rStyle w:val="InternetLink"/>
                </w:rPr>
                <w:t>34</w:t>
              </w:r>
            </w:hyperlink>
          </w:p>
        </w:tc>
      </w:tr>
    </w:tbl>
    <w:p>
      <w:pPr>
        <w:pStyle w:val="TextBody"/>
        <w:bidi w:val="0"/>
        <w:jc w:val="both"/>
        <w:rPr>
          <w:b/>
        </w:rPr>
      </w:pPr>
      <w:r>
        <w:rPr>
          <w:b/>
        </w:rPr>
        <w:t>Base Shelf Prospectus</w:t>
      </w:r>
    </w:p>
    <w:tbl>
      <w:tblPr>
        <w:tblW w:w="9430" w:type="dxa"/>
        <w:jc w:val="left"/>
        <w:tblInd w:w="0" w:type="dxa"/>
        <w:tblLayout w:type="fixed"/>
        <w:tblCellMar>
          <w:top w:w="0" w:type="dxa"/>
          <w:left w:w="0" w:type="dxa"/>
          <w:bottom w:w="0" w:type="dxa"/>
          <w:right w:w="0" w:type="dxa"/>
        </w:tblCellMar>
      </w:tblPr>
      <w:tblGrid>
        <w:gridCol w:w="9155"/>
        <w:gridCol w:w="275"/>
      </w:tblGrid>
      <w:tr>
        <w:trPr/>
        <w:tc>
          <w:tcPr>
            <w:tcW w:w="9155" w:type="dxa"/>
            <w:tcBorders/>
            <w:shd w:fill="EEEEEE" w:val="clear"/>
            <w:vAlign w:val="center"/>
          </w:tcPr>
          <w:p>
            <w:pPr>
              <w:pStyle w:val="TableContents"/>
              <w:bidi w:val="0"/>
              <w:spacing w:before="0" w:after="283"/>
              <w:jc w:val="left"/>
              <w:rPr/>
            </w:pPr>
            <w:hyperlink w:anchor="page_43">
              <w:r>
                <w:rPr>
                  <w:rStyle w:val="InternetLink"/>
                </w:rPr>
                <w:t>ABOUT THIS PROSPECTUS</w:t>
              </w:r>
            </w:hyperlink>
          </w:p>
        </w:tc>
        <w:tc>
          <w:tcPr>
            <w:tcW w:w="275" w:type="dxa"/>
            <w:tcBorders/>
            <w:shd w:fill="EEEEEE" w:val="clear"/>
            <w:vAlign w:val="center"/>
          </w:tcPr>
          <w:p>
            <w:pPr>
              <w:pStyle w:val="TableContents"/>
              <w:bidi w:val="0"/>
              <w:spacing w:before="0" w:after="283"/>
              <w:jc w:val="right"/>
              <w:rPr/>
            </w:pPr>
            <w:hyperlink w:anchor="page_43">
              <w:r>
                <w:rPr>
                  <w:rStyle w:val="InternetLink"/>
                </w:rPr>
                <w:t>1</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3">
              <w:r>
                <w:rPr>
                  <w:rStyle w:val="InternetLink"/>
                </w:rPr>
                <w:t>CAUTION REGARDING FORWARD LOOKING INFORMATION AND STATEMENTS</w:t>
              </w:r>
            </w:hyperlink>
          </w:p>
        </w:tc>
        <w:tc>
          <w:tcPr>
            <w:tcW w:w="275" w:type="dxa"/>
            <w:tcBorders/>
            <w:shd w:fill="EEEEEE" w:val="clear"/>
            <w:vAlign w:val="center"/>
          </w:tcPr>
          <w:p>
            <w:pPr>
              <w:pStyle w:val="TableContents"/>
              <w:bidi w:val="0"/>
              <w:spacing w:before="0" w:after="283"/>
              <w:jc w:val="right"/>
              <w:rPr/>
            </w:pPr>
            <w:hyperlink w:anchor="page_43">
              <w:r>
                <w:rPr>
                  <w:rStyle w:val="InternetLink"/>
                </w:rPr>
                <w:t>1</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6">
              <w:r>
                <w:rPr>
                  <w:rStyle w:val="InternetLink"/>
                </w:rPr>
                <w:t>EXEMPTION</w:t>
              </w:r>
            </w:hyperlink>
          </w:p>
        </w:tc>
        <w:tc>
          <w:tcPr>
            <w:tcW w:w="275" w:type="dxa"/>
            <w:tcBorders/>
            <w:shd w:fill="EEEEEE" w:val="clear"/>
            <w:vAlign w:val="center"/>
          </w:tcPr>
          <w:p>
            <w:pPr>
              <w:pStyle w:val="TableContents"/>
              <w:bidi w:val="0"/>
              <w:spacing w:before="0" w:after="283"/>
              <w:jc w:val="right"/>
              <w:rPr/>
            </w:pPr>
            <w:hyperlink w:anchor="page_46">
              <w:r>
                <w:rPr>
                  <w:rStyle w:val="InternetLink"/>
                </w:rPr>
                <w:t>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6">
              <w:r>
                <w:rPr>
                  <w:rStyle w:val="InternetLink"/>
                </w:rPr>
                <w:t>TRADEMARKS AND SERVICE MARKS</w:t>
              </w:r>
            </w:hyperlink>
          </w:p>
        </w:tc>
        <w:tc>
          <w:tcPr>
            <w:tcW w:w="275" w:type="dxa"/>
            <w:tcBorders/>
            <w:shd w:fill="EEEEEE" w:val="clear"/>
            <w:vAlign w:val="center"/>
          </w:tcPr>
          <w:p>
            <w:pPr>
              <w:pStyle w:val="TableContents"/>
              <w:bidi w:val="0"/>
              <w:spacing w:before="0" w:after="283"/>
              <w:jc w:val="right"/>
              <w:rPr/>
            </w:pPr>
            <w:hyperlink w:anchor="page_46">
              <w:r>
                <w:rPr>
                  <w:rStyle w:val="InternetLink"/>
                </w:rPr>
                <w:t>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6">
              <w:r>
                <w:rPr>
                  <w:rStyle w:val="InternetLink"/>
                </w:rPr>
                <w:t>MARKETING MATERIALS</w:t>
              </w:r>
            </w:hyperlink>
          </w:p>
        </w:tc>
        <w:tc>
          <w:tcPr>
            <w:tcW w:w="275" w:type="dxa"/>
            <w:tcBorders/>
            <w:shd w:fill="EEEEEE" w:val="clear"/>
            <w:vAlign w:val="center"/>
          </w:tcPr>
          <w:p>
            <w:pPr>
              <w:pStyle w:val="TableContents"/>
              <w:bidi w:val="0"/>
              <w:spacing w:before="0" w:after="283"/>
              <w:jc w:val="right"/>
              <w:rPr/>
            </w:pPr>
            <w:hyperlink w:anchor="page_46">
              <w:r>
                <w:rPr>
                  <w:rStyle w:val="InternetLink"/>
                </w:rPr>
                <w:t>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6">
              <w:r>
                <w:rPr>
                  <w:rStyle w:val="InternetLink"/>
                </w:rPr>
                <w:t>MARKET AND INDUSTRY DATA</w:t>
              </w:r>
            </w:hyperlink>
          </w:p>
        </w:tc>
        <w:tc>
          <w:tcPr>
            <w:tcW w:w="275" w:type="dxa"/>
            <w:tcBorders/>
            <w:shd w:fill="EEEEEE" w:val="clear"/>
            <w:vAlign w:val="center"/>
          </w:tcPr>
          <w:p>
            <w:pPr>
              <w:pStyle w:val="TableContents"/>
              <w:bidi w:val="0"/>
              <w:spacing w:before="0" w:after="283"/>
              <w:jc w:val="right"/>
              <w:rPr/>
            </w:pPr>
            <w:hyperlink w:anchor="page_46">
              <w:r>
                <w:rPr>
                  <w:rStyle w:val="InternetLink"/>
                </w:rPr>
                <w:t>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7">
              <w:r>
                <w:rPr>
                  <w:rStyle w:val="InternetLink"/>
                </w:rPr>
                <w:t>DOCUMENTS INCORPORATED BY REFERENCE</w:t>
              </w:r>
            </w:hyperlink>
          </w:p>
        </w:tc>
        <w:tc>
          <w:tcPr>
            <w:tcW w:w="275" w:type="dxa"/>
            <w:tcBorders/>
            <w:shd w:fill="EEEEEE" w:val="clear"/>
            <w:vAlign w:val="center"/>
          </w:tcPr>
          <w:p>
            <w:pPr>
              <w:pStyle w:val="TableContents"/>
              <w:bidi w:val="0"/>
              <w:spacing w:before="0" w:after="283"/>
              <w:jc w:val="right"/>
              <w:rPr/>
            </w:pPr>
            <w:hyperlink w:anchor="page_47">
              <w:r>
                <w:rPr>
                  <w:rStyle w:val="InternetLink"/>
                </w:rPr>
                <w:t>5</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8">
              <w:r>
                <w:rPr>
                  <w:rStyle w:val="InternetLink"/>
                </w:rPr>
                <w:t>THE CORPORATION</w:t>
              </w:r>
            </w:hyperlink>
          </w:p>
        </w:tc>
        <w:tc>
          <w:tcPr>
            <w:tcW w:w="275" w:type="dxa"/>
            <w:tcBorders/>
            <w:shd w:fill="EEEEEE" w:val="clear"/>
            <w:vAlign w:val="center"/>
          </w:tcPr>
          <w:p>
            <w:pPr>
              <w:pStyle w:val="TableContents"/>
              <w:bidi w:val="0"/>
              <w:spacing w:before="0" w:after="283"/>
              <w:jc w:val="right"/>
              <w:rPr/>
            </w:pPr>
            <w:hyperlink w:anchor="page_48">
              <w:r>
                <w:rPr>
                  <w:rStyle w:val="InternetLink"/>
                </w:rPr>
                <w:t>6</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51">
              <w:r>
                <w:rPr>
                  <w:rStyle w:val="InternetLink"/>
                </w:rPr>
                <w:t>REGULATORY OVERVIEW</w:t>
              </w:r>
            </w:hyperlink>
          </w:p>
        </w:tc>
        <w:tc>
          <w:tcPr>
            <w:tcW w:w="275" w:type="dxa"/>
            <w:tcBorders/>
            <w:shd w:fill="EEEEEE" w:val="clear"/>
            <w:vAlign w:val="center"/>
          </w:tcPr>
          <w:p>
            <w:pPr>
              <w:pStyle w:val="TableContents"/>
              <w:bidi w:val="0"/>
              <w:spacing w:before="0" w:after="283"/>
              <w:jc w:val="right"/>
              <w:rPr/>
            </w:pPr>
            <w:hyperlink w:anchor="page_51">
              <w:r>
                <w:rPr>
                  <w:rStyle w:val="InternetLink"/>
                </w:rPr>
                <w:t>9</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65">
              <w:r>
                <w:rPr>
                  <w:rStyle w:val="InternetLink"/>
                </w:rPr>
                <w:t>COMPLIANCE PROGRAM</w:t>
              </w:r>
            </w:hyperlink>
          </w:p>
        </w:tc>
        <w:tc>
          <w:tcPr>
            <w:tcW w:w="275" w:type="dxa"/>
            <w:tcBorders/>
            <w:shd w:fill="EEEEEE" w:val="clear"/>
            <w:vAlign w:val="center"/>
          </w:tcPr>
          <w:p>
            <w:pPr>
              <w:pStyle w:val="TableContents"/>
              <w:bidi w:val="0"/>
              <w:spacing w:before="0" w:after="283"/>
              <w:jc w:val="right"/>
              <w:rPr/>
            </w:pPr>
            <w:hyperlink w:anchor="page_65">
              <w:r>
                <w:rPr>
                  <w:rStyle w:val="InternetLink"/>
                </w:rPr>
                <w:t>23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65">
              <w:r>
                <w:rPr>
                  <w:rStyle w:val="InternetLink"/>
                </w:rPr>
                <w:t>CONSOLIDATED CAPITALIZATION</w:t>
              </w:r>
            </w:hyperlink>
          </w:p>
        </w:tc>
        <w:tc>
          <w:tcPr>
            <w:tcW w:w="275" w:type="dxa"/>
            <w:tcBorders/>
            <w:shd w:fill="EEEEEE" w:val="clear"/>
            <w:vAlign w:val="center"/>
          </w:tcPr>
          <w:p>
            <w:pPr>
              <w:pStyle w:val="TableContents"/>
              <w:bidi w:val="0"/>
              <w:spacing w:before="0" w:after="283"/>
              <w:jc w:val="right"/>
              <w:rPr/>
            </w:pPr>
            <w:hyperlink w:anchor="page_65">
              <w:r>
                <w:rPr>
                  <w:rStyle w:val="InternetLink"/>
                </w:rPr>
                <w:t>23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66">
              <w:r>
                <w:rPr>
                  <w:rStyle w:val="InternetLink"/>
                </w:rPr>
                <w:t>USE OF PROCEEDS</w:t>
              </w:r>
            </w:hyperlink>
          </w:p>
        </w:tc>
        <w:tc>
          <w:tcPr>
            <w:tcW w:w="275" w:type="dxa"/>
            <w:tcBorders/>
            <w:shd w:fill="EEEEEE" w:val="clear"/>
            <w:vAlign w:val="center"/>
          </w:tcPr>
          <w:p>
            <w:pPr>
              <w:pStyle w:val="TableContents"/>
              <w:bidi w:val="0"/>
              <w:spacing w:before="0" w:after="283"/>
              <w:jc w:val="right"/>
              <w:rPr/>
            </w:pPr>
            <w:hyperlink w:anchor="page_66">
              <w:r>
                <w:rPr>
                  <w:rStyle w:val="InternetLink"/>
                </w:rPr>
                <w:t>24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67">
              <w:r>
                <w:rPr>
                  <w:rStyle w:val="InternetLink"/>
                </w:rPr>
                <w:t>DIVIDEND POLICY</w:t>
              </w:r>
            </w:hyperlink>
          </w:p>
        </w:tc>
        <w:tc>
          <w:tcPr>
            <w:tcW w:w="275" w:type="dxa"/>
            <w:tcBorders/>
            <w:shd w:fill="EEEEEE" w:val="clear"/>
            <w:vAlign w:val="center"/>
          </w:tcPr>
          <w:p>
            <w:pPr>
              <w:pStyle w:val="TableContents"/>
              <w:bidi w:val="0"/>
              <w:spacing w:before="0" w:after="283"/>
              <w:jc w:val="right"/>
              <w:rPr/>
            </w:pPr>
            <w:hyperlink w:anchor="page_67">
              <w:r>
                <w:rPr>
                  <w:rStyle w:val="InternetLink"/>
                </w:rPr>
                <w:t>25</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68">
              <w:r>
                <w:rPr>
                  <w:rStyle w:val="InternetLink"/>
                </w:rPr>
                <w:t>DESCRIPTION OF SECURITIES BEING DISTRIBUTED</w:t>
              </w:r>
            </w:hyperlink>
          </w:p>
        </w:tc>
        <w:tc>
          <w:tcPr>
            <w:tcW w:w="275" w:type="dxa"/>
            <w:tcBorders/>
            <w:shd w:fill="EEEEEE" w:val="clear"/>
            <w:vAlign w:val="center"/>
          </w:tcPr>
          <w:p>
            <w:pPr>
              <w:pStyle w:val="TableContents"/>
              <w:bidi w:val="0"/>
              <w:spacing w:before="0" w:after="283"/>
              <w:jc w:val="right"/>
              <w:rPr/>
            </w:pPr>
            <w:hyperlink w:anchor="page_68">
              <w:r>
                <w:rPr>
                  <w:rStyle w:val="InternetLink"/>
                </w:rPr>
                <w:t>26</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2">
              <w:r>
                <w:rPr>
                  <w:rStyle w:val="InternetLink"/>
                </w:rPr>
                <w:t>PLAN OF DISTRIBUTION</w:t>
              </w:r>
            </w:hyperlink>
          </w:p>
        </w:tc>
        <w:tc>
          <w:tcPr>
            <w:tcW w:w="275" w:type="dxa"/>
            <w:tcBorders/>
            <w:shd w:fill="EEEEEE" w:val="clear"/>
            <w:vAlign w:val="center"/>
          </w:tcPr>
          <w:p>
            <w:pPr>
              <w:pStyle w:val="TableContents"/>
              <w:bidi w:val="0"/>
              <w:spacing w:before="0" w:after="283"/>
              <w:jc w:val="right"/>
              <w:rPr/>
            </w:pPr>
            <w:hyperlink w:anchor="page_72">
              <w:r>
                <w:rPr>
                  <w:rStyle w:val="InternetLink"/>
                </w:rPr>
                <w:t>30</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3">
              <w:r>
                <w:rPr>
                  <w:rStyle w:val="InternetLink"/>
                </w:rPr>
                <w:t>RISK FACTORS</w:t>
              </w:r>
            </w:hyperlink>
          </w:p>
        </w:tc>
        <w:tc>
          <w:tcPr>
            <w:tcW w:w="275" w:type="dxa"/>
            <w:tcBorders/>
            <w:shd w:fill="EEEEEE" w:val="clear"/>
            <w:vAlign w:val="center"/>
          </w:tcPr>
          <w:p>
            <w:pPr>
              <w:pStyle w:val="TableContents"/>
              <w:bidi w:val="0"/>
              <w:spacing w:before="0" w:after="283"/>
              <w:jc w:val="right"/>
              <w:rPr/>
            </w:pPr>
            <w:hyperlink w:anchor="page_73">
              <w:r>
                <w:rPr>
                  <w:rStyle w:val="InternetLink"/>
                </w:rPr>
                <w:t>31</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8">
              <w:r>
                <w:rPr>
                  <w:rStyle w:val="InternetLink"/>
                </w:rPr>
                <w:t>CERTAIN FEDERAL INCOME TAX CONSIDERATIONS</w:t>
              </w:r>
            </w:hyperlink>
          </w:p>
        </w:tc>
        <w:tc>
          <w:tcPr>
            <w:tcW w:w="275" w:type="dxa"/>
            <w:tcBorders/>
            <w:shd w:fill="EEEEEE" w:val="clear"/>
            <w:vAlign w:val="center"/>
          </w:tcPr>
          <w:p>
            <w:pPr>
              <w:pStyle w:val="TableContents"/>
              <w:bidi w:val="0"/>
              <w:spacing w:before="0" w:after="283"/>
              <w:jc w:val="right"/>
              <w:rPr/>
            </w:pPr>
            <w:hyperlink w:anchor="page_78">
              <w:r>
                <w:rPr>
                  <w:rStyle w:val="InternetLink"/>
                </w:rPr>
                <w:t>36</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8">
              <w:r>
                <w:rPr>
                  <w:rStyle w:val="InternetLink"/>
                </w:rPr>
                <w:t>LEGAL MATTERS</w:t>
              </w:r>
            </w:hyperlink>
          </w:p>
        </w:tc>
        <w:tc>
          <w:tcPr>
            <w:tcW w:w="275" w:type="dxa"/>
            <w:tcBorders/>
            <w:shd w:fill="EEEEEE" w:val="clear"/>
            <w:vAlign w:val="center"/>
          </w:tcPr>
          <w:p>
            <w:pPr>
              <w:pStyle w:val="TableContents"/>
              <w:bidi w:val="0"/>
              <w:spacing w:before="0" w:after="283"/>
              <w:jc w:val="right"/>
              <w:rPr/>
            </w:pPr>
            <w:hyperlink w:anchor="page_78">
              <w:r>
                <w:rPr>
                  <w:rStyle w:val="InternetLink"/>
                </w:rPr>
                <w:t>36</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9">
              <w:r>
                <w:rPr>
                  <w:rStyle w:val="InternetLink"/>
                </w:rPr>
                <w:t>AUDITORS, TRANSFER AGENT AND REGISTRAR</w:t>
              </w:r>
            </w:hyperlink>
          </w:p>
        </w:tc>
        <w:tc>
          <w:tcPr>
            <w:tcW w:w="275" w:type="dxa"/>
            <w:tcBorders/>
            <w:shd w:fill="EEEEEE" w:val="clear"/>
            <w:vAlign w:val="center"/>
          </w:tcPr>
          <w:p>
            <w:pPr>
              <w:pStyle w:val="TableContents"/>
              <w:bidi w:val="0"/>
              <w:spacing w:before="0" w:after="283"/>
              <w:jc w:val="right"/>
              <w:rPr/>
            </w:pPr>
            <w:hyperlink w:anchor="page_79">
              <w:r>
                <w:rPr>
                  <w:rStyle w:val="InternetLink"/>
                </w:rPr>
                <w:t>37</w:t>
              </w:r>
            </w:hyperlink>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v</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8" w:name="page_5"/>
      <w:bookmarkEnd w:id="8"/>
      <w:r>
        <w:rPr>
          <w:b/>
        </w:rPr>
        <w:t>ABOUT THIS PROSPECTUS</w:t>
      </w:r>
    </w:p>
    <w:p>
      <w:pPr>
        <w:pStyle w:val="TextBody"/>
        <w:bidi w:val="0"/>
        <w:jc w:val="both"/>
        <w:rPr/>
      </w:pPr>
      <w:r>
        <w:rPr/>
        <w:t>This document consists of two parts. The first part is this Prospectus Supplement, which describes certain terms of the Warrant Shares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Warrant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authorized anyone to provide investors with different or additional information. The Corporation is not, and the Underwriters are not, making an offer to sell Warrant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pStyle w:val="TextBody"/>
        <w:bidi w:val="0"/>
        <w:jc w:val="both"/>
        <w:rPr/>
      </w:pPr>
      <w:r>
        <w:rPr/>
        <w:t>The Corporation filed the Base Shelf Prospectus with the securities commissions in all Canadian provinces and territories (the "</w:t>
      </w:r>
      <w:r>
        <w:rPr>
          <w:b/>
        </w:rPr>
        <w:t>Canadian Qualifying Jurisdictions</w:t>
      </w:r>
      <w:r>
        <w:rPr/>
        <w:t xml:space="preserve">") in order to qualify the offering of the securities described in the Base Shelf Prospectus in accordance with National Instrument 44-102 </w:t>
      </w:r>
      <w:r>
        <w:rPr>
          <w:i/>
        </w:rPr>
        <w:t>Shelf Distributions</w:t>
      </w:r>
      <w:r>
        <w:rPr/>
        <w:t xml:space="preserve">. The Ontario Securities Commission issued a receipt dated July 5, 2021 in respect of the final Base Shelf Prospectus as the principal regulatory authority under Multilateral Instrument 11-102 </w:t>
      </w:r>
      <w:r>
        <w:rPr>
          <w:i/>
        </w:rPr>
        <w:t>Passport System</w:t>
      </w:r>
      <w:r>
        <w:rPr/>
        <w:t xml:space="preserve">, and each of the other commissions in the Canadian Qualifying Jurisdictions is deemed to have issued a receipt under National Policy 11-202 </w:t>
      </w:r>
      <w:r>
        <w:rPr>
          <w:i/>
        </w:rPr>
        <w:t>Process for Prospectus Review in Multiple Jurisdictions</w:t>
      </w:r>
      <w:r>
        <w:rPr/>
        <w:t>.</w:t>
      </w:r>
    </w:p>
    <w:p>
      <w:pPr>
        <w:pStyle w:val="TextBody"/>
        <w:bidi w:val="0"/>
        <w:jc w:val="both"/>
        <w:rPr/>
      </w:pPr>
      <w:r>
        <w:rPr/>
        <w:t>The Base Shelf Prospectus also forms part of the Registration Statement on Form F-10 that the Corporation filed with the SEC on October 1, 2021 under the U.S. Securities Act utilizing the MJDS. The Registration Statement became effective under the U.S. Securities Act on October 8, 2021. The Registration Statement incorporates the Base Shelf Prospectus with certain modifications and deletions permitted by Form F-10. This Prospectus Supplement is being filed by the Corporation, with certain modifications and deletions permitted by Form F-10, with the SEC in accordance with the instructions to Form F-10.</w:t>
      </w:r>
    </w:p>
    <w:p>
      <w:pPr>
        <w:pStyle w:val="TextBody"/>
        <w:bidi w:val="0"/>
        <w:jc w:val="both"/>
        <w:rPr/>
      </w:pPr>
      <w:r>
        <w:rPr/>
        <w:t>Unless otherwise indicated or the context otherwise requires, all references in this Prospectus Supplement to "</w:t>
      </w:r>
      <w:r>
        <w:rPr>
          <w:b/>
        </w:rPr>
        <w:t>Cybin</w:t>
      </w:r>
      <w:r>
        <w:rPr/>
        <w:t>" or the "</w:t>
      </w:r>
      <w:r>
        <w:rPr>
          <w:b/>
        </w:rPr>
        <w:t>Corporation</w:t>
      </w:r>
      <w:r>
        <w:rPr/>
        <w:t>", except as otherwise indicated or as the context otherwise indicates, mean Cybin Inc. and its subsidiaries and associated corporations</w:t>
      </w:r>
      <w:r>
        <w:rPr>
          <w:i/>
        </w:rPr>
        <w:t>.</w:t>
      </w:r>
    </w:p>
    <w:p>
      <w:pPr>
        <w:pStyle w:val="TextBody"/>
        <w:bidi w:val="0"/>
        <w:jc w:val="both"/>
        <w:rPr/>
      </w:pPr>
      <w:r>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i/>
        </w:rPr>
        <w:t>Documents Incorporated by Reference</w:t>
      </w:r>
      <w:r>
        <w:rPr/>
        <w:t>".</w:t>
      </w:r>
    </w:p>
    <w:p>
      <w:pPr>
        <w:pStyle w:val="TextBody"/>
        <w:bidi w:val="0"/>
        <w:jc w:val="center"/>
        <w:rPr>
          <w:b/>
        </w:rPr>
      </w:pPr>
      <w:r>
        <w:rPr>
          <w:b/>
        </w:rPr>
        <w:t>CAUTIONARY STATEMENT REGARDING FORWARD-LOOKING INFORMATION</w:t>
      </w:r>
    </w:p>
    <w:p>
      <w:pPr>
        <w:pStyle w:val="TextBody"/>
        <w:bidi w:val="0"/>
        <w:jc w:val="both"/>
        <w:rPr/>
      </w:pPr>
      <w:r>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 w:name="page_6"/>
      <w:bookmarkEnd w:id="9"/>
      <w:r>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i/>
        </w:rPr>
        <w:t>"Risk Factors"</w:t>
      </w:r>
      <w:r>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pStyle w:val="TextBody"/>
        <w:bidi w:val="0"/>
        <w:jc w:val="both"/>
        <w:rPr/>
      </w:pPr>
      <w:r>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pStyle w:val="TextBody"/>
        <w:bidi w:val="0"/>
        <w:jc w:val="both"/>
        <w:rPr/>
      </w:pPr>
      <w:r>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Unit Shares and Warrant Shares issuable under the Offering; the net proceeds, if any, from sales under this Prospectus Supplement; the Corporation's use of proceeds and business objectives and milestones and the anticipated timing of execution, see </w:t>
      </w:r>
      <w:r>
        <w:rPr>
          <w:i/>
        </w:rPr>
        <w:t>"Use of Proceeds"</w:t>
      </w:r>
      <w:r>
        <w:rPr/>
        <w:t>; effects of the coronavirus "COVID-19";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Securities is highly speculative; completion of the Offering; negative operating cash flow and going concern; discretion in the use of proceeds; potential dilution; trading market; significant sales of Common Shares; positive return not guaranteed; the Corporation's expectation that it will be a "passive foreign investment company"; speculative nature of Warrants.</w:t>
      </w:r>
    </w:p>
    <w:p>
      <w:pPr>
        <w:pStyle w:val="TextBody"/>
        <w:bidi w:val="0"/>
        <w:jc w:val="both"/>
        <w:rPr/>
      </w:pPr>
      <w:r>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14" w:right="0" w:hanging="357"/>
        <w:jc w:val="both"/>
        <w:rPr/>
      </w:pPr>
      <w:bookmarkStart w:id="10" w:name="page_7"/>
      <w:bookmarkEnd w:id="10"/>
      <w:r>
        <w:rPr/>
        <w:t>• </w:t>
      </w:r>
      <w:r>
        <w:rPr/>
        <w:t>substantial fluctuation of losses from quarter to quarter and year to year due to numerous external risk factors, and anticipation that the Corporation will continue to incur significant losses in the future;</w:t>
      </w:r>
    </w:p>
    <w:p>
      <w:pPr>
        <w:pStyle w:val="TextBody"/>
        <w:bidi w:val="0"/>
        <w:spacing w:before="0" w:after="0"/>
        <w:ind w:left="714" w:right="0" w:hanging="357"/>
        <w:jc w:val="both"/>
        <w:rPr/>
      </w:pPr>
      <w:r>
        <w:rPr/>
        <w:t>• </w:t>
      </w:r>
      <w:r>
        <w:rPr/>
        <w:t>uncertainty as to the Corporation's ability to raise additional funding to support operations;</w:t>
      </w:r>
    </w:p>
    <w:p>
      <w:pPr>
        <w:pStyle w:val="TextBody"/>
        <w:bidi w:val="0"/>
        <w:spacing w:before="0" w:after="0"/>
        <w:ind w:left="714" w:right="0" w:hanging="357"/>
        <w:jc w:val="both"/>
        <w:rPr/>
      </w:pPr>
      <w:r>
        <w:rPr/>
        <w:t>• </w:t>
      </w:r>
      <w:r>
        <w:rPr/>
        <w:t>the Corporation's ability to access additional funding;</w:t>
      </w:r>
    </w:p>
    <w:p>
      <w:pPr>
        <w:pStyle w:val="TextBody"/>
        <w:bidi w:val="0"/>
        <w:spacing w:before="0" w:after="0"/>
        <w:ind w:left="714" w:right="0" w:hanging="357"/>
        <w:jc w:val="both"/>
        <w:rPr/>
      </w:pPr>
      <w:r>
        <w:rPr/>
        <w:t>• </w:t>
      </w:r>
      <w:r>
        <w:rPr/>
        <w:t>the fluctuation of foreign exchange rates;</w:t>
      </w:r>
    </w:p>
    <w:p>
      <w:pPr>
        <w:pStyle w:val="TextBody"/>
        <w:bidi w:val="0"/>
        <w:spacing w:before="0" w:after="0"/>
        <w:ind w:left="714" w:right="0" w:hanging="357"/>
        <w:jc w:val="both"/>
        <w:rPr/>
      </w:pPr>
      <w:r>
        <w:rPr/>
        <w:t>• </w:t>
      </w:r>
      <w:r>
        <w:rPr/>
        <w:t>the duration of COVID-19 and the extent of its economic and social impact;</w:t>
      </w:r>
    </w:p>
    <w:p>
      <w:pPr>
        <w:pStyle w:val="TextBody"/>
        <w:bidi w:val="0"/>
        <w:spacing w:before="0" w:after="0"/>
        <w:ind w:left="714" w:right="0" w:hanging="357"/>
        <w:jc w:val="both"/>
        <w:rPr/>
      </w:pPr>
      <w:r>
        <w:rPr/>
        <w:t>• </w:t>
      </w:r>
      <w:r>
        <w:rPr/>
        <w:t>the risks associated with the development of the Corporation's product candidates which are at early stages of development;</w:t>
      </w:r>
    </w:p>
    <w:p>
      <w:pPr>
        <w:pStyle w:val="TextBody"/>
        <w:bidi w:val="0"/>
        <w:spacing w:before="0" w:after="0"/>
        <w:ind w:left="714" w:right="0" w:hanging="357"/>
        <w:jc w:val="both"/>
        <w:rPr/>
      </w:pPr>
      <w:r>
        <w:rPr/>
        <w:t>• </w:t>
      </w:r>
      <w:r>
        <w:rPr/>
        <w:t>reliance upon industry publications as the Corporation's primary sources for third-party industry data and forecasts;</w:t>
      </w:r>
    </w:p>
    <w:p>
      <w:pPr>
        <w:pStyle w:val="TextBody"/>
        <w:bidi w:val="0"/>
        <w:spacing w:before="0" w:after="0"/>
        <w:ind w:left="714" w:right="0" w:hanging="357"/>
        <w:jc w:val="both"/>
        <w:rPr/>
      </w:pPr>
      <w:r>
        <w:rPr/>
        <w:t>• </w:t>
      </w:r>
      <w:r>
        <w:rPr/>
        <w:t>reliance on third parties to plan, conduct and monitor the Corporation's preclinical studies and clinical trials;</w:t>
      </w:r>
    </w:p>
    <w:p>
      <w:pPr>
        <w:pStyle w:val="TextBody"/>
        <w:bidi w:val="0"/>
        <w:spacing w:before="0" w:after="0"/>
        <w:ind w:left="714" w:right="0" w:hanging="357"/>
        <w:jc w:val="both"/>
        <w:rPr/>
      </w:pPr>
      <w:r>
        <w:rPr/>
        <w:t>• </w:t>
      </w:r>
      <w:r>
        <w:rPr/>
        <w:t>reliance on third party contract manufacturers to deliver quality clinical and preclinical materials;</w:t>
      </w:r>
    </w:p>
    <w:p>
      <w:pPr>
        <w:pStyle w:val="TextBody"/>
        <w:bidi w:val="0"/>
        <w:spacing w:before="0" w:after="0"/>
        <w:ind w:left="714" w:right="0" w:hanging="357"/>
        <w:jc w:val="both"/>
        <w:rPr/>
      </w:pPr>
      <w:r>
        <w:rPr/>
        <w:t>• </w:t>
      </w:r>
      <w:r>
        <w:rPr/>
        <w:t>the Corporation's product candidates may fail to demonstrate safety and efficacy to the satisfaction of regulatory authorities or may not otherwise produce positive results;</w:t>
      </w:r>
    </w:p>
    <w:p>
      <w:pPr>
        <w:pStyle w:val="TextBody"/>
        <w:bidi w:val="0"/>
        <w:spacing w:before="0" w:after="0"/>
        <w:ind w:left="714" w:right="0" w:hanging="357"/>
        <w:jc w:val="both"/>
        <w:rPr/>
      </w:pPr>
      <w:r>
        <w:rPr/>
        <w:t>• </w:t>
      </w:r>
      <w:r>
        <w:rPr/>
        <w:t>risks related to filing investigational new drug applications to commence clinical trials and to continue clinical trials if approved;</w:t>
      </w:r>
    </w:p>
    <w:p>
      <w:pPr>
        <w:pStyle w:val="TextBody"/>
        <w:bidi w:val="0"/>
        <w:spacing w:before="0" w:after="0"/>
        <w:ind w:left="714" w:right="0" w:hanging="357"/>
        <w:jc w:val="both"/>
        <w:rPr/>
      </w:pPr>
      <w:r>
        <w:rPr/>
        <w:t>• </w:t>
      </w:r>
      <w:r>
        <w:rPr/>
        <w:t>the risks of delays and inability to complete clinical trials due to difficulties enrolling patients;</w:t>
      </w:r>
    </w:p>
    <w:p>
      <w:pPr>
        <w:pStyle w:val="TextBody"/>
        <w:bidi w:val="0"/>
        <w:spacing w:before="0" w:after="0"/>
        <w:ind w:left="714" w:right="0" w:hanging="357"/>
        <w:jc w:val="both"/>
        <w:rPr/>
      </w:pPr>
      <w:r>
        <w:rPr/>
        <w:t>• </w:t>
      </w:r>
      <w:r>
        <w:rPr/>
        <w:t>competition from other biotechnology and pharmaceutical companies;</w:t>
      </w:r>
    </w:p>
    <w:p>
      <w:pPr>
        <w:pStyle w:val="TextBody"/>
        <w:bidi w:val="0"/>
        <w:spacing w:before="0" w:after="0"/>
        <w:ind w:left="714" w:right="0" w:hanging="357"/>
        <w:jc w:val="both"/>
        <w:rPr/>
      </w:pPr>
      <w:r>
        <w:rPr/>
        <w:t>• </w:t>
      </w:r>
      <w:r>
        <w:rPr/>
        <w:t>the Corporation's reliance on the capabilities and experience of the Corporation's key executives and scientists and the resulting loss of any of these individuals;</w:t>
      </w:r>
    </w:p>
    <w:p>
      <w:pPr>
        <w:pStyle w:val="TextBody"/>
        <w:bidi w:val="0"/>
        <w:spacing w:before="0" w:after="0"/>
        <w:ind w:left="714" w:right="0" w:hanging="357"/>
        <w:jc w:val="both"/>
        <w:rPr/>
      </w:pPr>
      <w:r>
        <w:rPr/>
        <w:t>• </w:t>
      </w:r>
      <w:r>
        <w:rPr/>
        <w:t>the Corporation's ability to fully realize the benefits of acquisitions;</w:t>
      </w:r>
    </w:p>
    <w:p>
      <w:pPr>
        <w:pStyle w:val="TextBody"/>
        <w:bidi w:val="0"/>
        <w:spacing w:before="0" w:after="0"/>
        <w:ind w:left="714" w:right="0" w:hanging="357"/>
        <w:jc w:val="both"/>
        <w:rPr/>
      </w:pPr>
      <w:r>
        <w:rPr/>
        <w:t>• </w:t>
      </w:r>
      <w:r>
        <w:rPr/>
        <w:t>the Corporation's ability to adequately protect the Corporation's intellectual property and trade secrets;</w:t>
      </w:r>
    </w:p>
    <w:p>
      <w:pPr>
        <w:pStyle w:val="TextBody"/>
        <w:bidi w:val="0"/>
        <w:spacing w:before="0" w:after="0"/>
        <w:ind w:left="714" w:right="0" w:hanging="357"/>
        <w:jc w:val="both"/>
        <w:rPr/>
      </w:pPr>
      <w:r>
        <w:rPr/>
        <w:t>• </w:t>
      </w:r>
      <w:r>
        <w:rPr/>
        <w:t>the risk of patent-related or other litigation; and</w:t>
      </w:r>
    </w:p>
    <w:p>
      <w:pPr>
        <w:pStyle w:val="TextBody"/>
        <w:bidi w:val="0"/>
        <w:spacing w:before="0" w:after="0"/>
        <w:ind w:left="714" w:right="0" w:hanging="357"/>
        <w:jc w:val="both"/>
        <w:rPr/>
      </w:pPr>
      <w:r>
        <w:rPr/>
        <w:t>• </w:t>
      </w:r>
      <w:r>
        <w:rPr/>
        <w:t>the risk of unforeseen changes to the laws or regulations in the United States, the United Kingdom, Canada, the Netherlands, Ireland and other jurisdictions in which the Corporation operates.</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jc w:val="both"/>
        <w:rPr/>
      </w:pPr>
      <w:r>
        <w:rPr/>
        <w:t xml:space="preserve">In addition to the factors set out above and those identified under the heading </w:t>
      </w:r>
      <w:r>
        <w:rPr>
          <w:i/>
        </w:rPr>
        <w:t>"Risk Factors"</w:t>
      </w:r>
      <w:r>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jc w:val="both"/>
        <w:rPr>
          <w:b/>
        </w:rPr>
      </w:pPr>
      <w:r>
        <w:rPr>
          <w:b/>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pStyle w:val="TextBody"/>
        <w:bidi w:val="0"/>
        <w:jc w:val="both"/>
        <w:rPr/>
      </w:pPr>
      <w:r>
        <w:rPr>
          <w:b/>
        </w:rPr>
        <w:t xml:space="preserve">The forward-looking statements contained in this Prospectus Supplement and the documents incorporated by reference herein are expressly qualified in their entirety by the foregoing cautionary statement. </w:t>
      </w:r>
      <w:r>
        <w:rPr/>
        <w:t>Investors should read this entire 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1" w:name="page_8"/>
      <w:bookmarkEnd w:id="11"/>
      <w:r>
        <w:rPr>
          <w:b/>
        </w:rPr>
        <w:t>DOCUMENTS INCORPORATED BY REFERENCE</w:t>
      </w:r>
    </w:p>
    <w:p>
      <w:pPr>
        <w:pStyle w:val="TextBody"/>
        <w:bidi w:val="0"/>
        <w:jc w:val="both"/>
        <w:rPr>
          <w:b/>
        </w:rPr>
      </w:pPr>
      <w:r>
        <w:rPr>
          <w:b/>
        </w:rPr>
        <w:t>This Prospectus Supplement is deemed to be incorporated by reference in the Base Shelf Prospectus solely for the purpose of the Offering.</w:t>
      </w:r>
    </w:p>
    <w:p>
      <w:pPr>
        <w:pStyle w:val="TextBody"/>
        <w:bidi w:val="0"/>
        <w:jc w:val="both"/>
        <w:rPr/>
      </w:pPr>
      <w:r>
        <w:rPr/>
        <w:t>As at the date hereof, the following documents of the Corporation filed with the securities commissions or similar authorities in Canada are incorporated by reference in this Prospectus Supplement:</w:t>
      </w:r>
    </w:p>
    <w:p>
      <w:pPr>
        <w:pStyle w:val="TextBody"/>
        <w:bidi w:val="0"/>
        <w:ind w:left="568" w:right="0" w:hanging="0"/>
        <w:jc w:val="both"/>
        <w:rPr/>
      </w:pPr>
      <w:r>
        <w:rPr/>
        <w:t>1. annual information form of the Corporation dated June 27, 2023 (the "</w:t>
      </w:r>
      <w:r>
        <w:rPr>
          <w:b/>
        </w:rPr>
        <w:t>Annual Information Form</w:t>
      </w:r>
      <w:r>
        <w:rPr/>
        <w:t>") for the year ended March 31, 2023;</w:t>
      </w:r>
    </w:p>
    <w:p>
      <w:pPr>
        <w:pStyle w:val="TextBody"/>
        <w:bidi w:val="0"/>
        <w:ind w:left="568" w:right="0" w:hanging="0"/>
        <w:jc w:val="both"/>
        <w:rPr/>
      </w:pPr>
      <w:r>
        <w:rPr/>
        <w:t>2. the audited consolidated financial statements of the Corporation and the notes thereto as at and for the fiscal years ended March 31, 2023 and 2022, together with the auditor's report thereon (the "</w:t>
      </w:r>
      <w:r>
        <w:rPr>
          <w:b/>
        </w:rPr>
        <w:t>Annual Financial Statements</w:t>
      </w:r>
      <w:r>
        <w:rPr/>
        <w:t>");</w:t>
      </w:r>
    </w:p>
    <w:p>
      <w:pPr>
        <w:pStyle w:val="TextBody"/>
        <w:bidi w:val="0"/>
        <w:ind w:left="568" w:right="0" w:hanging="0"/>
        <w:jc w:val="both"/>
        <w:rPr/>
      </w:pPr>
      <w:r>
        <w:rPr/>
        <w:t>3. management's discussion and analysis of the Corporation for the year ended March 31, 2023 (the "</w:t>
      </w:r>
      <w:r>
        <w:rPr>
          <w:b/>
        </w:rPr>
        <w:t>Annual MD&amp;A</w:t>
      </w:r>
      <w:r>
        <w:rPr/>
        <w:t>"); and</w:t>
      </w:r>
    </w:p>
    <w:p>
      <w:pPr>
        <w:pStyle w:val="TextBody"/>
        <w:bidi w:val="0"/>
        <w:ind w:left="568" w:right="0" w:hanging="0"/>
        <w:jc w:val="both"/>
        <w:rPr/>
      </w:pPr>
      <w:r>
        <w:rPr/>
        <w:t>4. management information circular of the Corporation dated July 13, 2022 relating to an annual meeting of shareholders of the Corporation held on August 15, 2022.</w:t>
      </w:r>
    </w:p>
    <w:p>
      <w:pPr>
        <w:pStyle w:val="TextBody"/>
        <w:bidi w:val="0"/>
        <w:jc w:val="both"/>
        <w:rPr/>
      </w:pPr>
      <w:r>
        <w:rPr/>
        <w:t xml:space="preserve">Any document of the type referred to in Section 11.1 of Form 44-101F1 - </w:t>
      </w:r>
      <w:r>
        <w:rPr>
          <w:i/>
        </w:rPr>
        <w:t>Short Form Prospectus Distributions</w:t>
      </w:r>
      <w:r>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w:t>
      </w:r>
    </w:p>
    <w:p>
      <w:pPr>
        <w:pStyle w:val="TextBody"/>
        <w:bidi w:val="0"/>
        <w:jc w:val="both"/>
        <w:rPr/>
      </w:pPr>
      <w:r>
        <w:rPr/>
        <w:t>In addition, to the extent any such document is included in any report on Form 6-K furnished to the SEC or in any report on Form 40-F or 20-F, as applicable,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b/>
        </w:rPr>
        <w:t>Exchange Act</w:t>
      </w:r>
      <w:r>
        <w:rPr/>
        <w:t>") from the date of this Prospectus Supplement shall be deemed to be incorporated by reference as exhibits to the Registration Statement of which this Prospectus Supplement forms a part, but only if and to the extent expressly so provided in any such report. </w:t>
      </w:r>
    </w:p>
    <w:p>
      <w:pPr>
        <w:pStyle w:val="TextBody"/>
        <w:bidi w:val="0"/>
        <w:jc w:val="both"/>
        <w:rPr/>
      </w:pPr>
      <w:r>
        <w:rPr/>
        <w:t xml:space="preserve">Copies of the documents incorporated by reference herein will be available electronically on the Corporation's SEDAR profile, which can be accessed at </w:t>
      </w:r>
      <w:r>
        <w:rPr>
          <w:color w:val="0563C1"/>
          <w:u w:val="single"/>
        </w:rPr>
        <w:t>www.sedar.com</w:t>
      </w:r>
      <w:r>
        <w:rPr/>
        <w:t xml:space="preserve">, and from the Corporation's EDGAR profile at </w:t>
      </w:r>
      <w:r>
        <w:rPr>
          <w:color w:val="0563C1"/>
          <w:u w:val="single"/>
        </w:rPr>
        <w:t>www.sec.gov</w:t>
      </w:r>
      <w:r>
        <w:rPr/>
        <w:t>. The Corporation's filings through SEDAR and EDGAR are not incorporated by reference in the Prospectus except as specifically set out herein.</w:t>
      </w:r>
    </w:p>
    <w:p>
      <w:pPr>
        <w:pStyle w:val="TextBody"/>
        <w:bidi w:val="0"/>
        <w:jc w:val="both"/>
        <w:rPr>
          <w:b/>
        </w:rPr>
      </w:pPr>
      <w:r>
        <w:rPr>
          <w:b/>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2" w:name="page_9"/>
      <w:bookmarkEnd w:id="12"/>
      <w:r>
        <w:rPr>
          <w:b/>
        </w:rPr>
        <w:t>DOCUMENTS FILED AS PART OF THE REGISTRATION STATEMENT</w:t>
      </w:r>
    </w:p>
    <w:p>
      <w:pPr>
        <w:pStyle w:val="TextBody"/>
        <w:bidi w:val="0"/>
        <w:jc w:val="both"/>
        <w:rPr/>
      </w:pPr>
      <w:r>
        <w:rPr/>
        <w:t>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Underwriting Agreement among the Corporation and the Lead Underwriter.  </w:t>
      </w:r>
    </w:p>
    <w:p>
      <w:pPr>
        <w:pStyle w:val="TextBody"/>
        <w:bidi w:val="0"/>
        <w:jc w:val="center"/>
        <w:rPr>
          <w:b/>
        </w:rPr>
      </w:pPr>
      <w:r>
        <w:rPr>
          <w:b/>
        </w:rPr>
        <w:t>CURRENCY AND EXCHANGE RATE INFORMATION</w:t>
      </w:r>
    </w:p>
    <w:p>
      <w:pPr>
        <w:pStyle w:val="TextBody"/>
        <w:bidi w:val="0"/>
        <w:jc w:val="both"/>
        <w:rPr/>
      </w:pPr>
      <w:r>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pStyle w:val="TextBody"/>
        <w:bidi w:val="0"/>
        <w:jc w:val="both"/>
        <w:rPr/>
      </w:pPr>
      <w:r>
        <w:rPr/>
        <w:t>The following table sets forth, for the periods indicated, the high, low, average and period-end rates of exchange for US$1.00, expressed in Canadian dollars, posted by the Bank of Canada:</w:t>
      </w:r>
    </w:p>
    <w:tbl>
      <w:tblPr>
        <w:tblW w:w="5770" w:type="dxa"/>
        <w:jc w:val="left"/>
        <w:tblInd w:w="0" w:type="dxa"/>
        <w:tblLayout w:type="fixed"/>
        <w:tblCellMar>
          <w:top w:w="0" w:type="dxa"/>
          <w:left w:w="0" w:type="dxa"/>
          <w:bottom w:w="0" w:type="dxa"/>
          <w:right w:w="0" w:type="dxa"/>
        </w:tblCellMar>
      </w:tblPr>
      <w:tblGrid>
        <w:gridCol w:w="2855"/>
        <w:gridCol w:w="60"/>
        <w:gridCol w:w="2780"/>
        <w:gridCol w:w="75"/>
      </w:tblGrid>
      <w:tr>
        <w:trPr/>
        <w:tc>
          <w:tcPr>
            <w:tcW w:w="2855"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780"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Year Ended December 31, </w:t>
              <w:br/>
              <w:t>2022</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855" w:type="dxa"/>
            <w:tcBorders/>
            <w:shd w:fill="E6EFFF" w:val="clear"/>
            <w:vAlign w:val="center"/>
          </w:tcPr>
          <w:p>
            <w:pPr>
              <w:pStyle w:val="TableContents"/>
              <w:bidi w:val="0"/>
              <w:spacing w:before="0" w:after="283"/>
              <w:jc w:val="left"/>
              <w:rPr/>
            </w:pPr>
            <w:r>
              <w:rPr/>
              <w:t>Highest rate during the period</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2780" w:type="dxa"/>
            <w:tcBorders>
              <w:top w:val="single" w:sz="6" w:space="0" w:color="000000"/>
            </w:tcBorders>
            <w:shd w:fill="E6EFFF" w:val="clear"/>
            <w:tcMar>
              <w:top w:w="28" w:type="dxa"/>
            </w:tcMar>
            <w:vAlign w:val="center"/>
          </w:tcPr>
          <w:p>
            <w:pPr>
              <w:pStyle w:val="TableContents"/>
              <w:bidi w:val="0"/>
              <w:spacing w:before="0" w:after="283"/>
              <w:jc w:val="center"/>
              <w:rPr/>
            </w:pPr>
            <w:r>
              <w:rPr/>
              <w:t>C$1.3856</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Lowest rate during the period</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pPr>
            <w:r>
              <w:rPr/>
              <w:t>C$1.2540</w:t>
            </w:r>
          </w:p>
        </w:tc>
        <w:tc>
          <w:tcPr>
            <w:tcW w:w="75" w:type="dxa"/>
            <w:tcBorders/>
            <w:vAlign w:val="center"/>
          </w:tcPr>
          <w:p>
            <w:pPr>
              <w:pStyle w:val="TableContents"/>
              <w:bidi w:val="0"/>
              <w:spacing w:before="0" w:after="283"/>
              <w:jc w:val="left"/>
              <w:rPr/>
            </w:pPr>
            <w:r>
              <w:rPr/>
              <w:t> </w:t>
            </w:r>
          </w:p>
        </w:tc>
      </w:tr>
      <w:tr>
        <w:trPr/>
        <w:tc>
          <w:tcPr>
            <w:tcW w:w="2855" w:type="dxa"/>
            <w:tcBorders/>
            <w:shd w:fill="E6EFFF" w:val="clear"/>
            <w:vAlign w:val="center"/>
          </w:tcPr>
          <w:p>
            <w:pPr>
              <w:pStyle w:val="TableContents"/>
              <w:bidi w:val="0"/>
              <w:spacing w:before="0" w:after="283"/>
              <w:jc w:val="left"/>
              <w:rPr/>
            </w:pPr>
            <w:r>
              <w:rPr/>
              <w:t>Average rate for the period</w:t>
            </w:r>
          </w:p>
        </w:tc>
        <w:tc>
          <w:tcPr>
            <w:tcW w:w="60" w:type="dxa"/>
            <w:tcBorders/>
            <w:shd w:fill="E6EFFF" w:val="clear"/>
            <w:vAlign w:val="center"/>
          </w:tcPr>
          <w:p>
            <w:pPr>
              <w:pStyle w:val="TableContents"/>
              <w:bidi w:val="0"/>
              <w:spacing w:before="0" w:after="283"/>
              <w:jc w:val="left"/>
              <w:rPr/>
            </w:pPr>
            <w:r>
              <w:rPr/>
              <w:t> </w:t>
            </w:r>
          </w:p>
        </w:tc>
        <w:tc>
          <w:tcPr>
            <w:tcW w:w="2780" w:type="dxa"/>
            <w:tcBorders/>
            <w:shd w:fill="E6EFFF" w:val="clear"/>
            <w:vAlign w:val="center"/>
          </w:tcPr>
          <w:p>
            <w:pPr>
              <w:pStyle w:val="TableContents"/>
              <w:bidi w:val="0"/>
              <w:spacing w:before="0" w:after="283"/>
              <w:jc w:val="center"/>
              <w:rPr/>
            </w:pPr>
            <w:r>
              <w:rPr/>
              <w:t>C$1.3283</w:t>
            </w:r>
          </w:p>
        </w:tc>
        <w:tc>
          <w:tcPr>
            <w:tcW w:w="75" w:type="dxa"/>
            <w:tcBorders/>
            <w:shd w:fill="E6EF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Rate at the end of the period</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pPr>
            <w:r>
              <w:rPr/>
              <w:t>C$1.3544</w:t>
            </w:r>
          </w:p>
        </w:tc>
        <w:tc>
          <w:tcPr>
            <w:tcW w:w="75" w:type="dxa"/>
            <w:tcBorders/>
            <w:vAlign w:val="center"/>
          </w:tcPr>
          <w:p>
            <w:pPr>
              <w:pStyle w:val="TableContents"/>
              <w:bidi w:val="0"/>
              <w:spacing w:before="0" w:after="283"/>
              <w:jc w:val="left"/>
              <w:rPr/>
            </w:pPr>
            <w:r>
              <w:rPr/>
              <w:t> </w:t>
            </w:r>
          </w:p>
        </w:tc>
      </w:tr>
    </w:tbl>
    <w:p>
      <w:pPr>
        <w:pStyle w:val="TextBody"/>
        <w:bidi w:val="0"/>
        <w:jc w:val="both"/>
        <w:rPr/>
      </w:pPr>
      <w:r>
        <w:rPr/>
        <w:t>On August 2, 2023, the daily average exchange rate posted by the Bank of Canada for conversion of U.S. dollars into Canadian dollars was US$1.00 = C$1.3335 (the “</w:t>
      </w:r>
      <w:r>
        <w:rPr>
          <w:b/>
        </w:rPr>
        <w:t>2023 Rate</w:t>
      </w:r>
      <w:r>
        <w:rPr/>
        <w:t>”). Unless otherwise indicated, currency translation in this Prospectus Supplement reflects the 2023 Rate.</w:t>
      </w:r>
    </w:p>
    <w:p>
      <w:pPr>
        <w:pStyle w:val="TextBody"/>
        <w:bidi w:val="0"/>
        <w:jc w:val="center"/>
        <w:rPr>
          <w:b/>
        </w:rPr>
      </w:pPr>
      <w:r>
        <w:rPr>
          <w:b/>
        </w:rPr>
        <w:t>THE CORPORATION</w:t>
      </w:r>
    </w:p>
    <w:p>
      <w:pPr>
        <w:pStyle w:val="TextBody"/>
        <w:bidi w:val="0"/>
        <w:jc w:val="both"/>
        <w:rPr>
          <w:i/>
        </w:rPr>
      </w:pPr>
      <w:r>
        <w:rPr>
          <w:i/>
        </w:rPr>
        <w:t>This summary does not contain all the information that may be important to an investor in deciding whether to invest in the Securities. An investor should read the entire Prospectus, including the section entitled "Risk Factors", the applicable Prospectus Supplement, and the documents incorporated by reference herein, including the Annual Information Form, before making such decision.</w:t>
      </w:r>
    </w:p>
    <w:p>
      <w:pPr>
        <w:pStyle w:val="TextBody"/>
        <w:bidi w:val="0"/>
        <w:jc w:val="both"/>
        <w:rPr>
          <w:b/>
        </w:rPr>
      </w:pPr>
      <w:r>
        <w:rPr>
          <w:b/>
        </w:rPr>
        <w:t>Summary of the Business</w:t>
      </w:r>
    </w:p>
    <w:p>
      <w:pPr>
        <w:pStyle w:val="TextBody"/>
        <w:bidi w:val="0"/>
        <w:jc w:val="both"/>
        <w:rPr/>
      </w:pPr>
      <w:r>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hyperlink w:anchor="_ftn1">
        <w:bookmarkStart w:id="13" w:name="_ftnref1"/>
        <w:bookmarkEnd w:id="13"/>
        <w:r>
          <w:rPr>
            <w:rStyle w:val="InternetLink"/>
            <w:strike w:val="false"/>
            <w:dstrike w:val="false"/>
            <w:color w:val="000000"/>
            <w:position w:val="8"/>
            <w:sz w:val="19"/>
            <w:u w:val="none"/>
            <w:effect w:val="none"/>
          </w:rPr>
          <w:t>1</w:t>
        </w:r>
      </w:hyperlink>
      <w:r>
        <w:rPr/>
        <w:t> </w:t>
      </w:r>
    </w:p>
    <w:p>
      <w:pPr>
        <w:pStyle w:val="TextBody"/>
        <w:bidi w:val="0"/>
        <w:jc w:val="both"/>
        <w:rPr/>
      </w:pPr>
      <w:r>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1">
        <w:r>
          <w:rPr>
            <w:rStyle w:val="InternetLink"/>
            <w:strike w:val="false"/>
            <w:dstrike w:val="false"/>
            <w:color w:val="000000"/>
            <w:position w:val="8"/>
            <w:sz w:val="19"/>
            <w:u w:val="none"/>
            <w:effect w:val="none"/>
          </w:rPr>
          <w:t>1</w:t>
        </w:r>
      </w:hyperlink>
      <w:r>
        <w:rPr/>
        <w:t xml:space="preserve"> 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bookmarkStart w:id="14" w:name="_ftn1"/>
      <w:bookmarkEnd w:id="14"/>
      <w:r>
        <w:rPr/>
        <w:b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S-5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5" w:name="page_10"/>
      <w:bookmarkEnd w:id="15"/>
      <w:r>
        <w:rPr/>
        <w:t>The Corporation currently has more than 50 pending patent applications across six patent families and spanning seven research programs through a combination of internal filings and external licensing agreements.</w:t>
      </w:r>
    </w:p>
    <w:p>
      <w:pPr>
        <w:pStyle w:val="TextBody"/>
        <w:bidi w:val="0"/>
        <w:jc w:val="both"/>
        <w:rPr>
          <w:b/>
          <w:i/>
        </w:rPr>
      </w:pPr>
      <w:r>
        <w:rPr>
          <w:b/>
          <w:i/>
        </w:rPr>
        <w:t xml:space="preserve">Advancement of Mental Healthcare </w:t>
      </w:r>
    </w:p>
    <w:p>
      <w:pPr>
        <w:pStyle w:val="TextBody"/>
        <w:bidi w:val="0"/>
        <w:jc w:val="both"/>
        <w:rPr/>
      </w:pPr>
      <w:r>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pStyle w:val="TextBody"/>
        <w:bidi w:val="0"/>
        <w:jc w:val="both"/>
        <w:rPr/>
      </w:pPr>
      <w:r>
        <w:rPr/>
        <w:t>Across its extensive research and development programs, the Corporation is evaluating a wide array of novel, synthetic psychedelic active pharmaceutical ingredients intended to be delivered through innovative drug delivery systems including orally disintegrating tablets</w:t>
      </w:r>
      <w:hyperlink w:anchor="_ftn2">
        <w:bookmarkStart w:id="16" w:name="_ftnref2"/>
        <w:bookmarkEnd w:id="16"/>
        <w:r>
          <w:rPr>
            <w:rStyle w:val="InternetLink"/>
            <w:strike w:val="false"/>
            <w:dstrike w:val="false"/>
            <w:color w:val="000000"/>
            <w:position w:val="8"/>
            <w:sz w:val="19"/>
            <w:u w:val="none"/>
            <w:effect w:val="none"/>
          </w:rPr>
          <w:t>2</w:t>
        </w:r>
      </w:hyperlink>
      <w:r>
        <w:rPr/>
        <w:t>, via inhalation, via intravenous, and intramuscular, or subcutaneous administration</w:t>
      </w:r>
      <w:hyperlink w:anchor="_ftn3">
        <w:bookmarkStart w:id="17" w:name="_ftnref3"/>
        <w:bookmarkEnd w:id="17"/>
        <w:r>
          <w:rPr>
            <w:rStyle w:val="InternetLink"/>
            <w:strike w:val="false"/>
            <w:dstrike w:val="false"/>
            <w:color w:val="000000"/>
            <w:position w:val="8"/>
            <w:sz w:val="19"/>
            <w:u w:val="none"/>
            <w:effect w:val="none"/>
          </w:rPr>
          <w:t>3</w:t>
        </w:r>
      </w:hyperlink>
      <w:r>
        <w:rPr>
          <w:position w:val="8"/>
          <w:sz w:val="19"/>
        </w:rPr>
        <w:t>.</w:t>
      </w:r>
      <w:r>
        <w:rPr/>
        <w:t>     </w:t>
      </w:r>
    </w:p>
    <w:p>
      <w:pPr>
        <w:pStyle w:val="TextBody"/>
        <w:bidi w:val="0"/>
        <w:jc w:val="both"/>
        <w:rPr/>
      </w:pPr>
      <w:r>
        <w:rPr/>
        <w:t>The Corporation intends to apply for regulatory approval for therapies targeting indications such as major depressive disorder, alcohol use disorder, generalized anxiety disorder and potentially other various mental health conditions</w:t>
      </w:r>
      <w:hyperlink w:anchor="_ftn4">
        <w:bookmarkStart w:id="18" w:name="_ftnref4"/>
        <w:bookmarkEnd w:id="18"/>
        <w:r>
          <w:rPr>
            <w:rStyle w:val="InternetLink"/>
            <w:strike w:val="false"/>
            <w:dstrike w:val="false"/>
            <w:color w:val="000000"/>
            <w:position w:val="8"/>
            <w:sz w:val="19"/>
            <w:u w:val="none"/>
            <w:effect w:val="none"/>
          </w:rPr>
          <w:t>4</w:t>
        </w:r>
      </w:hyperlink>
      <w:r>
        <w:rPr/>
        <w:t>. The Corporation is also developing compounds that may have the potential to address neuroinflammation</w:t>
      </w:r>
      <w:hyperlink w:anchor="_ftn5">
        <w:bookmarkStart w:id="19" w:name="_ftnref5"/>
        <w:bookmarkEnd w:id="19"/>
        <w:r>
          <w:rPr>
            <w:rStyle w:val="InternetLink"/>
            <w:strike w:val="false"/>
            <w:dstrike w:val="false"/>
            <w:color w:val="000000"/>
            <w:position w:val="8"/>
            <w:sz w:val="19"/>
            <w:u w:val="none"/>
            <w:effect w:val="none"/>
          </w:rPr>
          <w:t>5</w:t>
        </w:r>
      </w:hyperlink>
      <w:r>
        <w:rPr/>
        <w:t>, central nervous system disorders, and psychiatric disorders</w:t>
      </w:r>
      <w:hyperlink w:anchor="_ftn6">
        <w:bookmarkStart w:id="20" w:name="_ftnref6"/>
        <w:bookmarkEnd w:id="20"/>
        <w:r>
          <w:rPr>
            <w:rStyle w:val="InternetLink"/>
            <w:strike w:val="false"/>
            <w:dstrike w:val="false"/>
            <w:color w:val="000000"/>
            <w:position w:val="8"/>
            <w:sz w:val="19"/>
            <w:u w:val="none"/>
            <w:effect w:val="none"/>
          </w:rPr>
          <w:t>6</w:t>
        </w:r>
      </w:hyperlink>
      <w:r>
        <w:rPr/>
        <w:t>.</w:t>
      </w:r>
    </w:p>
    <w:p>
      <w:pPr>
        <w:pStyle w:val="TextBody"/>
        <w:bidi w:val="0"/>
        <w:jc w:val="both"/>
        <w:rPr/>
      </w:pPr>
      <w:r>
        <w:rPr/>
        <w:t>For additional information in respect of the Corporation and its operation, please see the Annual MD&amp;A incorporated by reference into this Prospectus Supplement.</w:t>
      </w:r>
    </w:p>
    <w:p>
      <w:pPr>
        <w:pStyle w:val="TextBody"/>
        <w:bidi w:val="0"/>
        <w:jc w:val="both"/>
        <w:rPr>
          <w:b/>
        </w:rPr>
      </w:pPr>
      <w:r>
        <w:rPr>
          <w:b/>
        </w:rPr>
        <w:t xml:space="preserve">Recent Developments </w:t>
      </w:r>
    </w:p>
    <w:p>
      <w:pPr>
        <w:pStyle w:val="TextBody"/>
        <w:bidi w:val="0"/>
        <w:jc w:val="both"/>
        <w:rPr/>
      </w:pPr>
      <w:r>
        <w:rPr/>
        <w:t>Other than as set forth below and generally in this Prospectus Supplement, the Base Shelf Prospectus or the documents incorporated by reference herein, there have been no material developments in the business of the Corporation since June 27, 2023, the date of the Corporation's most recently issued Annual Financial Statements and Annual MD&amp;A.</w:t>
      </w:r>
    </w:p>
    <w:p>
      <w:pPr>
        <w:pStyle w:val="TextBody"/>
        <w:bidi w:val="0"/>
        <w:jc w:val="both"/>
        <w:rPr/>
      </w:pPr>
      <w:r>
        <w:rPr/>
        <w:t>On June 29, 2023, the Corporation announced the appointment of Aaron Bartlone as Chief Operating Officer, effective July 1, 2023. Mr. Bartlone has served as Chief Operating Officer of Cybin's U.S. subsidiary, Cybin US Holdings, Inc., since March 2021.</w:t>
      </w:r>
    </w:p>
    <w:p>
      <w:pPr>
        <w:pStyle w:val="TextBody"/>
        <w:bidi w:val="0"/>
        <w:jc w:val="both"/>
        <w:rPr/>
      </w:pPr>
      <w:r>
        <w:rPr/>
        <w:t>On July 20, 2023, the Corporation commended HI, LLC dba Kernel ("</w:t>
      </w:r>
      <w:r>
        <w:rPr>
          <w:b/>
        </w:rPr>
        <w:t>Kernel</w:t>
      </w:r>
      <w:r>
        <w:rPr/>
        <w:t xml:space="preserve">") on their publication titled "Measuring acute effects of subanesthetic ketamine on cerebrovascular hemodynamics in humans using TD-fNIRS" in the journal </w:t>
      </w:r>
      <w:r>
        <w:rPr>
          <w:i/>
        </w:rPr>
        <w:t>Scientific Reports</w:t>
      </w:r>
      <w:r>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b/>
        </w:rPr>
        <w:t>fNIRS</w:t>
      </w:r>
      <w:r>
        <w:rPr/>
        <w:t>")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The study was conducted at a traditional psychiatry office with 15 healthy participants (8 females, 7 males; average age 32.4 ± 7.5 years). Flow1 recorded that ketamine administration induced an altered state of consciousness and systemic physiological changes, such as an increase in pulse rate. Additionally, the data showed a brain-wide reduction in the fractional amplitude of low frequency fluctuations, coupled with a decrease in global brain connectivity within the prefrontal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2">
        <w:r>
          <w:rPr>
            <w:rStyle w:val="InternetLink"/>
            <w:strike w:val="false"/>
            <w:dstrike w:val="false"/>
            <w:color w:val="000000"/>
            <w:position w:val="8"/>
            <w:sz w:val="19"/>
            <w:u w:val="none"/>
            <w:effect w:val="none"/>
          </w:rPr>
          <w:t>2</w:t>
        </w:r>
      </w:hyperlink>
      <w:r>
        <w:rPr/>
        <w:t xml:space="preserve"> See footnote 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3">
        <w:r>
          <w:rPr>
            <w:rStyle w:val="InternetLink"/>
            <w:strike w:val="false"/>
            <w:dstrike w:val="false"/>
            <w:color w:val="000000"/>
            <w:position w:val="8"/>
            <w:sz w:val="19"/>
            <w:u w:val="none"/>
            <w:effect w:val="none"/>
          </w:rPr>
          <w:t>3</w:t>
        </w:r>
      </w:hyperlink>
      <w:r>
        <w:rPr/>
        <w:t xml:space="preserve"> See footnote 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4">
        <w:r>
          <w:rPr>
            <w:rStyle w:val="InternetLink"/>
            <w:strike w:val="false"/>
            <w:dstrike w:val="false"/>
            <w:color w:val="000000"/>
            <w:position w:val="8"/>
            <w:sz w:val="19"/>
            <w:u w:val="none"/>
            <w:effect w:val="none"/>
          </w:rPr>
          <w:t>4</w:t>
        </w:r>
      </w:hyperlink>
      <w:r>
        <w:rPr/>
        <w:t xml:space="preserve"> See footnote 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5">
        <w:r>
          <w:rPr>
            <w:rStyle w:val="InternetLink"/>
            <w:strike w:val="false"/>
            <w:dstrike w:val="false"/>
            <w:color w:val="000000"/>
            <w:position w:val="8"/>
            <w:sz w:val="19"/>
            <w:u w:val="none"/>
            <w:effect w:val="none"/>
          </w:rPr>
          <w:t>5</w:t>
        </w:r>
      </w:hyperlink>
      <w:r>
        <w:rPr/>
        <w:t xml:space="preserve"> See footnote 1</w:t>
      </w:r>
      <w:r>
        <w:rPr>
          <w:b/>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6">
        <w:r>
          <w:rPr>
            <w:rStyle w:val="InternetLink"/>
            <w:strike w:val="false"/>
            <w:dstrike w:val="false"/>
            <w:color w:val="000000"/>
            <w:position w:val="8"/>
            <w:sz w:val="19"/>
            <w:u w:val="none"/>
            <w:effect w:val="none"/>
          </w:rPr>
          <w:t>6</w:t>
        </w:r>
      </w:hyperlink>
      <w:r>
        <w:rPr/>
        <w:t xml:space="preserve"> See footnote 1</w:t>
      </w:r>
      <w:r>
        <w:rPr>
          <w:b/>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S-6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 w:name="page_11"/>
      <w:bookmarkEnd w:id="21"/>
      <w:r>
        <w:rPr/>
        <w:t>On July 24, 2023, the Corporation announced that its Phase 2a trial evaluating CYB003, an investigational proprietary deuterated analog of psilocybin for the potential treatment of major depressive disorder, has completed a further stage of its trial, being the completed dosing of Cohort 5 with no serious adverse events or other adverse events that may preclude continued dosing. The Phase 2a trial, consisting so far of completed Cohorts 4 and 5, evaluated two 12mg doses of CYB003. Recruitment is underway to commence the final portion of the CYB003 Phase 2a study, being dosing in Cohort 6.</w:t>
      </w:r>
    </w:p>
    <w:p>
      <w:pPr>
        <w:pStyle w:val="TextBody"/>
        <w:bidi w:val="0"/>
        <w:jc w:val="both"/>
        <w:rPr/>
      </w:pPr>
      <w:r>
        <w:rPr/>
        <w:t>On May 30, 2023, the Corporation announced it had entered into a purchase agreement (the “</w:t>
      </w:r>
      <w:r>
        <w:rPr>
          <w:b/>
        </w:rPr>
        <w:t>Purchase Agreement</w:t>
      </w:r>
      <w:r>
        <w:rPr/>
        <w:t>”) with Lincoln Park Capital Fund, LLC (the “</w:t>
      </w:r>
      <w:r>
        <w:rPr>
          <w:b/>
        </w:rPr>
        <w:t>Investor</w:t>
      </w:r>
      <w:r>
        <w:rPr/>
        <w:t>”),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prospectus supplement dated May 30, 2023 qualifying the distribution and sale of the Common Shares (the “</w:t>
      </w:r>
      <w:r>
        <w:rPr>
          <w:b/>
        </w:rPr>
        <w:t>May Prospectus</w:t>
      </w:r>
      <w:r>
        <w:rPr/>
        <w:t xml:space="preserve"> </w:t>
      </w:r>
      <w:r>
        <w:rPr>
          <w:b/>
        </w:rPr>
        <w:t>Supplement</w:t>
      </w:r>
      <w:r>
        <w:rPr/>
        <w: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Unit Offering. The Corporation sold a total of US$465,273 under the Purchase Agreement out of the total US$30,000,000 qualified under the May Prospectus Supplement, using the proceeds for the advancement of its research and development programs and for general corporate purposes. The Corporation has suspended all sales under the Purchase Agreement allowing it to use the balance of US$29,534,727 available under the Base Shelf Prospectus for the Unit Offering.</w:t>
      </w:r>
    </w:p>
    <w:p>
      <w:pPr>
        <w:pStyle w:val="TextBody"/>
        <w:bidi w:val="0"/>
        <w:jc w:val="both"/>
        <w:rPr/>
      </w:pPr>
      <w:r>
        <w:rPr/>
        <w:t>On July 31, 2023 and August 1, 2023, the Corporation announced the Unit Offering.</w:t>
      </w:r>
    </w:p>
    <w:p>
      <w:pPr>
        <w:pStyle w:val="TextBody"/>
        <w:bidi w:val="0"/>
        <w:jc w:val="both"/>
        <w:rPr/>
      </w:pPr>
      <w:r>
        <w:rPr/>
        <w:t>On August 2, 2023, the Corporation announced that it has initiated dosing in Cohort 6, the final cohort of its Phase 2 study evaluating CYB003, an investigational deuterated analog of psilocybin for the potential treatment of major depressive disorder.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2" w:name="page_12"/>
      <w:bookmarkEnd w:id="22"/>
      <w:r>
        <w:rPr>
          <w:b/>
        </w:rPr>
        <w:t>Intercorporate Relationship</w:t>
      </w:r>
    </w:p>
    <w:p>
      <w:pPr>
        <w:pStyle w:val="TextBody"/>
        <w:bidi w:val="0"/>
        <w:jc w:val="both"/>
        <w:rPr/>
      </w:pPr>
      <w:r>
        <w:rPr/>
        <w:t>As at the date of this Prospectus Supplement, the Corporation's corporate structure includes the following material wholly-owned subsidiaries:</w:t>
      </w:r>
    </w:p>
    <w:p>
      <w:pPr>
        <w:pStyle w:val="TextBody"/>
        <w:bidi w:val="0"/>
        <w:jc w:val="center"/>
        <w:rPr/>
      </w:pPr>
      <w:r>
        <w:rPr/>
        <w:drawing>
          <wp:inline distT="0" distB="0" distL="0" distR="0">
            <wp:extent cx="3514725" cy="3714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14725" cy="3714750"/>
                    </a:xfrm>
                    <a:prstGeom prst="rect">
                      <a:avLst/>
                    </a:prstGeom>
                  </pic:spPr>
                </pic:pic>
              </a:graphicData>
            </a:graphic>
          </wp:inline>
        </w:drawing>
      </w:r>
    </w:p>
    <w:p>
      <w:pPr>
        <w:pStyle w:val="TextBody"/>
        <w:bidi w:val="0"/>
        <w:ind w:left="993" w:right="0" w:hanging="0"/>
        <w:jc w:val="both"/>
        <w:rPr>
          <w:b/>
        </w:rPr>
      </w:pPr>
      <w:r>
        <w:rPr>
          <w:b/>
        </w:rPr>
        <w:t xml:space="preserve">Note: </w:t>
      </w:r>
    </w:p>
    <w:p>
      <w:pPr>
        <w:pStyle w:val="TextBody"/>
        <w:bidi w:val="0"/>
        <w:ind w:left="1560" w:right="0" w:hanging="0"/>
        <w:jc w:val="both"/>
        <w:rPr/>
      </w:pPr>
      <w:r>
        <w:rPr/>
        <w:t>(1) The shareholders of Adelia Therapeutics Inc. ("</w:t>
      </w:r>
      <w:r>
        <w:rPr>
          <w:b/>
        </w:rPr>
        <w:t>Adelia</w:t>
      </w:r>
      <w:r>
        <w:rPr/>
        <w:t>") hold certain non-voting securities of Cybin U.S. issued in connection with the acquisition of Adelia on December 14, 2020 (the "</w:t>
      </w:r>
      <w:r>
        <w:rPr>
          <w:b/>
        </w:rPr>
        <w:t>Adelia Transaction</w:t>
      </w:r>
      <w:r>
        <w:rPr/>
        <w:t>"). For additional information in respect of the Adelia Transaction, please see the Annual Information Form incorporated by reference in this Prospectus Supplement.</w:t>
      </w:r>
    </w:p>
    <w:p>
      <w:pPr>
        <w:pStyle w:val="TextBody"/>
        <w:bidi w:val="0"/>
        <w:jc w:val="center"/>
        <w:rPr>
          <w:b/>
        </w:rPr>
      </w:pPr>
      <w:r>
        <w:rPr>
          <w:b/>
        </w:rPr>
        <w:t>DESCRIPTION OF SECURITIES BEING DISTRIBUTED</w:t>
      </w:r>
    </w:p>
    <w:p>
      <w:pPr>
        <w:pStyle w:val="TextBody"/>
        <w:bidi w:val="0"/>
        <w:jc w:val="both"/>
        <w:rPr/>
      </w:pPr>
      <w:r>
        <w:rPr/>
        <w:t>The Corporation is authorized to issue an unlimited number of Common Shares and an unlimited number of preferred shares. As at July 31, 2023, the Corporation had 210,418,528 Common Shares and nil preferred shares issued and outstanding.</w:t>
      </w:r>
    </w:p>
    <w:p>
      <w:pPr>
        <w:pStyle w:val="TextBody"/>
        <w:bidi w:val="0"/>
        <w:jc w:val="both"/>
        <w:rPr/>
      </w:pPr>
      <w:r>
        <w:rPr/>
        <w:t>The Warrant Shares are Common Shares and therefore have all of the rights, privileges, restrictions and conditions of other Common Shares of the Corporation. 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pStyle w:val="Heading1"/>
        <w:bidi w:val="0"/>
        <w:jc w:val="center"/>
        <w:rPr>
          <w:sz w:val="20"/>
        </w:rPr>
      </w:pPr>
      <w:r>
        <w:rPr>
          <w:sz w:val="20"/>
        </w:rPr>
        <w:t>USE OF PROCEEDS</w:t>
      </w:r>
    </w:p>
    <w:p>
      <w:pPr>
        <w:pStyle w:val="TextBody"/>
        <w:bidi w:val="0"/>
        <w:jc w:val="both"/>
        <w:rPr>
          <w:sz w:val="20"/>
        </w:rPr>
      </w:pPr>
      <w:r>
        <w:rPr>
          <w:sz w:val="20"/>
        </w:rPr>
        <w:t>The Corporation will receive all proceeds of the full exercise price of US$0.40 per Warrant Share upon issuance of the Warrant Shares upon any exercise of the Warrants from time to time. Assuming that all of the Warrants are exercised prior to the Warrant Expiry Date for cash and that no adjustment based on anti-dilution provisions contained in the Warrant Indenture has taken place, the proceeds to the Corporation will be US$9,705,882.40. There is no assurance as to how many Warrants will be exercised, if any. Accordingly, there is no assurance as to how many Warrant Shares will be issued pursuant to this Prospectus Supplement, if any, or the proceeds of such offering. It is currently anticipated that the net proceeds received from the exercise of Warrants for the progression of the Corporation’s CYB003 and CYB004 programs, and general corporate and working capital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3" w:name="page_13"/>
      <w:bookmarkEnd w:id="23"/>
      <w:r>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w:t>
      </w:r>
    </w:p>
    <w:p>
      <w:pPr>
        <w:pStyle w:val="TextBody"/>
        <w:bidi w:val="0"/>
        <w:jc w:val="both"/>
        <w:rPr/>
      </w:pPr>
      <w:r>
        <w:rPr/>
        <w:t>The use of the net proceeds is subject to change due to the influence of many evolving variables, including those as described under “</w:t>
      </w:r>
      <w:r>
        <w:rPr>
          <w:i/>
        </w:rPr>
        <w:t>Stage of Development of Principal Products”</w:t>
      </w:r>
      <w:r>
        <w:rPr/>
        <w:t xml:space="preserve"> in the Annual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i/>
        </w:rPr>
        <w:t>Cautionary Statement Regarding Forward-Looking Statements”</w:t>
      </w:r>
      <w:r>
        <w:rPr/>
        <w:t xml:space="preserve"> and “</w:t>
      </w:r>
      <w:r>
        <w:rPr>
          <w:i/>
        </w:rPr>
        <w:t>Risk Factors”</w:t>
      </w:r>
      <w:r>
        <w:rPr/>
        <w:t>.</w:t>
      </w:r>
    </w:p>
    <w:p>
      <w:pPr>
        <w:pStyle w:val="TextBody"/>
        <w:bidi w:val="0"/>
        <w:jc w:val="both"/>
        <w:rPr/>
      </w:pPr>
      <w:r>
        <w:rPr/>
        <w:t>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i/>
        </w:rPr>
        <w:t>Risk Factors – Risks Related to the Offering – Discretion in the Use of Proceeds”</w:t>
      </w:r>
      <w:r>
        <w:rPr/>
        <w:t>.</w:t>
      </w:r>
    </w:p>
    <w:p>
      <w:pPr>
        <w:pStyle w:val="TextBody"/>
        <w:bidi w:val="0"/>
        <w:jc w:val="both"/>
        <w:rPr/>
      </w:pPr>
      <w:r>
        <w:rPr/>
        <w:t>Since inception, the Corporation has financed its operations primarily from the issuance of equity and interest income on funds available for investment. To date, the Corporation has raised approximately C$145,500,000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i/>
        </w:rPr>
        <w:t xml:space="preserve">Risk Factors – Risks Related to an Offering - Negative Operating Cash Flow and Going Concern”. </w:t>
      </w:r>
    </w:p>
    <w:p>
      <w:pPr>
        <w:pStyle w:val="TextBody"/>
        <w:bidi w:val="0"/>
        <w:jc w:val="both"/>
        <w:rPr/>
      </w:pPr>
      <w:r>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pStyle w:val="TextBody"/>
        <w:bidi w:val="0"/>
        <w:jc w:val="both"/>
        <w:rPr>
          <w:b/>
        </w:rPr>
      </w:pPr>
      <w:r>
        <w:rPr>
          <w:b/>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Annual MD&amp;A, to which there has been no material changes since the date of the applicable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24" w:name="page_14"/>
      <w:bookmarkEnd w:id="24"/>
      <w:r>
        <w:rPr>
          <w:b/>
        </w:rPr>
        <w:t>CONSOLIDATED CAPITALIZATION</w:t>
      </w:r>
    </w:p>
    <w:p>
      <w:pPr>
        <w:pStyle w:val="TextBody"/>
        <w:bidi w:val="0"/>
        <w:jc w:val="both"/>
        <w:rPr/>
      </w:pPr>
      <w:r>
        <w:rPr/>
        <w:t>There have been no material changes in the Corporation’s share or loan capitalization on a consolidated basis since the date of the Annual Financial Statements.</w:t>
      </w:r>
    </w:p>
    <w:p>
      <w:pPr>
        <w:pStyle w:val="TextBody"/>
        <w:bidi w:val="0"/>
        <w:jc w:val="both"/>
        <w:rPr/>
      </w:pPr>
      <w:r>
        <w:rPr/>
        <w:t>The following table sets forth the Corporation’s cash, indebtedness and shareholders’ equity as of March 31, 2023, the Corporation’s fiscal year end: (a) on an actual basis; and (b) after giving effect to both the Unit Offering and the Offering (assuming all Warrants are exercised prior to the Warrant Expiry Date for cash and that no adjustment based on anti-dilution provisions contained in the Warrant Indenture has taken place). This table should be read in conjunction with the Annual Financial Statements and Annual MD&amp;A.</w:t>
      </w:r>
    </w:p>
    <w:tbl>
      <w:tblPr>
        <w:tblW w:w="8280" w:type="dxa"/>
        <w:jc w:val="left"/>
        <w:tblInd w:w="0" w:type="dxa"/>
        <w:tblLayout w:type="fixed"/>
        <w:tblCellMar>
          <w:top w:w="0" w:type="dxa"/>
          <w:left w:w="0" w:type="dxa"/>
          <w:bottom w:w="28" w:type="dxa"/>
          <w:right w:w="0" w:type="dxa"/>
        </w:tblCellMar>
      </w:tblPr>
      <w:tblGrid>
        <w:gridCol w:w="3500"/>
        <w:gridCol w:w="60"/>
        <w:gridCol w:w="60"/>
        <w:gridCol w:w="1610"/>
        <w:gridCol w:w="60"/>
        <w:gridCol w:w="60"/>
        <w:gridCol w:w="2855"/>
        <w:gridCol w:w="75"/>
      </w:tblGrid>
      <w:tr>
        <w:trPr/>
        <w:tc>
          <w:tcPr>
            <w:tcW w:w="3500" w:type="dxa"/>
            <w:tcBorders>
              <w:bottom w:val="single" w:sz="6" w:space="0" w:color="000000"/>
            </w:tcBorders>
            <w:vAlign w:val="center"/>
          </w:tcPr>
          <w:p>
            <w:pPr>
              <w:pStyle w:val="TableContents"/>
              <w:bidi w:val="0"/>
              <w:spacing w:before="0" w:after="283"/>
              <w:jc w:val="left"/>
              <w:rPr>
                <w:b/>
              </w:rPr>
            </w:pPr>
            <w:r>
              <w:rPr>
                <w:b/>
              </w:rPr>
              <w:t>Description of 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610" w:type="dxa"/>
            <w:tcBorders>
              <w:bottom w:val="single" w:sz="6" w:space="0" w:color="000000"/>
            </w:tcBorders>
            <w:vAlign w:val="center"/>
          </w:tcPr>
          <w:p>
            <w:pPr>
              <w:pStyle w:val="TableContents"/>
              <w:bidi w:val="0"/>
              <w:spacing w:before="0" w:after="283"/>
              <w:jc w:val="center"/>
              <w:rPr>
                <w:b/>
              </w:rPr>
            </w:pPr>
            <w:r>
              <w:rPr>
                <w:b/>
              </w:rPr>
              <w:t>March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2855" w:type="dxa"/>
            <w:tcBorders>
              <w:bottom w:val="single" w:sz="6" w:space="0" w:color="000000"/>
            </w:tcBorders>
            <w:vAlign w:val="center"/>
          </w:tcPr>
          <w:p>
            <w:pPr>
              <w:pStyle w:val="TableContents"/>
              <w:bidi w:val="0"/>
              <w:spacing w:before="0" w:after="283"/>
              <w:jc w:val="center"/>
              <w:rPr>
                <w:b/>
              </w:rPr>
            </w:pPr>
            <w:r>
              <w:rPr>
                <w:b/>
              </w:rPr>
              <w:t xml:space="preserve">As at March 31, 2023, after </w:t>
              <w:br/>
              <w:t xml:space="preserve">giving effect to the Unit </w:t>
              <w:br/>
              <w:t>Offering and Offering</w:t>
            </w:r>
            <w:r>
              <w:rPr>
                <w:b/>
                <w:position w:val="8"/>
                <w:sz w:val="19"/>
              </w:rPr>
              <w:t>(1)</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3500" w:type="dxa"/>
            <w:tcBorders/>
            <w:shd w:fill="E6EFFF" w:val="clear"/>
            <w:tcMar>
              <w:bottom w:w="0" w:type="dxa"/>
            </w:tcMar>
            <w:vAlign w:val="center"/>
          </w:tcPr>
          <w:p>
            <w:pPr>
              <w:pStyle w:val="TableContents"/>
              <w:bidi w:val="0"/>
              <w:spacing w:before="0" w:after="283"/>
              <w:jc w:val="left"/>
              <w:rPr/>
            </w:pPr>
            <w:r>
              <w:rPr/>
              <w:t>Cash and Cash Equivalents</w:t>
            </w:r>
            <w:r>
              <w:rPr>
                <w:position w:val="8"/>
                <w:sz w:val="19"/>
              </w:rPr>
              <w:t>(1)</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610" w:type="dxa"/>
            <w:tcBorders/>
            <w:shd w:fill="E6EFFF" w:val="clear"/>
            <w:tcMar>
              <w:bottom w:w="0" w:type="dxa"/>
            </w:tcMar>
            <w:vAlign w:val="center"/>
          </w:tcPr>
          <w:p>
            <w:pPr>
              <w:pStyle w:val="TableContents"/>
              <w:bidi w:val="0"/>
              <w:spacing w:before="0" w:after="283"/>
              <w:jc w:val="center"/>
              <w:rPr/>
            </w:pPr>
            <w:r>
              <w:rPr/>
              <w:t>$16,633,000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55" w:type="dxa"/>
            <w:tcBorders/>
            <w:shd w:fill="E6EFFF" w:val="clear"/>
            <w:tcMar>
              <w:bottom w:w="0" w:type="dxa"/>
            </w:tcMar>
            <w:vAlign w:val="center"/>
          </w:tcPr>
          <w:p>
            <w:pPr>
              <w:pStyle w:val="TableContents"/>
              <w:bidi w:val="0"/>
              <w:spacing w:before="0" w:after="283"/>
              <w:jc w:val="center"/>
              <w:rPr/>
            </w:pPr>
            <w:r>
              <w:rPr/>
              <w:t>$39,794,350</w:t>
            </w:r>
            <w:r>
              <w:rPr>
                <w:position w:val="8"/>
                <w:sz w:val="19"/>
              </w:rPr>
              <w:t>(2)</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Loans and Borrowings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Nil</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855" w:type="dxa"/>
            <w:tcBorders/>
            <w:tcMar>
              <w:bottom w:w="0" w:type="dxa"/>
            </w:tcMar>
            <w:vAlign w:val="center"/>
          </w:tcPr>
          <w:p>
            <w:pPr>
              <w:pStyle w:val="TableContents"/>
              <w:bidi w:val="0"/>
              <w:spacing w:before="0" w:after="283"/>
              <w:jc w:val="center"/>
              <w:rPr/>
            </w:pPr>
            <w:r>
              <w:rPr/>
              <w:t>Nil</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E6EFFF" w:val="clear"/>
            <w:tcMar>
              <w:bottom w:w="0" w:type="dxa"/>
            </w:tcMar>
            <w:vAlign w:val="center"/>
          </w:tcPr>
          <w:p>
            <w:pPr>
              <w:pStyle w:val="TableContents"/>
              <w:bidi w:val="0"/>
              <w:spacing w:before="0" w:after="283"/>
              <w:jc w:val="left"/>
              <w:rPr/>
            </w:pPr>
            <w:r>
              <w:rPr/>
              <w:t>Common Shares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610" w:type="dxa"/>
            <w:tcBorders/>
            <w:shd w:fill="E6EFFF" w:val="clear"/>
            <w:tcMar>
              <w:bottom w:w="0" w:type="dxa"/>
            </w:tcMar>
            <w:vAlign w:val="center"/>
          </w:tcPr>
          <w:p>
            <w:pPr>
              <w:pStyle w:val="TableContents"/>
              <w:bidi w:val="0"/>
              <w:spacing w:before="0" w:after="283"/>
              <w:jc w:val="center"/>
              <w:rPr/>
            </w:pPr>
            <w:r>
              <w:rPr/>
              <w:t>195,328,733</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55" w:type="dxa"/>
            <w:tcBorders/>
            <w:shd w:fill="E6EFFF" w:val="clear"/>
            <w:tcMar>
              <w:bottom w:w="0" w:type="dxa"/>
            </w:tcMar>
            <w:vAlign w:val="center"/>
          </w:tcPr>
          <w:p>
            <w:pPr>
              <w:pStyle w:val="TableContents"/>
              <w:bidi w:val="0"/>
              <w:spacing w:before="0" w:after="283"/>
              <w:jc w:val="center"/>
              <w:rPr/>
            </w:pPr>
            <w:r>
              <w:rPr/>
              <w:t>243,858,145</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Stock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29,569,800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855" w:type="dxa"/>
            <w:tcBorders/>
            <w:tcMar>
              <w:bottom w:w="0" w:type="dxa"/>
            </w:tcMar>
            <w:vAlign w:val="center"/>
          </w:tcPr>
          <w:p>
            <w:pPr>
              <w:pStyle w:val="TableContents"/>
              <w:bidi w:val="0"/>
              <w:spacing w:before="0" w:after="283"/>
              <w:jc w:val="center"/>
              <w:rPr/>
            </w:pPr>
            <w:r>
              <w:rPr/>
              <w:t>29,569,800</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E6EFFF" w:val="clear"/>
            <w:tcMar>
              <w:bottom w:w="0" w:type="dxa"/>
            </w:tcMar>
            <w:vAlign w:val="center"/>
          </w:tcPr>
          <w:p>
            <w:pPr>
              <w:pStyle w:val="TableContents"/>
              <w:bidi w:val="0"/>
              <w:spacing w:before="0" w:after="283"/>
              <w:jc w:val="left"/>
              <w:rPr/>
            </w:pPr>
            <w:r>
              <w:rPr/>
              <w:t>Compensation warrants</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610" w:type="dxa"/>
            <w:tcBorders/>
            <w:shd w:fill="E6EFFF" w:val="clear"/>
            <w:tcMar>
              <w:bottom w:w="0" w:type="dxa"/>
            </w:tcMar>
            <w:vAlign w:val="center"/>
          </w:tcPr>
          <w:p>
            <w:pPr>
              <w:pStyle w:val="TableContents"/>
              <w:bidi w:val="0"/>
              <w:spacing w:before="0" w:after="283"/>
              <w:jc w:val="center"/>
              <w:rPr/>
            </w:pPr>
            <w:r>
              <w:rPr/>
              <w:t>868,740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55" w:type="dxa"/>
            <w:tcBorders/>
            <w:shd w:fill="E6EFFF" w:val="clear"/>
            <w:tcMar>
              <w:bottom w:w="0" w:type="dxa"/>
            </w:tcMar>
            <w:vAlign w:val="center"/>
          </w:tcPr>
          <w:p>
            <w:pPr>
              <w:pStyle w:val="TableContents"/>
              <w:bidi w:val="0"/>
              <w:spacing w:before="0" w:after="283"/>
              <w:jc w:val="center"/>
              <w:rPr/>
            </w:pPr>
            <w:r>
              <w:rPr/>
              <w:t>868,740</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Common Share purchase 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23,230,485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855" w:type="dxa"/>
            <w:tcBorders/>
            <w:tcMar>
              <w:bottom w:w="0" w:type="dxa"/>
            </w:tcMar>
            <w:vAlign w:val="center"/>
          </w:tcPr>
          <w:p>
            <w:pPr>
              <w:pStyle w:val="TableContents"/>
              <w:bidi w:val="0"/>
              <w:spacing w:before="0" w:after="283"/>
              <w:jc w:val="center"/>
              <w:rPr/>
            </w:pPr>
            <w:r>
              <w:rPr/>
              <w:t>23,230,485</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E6EFFF" w:val="clear"/>
            <w:tcMar>
              <w:bottom w:w="0" w:type="dxa"/>
            </w:tcMar>
            <w:vAlign w:val="center"/>
          </w:tcPr>
          <w:p>
            <w:pPr>
              <w:pStyle w:val="TableContents"/>
              <w:bidi w:val="0"/>
              <w:spacing w:before="0" w:after="283"/>
              <w:jc w:val="left"/>
              <w:rPr/>
            </w:pPr>
            <w:r>
              <w:rPr/>
              <w:t>Class B Shares (as defined below)</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610" w:type="dxa"/>
            <w:tcBorders/>
            <w:shd w:fill="E6EFFF" w:val="clear"/>
            <w:tcMar>
              <w:bottom w:w="0" w:type="dxa"/>
            </w:tcMar>
            <w:vAlign w:val="center"/>
          </w:tcPr>
          <w:p>
            <w:pPr>
              <w:pStyle w:val="TableContents"/>
              <w:bidi w:val="0"/>
              <w:spacing w:before="0" w:after="283"/>
              <w:jc w:val="center"/>
              <w:rPr/>
            </w:pPr>
            <w:r>
              <w:rPr/>
              <w:t>530,542.1</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55" w:type="dxa"/>
            <w:tcBorders/>
            <w:shd w:fill="E6EFFF" w:val="clear"/>
            <w:tcMar>
              <w:bottom w:w="0" w:type="dxa"/>
            </w:tcMar>
            <w:vAlign w:val="center"/>
          </w:tcPr>
          <w:p>
            <w:pPr>
              <w:pStyle w:val="TableContents"/>
              <w:bidi w:val="0"/>
              <w:spacing w:before="0" w:after="283"/>
              <w:jc w:val="center"/>
              <w:rPr/>
            </w:pPr>
            <w:r>
              <w:rPr/>
              <w:t>530,542.1</w:t>
            </w:r>
          </w:p>
        </w:tc>
        <w:tc>
          <w:tcPr>
            <w:tcW w:w="75" w:type="dxa"/>
            <w:tcBorders/>
            <w:shd w:fill="E6EFFF" w:val="clear"/>
            <w:tcMar>
              <w:bottom w:w="0" w:type="dxa"/>
            </w:tcMar>
            <w:vAlign w:val="center"/>
          </w:tcPr>
          <w:p>
            <w:pPr>
              <w:pStyle w:val="TableContents"/>
              <w:bidi w:val="0"/>
              <w:spacing w:before="0" w:after="283"/>
              <w:jc w:val="left"/>
              <w:rPr/>
            </w:pPr>
            <w:r>
              <w:rPr/>
              <w:t> </w:t>
            </w:r>
          </w:p>
        </w:tc>
      </w:tr>
    </w:tbl>
    <w:p>
      <w:pPr>
        <w:pStyle w:val="TextBody"/>
        <w:bidi w:val="0"/>
        <w:jc w:val="both"/>
        <w:rPr>
          <w:b/>
        </w:rPr>
      </w:pPr>
      <w:r>
        <w:rPr>
          <w:b/>
        </w:rPr>
        <w:t>Notes:</w:t>
      </w:r>
    </w:p>
    <w:p>
      <w:pPr>
        <w:pStyle w:val="TextBody"/>
        <w:bidi w:val="0"/>
        <w:spacing w:before="0" w:after="0"/>
        <w:ind w:left="500" w:right="0" w:hanging="360"/>
        <w:jc w:val="both"/>
        <w:rPr/>
      </w:pPr>
      <w:r>
        <w:rPr/>
        <w:t>(1) Proceeds from the Offering are before deducting expenses but are net proceeds after deducting certain fees of the Underwriters.</w:t>
      </w:r>
    </w:p>
    <w:p>
      <w:pPr>
        <w:pStyle w:val="TextBody"/>
        <w:bidi w:val="0"/>
        <w:spacing w:before="0" w:after="0"/>
        <w:ind w:left="500" w:right="0" w:hanging="360"/>
        <w:jc w:val="both"/>
        <w:rPr/>
      </w:pPr>
      <w:r>
        <w:rPr/>
        <w:t>(2) The proceeds from the Offering and the Unit Offering have been converted from U.S. dollars to Canadian dollars based on the Bank of Canada exchange rate as of July 31, 2023 of 1:1.3177.</w:t>
      </w:r>
    </w:p>
    <w:p>
      <w:pPr>
        <w:pStyle w:val="TextBody"/>
        <w:bidi w:val="0"/>
        <w:spacing w:before="0" w:after="0"/>
        <w:ind w:left="500" w:right="0" w:hanging="360"/>
        <w:jc w:val="both"/>
        <w:rPr/>
      </w:pPr>
      <w:r>
        <w:rPr/>
        <w:t>(3) The Class B Shares are exchangeable for Common Shares on the basis of 10 Common Shares for each Class B Share, at the option of the holder thereof, subject to customary adjustments.  </w:t>
      </w:r>
    </w:p>
    <w:p>
      <w:pPr>
        <w:pStyle w:val="Heading1"/>
        <w:bidi w:val="0"/>
        <w:jc w:val="center"/>
        <w:rPr>
          <w:sz w:val="20"/>
        </w:rPr>
      </w:pPr>
      <w:r>
        <w:rPr>
          <w:sz w:val="20"/>
        </w:rPr>
        <w:t>PLAN OF DISTRIBUTION</w:t>
      </w:r>
    </w:p>
    <w:p>
      <w:pPr>
        <w:pStyle w:val="TextBody"/>
        <w:bidi w:val="0"/>
        <w:jc w:val="both"/>
        <w:rPr/>
      </w:pPr>
      <w:r>
        <w:rPr/>
        <w:t>This Prospectus Supplement relates to: (i) 24,264,706 Warrant Shares, issuable from time to time upon the exercise of 24,264,706 Warrants expected to be issued by the Corporation pursuant to the Offering; and (ii) such indeterminate number of Anti-Dilution Warrant Shares that may be issuable by reason of the anti-dilution provisions contained in the Warrant Indenture.</w:t>
      </w:r>
    </w:p>
    <w:p>
      <w:pPr>
        <w:pStyle w:val="TextBody"/>
        <w:bidi w:val="0"/>
        <w:jc w:val="both"/>
        <w:rPr/>
      </w:pPr>
      <w:r>
        <w:rPr/>
        <w:t>The Warrants will be governed by the terms of the Warrant Indenture. The following summary of certain anticipated provisions of the Warrant Indenture does not purport to be complete and is subject in its entirety to the detailed provisions of the Warrant Indenture. Reference is made to the Warrant Indenture for the full text of the attributes of the Warrants which will be filed by the Corporation under its corporate profile on SEDAR following the closing of the Offering. A register of holders will be maintained at the principal offices of the Warrant Agent in Calgary, Alberta, and is the location at which Warrants may be surrendered for exercise or transfer.</w:t>
      </w:r>
    </w:p>
    <w:p>
      <w:pPr>
        <w:pStyle w:val="TextBody"/>
        <w:bidi w:val="0"/>
        <w:jc w:val="both"/>
        <w:rPr/>
      </w:pPr>
      <w:r>
        <w:rPr/>
        <w:t>Each Warrant will entitle the holder thereof to acquire, subject to adjustment in certain circumstances, one Warrant Share at an exercise price of US$0.40 until the Warrant Expiry Date. In the event the closing price of the Common Shares on the NEO at any time following the Closing Date is greater than an amount equal to $1.30 for a period of five (5) consecutive trading days, the Corporation shall have the right, but not the obligation, to accelerate the Warrant Expiry Date of the Warrants to the date that is thirty (30) days following the delivery of a notice to the holders of the Warrants, pursuant to the terms of the Warrant Indenture.</w:t>
      </w:r>
    </w:p>
    <w:p>
      <w:pPr>
        <w:pStyle w:val="TextBody"/>
        <w:bidi w:val="0"/>
        <w:jc w:val="both"/>
        <w:rPr/>
      </w:pPr>
      <w:r>
        <w:rPr/>
        <w:t>The Warrant Indenture provides for adjustment in the number of Warrant Shares issuable upon the exercise of the Warrants and/or the exercise price per Warrant Share upon the occurrence of certain events, including:</w:t>
      </w:r>
    </w:p>
    <w:p>
      <w:pPr>
        <w:pStyle w:val="TextBody"/>
        <w:bidi w:val="0"/>
        <w:ind w:left="720" w:right="0" w:hanging="0"/>
        <w:jc w:val="both"/>
        <w:rPr/>
      </w:pPr>
      <w:r>
        <w:rPr/>
        <w:t>(i) the issuance of Common Shares or securities exchangeable for or convertible into Common Shares to all or substantially all of the holders of the Common Shares as a stock dividend or other distribution (other than a distribution of Common Shares upon the exercise of Warrants);</w:t>
      </w:r>
    </w:p>
    <w:p>
      <w:pPr>
        <w:pStyle w:val="TextBody"/>
        <w:bidi w:val="0"/>
        <w:ind w:left="720" w:right="0" w:hanging="0"/>
        <w:jc w:val="both"/>
        <w:rPr/>
      </w:pPr>
      <w:r>
        <w:rPr/>
        <w:t>(ii) the subdivision, redivision or change of the Common Shares into a greater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25" w:name="page_15"/>
      <w:bookmarkEnd w:id="25"/>
      <w:r>
        <w:rPr/>
        <w:t>(iii) the reduction, combination or consolidation of the Common Shares into a lesser number of shares;</w:t>
      </w:r>
    </w:p>
    <w:p>
      <w:pPr>
        <w:pStyle w:val="TextBody"/>
        <w:bidi w:val="0"/>
        <w:ind w:left="720" w:right="0" w:hanging="0"/>
        <w:jc w:val="both"/>
        <w:rPr/>
      </w:pPr>
      <w:r>
        <w:rPr/>
        <w:t>(iv) the issuance to all or substantially all of the holders of the Common Shares of rights, options or warrants under which such holders are entitled, during a period expiring not more than 45 days after the record date for such issuance, to subscribe for or purchase Common Shares, or securities exchangeable for or convertible into Common Shares, at a price per share to the holder (or at an exchange or conversion price per share) of less than 95% of the "current market price", as defined in the Warrant Indenture, for the Common Shares on such record date; and</w:t>
      </w:r>
    </w:p>
    <w:p>
      <w:pPr>
        <w:pStyle w:val="TextBody"/>
        <w:bidi w:val="0"/>
        <w:ind w:left="720" w:right="0" w:hanging="0"/>
        <w:jc w:val="both"/>
        <w:rPr/>
      </w:pPr>
      <w:r>
        <w:rPr/>
        <w:t>(v) the issuance or distribution to all or substantially all of the holders of the Common Shares of shares of any class other than the Common Shares, rights, options or warrants to acquire Common Shares or securities exchangeable or convertible into Common Shares, of evidences of indebtedness, or any property or other assets.</w:t>
      </w:r>
    </w:p>
    <w:p>
      <w:pPr>
        <w:pStyle w:val="TextBody"/>
        <w:bidi w:val="0"/>
        <w:jc w:val="both"/>
        <w:rPr/>
      </w:pPr>
      <w:r>
        <w:rPr/>
        <w:t>The Warrant Indenture also provides for adjustments in the class and/or number of securities issuable upon exercise of the Warrants and/or exercise price per security in the event of the following additional events: (a) a reclassification of the Common Shares or any compulsory share exchange pursuant to which the Common Shares are effectively converted into or exchanged for other securities, cash or property (other than a share reorganization), (b) a consolidation, amalgamation, arrangement or merger of the Corporation with or into any other corporation or other entity, in which the Corporation is not the surviving entity or the shareholders of the Corporation immediately prior to such consolidation, amalgamation, arrangement or merger do not own, directly or indirectly, at least 50% of the voting power of the surviving entity immediately after such consolidation, amalgamation, arrangement or merger, or (c) a transfer of the undertaking or assets of the Corporation as an entirety or substantially as an entirety to or with another person (other than to a subsidiary) (each, a "</w:t>
      </w:r>
      <w:r>
        <w:rPr>
          <w:b/>
        </w:rPr>
        <w:t>Fundamental Transaction</w:t>
      </w:r>
      <w:r>
        <w:rPr/>
        <w:t>"),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pStyle w:val="TextBody"/>
        <w:bidi w:val="0"/>
        <w:jc w:val="both"/>
        <w:rPr/>
      </w:pPr>
      <w:r>
        <w:rPr/>
        <w:t>In addition, in certain circumstances, in the event of a Fundamental Transaction, the holder may, subject to certain conditions including the NEO's prior written approval in certain circumstances, require the Corporation or a successor company to purchase the Warrants from the holder by paying to the holder an amount of cash equal to the Black-Scholes value of the remaining unexercised portion of the Warrant on the date of consummation of such Fundamental Transaction; provided, however, that, if the Fundamental Transaction is not within the Corporation's control, including not approved by the Corporation's board of directors, the holder will only be entitled to receive from the Corporation or any successor company, as of the date of consummation of such Fundamental Transaction, the same type or form of consideration (and in the same proportion), at the Black-Scholes value of the unexercised portion of the Warrant, that is being offered and paid to the shareholders of the Corporation in connection with the Fundamental Transaction, whether that consideration is in the form of securities, cash, other property or any combination thereof, or whether the shareholders are given the choice to receive from among alternative forms of consideration in connection with the Fundamental Transaction.</w:t>
      </w:r>
    </w:p>
    <w:p>
      <w:pPr>
        <w:pStyle w:val="TextBody"/>
        <w:bidi w:val="0"/>
        <w:jc w:val="both"/>
        <w:rPr/>
      </w:pPr>
      <w:r>
        <w:rPr/>
        <w:t>The Corporation also covenants in the Warrant Indenture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14 days prior to the record date or effective date, as the case may be, of such events.</w:t>
      </w:r>
    </w:p>
    <w:p>
      <w:pPr>
        <w:pStyle w:val="TextBody"/>
        <w:bidi w:val="0"/>
        <w:jc w:val="both"/>
        <w:rPr/>
      </w:pPr>
      <w:r>
        <w:rPr/>
        <w:t>No fractional Common Shares will be issuable to any holder of Warrants upon the exercise thereof, and no cash or other consideration will be paid in lieu of fractional shares. The holding of Warrants will not make the holder thereof a shareholder of the Corporation or entitle such holder to any right or interest in respect of the Warrants except as expressly provided in the Warrant Indenture. Holders of Warrants will not have any voting or pre-emptive rights or any other rights of a holder of Common Shares.</w:t>
      </w:r>
    </w:p>
    <w:p>
      <w:pPr>
        <w:pStyle w:val="TextBody"/>
        <w:bidi w:val="0"/>
        <w:jc w:val="both"/>
        <w:rPr/>
      </w:pPr>
      <w:r>
        <w:rPr/>
        <w:t>The Warrant Indenture provides that, from time to time, the Warrant Agent and the Corporation, without the consent of the holders of Warrants, may be able to amend or supplement the Warrant Indenture for certain purposes, including rectifying any ambiguities, defective provisions, clerical omissions or mistakes, or other errors contained in the Warrant Indenture or in any deed or indenture supplemental or ancillary to the Warrant Indenture, provided that, in the opinion of the Warrant Agent, relying on counsel, the rights of the holders of Warrants are not prejudiced, as a group. Any amendment or supplement to the Warrant Indenture that is prejudicial to the interests of the holders of Warrants, as a group, will be subject to approval by an "Extraordinary Resolution", which will be defined in the Warrant Indenture as a resolution either: (i) passed at a meeting of the holders of Warrants at which there are holders of Warrants present in person or represented by proxy representing at least 20% of the aggregate number of the then outstanding Warrants and passed by the affirmative vote of holders of Warrants representing not less than 66 2/3% of the aggregate number of all the then outstanding Warrants represented at the meeting; or (ii) adopted by an instrument in writing signed by the holders of Warrants representing not less than 66 2/3% of the number of all of the then outstanding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6" w:name="page_16"/>
      <w:bookmarkEnd w:id="26"/>
      <w:r>
        <w:rPr>
          <w:b/>
        </w:rPr>
        <w:t>The Warrants will not be listed for trading on any stock exchange or market quotation system.</w:t>
      </w:r>
    </w:p>
    <w:p>
      <w:pPr>
        <w:pStyle w:val="TextBody"/>
        <w:bidi w:val="0"/>
        <w:jc w:val="both"/>
        <w:rPr/>
      </w:pPr>
      <w:r>
        <w:rPr/>
        <w:t>The Corporation has applied and will apply to list the Warrant Shares offered by this Prospectus Supplement on the NEO and the NYSE American.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the Offering. This may affect the pricing of the securities in the secondary market, the transparency and availability of trading prices, the liquidity of the securities, and the extent of issuer regulation.  See “</w:t>
      </w:r>
      <w:r>
        <w:rPr>
          <w:i/>
        </w:rPr>
        <w:t>Risk Factors</w:t>
      </w:r>
      <w:r>
        <w:rPr/>
        <w:t>”.</w:t>
      </w:r>
    </w:p>
    <w:p>
      <w:pPr>
        <w:pStyle w:val="TextBody"/>
        <w:bidi w:val="0"/>
        <w:jc w:val="both"/>
        <w:rPr/>
      </w:pPr>
      <w:r>
        <w:rPr>
          <w:b/>
        </w:rPr>
        <w:t>This Prospectus Supplement registers the offering of the securities to which it relates under the U.S. Securities Act in accordance with the MJDS.</w:t>
      </w:r>
      <w:r>
        <w:rPr/>
        <w:t xml:space="preserve">  </w:t>
      </w:r>
      <w:r>
        <w:rPr>
          <w:b/>
        </w:rPr>
        <w:t>This Prospectus Supplement does not qualify in any of the</w:t>
      </w:r>
      <w:r>
        <w:rPr/>
        <w:t xml:space="preserve"> </w:t>
      </w:r>
      <w:r>
        <w:rPr>
          <w:b/>
        </w:rPr>
        <w:t>provinces or territories of Canada the distribution of the Warrant Shares to which it relates.</w:t>
      </w:r>
      <w:r>
        <w:rPr/>
        <w:t xml:space="preserve"> </w:t>
      </w:r>
      <w:r>
        <w:rPr>
          <w:b/>
        </w:rPr>
        <w:t>The Warrant Shares to which this Prospectus Supplement relates will be sold directly by the Corporation</w:t>
      </w:r>
      <w:r>
        <w:rPr/>
        <w:t xml:space="preserve"> </w:t>
      </w:r>
      <w:r>
        <w:rPr>
          <w:b/>
        </w:rPr>
        <w:t>to holders of Warrants upon any exercise of such Warrants. No underwriters, dealers or agents have been involved in the preparation of this Prospectus Supplement or the Base Shelf Prospectus, nor will be</w:t>
      </w:r>
      <w:r>
        <w:rPr/>
        <w:t xml:space="preserve"> </w:t>
      </w:r>
      <w:r>
        <w:rPr>
          <w:b/>
        </w:rPr>
        <w:t>involved in these sales.</w:t>
      </w:r>
    </w:p>
    <w:p>
      <w:pPr>
        <w:pStyle w:val="TextBody"/>
        <w:bidi w:val="0"/>
        <w:jc w:val="center"/>
        <w:rPr>
          <w:b/>
        </w:rPr>
      </w:pPr>
      <w:r>
        <w:rPr>
          <w:b/>
        </w:rPr>
        <w:t>TRADING PRICE AND VOLUME</w:t>
      </w:r>
    </w:p>
    <w:p>
      <w:pPr>
        <w:pStyle w:val="TextBody"/>
        <w:bidi w:val="0"/>
        <w:jc w:val="both"/>
        <w:rPr/>
      </w:pPr>
      <w:r>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27" w:name="page_17"/>
      <w:bookmarkStart w:id="28" w:name="page_17"/>
      <w:bookmarkEnd w:id="28"/>
    </w:p>
    <w:tbl>
      <w:tblPr>
        <w:tblW w:w="5285" w:type="dxa"/>
        <w:jc w:val="left"/>
        <w:tblInd w:w="0" w:type="dxa"/>
        <w:tblLayout w:type="fixed"/>
        <w:tblCellMar>
          <w:top w:w="0" w:type="dxa"/>
          <w:left w:w="0" w:type="dxa"/>
          <w:bottom w:w="0" w:type="dxa"/>
          <w:right w:w="0" w:type="dxa"/>
        </w:tblCellMar>
      </w:tblPr>
      <w:tblGrid>
        <w:gridCol w:w="1700"/>
        <w:gridCol w:w="60"/>
        <w:gridCol w:w="60"/>
        <w:gridCol w:w="1070"/>
        <w:gridCol w:w="60"/>
        <w:gridCol w:w="60"/>
        <w:gridCol w:w="1040"/>
        <w:gridCol w:w="60"/>
        <w:gridCol w:w="60"/>
        <w:gridCol w:w="1040"/>
        <w:gridCol w:w="75"/>
      </w:tblGrid>
      <w:tr>
        <w:trPr/>
        <w:tc>
          <w:tcPr>
            <w:tcW w:w="5210" w:type="dxa"/>
            <w:gridSpan w:val="10"/>
            <w:tcBorders/>
            <w:vAlign w:val="center"/>
          </w:tcPr>
          <w:p>
            <w:pPr>
              <w:pStyle w:val="TableContents"/>
              <w:bidi w:val="0"/>
              <w:spacing w:before="0" w:after="283"/>
              <w:jc w:val="center"/>
              <w:rPr/>
            </w:pPr>
            <w:r>
              <w:rPr>
                <w:b/>
              </w:rPr>
              <w:t>NEO Price Range</w:t>
            </w:r>
            <w:r>
              <w:rPr/>
              <w:br/>
              <w:t> </w:t>
            </w:r>
          </w:p>
        </w:tc>
        <w:tc>
          <w:tcPr>
            <w:tcW w:w="75" w:type="dxa"/>
            <w:tcBorders/>
            <w:vAlign w:val="center"/>
          </w:tcPr>
          <w:p>
            <w:pPr>
              <w:pStyle w:val="TableContents"/>
              <w:bidi w:val="0"/>
              <w:spacing w:before="0" w:after="283"/>
              <w:jc w:val="center"/>
              <w:rPr/>
            </w:pPr>
            <w:r>
              <w:rPr/>
              <w:t> </w:t>
            </w:r>
          </w:p>
        </w:tc>
      </w:tr>
      <w:tr>
        <w:trPr/>
        <w:tc>
          <w:tcPr>
            <w:tcW w:w="1700" w:type="dxa"/>
            <w:tcBorders>
              <w:bottom w:val="single" w:sz="6" w:space="0" w:color="000000"/>
            </w:tcBorders>
            <w:tcMar>
              <w:bottom w:w="28" w:type="dxa"/>
            </w:tcMar>
            <w:vAlign w:val="center"/>
          </w:tcPr>
          <w:p>
            <w:pPr>
              <w:pStyle w:val="TableContents"/>
              <w:bidi w:val="0"/>
              <w:spacing w:before="0" w:after="283"/>
              <w:jc w:val="center"/>
              <w:rPr>
                <w:b/>
              </w:rPr>
            </w:pPr>
            <w:r>
              <w:rPr>
                <w:b/>
              </w:rPr>
              <w:t>Month</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pPr>
            <w:r>
              <w:rPr>
                <w:b/>
              </w:rPr>
              <w:t>High</w:t>
            </w:r>
            <w:r>
              <w:rPr/>
              <w:t xml:space="preserve"> ($)</w:t>
            </w:r>
            <w:r>
              <w:rPr>
                <w:b/>
                <w:position w:val="8"/>
                <w:sz w:val="19"/>
              </w:rPr>
              <w:t>(1)</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b/>
              </w:rPr>
              <w:t xml:space="preserve">Low </w:t>
            </w:r>
            <w:r>
              <w:rPr/>
              <w:t>($)</w:t>
            </w:r>
            <w:r>
              <w:rPr>
                <w:b/>
                <w:position w:val="8"/>
                <w:sz w:val="19"/>
              </w:rPr>
              <w:t>(1)</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b/>
              </w:rPr>
              <w:t>Volume</w:t>
            </w:r>
            <w:r>
              <w:rPr>
                <w:b/>
                <w:position w:val="8"/>
                <w:sz w:val="19"/>
              </w:rPr>
              <w:t>(1)</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60" w:type="dxa"/>
            <w:tcBorders>
              <w:top w:val="single" w:sz="6" w:space="0" w:color="000000"/>
            </w:tcBorders>
            <w:tcMar>
              <w:top w:w="28" w:type="dxa"/>
            </w:tcMar>
            <w:vAlign w:val="center"/>
          </w:tcPr>
          <w:p>
            <w:pPr>
              <w:pStyle w:val="TableContents"/>
              <w:bidi w:val="0"/>
              <w:spacing w:before="0" w:after="283"/>
              <w:jc w:val="center"/>
              <w:rPr/>
            </w:pPr>
            <w:r>
              <w:rPr/>
              <w:t> </w:t>
            </w:r>
          </w:p>
        </w:tc>
        <w:tc>
          <w:tcPr>
            <w:tcW w:w="1070"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top w:val="single" w:sz="6" w:space="0" w:color="000000"/>
            </w:tcBorders>
            <w:tcMar>
              <w:top w:w="28" w:type="dxa"/>
            </w:tcMar>
            <w:vAlign w:val="center"/>
          </w:tcPr>
          <w:p>
            <w:pPr>
              <w:pStyle w:val="TableContents"/>
              <w:bidi w:val="0"/>
              <w:spacing w:before="0" w:after="283"/>
              <w:jc w:val="center"/>
              <w:rPr/>
            </w:pPr>
            <w:r>
              <w:rPr/>
              <w:t> </w:t>
            </w:r>
          </w:p>
        </w:tc>
        <w:tc>
          <w:tcPr>
            <w:tcW w:w="1040"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700" w:type="dxa"/>
            <w:tcBorders/>
            <w:shd w:fill="E6EFFF" w:val="clear"/>
            <w:vAlign w:val="center"/>
          </w:tcPr>
          <w:p>
            <w:pPr>
              <w:pStyle w:val="TableContents"/>
              <w:bidi w:val="0"/>
              <w:spacing w:before="0" w:after="0"/>
              <w:jc w:val="left"/>
              <w:rPr/>
            </w:pPr>
            <w:r>
              <w:rPr/>
              <w:t>August 2022</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1.50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0.75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4,557,716</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September 2022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1.49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0.64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3,061,741</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October 2022</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0.89</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0.61</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2,200,569</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November 2022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0.67</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2,706,993</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December 2022</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0.51</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0.375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3,307,124</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January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0.83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4,313,804</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February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0.82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0.52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4,039,711</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March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0.69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3,147,215</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April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0.55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0.40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1,906,116</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May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0.46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0.35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1,899,880</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June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0.52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0.30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3,778,524</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July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0.70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4,373,988</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August 1-2,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70" w:type="dxa"/>
            <w:tcBorders/>
            <w:shd w:fill="E6EFFF" w:val="clear"/>
            <w:vAlign w:val="center"/>
          </w:tcPr>
          <w:p>
            <w:pPr>
              <w:pStyle w:val="TableContents"/>
              <w:bidi w:val="0"/>
              <w:spacing w:before="0" w:after="283"/>
              <w:jc w:val="center"/>
              <w:rPr/>
            </w:pPr>
            <w:r>
              <w:rPr/>
              <w:t>0.465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0.36</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702,068</w:t>
            </w:r>
          </w:p>
        </w:tc>
        <w:tc>
          <w:tcPr>
            <w:tcW w:w="75" w:type="dxa"/>
            <w:tcBorders/>
            <w:shd w:fill="E6EFFF" w:val="clear"/>
            <w:vAlign w:val="center"/>
          </w:tcPr>
          <w:p>
            <w:pPr>
              <w:pStyle w:val="TableContents"/>
              <w:bidi w:val="0"/>
              <w:spacing w:before="0" w:after="283"/>
              <w:jc w:val="left"/>
              <w:rPr/>
            </w:pPr>
            <w:r>
              <w:rPr/>
              <w:t> </w:t>
            </w:r>
          </w:p>
        </w:tc>
      </w:tr>
    </w:tbl>
    <w:p>
      <w:pPr>
        <w:pStyle w:val="TextBody"/>
        <w:bidi w:val="0"/>
        <w:spacing w:before="0" w:after="0"/>
        <w:ind w:left="0" w:right="0" w:firstLine="425"/>
        <w:jc w:val="both"/>
        <w:rPr/>
      </w:pPr>
      <w:r>
        <w:rPr>
          <w:b/>
          <w:u w:val="single"/>
        </w:rPr>
        <w:t>Notes</w:t>
      </w:r>
      <w:r>
        <w:rPr/>
        <w:t>:</w:t>
      </w:r>
    </w:p>
    <w:p>
      <w:pPr>
        <w:pStyle w:val="TextBody"/>
        <w:bidi w:val="0"/>
        <w:spacing w:before="0" w:after="283"/>
        <w:ind w:left="720" w:right="0" w:hanging="0"/>
        <w:jc w:val="both"/>
        <w:rPr/>
      </w:pPr>
      <w:r>
        <w:rPr/>
        <w:t>(1) Source: TMX Money as of the date of this Prospectus Supplement.</w:t>
      </w:r>
    </w:p>
    <w:p>
      <w:pPr>
        <w:pStyle w:val="TextBody"/>
        <w:bidi w:val="0"/>
        <w:jc w:val="both"/>
        <w:rPr/>
      </w:pPr>
      <w:r>
        <w:rPr/>
        <w:t>On August 2, 2023, being the last day on which the Common Shares traded prior to the date of this Prospectus Supplement, the closing price of the Common Shares as reported on the NEO was $0.375.</w:t>
      </w:r>
    </w:p>
    <w:tbl>
      <w:tblPr>
        <w:tblW w:w="5975" w:type="dxa"/>
        <w:jc w:val="left"/>
        <w:tblInd w:w="0" w:type="dxa"/>
        <w:tblLayout w:type="fixed"/>
        <w:tblCellMar>
          <w:top w:w="0" w:type="dxa"/>
          <w:left w:w="0" w:type="dxa"/>
          <w:bottom w:w="0" w:type="dxa"/>
          <w:right w:w="0" w:type="dxa"/>
        </w:tblCellMar>
      </w:tblPr>
      <w:tblGrid>
        <w:gridCol w:w="1700"/>
        <w:gridCol w:w="60"/>
        <w:gridCol w:w="60"/>
        <w:gridCol w:w="1385"/>
        <w:gridCol w:w="60"/>
        <w:gridCol w:w="60"/>
        <w:gridCol w:w="1355"/>
        <w:gridCol w:w="60"/>
        <w:gridCol w:w="60"/>
        <w:gridCol w:w="1100"/>
        <w:gridCol w:w="75"/>
      </w:tblGrid>
      <w:tr>
        <w:trPr/>
        <w:tc>
          <w:tcPr>
            <w:tcW w:w="5900" w:type="dxa"/>
            <w:gridSpan w:val="10"/>
            <w:tcBorders/>
            <w:vAlign w:val="center"/>
          </w:tcPr>
          <w:p>
            <w:pPr>
              <w:pStyle w:val="TableContents"/>
              <w:bidi w:val="0"/>
              <w:spacing w:before="0" w:after="283"/>
              <w:jc w:val="center"/>
              <w:rPr/>
            </w:pPr>
            <w:r>
              <w:rPr>
                <w:b/>
              </w:rPr>
              <w:t>NYSE American Price Range</w:t>
            </w:r>
            <w:r>
              <w:rPr/>
              <w:br/>
              <w:t> </w:t>
            </w:r>
          </w:p>
        </w:tc>
        <w:tc>
          <w:tcPr>
            <w:tcW w:w="75" w:type="dxa"/>
            <w:tcBorders/>
            <w:vAlign w:val="center"/>
          </w:tcPr>
          <w:p>
            <w:pPr>
              <w:pStyle w:val="TableContents"/>
              <w:bidi w:val="0"/>
              <w:spacing w:before="0" w:after="283"/>
              <w:jc w:val="center"/>
              <w:rPr/>
            </w:pPr>
            <w:r>
              <w:rPr/>
              <w:t> </w:t>
            </w:r>
          </w:p>
        </w:tc>
      </w:tr>
      <w:tr>
        <w:trPr/>
        <w:tc>
          <w:tcPr>
            <w:tcW w:w="1700" w:type="dxa"/>
            <w:tcBorders>
              <w:bottom w:val="single" w:sz="6" w:space="0" w:color="000000"/>
            </w:tcBorders>
            <w:tcMar>
              <w:bottom w:w="28" w:type="dxa"/>
            </w:tcMar>
            <w:vAlign w:val="center"/>
          </w:tcPr>
          <w:p>
            <w:pPr>
              <w:pStyle w:val="TableContents"/>
              <w:bidi w:val="0"/>
              <w:spacing w:before="0" w:after="283"/>
              <w:jc w:val="center"/>
              <w:rPr>
                <w:b/>
              </w:rPr>
            </w:pPr>
            <w:r>
              <w:rPr>
                <w:b/>
              </w:rPr>
              <w:t>Month</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85" w:type="dxa"/>
            <w:tcBorders>
              <w:bottom w:val="single" w:sz="6" w:space="0" w:color="000000"/>
            </w:tcBorders>
            <w:tcMar>
              <w:bottom w:w="28" w:type="dxa"/>
            </w:tcMar>
            <w:vAlign w:val="center"/>
          </w:tcPr>
          <w:p>
            <w:pPr>
              <w:pStyle w:val="TableContents"/>
              <w:bidi w:val="0"/>
              <w:spacing w:before="0" w:after="283"/>
              <w:jc w:val="center"/>
              <w:rPr/>
            </w:pPr>
            <w:r>
              <w:rPr>
                <w:b/>
              </w:rPr>
              <w:t>High</w:t>
            </w:r>
            <w:r>
              <w:rPr/>
              <w:t xml:space="preserve"> (US$)</w:t>
            </w:r>
            <w:r>
              <w:rPr>
                <w:b/>
                <w:position w:val="8"/>
                <w:sz w:val="19"/>
              </w:rPr>
              <w:t>(1)</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6" w:space="0" w:color="000000"/>
            </w:tcBorders>
            <w:tcMar>
              <w:bottom w:w="28" w:type="dxa"/>
            </w:tcMar>
            <w:vAlign w:val="center"/>
          </w:tcPr>
          <w:p>
            <w:pPr>
              <w:pStyle w:val="TableContents"/>
              <w:bidi w:val="0"/>
              <w:spacing w:before="0" w:after="283"/>
              <w:jc w:val="center"/>
              <w:rPr/>
            </w:pPr>
            <w:r>
              <w:rPr>
                <w:b/>
              </w:rPr>
              <w:t xml:space="preserve">Low </w:t>
            </w:r>
            <w:r>
              <w:rPr/>
              <w:t>(US$)</w:t>
            </w:r>
            <w:r>
              <w:rPr>
                <w:b/>
                <w:position w:val="8"/>
                <w:sz w:val="19"/>
              </w:rPr>
              <w:t>(1)</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b/>
              </w:rPr>
              <w:t>Volume</w:t>
            </w:r>
            <w:r>
              <w:rPr>
                <w:b/>
                <w:position w:val="8"/>
                <w:sz w:val="19"/>
              </w:rPr>
              <w:t>(1)</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60" w:type="dxa"/>
            <w:tcBorders>
              <w:top w:val="single" w:sz="6" w:space="0" w:color="000000"/>
            </w:tcBorders>
            <w:tcMar>
              <w:top w:w="28" w:type="dxa"/>
            </w:tcMar>
            <w:vAlign w:val="center"/>
          </w:tcPr>
          <w:p>
            <w:pPr>
              <w:pStyle w:val="TableContents"/>
              <w:bidi w:val="0"/>
              <w:spacing w:before="0" w:after="283"/>
              <w:jc w:val="center"/>
              <w:rPr/>
            </w:pPr>
            <w:r>
              <w:rPr/>
              <w:t> </w:t>
            </w:r>
          </w:p>
        </w:tc>
        <w:tc>
          <w:tcPr>
            <w:tcW w:w="1385"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top w:val="single" w:sz="6" w:space="0" w:color="000000"/>
            </w:tcBorders>
            <w:tcMar>
              <w:top w:w="28" w:type="dxa"/>
            </w:tcMar>
            <w:vAlign w:val="center"/>
          </w:tcPr>
          <w:p>
            <w:pPr>
              <w:pStyle w:val="TableContents"/>
              <w:bidi w:val="0"/>
              <w:spacing w:before="0" w:after="283"/>
              <w:jc w:val="center"/>
              <w:rPr/>
            </w:pPr>
            <w:r>
              <w:rPr/>
              <w:t> </w:t>
            </w:r>
          </w:p>
        </w:tc>
        <w:tc>
          <w:tcPr>
            <w:tcW w:w="1355"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700" w:type="dxa"/>
            <w:tcBorders/>
            <w:shd w:fill="E6EFFF" w:val="clear"/>
            <w:vAlign w:val="center"/>
          </w:tcPr>
          <w:p>
            <w:pPr>
              <w:pStyle w:val="TableContents"/>
              <w:bidi w:val="0"/>
              <w:spacing w:before="0" w:after="0"/>
              <w:jc w:val="left"/>
              <w:rPr/>
            </w:pPr>
            <w:r>
              <w:rPr/>
              <w:t>August 2022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1.14</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0.58</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37,402,882</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September 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1.14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0.47</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25,585,300</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October 2022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0.655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0.445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18,602,731</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November 2022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0.4839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0.36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19,969,352</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December 2022</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0.3888</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0.2649</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23,739,104</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January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0.62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0.2971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38,677,475</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February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0.60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0.385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35,754,753</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March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0.50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0.35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28,943,897</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April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0.4046</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0.29</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18,366,468</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May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0.3466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0.2552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26,443,776</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June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0.39</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0.21</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49,472,709</w:t>
            </w:r>
          </w:p>
        </w:tc>
        <w:tc>
          <w:tcPr>
            <w:tcW w:w="75" w:type="dxa"/>
            <w:tcBorders/>
            <w:shd w:fill="E6EF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pPr>
            <w:r>
              <w:rPr/>
              <w:t>July 2023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0.53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0.3689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54,877,677</w:t>
            </w:r>
          </w:p>
        </w:tc>
        <w:tc>
          <w:tcPr>
            <w:tcW w:w="75" w:type="dxa"/>
            <w:tcBorders/>
            <w:vAlign w:val="center"/>
          </w:tcPr>
          <w:p>
            <w:pPr>
              <w:pStyle w:val="TableContents"/>
              <w:bidi w:val="0"/>
              <w:spacing w:before="0" w:after="283"/>
              <w:jc w:val="left"/>
              <w:rPr/>
            </w:pPr>
            <w:r>
              <w:rPr/>
              <w:t> </w:t>
            </w:r>
          </w:p>
        </w:tc>
      </w:tr>
      <w:tr>
        <w:trPr/>
        <w:tc>
          <w:tcPr>
            <w:tcW w:w="1700" w:type="dxa"/>
            <w:tcBorders/>
            <w:shd w:fill="E6EFFF" w:val="clear"/>
            <w:vAlign w:val="center"/>
          </w:tcPr>
          <w:p>
            <w:pPr>
              <w:pStyle w:val="TableContents"/>
              <w:bidi w:val="0"/>
              <w:spacing w:before="0" w:after="0"/>
              <w:jc w:val="left"/>
              <w:rPr/>
            </w:pPr>
            <w:r>
              <w:rPr/>
              <w:t>August 1-2, 2023</w:t>
            </w:r>
          </w:p>
        </w:tc>
        <w:tc>
          <w:tcPr>
            <w:tcW w:w="60"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85" w:type="dxa"/>
            <w:tcBorders/>
            <w:shd w:fill="E6EFFF" w:val="clear"/>
            <w:vAlign w:val="center"/>
          </w:tcPr>
          <w:p>
            <w:pPr>
              <w:pStyle w:val="TableContents"/>
              <w:bidi w:val="0"/>
              <w:spacing w:before="0" w:after="283"/>
              <w:jc w:val="center"/>
              <w:rPr/>
            </w:pPr>
            <w:r>
              <w:rPr/>
              <w:t>0.335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0.275</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20,240,378</w:t>
            </w:r>
          </w:p>
        </w:tc>
        <w:tc>
          <w:tcPr>
            <w:tcW w:w="75" w:type="dxa"/>
            <w:tcBorders/>
            <w:shd w:fill="E6EFFF" w:val="clear"/>
            <w:vAlign w:val="center"/>
          </w:tcPr>
          <w:p>
            <w:pPr>
              <w:pStyle w:val="TableContents"/>
              <w:bidi w:val="0"/>
              <w:spacing w:before="0" w:after="283"/>
              <w:jc w:val="left"/>
              <w:rPr/>
            </w:pPr>
            <w:r>
              <w:rPr/>
              <w:t> </w:t>
            </w:r>
          </w:p>
        </w:tc>
      </w:tr>
    </w:tbl>
    <w:p>
      <w:pPr>
        <w:pStyle w:val="TextBody"/>
        <w:bidi w:val="0"/>
        <w:spacing w:before="0" w:after="0"/>
        <w:ind w:left="0" w:right="0" w:firstLine="425"/>
        <w:jc w:val="both"/>
        <w:rPr/>
      </w:pPr>
      <w:r>
        <w:rPr>
          <w:b/>
          <w:u w:val="single"/>
        </w:rPr>
        <w:t>Notes</w:t>
      </w:r>
      <w:r>
        <w:rPr/>
        <w:t>:</w:t>
      </w:r>
    </w:p>
    <w:p>
      <w:pPr>
        <w:pStyle w:val="TextBody"/>
        <w:bidi w:val="0"/>
        <w:spacing w:before="0" w:after="283"/>
        <w:ind w:left="720" w:right="0" w:hanging="0"/>
        <w:jc w:val="both"/>
        <w:rPr/>
      </w:pPr>
      <w:r>
        <w:rPr/>
        <w:t>(1) Source: The NYSE American as of the date of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9" w:name="page_18"/>
      <w:bookmarkEnd w:id="29"/>
      <w:r>
        <w:rPr/>
        <w:t>On August 2, 2023, being the last day on which the Common Shares traded prior to the date of this Prospectus Supplement, the closing price of the Common Shares as reported on the NYSE American was US$0.29.</w:t>
      </w:r>
    </w:p>
    <w:p>
      <w:pPr>
        <w:pStyle w:val="TextBody"/>
        <w:bidi w:val="0"/>
        <w:jc w:val="center"/>
        <w:rPr>
          <w:b/>
        </w:rPr>
      </w:pPr>
      <w:r>
        <w:rPr>
          <w:b/>
        </w:rPr>
        <w:t>PRIOR SALES</w:t>
      </w:r>
    </w:p>
    <w:p>
      <w:pPr>
        <w:pStyle w:val="TextBody"/>
        <w:bidi w:val="0"/>
        <w:jc w:val="both"/>
        <w:rPr/>
      </w:pPr>
      <w:r>
        <w:rPr/>
        <w:t>The following table sets forth the details regarding all issuances of Common Shares, including issuances of all securities convertible or exchangeable into Common Shares, during the 12-month period before the date of this Prospectus Supplement:</w:t>
      </w:r>
    </w:p>
    <w:tbl>
      <w:tblPr>
        <w:tblW w:w="8615" w:type="dxa"/>
        <w:jc w:val="left"/>
        <w:tblInd w:w="0" w:type="dxa"/>
        <w:tblLayout w:type="fixed"/>
        <w:tblCellMar>
          <w:top w:w="0" w:type="dxa"/>
          <w:left w:w="0" w:type="dxa"/>
          <w:bottom w:w="28" w:type="dxa"/>
          <w:right w:w="0" w:type="dxa"/>
        </w:tblCellMar>
      </w:tblPr>
      <w:tblGrid>
        <w:gridCol w:w="2165"/>
        <w:gridCol w:w="60"/>
        <w:gridCol w:w="1700"/>
        <w:gridCol w:w="60"/>
        <w:gridCol w:w="60"/>
        <w:gridCol w:w="1595"/>
        <w:gridCol w:w="60"/>
        <w:gridCol w:w="2840"/>
        <w:gridCol w:w="75"/>
      </w:tblGrid>
      <w:tr>
        <w:trPr/>
        <w:tc>
          <w:tcPr>
            <w:tcW w:w="2165" w:type="dxa"/>
            <w:tcBorders>
              <w:bottom w:val="single" w:sz="6" w:space="0" w:color="000000"/>
            </w:tcBorders>
            <w:vAlign w:val="center"/>
          </w:tcPr>
          <w:p>
            <w:pPr>
              <w:pStyle w:val="TableContents"/>
              <w:bidi w:val="0"/>
              <w:spacing w:before="0" w:after="283"/>
              <w:jc w:val="center"/>
              <w:rPr>
                <w:b/>
              </w:rPr>
            </w:pPr>
            <w:r>
              <w:rPr>
                <w:b/>
              </w:rPr>
              <w:t>Date of Issuance</w:t>
            </w:r>
          </w:p>
        </w:tc>
        <w:tc>
          <w:tcPr>
            <w:tcW w:w="60" w:type="dxa"/>
            <w:tcBorders>
              <w:bottom w:val="single" w:sz="6" w:space="0" w:color="000000"/>
            </w:tcBorders>
            <w:vAlign w:val="center"/>
          </w:tcPr>
          <w:p>
            <w:pPr>
              <w:pStyle w:val="TableContents"/>
              <w:bidi w:val="0"/>
              <w:spacing w:before="0" w:after="283"/>
              <w:jc w:val="center"/>
              <w:rPr/>
            </w:pPr>
            <w:r>
              <w:rPr/>
              <w:t> </w:t>
            </w:r>
          </w:p>
        </w:tc>
        <w:tc>
          <w:tcPr>
            <w:tcW w:w="1700" w:type="dxa"/>
            <w:tcBorders>
              <w:bottom w:val="single" w:sz="6" w:space="0" w:color="000000"/>
            </w:tcBorders>
            <w:vAlign w:val="center"/>
          </w:tcPr>
          <w:p>
            <w:pPr>
              <w:pStyle w:val="TableContents"/>
              <w:bidi w:val="0"/>
              <w:spacing w:before="0" w:after="283"/>
              <w:jc w:val="center"/>
              <w:rPr/>
            </w:pPr>
            <w:r>
              <w:rPr>
                <w:b/>
              </w:rPr>
              <w:t xml:space="preserve">Number of </w:t>
            </w:r>
            <w:r>
              <w:rPr/>
              <w:br/>
            </w:r>
            <w:r>
              <w:rPr>
                <w:b/>
              </w:rPr>
              <w:t>Securities Issued</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595" w:type="dxa"/>
            <w:tcBorders>
              <w:bottom w:val="single" w:sz="6" w:space="0" w:color="000000"/>
            </w:tcBorders>
            <w:vAlign w:val="center"/>
          </w:tcPr>
          <w:p>
            <w:pPr>
              <w:pStyle w:val="TableContents"/>
              <w:bidi w:val="0"/>
              <w:spacing w:before="0" w:after="283"/>
              <w:jc w:val="center"/>
              <w:rPr>
                <w:b/>
              </w:rPr>
            </w:pPr>
            <w:r>
              <w:rPr>
                <w:b/>
              </w:rPr>
              <w:t>Type</w:t>
            </w:r>
          </w:p>
        </w:tc>
        <w:tc>
          <w:tcPr>
            <w:tcW w:w="60" w:type="dxa"/>
            <w:tcBorders>
              <w:bottom w:val="single" w:sz="6" w:space="0" w:color="000000"/>
            </w:tcBorders>
            <w:vAlign w:val="center"/>
          </w:tcPr>
          <w:p>
            <w:pPr>
              <w:pStyle w:val="TableContents"/>
              <w:bidi w:val="0"/>
              <w:spacing w:before="0" w:after="283"/>
              <w:jc w:val="center"/>
              <w:rPr/>
            </w:pPr>
            <w:r>
              <w:rPr/>
              <w:t> </w:t>
            </w:r>
          </w:p>
        </w:tc>
        <w:tc>
          <w:tcPr>
            <w:tcW w:w="2840" w:type="dxa"/>
            <w:tcBorders>
              <w:bottom w:val="single" w:sz="6" w:space="0" w:color="000000"/>
            </w:tcBorders>
            <w:vAlign w:val="center"/>
          </w:tcPr>
          <w:p>
            <w:pPr>
              <w:pStyle w:val="TableContents"/>
              <w:bidi w:val="0"/>
              <w:spacing w:before="0" w:after="283"/>
              <w:jc w:val="center"/>
              <w:rPr/>
            </w:pPr>
            <w:r>
              <w:rPr>
                <w:b/>
              </w:rPr>
              <w:t xml:space="preserve">Issuance / Exercise </w:t>
            </w:r>
            <w:r>
              <w:rPr/>
              <w:br/>
            </w:r>
            <w:r>
              <w:rPr>
                <w:b/>
              </w:rPr>
              <w:t>Price Per Security (CAD)</w:t>
            </w:r>
            <w:r>
              <w:rPr>
                <w:b/>
                <w:position w:val="8"/>
                <w:sz w:val="19"/>
              </w:rPr>
              <w:t>(1)</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August 15,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820,000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Options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$0.97</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August 15,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130,200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$1.11</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August 16,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100,000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$1.08</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August 17,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92,300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$1.00</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August 18,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17,302</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$.98</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August 19,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175,000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$1.05</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August 22,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554,450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$1.14</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August 22, 2022</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65,000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$0.75</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August 23,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57,496</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$1.18</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August 25,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120,000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$1.06</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August 26,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82,000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$1.11</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1,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66,168</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$1.33</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2,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200,000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$1.47</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6,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88,000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$1.38</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7,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108,000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$1.39</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8,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64,547</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$1.35</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9,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100,000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$1.28</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12,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166,153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$1.19</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13,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100,000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$1.14</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14,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184,000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$1.08</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15,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40,000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$0.98</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16,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90,000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$0.92</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19,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192,000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$0.89</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20,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461,421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$0.84</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21,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100,000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$0.84</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22,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380,896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$0.88</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23,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113,000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$0.85</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26,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125,214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$0.85</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27,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287,000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$0.77</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28, 2022</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235,000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Options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$1.00</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28,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195,000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Options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$0.75</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28, 2022</w:t>
            </w:r>
            <w:r>
              <w:rPr>
                <w:position w:val="8"/>
                <w:sz w:val="19"/>
              </w:rPr>
              <w:t>(3)</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227,831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Common Shares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$0.72</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E6EFFF" w:val="clear"/>
            <w:tcMar>
              <w:bottom w:w="0" w:type="dxa"/>
            </w:tcMar>
            <w:vAlign w:val="center"/>
          </w:tcPr>
          <w:p>
            <w:pPr>
              <w:pStyle w:val="TableContents"/>
              <w:bidi w:val="0"/>
              <w:spacing w:before="0" w:after="283"/>
              <w:jc w:val="center"/>
              <w:rPr/>
            </w:pPr>
            <w:r>
              <w:rPr/>
              <w:t>September 29, 2022</w:t>
            </w:r>
            <w:r>
              <w:rPr>
                <w:position w:val="8"/>
                <w:sz w:val="19"/>
              </w:rPr>
              <w:t>(3)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700" w:type="dxa"/>
            <w:tcBorders/>
            <w:shd w:fill="E6EFFF" w:val="clear"/>
            <w:tcMar>
              <w:bottom w:w="0" w:type="dxa"/>
            </w:tcMar>
            <w:vAlign w:val="center"/>
          </w:tcPr>
          <w:p>
            <w:pPr>
              <w:pStyle w:val="TableContents"/>
              <w:bidi w:val="0"/>
              <w:spacing w:before="0" w:after="283"/>
              <w:jc w:val="center"/>
              <w:rPr/>
            </w:pPr>
            <w:r>
              <w:rPr/>
              <w:t>328,900</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1595" w:type="dxa"/>
            <w:tcBorders/>
            <w:shd w:fill="E6EFFF" w:val="clear"/>
            <w:tcMar>
              <w:bottom w:w="0" w:type="dxa"/>
            </w:tcMar>
            <w:vAlign w:val="center"/>
          </w:tcPr>
          <w:p>
            <w:pPr>
              <w:pStyle w:val="TableContents"/>
              <w:bidi w:val="0"/>
              <w:spacing w:before="0" w:after="283"/>
              <w:jc w:val="center"/>
              <w:rPr/>
            </w:pPr>
            <w:r>
              <w:rPr/>
              <w:t>Common Shares</w:t>
            </w:r>
          </w:p>
        </w:tc>
        <w:tc>
          <w:tcPr>
            <w:tcW w:w="60" w:type="dxa"/>
            <w:tcBorders/>
            <w:shd w:fill="E6EFFF" w:val="clear"/>
            <w:tcMar>
              <w:bottom w:w="0" w:type="dxa"/>
            </w:tcMar>
            <w:vAlign w:val="center"/>
          </w:tcPr>
          <w:p>
            <w:pPr>
              <w:pStyle w:val="TableContents"/>
              <w:bidi w:val="0"/>
              <w:spacing w:before="0" w:after="283"/>
              <w:jc w:val="center"/>
              <w:rPr/>
            </w:pPr>
            <w:r>
              <w:rPr/>
              <w:t> </w:t>
            </w:r>
          </w:p>
        </w:tc>
        <w:tc>
          <w:tcPr>
            <w:tcW w:w="2840" w:type="dxa"/>
            <w:tcBorders/>
            <w:shd w:fill="E6EFFF" w:val="clear"/>
            <w:tcMar>
              <w:bottom w:w="0" w:type="dxa"/>
            </w:tcMar>
            <w:vAlign w:val="center"/>
          </w:tcPr>
          <w:p>
            <w:pPr>
              <w:pStyle w:val="TableContents"/>
              <w:bidi w:val="0"/>
              <w:spacing w:before="0" w:after="283"/>
              <w:jc w:val="center"/>
              <w:rPr/>
            </w:pPr>
            <w:r>
              <w:rPr/>
              <w:t>$0.71</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September 30, 2022</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10,000</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Options</w:t>
            </w:r>
          </w:p>
        </w:tc>
        <w:tc>
          <w:tcPr>
            <w:tcW w:w="60" w:type="dxa"/>
            <w:tcBorders/>
            <w:tcMar>
              <w:bottom w:w="0" w:type="dxa"/>
            </w:tcMar>
            <w:vAlign w:val="center"/>
          </w:tcPr>
          <w:p>
            <w:pPr>
              <w:pStyle w:val="TableContents"/>
              <w:bidi w:val="0"/>
              <w:spacing w:before="0" w:after="283"/>
              <w:jc w:val="center"/>
              <w:rPr/>
            </w:pPr>
            <w:r>
              <w:rPr/>
              <w:t> </w:t>
            </w:r>
          </w:p>
        </w:tc>
        <w:tc>
          <w:tcPr>
            <w:tcW w:w="2840" w:type="dxa"/>
            <w:tcBorders/>
            <w:tcMar>
              <w:bottom w:w="0" w:type="dxa"/>
            </w:tcMar>
            <w:vAlign w:val="center"/>
          </w:tcPr>
          <w:p>
            <w:pPr>
              <w:pStyle w:val="TableContents"/>
              <w:bidi w:val="0"/>
              <w:spacing w:before="0" w:after="283"/>
              <w:jc w:val="center"/>
              <w:rPr/>
            </w:pPr>
            <w:r>
              <w:rPr/>
              <w:t>$1.00</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0" w:name="page_19"/>
      <w:bookmarkStart w:id="31" w:name="page_19"/>
      <w:bookmarkEnd w:id="31"/>
    </w:p>
    <w:tbl>
      <w:tblPr>
        <w:tblW w:w="5615" w:type="dxa"/>
        <w:jc w:val="left"/>
        <w:tblInd w:w="0" w:type="dxa"/>
        <w:tblLayout w:type="fixed"/>
        <w:tblCellMar>
          <w:top w:w="0" w:type="dxa"/>
          <w:left w:w="0" w:type="dxa"/>
          <w:bottom w:w="0" w:type="dxa"/>
          <w:right w:w="0" w:type="dxa"/>
        </w:tblCellMar>
      </w:tblPr>
      <w:tblGrid>
        <w:gridCol w:w="2165"/>
        <w:gridCol w:w="60"/>
        <w:gridCol w:w="980"/>
        <w:gridCol w:w="60"/>
        <w:gridCol w:w="60"/>
        <w:gridCol w:w="1595"/>
        <w:gridCol w:w="60"/>
        <w:gridCol w:w="560"/>
        <w:gridCol w:w="75"/>
      </w:tblGrid>
      <w:tr>
        <w:trPr/>
        <w:tc>
          <w:tcPr>
            <w:tcW w:w="2165" w:type="dxa"/>
            <w:tcBorders/>
            <w:shd w:fill="E6EFFF" w:val="clear"/>
            <w:vAlign w:val="center"/>
          </w:tcPr>
          <w:p>
            <w:pPr>
              <w:pStyle w:val="TableContents"/>
              <w:bidi w:val="0"/>
              <w:spacing w:before="0" w:after="283"/>
              <w:jc w:val="center"/>
              <w:rPr/>
            </w:pPr>
            <w:r>
              <w:rPr/>
              <w:t>September 30, 2022</w:t>
            </w:r>
          </w:p>
        </w:tc>
        <w:tc>
          <w:tcPr>
            <w:tcW w:w="6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center"/>
              <w:rPr/>
            </w:pPr>
            <w:r>
              <w:rPr/>
              <w:t>75,000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Options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$0.75</w:t>
            </w:r>
          </w:p>
        </w:tc>
        <w:tc>
          <w:tcPr>
            <w:tcW w:w="7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September 30, 2022</w:t>
            </w:r>
            <w:r>
              <w:rPr>
                <w:position w:val="8"/>
                <w:sz w:val="19"/>
              </w:rPr>
              <w:t>(3)</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366,300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$0.69</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3, 2022</w:t>
            </w:r>
            <w:r>
              <w:rPr>
                <w:position w:val="8"/>
                <w:sz w:val="19"/>
              </w:rPr>
              <w:t>(3)</w:t>
            </w:r>
          </w:p>
        </w:tc>
        <w:tc>
          <w:tcPr>
            <w:tcW w:w="6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center"/>
              <w:rPr/>
            </w:pPr>
            <w:r>
              <w:rPr/>
              <w:t>150,000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$0.66</w:t>
            </w:r>
          </w:p>
        </w:tc>
        <w:tc>
          <w:tcPr>
            <w:tcW w:w="7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4, 2022</w:t>
            </w:r>
            <w:r>
              <w:rPr>
                <w:position w:val="8"/>
                <w:sz w:val="19"/>
              </w:rPr>
              <w:t>(3)</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63,452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$0.66</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7, 2022</w:t>
            </w:r>
            <w:r>
              <w:rPr>
                <w:position w:val="8"/>
                <w:sz w:val="19"/>
              </w:rPr>
              <w:t>(2)</w:t>
            </w:r>
          </w:p>
        </w:tc>
        <w:tc>
          <w:tcPr>
            <w:tcW w:w="6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center"/>
              <w:rPr/>
            </w:pPr>
            <w:r>
              <w:rPr/>
              <w:t>912,572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$0.82</w:t>
            </w:r>
          </w:p>
        </w:tc>
        <w:tc>
          <w:tcPr>
            <w:tcW w:w="7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17,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131,700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$0.80</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18,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153,600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$0.79</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19,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91,512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$0.76</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20,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74,000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$0.75</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21,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530,000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$0.70</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24,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326,000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$0.70</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25,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317,000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$0.67</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26,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287,000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$0.64</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27,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224,000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$0.64</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October 28,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236,000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$0.63</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October 31,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323,900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$0.64</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1,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372,300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$0.64</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November 2,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159,600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$0.62</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3,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46,600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$0.64</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November 4,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11,465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$0.63</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7,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87,584</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$0.62</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November 8,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293,648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$0.62</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10,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344,000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$0.60</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November 14,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120,339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$0.59</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15,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235,400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$0.59</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November 15,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222,437</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$0.58</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16, 2022</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200,000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Options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$0.91</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November 16, 2022</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375,000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Options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$0.75</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November 30,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156,574</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$0.55</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December 1,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350,300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$0.55</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December 5,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102,928</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$0.49</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December 6,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230,000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$0.48</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December 7,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293,644</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$0.47</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December 8, 2022</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192,600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$0.46</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December 8, 2022</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12,922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$0.47</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January 12,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163,000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$0.68</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January 12, 2023</w:t>
            </w:r>
            <w:r>
              <w:rPr>
                <w:position w:val="8"/>
                <w:sz w:val="19"/>
              </w:rPr>
              <w:t>(2)</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5,089,648</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$0.63</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January 17,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1,200,000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$0.57</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January 18,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200,000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$0.57</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January 19,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150,000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$0.59</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January 20,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270,000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$0.57</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January 23,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171,900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$0.57</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January 24,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286,000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$0.53</w:t>
            </w:r>
          </w:p>
        </w:tc>
        <w:tc>
          <w:tcPr>
            <w:tcW w:w="75" w:type="dxa"/>
            <w:tcBorders/>
            <w:shd w:fill="E6EFFF" w:val="clear"/>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jc w:val="center"/>
              <w:rPr/>
            </w:pPr>
            <w:r>
              <w:rPr/>
              <w:t>January 26,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266,000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$0.51</w:t>
            </w:r>
          </w:p>
        </w:tc>
        <w:tc>
          <w:tcPr>
            <w:tcW w:w="75" w:type="dxa"/>
            <w:tcBorders/>
            <w:vAlign w:val="center"/>
          </w:tcPr>
          <w:p>
            <w:pPr>
              <w:pStyle w:val="TableContents"/>
              <w:bidi w:val="0"/>
              <w:spacing w:before="0" w:after="0"/>
              <w:jc w:val="left"/>
              <w:rPr/>
            </w:pPr>
            <w:r>
              <w:rPr/>
              <w:t> </w:t>
            </w:r>
          </w:p>
        </w:tc>
      </w:tr>
      <w:tr>
        <w:trPr/>
        <w:tc>
          <w:tcPr>
            <w:tcW w:w="2165" w:type="dxa"/>
            <w:tcBorders/>
            <w:shd w:fill="E6EFFF" w:val="clear"/>
            <w:vAlign w:val="center"/>
          </w:tcPr>
          <w:p>
            <w:pPr>
              <w:pStyle w:val="TableContents"/>
              <w:bidi w:val="0"/>
              <w:spacing w:before="0" w:after="283"/>
              <w:jc w:val="center"/>
              <w:rPr/>
            </w:pPr>
            <w:r>
              <w:rPr/>
              <w:t>January 30,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333,000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$0.52</w:t>
            </w:r>
          </w:p>
        </w:tc>
        <w:tc>
          <w:tcPr>
            <w:tcW w:w="75" w:type="dxa"/>
            <w:tcBorders/>
            <w:shd w:fill="E6EFFF" w:val="clear"/>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2" w:name="page_20"/>
      <w:bookmarkStart w:id="33" w:name="page_20"/>
      <w:bookmarkEnd w:id="33"/>
    </w:p>
    <w:tbl>
      <w:tblPr>
        <w:tblW w:w="5465" w:type="dxa"/>
        <w:jc w:val="left"/>
        <w:tblInd w:w="0" w:type="dxa"/>
        <w:tblLayout w:type="fixed"/>
        <w:tblCellMar>
          <w:top w:w="0" w:type="dxa"/>
          <w:left w:w="0" w:type="dxa"/>
          <w:bottom w:w="0" w:type="dxa"/>
          <w:right w:w="0" w:type="dxa"/>
        </w:tblCellMar>
      </w:tblPr>
      <w:tblGrid>
        <w:gridCol w:w="2015"/>
        <w:gridCol w:w="60"/>
        <w:gridCol w:w="980"/>
        <w:gridCol w:w="60"/>
        <w:gridCol w:w="60"/>
        <w:gridCol w:w="1595"/>
        <w:gridCol w:w="60"/>
        <w:gridCol w:w="560"/>
        <w:gridCol w:w="75"/>
      </w:tblGrid>
      <w:tr>
        <w:trPr/>
        <w:tc>
          <w:tcPr>
            <w:tcW w:w="2015" w:type="dxa"/>
            <w:tcBorders/>
            <w:vAlign w:val="center"/>
          </w:tcPr>
          <w:p>
            <w:pPr>
              <w:pStyle w:val="TableContents"/>
              <w:bidi w:val="0"/>
              <w:spacing w:before="0" w:after="283"/>
              <w:jc w:val="center"/>
              <w:rPr/>
            </w:pPr>
            <w:r>
              <w:rPr/>
              <w:t>January 31,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235,000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$0.52</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February 1,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124,600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$0.51</w:t>
            </w:r>
          </w:p>
        </w:tc>
        <w:tc>
          <w:tcPr>
            <w:tcW w:w="75" w:type="dxa"/>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February 2,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167,400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$0.51</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February 6,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212,000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$0.59</w:t>
            </w:r>
          </w:p>
        </w:tc>
        <w:tc>
          <w:tcPr>
            <w:tcW w:w="75" w:type="dxa"/>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February 7,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125,000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$0.57</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February 8,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290,000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$0.58</w:t>
            </w:r>
          </w:p>
        </w:tc>
        <w:tc>
          <w:tcPr>
            <w:tcW w:w="75" w:type="dxa"/>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February 9,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$0.58</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February 10,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580,000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$0.59</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February 13,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700,000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$0.58</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3,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123,400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$0.66</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6,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884,000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$0.61</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7,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102,000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$0.60</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8,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50,000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$0.60</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9,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620,000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$0.55</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13,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125,837</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$0.55</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14,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446,000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$0.54</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14, 2023</w:t>
            </w:r>
            <w:r>
              <w:rPr>
                <w:position w:val="8"/>
                <w:sz w:val="19"/>
              </w:rPr>
              <w:t>(2)</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2,387,222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$0.52</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16,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200,000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$0.53</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17,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80,000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$0.52</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20,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254,000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$0.51</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21,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180,000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$0.51</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22,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170,000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$0.50</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March 28,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439,000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$0.52</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March 29,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47,300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$0.51</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April 19,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350,000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$0.49</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April 20,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200,000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$0.48</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April 21,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153,000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$0.49</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April 26,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257,600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$0.47</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4,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$0.43</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5,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323,000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$0.42</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9,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250,000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$0.41</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10,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300,000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$0.40</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11,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250,000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$0.41</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12,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392,000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$0.40</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16,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400,000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$0.40</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17,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104,836</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$0.39</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18,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250,000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$0.40</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19,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275,000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$0.40</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23,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387,000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$0.39</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23,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429,000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$0.38</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24,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300,000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$0.37</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25,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463,000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$0.38</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26, 2023</w:t>
            </w:r>
            <w:r>
              <w:rPr>
                <w:position w:val="8"/>
                <w:sz w:val="19"/>
              </w:rPr>
              <w:t>(3)</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400,000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$0.37</w:t>
            </w:r>
          </w:p>
        </w:tc>
        <w:tc>
          <w:tcPr>
            <w:tcW w:w="75" w:type="dxa"/>
            <w:tcBorders/>
            <w:vAlign w:val="center"/>
          </w:tcPr>
          <w:p>
            <w:pPr>
              <w:pStyle w:val="TableContents"/>
              <w:bidi w:val="0"/>
              <w:spacing w:before="0" w:after="0"/>
              <w:jc w:val="left"/>
              <w:rPr/>
            </w:pPr>
            <w:r>
              <w:rPr/>
              <w:t> </w:t>
            </w:r>
          </w:p>
        </w:tc>
      </w:tr>
      <w:tr>
        <w:trPr/>
        <w:tc>
          <w:tcPr>
            <w:tcW w:w="2015" w:type="dxa"/>
            <w:tcBorders/>
            <w:shd w:fill="E6EFFF" w:val="clear"/>
            <w:vAlign w:val="center"/>
          </w:tcPr>
          <w:p>
            <w:pPr>
              <w:pStyle w:val="TableContents"/>
              <w:bidi w:val="0"/>
              <w:spacing w:before="0" w:after="283"/>
              <w:jc w:val="center"/>
              <w:rPr/>
            </w:pPr>
            <w:r>
              <w:rPr/>
              <w:t>May 30,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980" w:type="dxa"/>
            <w:tcBorders/>
            <w:shd w:fill="E6EFFF" w:val="clear"/>
            <w:vAlign w:val="center"/>
          </w:tcPr>
          <w:p>
            <w:pPr>
              <w:pStyle w:val="TableContents"/>
              <w:bidi w:val="0"/>
              <w:spacing w:before="0" w:after="283"/>
              <w:jc w:val="center"/>
              <w:rPr/>
            </w:pPr>
            <w:r>
              <w:rPr/>
              <w:t>248,400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$0.37</w:t>
            </w:r>
          </w:p>
        </w:tc>
        <w:tc>
          <w:tcPr>
            <w:tcW w:w="75" w:type="dxa"/>
            <w:tcBorders/>
            <w:shd w:fill="E6EFFF" w:val="clear"/>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283"/>
              <w:jc w:val="center"/>
              <w:rPr/>
            </w:pPr>
            <w:r>
              <w:rPr/>
              <w:t>May 30, 2023</w:t>
            </w:r>
            <w:r>
              <w:rPr>
                <w:position w:val="8"/>
                <w:sz w:val="19"/>
              </w:rPr>
              <w:t>(4)</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2,538,844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$0.40</w:t>
            </w:r>
          </w:p>
        </w:tc>
        <w:tc>
          <w:tcPr>
            <w:tcW w:w="7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4" w:name="page_21"/>
      <w:bookmarkStart w:id="35" w:name="page_21"/>
      <w:bookmarkEnd w:id="35"/>
    </w:p>
    <w:tbl>
      <w:tblPr>
        <w:tblW w:w="5165" w:type="dxa"/>
        <w:jc w:val="left"/>
        <w:tblInd w:w="0" w:type="dxa"/>
        <w:tblLayout w:type="fixed"/>
        <w:tblCellMar>
          <w:top w:w="0" w:type="dxa"/>
          <w:left w:w="0" w:type="dxa"/>
          <w:bottom w:w="0" w:type="dxa"/>
          <w:right w:w="0" w:type="dxa"/>
        </w:tblCellMar>
      </w:tblPr>
      <w:tblGrid>
        <w:gridCol w:w="1595"/>
        <w:gridCol w:w="60"/>
        <w:gridCol w:w="1100"/>
        <w:gridCol w:w="60"/>
        <w:gridCol w:w="60"/>
        <w:gridCol w:w="1595"/>
        <w:gridCol w:w="60"/>
        <w:gridCol w:w="560"/>
        <w:gridCol w:w="75"/>
      </w:tblGrid>
      <w:tr>
        <w:trPr/>
        <w:tc>
          <w:tcPr>
            <w:tcW w:w="1595" w:type="dxa"/>
            <w:tcBorders/>
            <w:shd w:fill="E6EFFF" w:val="clear"/>
            <w:vAlign w:val="center"/>
          </w:tcPr>
          <w:p>
            <w:pPr>
              <w:pStyle w:val="TableContents"/>
              <w:bidi w:val="0"/>
              <w:spacing w:before="0" w:after="283"/>
              <w:jc w:val="center"/>
              <w:rPr/>
            </w:pPr>
            <w:r>
              <w:rPr/>
              <w:t>May 31, 2023</w:t>
            </w:r>
            <w:r>
              <w:rPr>
                <w:position w:val="8"/>
                <w:sz w:val="19"/>
              </w:rPr>
              <w:t>(5)</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275,000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$0.34</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1,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300,000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$0.38</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1, 2023</w:t>
            </w:r>
            <w:r>
              <w:rPr>
                <w:position w:val="8"/>
                <w:sz w:val="19"/>
              </w:rPr>
              <w:t>(5)</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275,000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$0.34</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2,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337,000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$0.36</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2, 2023</w:t>
            </w:r>
            <w:r>
              <w:rPr>
                <w:position w:val="8"/>
                <w:sz w:val="19"/>
              </w:rPr>
              <w:t>(5)</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275,000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$0.34</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5,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245,000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$0.35</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5, 2023</w:t>
            </w:r>
            <w:r>
              <w:rPr>
                <w:position w:val="8"/>
                <w:sz w:val="19"/>
              </w:rPr>
              <w:t>(5)</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275,000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$0.34</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6,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39,733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$0.35</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7,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244,000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$0.35</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7, 2023</w:t>
            </w:r>
            <w:r>
              <w:rPr>
                <w:position w:val="8"/>
                <w:sz w:val="19"/>
              </w:rPr>
              <w:t>(5)</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275,000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$0.31</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8,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451,000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$0.33</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8, 2023</w:t>
            </w:r>
            <w:r>
              <w:rPr>
                <w:position w:val="8"/>
                <w:sz w:val="19"/>
              </w:rPr>
              <w:t>(5)</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275,000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$0.30</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9,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167,500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$0.33</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9, 2023</w:t>
            </w:r>
            <w:r>
              <w:rPr>
                <w:position w:val="8"/>
                <w:sz w:val="19"/>
              </w:rPr>
              <w:t>(5)</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275,000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$0.29</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12,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191,000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$0.31</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14,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162,200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$0.31</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June 26,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363,000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$0.38</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June 28, 2023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11,615,000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Options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$0.44</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July 7,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82,602</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$0.69</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July 10,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419,000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$0.62</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July 11,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147,000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$0.61</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July 12,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341,080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$0.58</w:t>
            </w:r>
          </w:p>
        </w:tc>
        <w:tc>
          <w:tcPr>
            <w:tcW w:w="75" w:type="dxa"/>
            <w:tcBorders/>
            <w:vAlign w:val="center"/>
          </w:tcPr>
          <w:p>
            <w:pPr>
              <w:pStyle w:val="TableContents"/>
              <w:bidi w:val="0"/>
              <w:spacing w:before="0" w:after="0"/>
              <w:jc w:val="left"/>
              <w:rPr/>
            </w:pPr>
            <w:r>
              <w:rPr/>
              <w:t> </w:t>
            </w:r>
          </w:p>
        </w:tc>
      </w:tr>
      <w:tr>
        <w:trPr/>
        <w:tc>
          <w:tcPr>
            <w:tcW w:w="1595" w:type="dxa"/>
            <w:tcBorders/>
            <w:shd w:fill="E6EFFF" w:val="clear"/>
            <w:vAlign w:val="center"/>
          </w:tcPr>
          <w:p>
            <w:pPr>
              <w:pStyle w:val="TableContents"/>
              <w:bidi w:val="0"/>
              <w:spacing w:before="0" w:after="283"/>
              <w:jc w:val="center"/>
              <w:rPr/>
            </w:pPr>
            <w:r>
              <w:rPr/>
              <w:t>July 17, 2023</w:t>
            </w:r>
            <w:r>
              <w:rPr>
                <w:position w:val="8"/>
                <w:sz w:val="19"/>
              </w:rPr>
              <w:t>(3)</w:t>
            </w:r>
          </w:p>
        </w:tc>
        <w:tc>
          <w:tcPr>
            <w:tcW w:w="60" w:type="dxa"/>
            <w:tcBorders/>
            <w:shd w:fill="E6EFFF" w:val="clear"/>
            <w:vAlign w:val="center"/>
          </w:tcPr>
          <w:p>
            <w:pPr>
              <w:pStyle w:val="TableContents"/>
              <w:bidi w:val="0"/>
              <w:spacing w:before="0" w:after="283"/>
              <w:jc w:val="center"/>
              <w:rPr/>
            </w:pPr>
            <w:r>
              <w:rPr/>
              <w:t> </w:t>
            </w:r>
          </w:p>
        </w:tc>
        <w:tc>
          <w:tcPr>
            <w:tcW w:w="1100" w:type="dxa"/>
            <w:tcBorders/>
            <w:shd w:fill="E6EFFF" w:val="clear"/>
            <w:vAlign w:val="center"/>
          </w:tcPr>
          <w:p>
            <w:pPr>
              <w:pStyle w:val="TableContents"/>
              <w:bidi w:val="0"/>
              <w:spacing w:before="0" w:after="283"/>
              <w:jc w:val="center"/>
              <w:rPr/>
            </w:pPr>
            <w:r>
              <w:rPr/>
              <w:t>618,000</w:t>
            </w:r>
          </w:p>
        </w:tc>
        <w:tc>
          <w:tcPr>
            <w:tcW w:w="60"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595" w:type="dxa"/>
            <w:tcBorders/>
            <w:shd w:fill="E6EFFF" w:val="clear"/>
            <w:vAlign w:val="center"/>
          </w:tcPr>
          <w:p>
            <w:pPr>
              <w:pStyle w:val="TableContents"/>
              <w:bidi w:val="0"/>
              <w:spacing w:before="0" w:after="283"/>
              <w:jc w:val="center"/>
              <w:rPr/>
            </w:pPr>
            <w:r>
              <w:rPr/>
              <w:t>Common Shares</w:t>
            </w:r>
          </w:p>
        </w:tc>
        <w:tc>
          <w:tcPr>
            <w:tcW w:w="60" w:type="dxa"/>
            <w:tcBorders/>
            <w:shd w:fill="E6EFFF" w:val="clear"/>
            <w:vAlign w:val="center"/>
          </w:tcPr>
          <w:p>
            <w:pPr>
              <w:pStyle w:val="TableContents"/>
              <w:bidi w:val="0"/>
              <w:spacing w:before="0" w:after="283"/>
              <w:jc w:val="center"/>
              <w:rPr/>
            </w:pPr>
            <w:r>
              <w:rPr/>
              <w:t> </w:t>
            </w:r>
          </w:p>
        </w:tc>
        <w:tc>
          <w:tcPr>
            <w:tcW w:w="560" w:type="dxa"/>
            <w:tcBorders/>
            <w:shd w:fill="E6EFFF" w:val="clear"/>
            <w:vAlign w:val="center"/>
          </w:tcPr>
          <w:p>
            <w:pPr>
              <w:pStyle w:val="TableContents"/>
              <w:bidi w:val="0"/>
              <w:spacing w:before="0" w:after="283"/>
              <w:jc w:val="center"/>
              <w:rPr/>
            </w:pPr>
            <w:r>
              <w:rPr/>
              <w:t>$0.59</w:t>
            </w:r>
          </w:p>
        </w:tc>
        <w:tc>
          <w:tcPr>
            <w:tcW w:w="75" w:type="dxa"/>
            <w:tcBorders/>
            <w:shd w:fill="E6EFFF" w:val="clear"/>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pPr>
            <w:r>
              <w:rPr/>
              <w:t>July 18, 2023</w:t>
            </w:r>
            <w:r>
              <w:rPr>
                <w:position w:val="8"/>
                <w:sz w:val="19"/>
              </w:rPr>
              <w:t>(3)</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485,000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Common Shares</w:t>
            </w:r>
          </w:p>
        </w:tc>
        <w:tc>
          <w:tcPr>
            <w:tcW w:w="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$0.56</w:t>
            </w:r>
          </w:p>
        </w:tc>
        <w:tc>
          <w:tcPr>
            <w:tcW w:w="75" w:type="dxa"/>
            <w:tcBorders/>
            <w:vAlign w:val="center"/>
          </w:tcPr>
          <w:p>
            <w:pPr>
              <w:pStyle w:val="TableContents"/>
              <w:bidi w:val="0"/>
              <w:spacing w:before="0" w:after="0"/>
              <w:jc w:val="left"/>
              <w:rPr/>
            </w:pPr>
            <w:r>
              <w:rPr/>
              <w:t> </w:t>
            </w:r>
          </w:p>
        </w:tc>
      </w:tr>
    </w:tbl>
    <w:p>
      <w:pPr>
        <w:pStyle w:val="TextBody"/>
        <w:bidi w:val="0"/>
        <w:jc w:val="both"/>
        <w:rPr>
          <w:b/>
          <w:u w:val="single"/>
        </w:rPr>
      </w:pPr>
      <w:r>
        <w:rPr>
          <w:b/>
          <w:u w:val="single"/>
        </w:rPr>
        <w:t>Notes:</w:t>
      </w:r>
    </w:p>
    <w:p>
      <w:pPr>
        <w:pStyle w:val="TextBody"/>
        <w:bidi w:val="0"/>
        <w:spacing w:before="0" w:after="0"/>
        <w:ind w:left="720" w:right="0" w:hanging="0"/>
        <w:jc w:val="both"/>
        <w:rPr/>
      </w:pPr>
      <w:r>
        <w:rPr/>
        <w:t>(1) Certain amounts have been converted from USD to CAD based on the average exchange rate posted by the Bank of Canada for the year ended December 31, 2022, being US$1.00 = C$1.3282.</w:t>
      </w:r>
    </w:p>
    <w:p>
      <w:pPr>
        <w:pStyle w:val="TextBody"/>
        <w:bidi w:val="0"/>
        <w:spacing w:before="0" w:after="0"/>
        <w:ind w:left="720" w:right="0" w:hanging="0"/>
        <w:jc w:val="both"/>
        <w:rPr/>
      </w:pPr>
      <w:r>
        <w:rPr/>
        <w:t>(2) Common Shares issued in exchange for Class B Shares.</w:t>
      </w:r>
    </w:p>
    <w:p>
      <w:pPr>
        <w:pStyle w:val="TextBody"/>
        <w:bidi w:val="0"/>
        <w:spacing w:before="0" w:after="0"/>
        <w:ind w:left="714" w:right="0" w:hanging="0"/>
        <w:jc w:val="both"/>
        <w:rPr/>
      </w:pPr>
      <w:r>
        <w:rPr/>
        <w:t>(3) Common Shares issued in connection with the Corporation's at-the-market equity program (the "</w:t>
      </w:r>
      <w:r>
        <w:rPr>
          <w:b/>
        </w:rPr>
        <w:t>ATM Program</w:t>
      </w:r>
      <w:r>
        <w:rPr/>
        <w:t>") which allows the Corporation to issue and sell up to US$35,000,000 of Common Shares to the public, from time to time, at its discretion. The ATM Program is qualified by the prospectus supplement dated August 8, 2022.</w:t>
      </w:r>
    </w:p>
    <w:p>
      <w:pPr>
        <w:pStyle w:val="TextBody"/>
        <w:bidi w:val="0"/>
        <w:spacing w:before="0" w:after="0"/>
        <w:ind w:left="714" w:right="0" w:hanging="0"/>
        <w:jc w:val="both"/>
        <w:rPr/>
      </w:pPr>
      <w:r>
        <w:rPr/>
        <w:t>(4) Commitment Shares issued to Lincoln Park Capital Fund, LLC (the "</w:t>
      </w:r>
      <w:r>
        <w:rPr>
          <w:b/>
        </w:rPr>
        <w:t>Investor</w:t>
      </w:r>
      <w:r>
        <w:rPr/>
        <w:t xml:space="preserve">") pursuant to the purchase agreement entered into between the Investor and Corporation on May 30, 2023. </w:t>
      </w:r>
    </w:p>
    <w:p>
      <w:pPr>
        <w:pStyle w:val="TextBody"/>
        <w:bidi w:val="0"/>
        <w:spacing w:before="0" w:after="283"/>
        <w:ind w:left="714" w:right="0" w:hanging="0"/>
        <w:jc w:val="both"/>
        <w:rPr/>
      </w:pPr>
      <w:r>
        <w:rPr/>
        <w:t>(5) Common Shares issued to the Investor pursuant to the Purchase Agreement.</w:t>
      </w:r>
    </w:p>
    <w:p>
      <w:pPr>
        <w:pStyle w:val="TextBody"/>
        <w:bidi w:val="0"/>
        <w:jc w:val="center"/>
        <w:rPr>
          <w:b/>
        </w:rPr>
      </w:pPr>
      <w:r>
        <w:rPr>
          <w:b/>
        </w:rPr>
        <w:t>RISK FACTORS</w:t>
      </w:r>
    </w:p>
    <w:p>
      <w:pPr>
        <w:pStyle w:val="TextBody"/>
        <w:bidi w:val="0"/>
        <w:jc w:val="both"/>
        <w:rPr>
          <w:i/>
        </w:rPr>
      </w:pPr>
      <w:r>
        <w:rPr>
          <w:i/>
        </w:rPr>
        <w:t>An investment in the Warrant Shares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and the Corporation’s most recent Annual Information Form and Annual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left"/>
        <w:rPr>
          <w:b/>
        </w:rPr>
      </w:pPr>
      <w:bookmarkStart w:id="36" w:name="page_22"/>
      <w:bookmarkEnd w:id="36"/>
      <w:r>
        <w:rPr>
          <w:b/>
        </w:rPr>
        <w:t>Risk Factors Related to the Offering</w:t>
      </w:r>
    </w:p>
    <w:p>
      <w:pPr>
        <w:pStyle w:val="TextBody"/>
        <w:bidi w:val="0"/>
        <w:jc w:val="left"/>
        <w:rPr>
          <w:b/>
          <w:i/>
        </w:rPr>
      </w:pPr>
      <w:r>
        <w:rPr>
          <w:b/>
          <w:i/>
        </w:rPr>
        <w:t>An Investment in the Warrant Shares is Highly Speculative</w:t>
      </w:r>
    </w:p>
    <w:p>
      <w:pPr>
        <w:pStyle w:val="TextBody"/>
        <w:bidi w:val="0"/>
        <w:spacing w:before="0" w:after="283"/>
        <w:jc w:val="left"/>
        <w:rPr/>
      </w:pPr>
      <w:r>
        <w:rPr/>
        <w:t>An investment in the Warrant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pStyle w:val="TextBody"/>
        <w:bidi w:val="0"/>
        <w:jc w:val="left"/>
        <w:rPr>
          <w:b/>
          <w:i/>
        </w:rPr>
      </w:pPr>
      <w:r>
        <w:rPr>
          <w:b/>
          <w:i/>
        </w:rPr>
        <w:t>Completion of the Offering</w:t>
      </w:r>
    </w:p>
    <w:p>
      <w:pPr>
        <w:pStyle w:val="TextBody"/>
        <w:bidi w:val="0"/>
        <w:jc w:val="both"/>
        <w:rPr/>
      </w:pPr>
      <w:r>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i/>
        </w:rPr>
        <w:t>"Use of Proceeds"</w:t>
      </w:r>
      <w:r>
        <w:rPr/>
        <w:t xml:space="preserve"> from other sources on commercially reasonable terms, or at all.</w:t>
      </w:r>
    </w:p>
    <w:p>
      <w:pPr>
        <w:pStyle w:val="TextBody"/>
        <w:bidi w:val="0"/>
        <w:jc w:val="both"/>
        <w:rPr>
          <w:b/>
          <w:i/>
        </w:rPr>
      </w:pPr>
      <w:r>
        <w:rPr>
          <w:b/>
          <w:i/>
        </w:rPr>
        <w:t>Negative Operating Cash Flow and Going Concern</w:t>
      </w:r>
    </w:p>
    <w:p>
      <w:pPr>
        <w:pStyle w:val="TextBody"/>
        <w:bidi w:val="0"/>
        <w:jc w:val="both"/>
        <w:rPr/>
      </w:pPr>
      <w:r>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   </w:t>
      </w:r>
    </w:p>
    <w:p>
      <w:pPr>
        <w:pStyle w:val="TextBody"/>
        <w:bidi w:val="0"/>
        <w:jc w:val="both"/>
        <w:rPr/>
      </w:pPr>
      <w:r>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i/>
        </w:rPr>
        <w:t>"Risk Factors - Risks Related to the Offering - Potential Need for Additional Financing"</w:t>
      </w:r>
      <w:r>
        <w:rPr/>
        <w:t>.</w:t>
      </w:r>
    </w:p>
    <w:p>
      <w:pPr>
        <w:pStyle w:val="TextBody"/>
        <w:bidi w:val="0"/>
        <w:jc w:val="both"/>
        <w:rPr>
          <w:b/>
          <w:i/>
        </w:rPr>
      </w:pPr>
      <w:r>
        <w:rPr>
          <w:b/>
          <w:i/>
        </w:rPr>
        <w:t>Discretion in the Use of Proceeds</w:t>
      </w:r>
    </w:p>
    <w:p>
      <w:pPr>
        <w:pStyle w:val="TextBody"/>
        <w:bidi w:val="0"/>
        <w:jc w:val="both"/>
        <w:rPr/>
      </w:pPr>
      <w:r>
        <w:rPr/>
        <w:t xml:space="preserve">The Corporation will have discretion concerning the use of the net proceeds of the Offering as well as the timing of their expenditures, and may apply the net proceeds of the Offering in ways other than as described under </w:t>
      </w:r>
      <w:r>
        <w:rPr>
          <w:i/>
        </w:rPr>
        <w:t>"Use of Proceeds"</w:t>
      </w:r>
      <w:r>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pStyle w:val="TextBody"/>
        <w:bidi w:val="0"/>
        <w:jc w:val="both"/>
        <w:rPr>
          <w:b/>
          <w:i/>
        </w:rPr>
      </w:pPr>
      <w:r>
        <w:rPr>
          <w:b/>
          <w:i/>
        </w:rPr>
        <w:t>Need for Additional Financing</w:t>
      </w:r>
    </w:p>
    <w:p>
      <w:pPr>
        <w:pStyle w:val="TextBody"/>
        <w:bidi w:val="0"/>
        <w:jc w:val="both"/>
        <w:rPr/>
      </w:pPr>
      <w:r>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i/>
        </w:rPr>
        <w:t xml:space="preserve">See "Risk Factors - Risks Related to the Offering - Negative Operating Cash Flow and Going Concern" </w:t>
      </w:r>
      <w:r>
        <w:rPr/>
        <w:t xml:space="preserve">and </w:t>
      </w:r>
      <w:r>
        <w:rPr>
          <w:i/>
        </w:rPr>
        <w:t>"Risk Factors - Risks Related to the Offering - Potential Dilution".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37" w:name="page_23"/>
      <w:bookmarkEnd w:id="37"/>
      <w:r>
        <w:rPr>
          <w:b/>
          <w:i/>
        </w:rPr>
        <w:t>Potential Dilution</w:t>
      </w:r>
    </w:p>
    <w:p>
      <w:pPr>
        <w:pStyle w:val="TextBody"/>
        <w:bidi w:val="0"/>
        <w:jc w:val="both"/>
        <w:rPr/>
      </w:pPr>
      <w:r>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i/>
        </w:rPr>
        <w:t>"Risk Factors - Risks Related to an Offering - Potential Need for Additional Financing".</w:t>
      </w:r>
    </w:p>
    <w:p>
      <w:pPr>
        <w:pStyle w:val="TextBody"/>
        <w:bidi w:val="0"/>
        <w:jc w:val="both"/>
        <w:rPr>
          <w:b/>
          <w:i/>
        </w:rPr>
      </w:pPr>
      <w:r>
        <w:rPr>
          <w:b/>
          <w:i/>
        </w:rPr>
        <w:t>Trading Market</w:t>
      </w:r>
    </w:p>
    <w:p>
      <w:pPr>
        <w:pStyle w:val="TextBody"/>
        <w:bidi w:val="0"/>
        <w:jc w:val="both"/>
        <w:rPr/>
      </w:pPr>
      <w:r>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pStyle w:val="TextBody"/>
        <w:bidi w:val="0"/>
        <w:jc w:val="both"/>
        <w:rPr>
          <w:b/>
          <w:i/>
        </w:rPr>
      </w:pPr>
      <w:r>
        <w:rPr>
          <w:b/>
          <w:i/>
        </w:rPr>
        <w:t>Significant Sales of Common Shares</w:t>
      </w:r>
    </w:p>
    <w:p>
      <w:pPr>
        <w:pStyle w:val="TextBody"/>
        <w:bidi w:val="0"/>
        <w:jc w:val="both"/>
        <w:rPr/>
      </w:pPr>
      <w:r>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pStyle w:val="TextBody"/>
        <w:bidi w:val="0"/>
        <w:jc w:val="both"/>
        <w:rPr>
          <w:b/>
          <w:i/>
        </w:rPr>
      </w:pPr>
      <w:r>
        <w:rPr>
          <w:b/>
          <w:i/>
        </w:rPr>
        <w:t>Positive Return Not Guaranteed</w:t>
      </w:r>
    </w:p>
    <w:p>
      <w:pPr>
        <w:pStyle w:val="TextBody"/>
        <w:bidi w:val="0"/>
        <w:jc w:val="both"/>
        <w:rPr/>
      </w:pPr>
      <w:r>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pStyle w:val="TextBody"/>
        <w:bidi w:val="0"/>
        <w:jc w:val="both"/>
        <w:rPr>
          <w:b/>
          <w:i/>
        </w:rPr>
      </w:pPr>
      <w:r>
        <w:rPr>
          <w:b/>
          <w:i/>
        </w:rPr>
        <w:t>Application and Interpretation of Tax Laws</w:t>
      </w:r>
    </w:p>
    <w:p>
      <w:pPr>
        <w:pStyle w:val="TextBody"/>
        <w:bidi w:val="0"/>
        <w:jc w:val="both"/>
        <w:rPr/>
      </w:pPr>
      <w:r>
        <w:rPr/>
        <w:t xml:space="preserve">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 </w:t>
      </w:r>
    </w:p>
    <w:p>
      <w:pPr>
        <w:pStyle w:val="TextBody"/>
        <w:bidi w:val="0"/>
        <w:jc w:val="both"/>
        <w:rPr>
          <w:b/>
          <w:i/>
        </w:rPr>
      </w:pPr>
      <w:r>
        <w:rPr>
          <w:b/>
          <w:i/>
        </w:rPr>
        <w:t>Listing of the Warrant Shares</w:t>
      </w:r>
    </w:p>
    <w:p>
      <w:pPr>
        <w:pStyle w:val="TextBody"/>
        <w:bidi w:val="0"/>
        <w:jc w:val="both"/>
        <w:rPr/>
      </w:pPr>
      <w:r>
        <w:rPr/>
        <w:t>The Corporation has applied to list the Warrant Shares on the NEO and the NYSE American. Any potential listing remains subject to the approval of the NEO and the NYSE American and the satisfaction of all applicable regulatory requirements. No assurance can be given that the application will be approved.</w:t>
      </w:r>
    </w:p>
    <w:p>
      <w:pPr>
        <w:pStyle w:val="TextBody"/>
        <w:bidi w:val="0"/>
        <w:jc w:val="both"/>
        <w:rPr>
          <w:b/>
          <w:i/>
        </w:rPr>
      </w:pPr>
      <w:r>
        <w:rPr>
          <w:b/>
          <w:i/>
        </w:rPr>
        <w:t>Enforcement of Civil Liabilities</w:t>
      </w:r>
    </w:p>
    <w:p>
      <w:pPr>
        <w:pStyle w:val="TextBody"/>
        <w:bidi w:val="0"/>
        <w:jc w:val="both"/>
        <w:rPr/>
      </w:pPr>
      <w:r>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8" w:name="page_24"/>
      <w:bookmarkEnd w:id="38"/>
      <w:r>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pStyle w:val="TextBody"/>
        <w:bidi w:val="0"/>
        <w:jc w:val="both"/>
        <w:rPr>
          <w:b/>
          <w:i/>
        </w:rPr>
      </w:pPr>
      <w:r>
        <w:rPr>
          <w:b/>
          <w:i/>
        </w:rPr>
        <w:t>The Corporation Expects to be a "Passive Foreign Investment Company"</w:t>
      </w:r>
    </w:p>
    <w:p>
      <w:pPr>
        <w:pStyle w:val="TextBody"/>
        <w:bidi w:val="0"/>
        <w:jc w:val="both"/>
        <w:rPr/>
      </w:pPr>
      <w:r>
        <w:rPr/>
        <w:t>Based on current business plans and financial expectations, the Corporation expects to be a PFIC (as defined below) for its current tax year and may be a PFIC in future tax years. If the Corporation is a PFIC for any year during a U.S. Holder’s (as defined below) holding period of Warrant Shares, then such U.S. Holder generally will be required to treat any gain realized upon a disposition of the Warrant Shares, or any so-called “excess distribution” received on its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below) or a Mark-to-Market Election (as defined below).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Warrant Shares over the U.S. Holder’s basis therein. Under proposed Treasury Regulations, a U.S. Holder may not make a QEF Election or Mark-to-Market Election in respect of the Warrants and, as a result, may not be able to make timely QEF Election with respect to Warrant Shares received upon exercise of the Warrants</w:t>
      </w:r>
      <w:r>
        <w:rPr>
          <w:b/>
        </w:rPr>
        <w:t xml:space="preserve">. </w:t>
      </w:r>
      <w:r>
        <w:rPr/>
        <w:t>This paragraph is qualified in its entirety by the discussion below under the heading “</w:t>
      </w:r>
      <w:r>
        <w:rPr>
          <w:i/>
        </w:rPr>
        <w:t>Certain United States Federal Income Tax Considerations — Passive Foreign Investment Company Rules</w:t>
      </w:r>
      <w:r>
        <w:rPr/>
        <w:t>.” Each potential investor who is a U.S. Holder should consult its own tax advisor regarding the tax consequences of the PFIC rules and the acquisition, ownership, and disposition of the Warrant Shares received upon exercise of the Warrants.</w:t>
      </w:r>
    </w:p>
    <w:p>
      <w:pPr>
        <w:pStyle w:val="TextBody"/>
        <w:bidi w:val="0"/>
        <w:jc w:val="both"/>
        <w:rPr>
          <w:b/>
          <w:i/>
        </w:rPr>
      </w:pPr>
      <w:r>
        <w:rPr>
          <w:b/>
          <w:i/>
        </w:rPr>
        <w:t>Speculative Nature of Warrants</w:t>
      </w:r>
    </w:p>
    <w:p>
      <w:pPr>
        <w:pStyle w:val="TextBody"/>
        <w:bidi w:val="0"/>
        <w:jc w:val="both"/>
        <w:rPr/>
      </w:pPr>
      <w:r>
        <w:rPr/>
        <w:t>The Warrants do not confer any rights of Common Share ownership on their holders, such as voting rights or the right to receive dividends, but rather merely represent the right to acquire Warrant Shares at a fixed price for a limited period of time. Specifically, commencing on the date of issuance, holders of the Warrants may exercise their right to acquire Warrant Shares and pay an exercise price of US$0.40 per Warrant Share,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Warrant Shares will ever equal or exceed the exercise price of the Warrants, and consequently, whether it will ever be profitable for holders of the Warrants to exercise the Warrants.</w:t>
      </w:r>
    </w:p>
    <w:p>
      <w:pPr>
        <w:pStyle w:val="TextBody"/>
        <w:bidi w:val="0"/>
        <w:jc w:val="both"/>
        <w:rPr/>
      </w:pPr>
      <w:r>
        <w:rPr/>
        <w:t>There is no existing trading market for the Warrants and there can be no assurance that a liquid market will develop or be maintained for the Warrants, or that an investor will be able to sell any of the Warrants at a particular time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39" w:name="page_25"/>
      <w:bookmarkEnd w:id="39"/>
      <w:r>
        <w:rPr>
          <w:b/>
        </w:rPr>
        <w:t>CERTAIN CANADIAN INCOME TAX CONSIDERATIONS</w:t>
      </w:r>
    </w:p>
    <w:p>
      <w:pPr>
        <w:pStyle w:val="TextBody"/>
        <w:bidi w:val="0"/>
        <w:jc w:val="both"/>
        <w:rPr/>
      </w:pPr>
      <w:r>
        <w:rPr/>
        <w:t>The following is, as of the date hereof, a summary of the principal Canadian federal income tax considerations under the Tax Act and Regulations thereunder, generally applicable to an investor who acquires, as beneficial owner, Warrant Shares upon the exercise of the Warrants, and who, for the purposes of the Tax Act and at all relevant times, and holds the Warrant Shares  as capital property and deals at arm’s length and is not affiliated with the Corporation, the Underwriters and any subsequent purchaser of such securities  (a “</w:t>
      </w:r>
      <w:r>
        <w:rPr>
          <w:b/>
        </w:rPr>
        <w:t>Holder</w:t>
      </w:r>
      <w:r>
        <w:rPr/>
        <w:t xml:space="preserve">”). Generally, the Warrant Shares will be considered to be capital property to a Holder, provided the Holder does not hold or use the Warrant Shares in the course of carrying on a business of trading or dealing in securities and such Holder has not acquired them in one or more transactions considered to be an adventure or concern in the nature of trade. </w:t>
      </w:r>
    </w:p>
    <w:p>
      <w:pPr>
        <w:pStyle w:val="TextBody"/>
        <w:bidi w:val="0"/>
        <w:jc w:val="both"/>
        <w:rPr/>
      </w:pPr>
      <w:r>
        <w:rPr/>
        <w:t>This summary is not applicable to a Holder (i) that is a “financial institution”, as defined in the Tax Act, for the purposes of the mark-to-market rules in the Tax Act, (ii) that is a “specified financial institution”, as defined in the Tax Act, (iii) of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Warrant Shares, or (vi) that receives dividends on the Warrant Shares under or as part of a “dividend rental arrangement”, as defined in the Tax Act. Any such holder should consult its own tax advisor with respect to an investment in the Warrant Shares. In addition, this summary does not address the deductibility of interest by a Holder who has borrowed money or otherwise incurred debt in connection with the acquisition of the Warrant Shares.</w:t>
      </w:r>
    </w:p>
    <w:p>
      <w:pPr>
        <w:pStyle w:val="TextBody"/>
        <w:bidi w:val="0"/>
        <w:jc w:val="both"/>
        <w:rPr/>
      </w:pPr>
      <w:r>
        <w:rPr/>
        <w:t>Additional considerations, not discussed herein, may be applicable to a Holder that is a corporation resident in Canada, and is, or becomes as part of a transaction or event or series of transactions or events that includes the acquisition of the Warrant Shares, controlled by a non-resident person (or group of non-resident persons that do not deal at arm’s length with each other) for purposes of the “foreign affiliate dumping” rules in section 212.3 of the Tax Act. Such Holders should consult their tax advisors with respect to the consequences of acquiring Warrant Shares.</w:t>
      </w:r>
    </w:p>
    <w:p>
      <w:pPr>
        <w:pStyle w:val="TextBody"/>
        <w:bidi w:val="0"/>
        <w:jc w:val="both"/>
        <w:rPr/>
      </w:pPr>
      <w:r>
        <w:rPr/>
        <w:t>This summary is based upon the current provisions of the Tax Act and the Regulations in force as of the date hereof, all specific proposals to amend the Tax Act and the Regulations that have been publicly and officially announced by or on behalf of the Minister of Finance (Canada) prior to the date hereof (the "</w:t>
      </w:r>
      <w:r>
        <w:rPr>
          <w:b/>
        </w:rPr>
        <w:t>Proposed Amendments</w:t>
      </w:r>
      <w:r>
        <w:rPr/>
        <w:t>"), and counsel's understanding of the current administrative policies and assessing practices of the Canada Revenue Agency (the "</w:t>
      </w:r>
      <w:r>
        <w:rPr>
          <w:b/>
        </w:rPr>
        <w:t>CRA</w:t>
      </w:r>
      <w:r>
        <w:rPr/>
        <w:t>"), published in writing by it prior to the date hereof. This summary assumes the Proposed Amendments will be enacted in the form proposed. However, no assurance can be given that the Proposed Amendments will be enacted in their current form, or at all.</w:t>
      </w:r>
    </w:p>
    <w:p>
      <w:pPr>
        <w:pStyle w:val="TextBody"/>
        <w:bidi w:val="0"/>
        <w:jc w:val="both"/>
        <w:rPr/>
      </w:pPr>
      <w:r>
        <w:rPr/>
        <w:t xml:space="preserve">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w:t>
      </w:r>
      <w:r>
        <w:rPr>
          <w:b/>
        </w:rPr>
        <w:t>Consequently, Holders should consult their own tax advisors with respect to the tax consequences applicable to them, having regard to their own particular circumstances.</w:t>
      </w:r>
    </w:p>
    <w:p>
      <w:pPr>
        <w:pStyle w:val="TextBody"/>
        <w:bidi w:val="0"/>
        <w:jc w:val="both"/>
        <w:rPr>
          <w:b/>
        </w:rPr>
      </w:pPr>
      <w:r>
        <w:rPr>
          <w:b/>
        </w:rPr>
        <w:t>Currency Conversion</w:t>
      </w:r>
    </w:p>
    <w:p>
      <w:pPr>
        <w:pStyle w:val="TextBody"/>
        <w:bidi w:val="0"/>
        <w:jc w:val="both"/>
        <w:rPr/>
      </w:pPr>
      <w:r>
        <w:rPr/>
        <w:t xml:space="preserve">For purposes of the Tax Act and the Regulations, all amounts relating to the acquisition, holding or disposition of the Warrant Shares (including dividends, adjusted cost base and proceeds of disposition) must generally be expressed in Canadian Dollars. Amounts denominated in any other currency must be converted into Canadian Dollars generally based on the exchange rate quoted by the Bank of Canada on the date such amounts arise or such other rate of exchange as is acceptable to the </w:t>
      </w:r>
      <w:r>
        <w:rPr>
          <w:i/>
        </w:rPr>
        <w:t xml:space="preserve">Minister of National Revenue </w:t>
      </w:r>
      <w:r>
        <w:rPr/>
        <w:t>(Canada).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bookmarkStart w:id="40" w:name="page_26"/>
      <w:bookmarkEnd w:id="40"/>
      <w:r>
        <w:rPr/>
        <w:t xml:space="preserve">  </w:t>
      </w:r>
    </w:p>
    <w:p>
      <w:pPr>
        <w:pStyle w:val="TextBody"/>
        <w:bidi w:val="0"/>
        <w:jc w:val="both"/>
        <w:rPr>
          <w:b/>
        </w:rPr>
      </w:pPr>
      <w:r>
        <w:rPr>
          <w:b/>
        </w:rPr>
        <w:t>Exercise of Warrants</w:t>
      </w:r>
    </w:p>
    <w:p>
      <w:pPr>
        <w:pStyle w:val="TextBody"/>
        <w:bidi w:val="0"/>
        <w:jc w:val="both"/>
        <w:rPr/>
      </w:pPr>
      <w:r>
        <w:rPr/>
        <w:t>No gain or loss will be realized by a Holder on the exercise of a Warrant to acquire a Warrant Share. When a Warrant is exercised, the Holder’s cost of the Warrant Share acquired thereby will be equal to the aggregate of the Holder’s adjusted cost base of such Warrant and the exercise price paid for the Warrant Share. The Holder’s adjusted cost base of the Warrant Share so acquired will be determined by averaging the cost of the Warrant Share with the adjusted cost base to the Holder of all Common Shares of the Corporation held as capital property, by the holder, immediately before the acquisition of the Warrant Share.</w:t>
      </w:r>
    </w:p>
    <w:p>
      <w:pPr>
        <w:pStyle w:val="TextBody"/>
        <w:bidi w:val="0"/>
        <w:jc w:val="both"/>
        <w:rPr>
          <w:b/>
        </w:rPr>
      </w:pPr>
      <w:r>
        <w:rPr>
          <w:b/>
        </w:rPr>
        <w:t>Taxation of Resident Holders</w:t>
      </w:r>
    </w:p>
    <w:p>
      <w:pPr>
        <w:pStyle w:val="TextBody"/>
        <w:bidi w:val="0"/>
        <w:jc w:val="both"/>
        <w:rPr/>
      </w:pPr>
      <w:r>
        <w:rPr/>
        <w:t>The following portion of this summary applies to Holders who, for the purposes of the Tax Act and any applicable income tax treaty or convention, are or are deemed to be resident in Canada at all relevant times (herein, “</w:t>
      </w:r>
      <w:r>
        <w:rPr>
          <w:b/>
        </w:rPr>
        <w:t>Resident Holders</w:t>
      </w:r>
      <w:r>
        <w:rPr/>
        <w:t>”). A Resident Holder whose Warrant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pStyle w:val="TextBody"/>
        <w:bidi w:val="0"/>
        <w:jc w:val="both"/>
        <w:rPr>
          <w:i/>
        </w:rPr>
      </w:pPr>
      <w:r>
        <w:rPr>
          <w:i/>
        </w:rPr>
        <w:t>Dividends</w:t>
      </w:r>
    </w:p>
    <w:p>
      <w:pPr>
        <w:pStyle w:val="TextBody"/>
        <w:bidi w:val="0"/>
        <w:jc w:val="both"/>
        <w:rPr/>
      </w:pPr>
      <w:r>
        <w:rPr/>
        <w:t>A Resident Holder will be required to include in computing income for a taxation year any dividends received, or deemed to be received, in the year by the Resident Holder on the Warrant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pStyle w:val="TextBody"/>
        <w:bidi w:val="0"/>
        <w:jc w:val="both"/>
        <w:rPr/>
      </w:pPr>
      <w:r>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Resident Holders that are corporations should consult their own tax advisors having regard to their own circumstances.</w:t>
      </w:r>
    </w:p>
    <w:p>
      <w:pPr>
        <w:pStyle w:val="TextBody"/>
        <w:bidi w:val="0"/>
        <w:jc w:val="both"/>
        <w:rPr/>
      </w:pPr>
      <w:r>
        <w:rPr/>
        <w:t>A corporation that is a “private corporation” or a “subject corporation” (each as defined in the Tax Act), generally will be liable to pay an additional tax (refundable under certain circumstances) under Part IV of the Tax Act on dividends received or deemed to be received on the Warrant Shares in a year to the extent such dividends are deductible in computing taxable income for the year. </w:t>
      </w:r>
    </w:p>
    <w:p>
      <w:pPr>
        <w:pStyle w:val="TextBody"/>
        <w:bidi w:val="0"/>
        <w:jc w:val="both"/>
        <w:rPr>
          <w:i/>
        </w:rPr>
      </w:pPr>
      <w:r>
        <w:rPr>
          <w:i/>
        </w:rPr>
        <w:t>Disposition of Warrant Shares</w:t>
      </w:r>
    </w:p>
    <w:p>
      <w:pPr>
        <w:pStyle w:val="TextBody"/>
        <w:bidi w:val="0"/>
        <w:jc w:val="both"/>
        <w:rPr/>
      </w:pPr>
      <w:r>
        <w:rPr/>
        <w:t>A Resident Holder who disposes, or is deemed to dispose, a Warrant Share (other than a disposition to the Corporation that is not a sale in the open market in the manner in which shares would normally be purchased by any member of the public in an open market) will generally realize a capital gain (or capital loss) equal to the amount, if any, by which the proceeds of disposition, net of any reasonable costs of disposition, exceed (or are exceeded by) the aggregate of the adjusted cost base to the Resident Holder of such Warrant Shares immediately before the disposition or deemed disposition. The taxation of capital gains and losses is generally described below under the heading “</w:t>
      </w:r>
      <w:r>
        <w:rPr>
          <w:i/>
        </w:rPr>
        <w:t>Capital Gains and Capital Losses</w:t>
      </w:r>
      <w:r>
        <w:rPr/>
        <w:t>”.</w:t>
      </w:r>
    </w:p>
    <w:p>
      <w:pPr>
        <w:pStyle w:val="TextBody"/>
        <w:bidi w:val="0"/>
        <w:jc w:val="both"/>
        <w:rPr>
          <w:i/>
        </w:rPr>
      </w:pPr>
      <w:r>
        <w:rPr>
          <w:i/>
        </w:rPr>
        <w:t>Capital Gains and Capital Losses</w:t>
      </w:r>
    </w:p>
    <w:p>
      <w:pPr>
        <w:pStyle w:val="TextBody"/>
        <w:bidi w:val="0"/>
        <w:jc w:val="both"/>
        <w:rPr/>
      </w:pPr>
      <w:r>
        <w:rPr/>
        <w:t>Generally, a Resident Holder is required to include in its computing income for a taxation year one-half of the amount of any capital gain (a “</w:t>
      </w:r>
      <w:r>
        <w:rPr>
          <w:b/>
        </w:rPr>
        <w:t>taxable capital gain</w:t>
      </w:r>
      <w:r>
        <w:rPr/>
        <w:t>”) realized by the Resident Holder in such taxation year. Subject to and in accordance with the rules contained in the Tax Act, a Resident Holder is required to deduct one-half of the amount of any capital loss (an “</w:t>
      </w:r>
      <w:r>
        <w:rPr>
          <w:b/>
        </w:rPr>
        <w:t>allowable capital loss</w:t>
      </w:r>
      <w:r>
        <w:rPr/>
        <w:t>”)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1" w:name="page_27"/>
      <w:bookmarkEnd w:id="41"/>
      <w:r>
        <w:rPr/>
        <w:t>The amount of any capital loss realized by a Resident Holder that is a corporation on the disposition or deemed disposition of a Warrant Share may be reduced by the amount of any dividends received or deemed to have been received by such Resident Holder on such Warrant Shares (or on a share for which the Warrant Share has been substituted), to the extent and under the circumstances described in the Tax Act. Similar rules may apply where a Resident Holder that is a corporation is a member of a partnership or a beneficiary of a trust that owns Warrant Shares. Resident Holders to whom these rules may be relevant should consult their own tax advisors.</w:t>
      </w:r>
    </w:p>
    <w:p>
      <w:pPr>
        <w:pStyle w:val="TextBody"/>
        <w:bidi w:val="0"/>
        <w:jc w:val="both"/>
        <w:rPr/>
      </w:pPr>
      <w:r>
        <w:rPr/>
        <w:t>A Resident Holder that is throughout the relevant taxation year a “Canadian-controlled private corporation” (as defined in the Tax Act) or, at any time in the year, a “substantive CCPC” (as proposed to be defined in the Tax Act pursuant to Proposed Amendments released on August 9, 2022) may be liable to pay an additional tax (refundable in certain circumstances) on certain investment income, including amounts in respect of net taxable capital gains. Such Resident Holders should consult their own tax advisors.</w:t>
      </w:r>
    </w:p>
    <w:p>
      <w:pPr>
        <w:pStyle w:val="TextBody"/>
        <w:bidi w:val="0"/>
        <w:jc w:val="both"/>
        <w:rPr>
          <w:i/>
        </w:rPr>
      </w:pPr>
      <w:r>
        <w:rPr>
          <w:i/>
        </w:rPr>
        <w:t>Alternative Minimum Tax</w:t>
      </w:r>
    </w:p>
    <w:p>
      <w:pPr>
        <w:pStyle w:val="TextBody"/>
        <w:bidi w:val="0"/>
        <w:jc w:val="both"/>
        <w:rPr/>
      </w:pPr>
      <w:r>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pStyle w:val="TextBody"/>
        <w:bidi w:val="0"/>
        <w:jc w:val="both"/>
        <w:rPr>
          <w:b/>
        </w:rPr>
      </w:pPr>
      <w:r>
        <w:rPr>
          <w:b/>
        </w:rPr>
        <w:t>Taxation of Non-Resident Holders</w:t>
      </w:r>
    </w:p>
    <w:p>
      <w:pPr>
        <w:pStyle w:val="TextBody"/>
        <w:bidi w:val="0"/>
        <w:jc w:val="both"/>
        <w:rPr/>
      </w:pPr>
      <w:r>
        <w:rPr/>
        <w:t>The following portion of this summary is generally applicable to Holders who, at all relevant times, for the purposes of the Tax Act and any relevant income tax treaty and convention,: (i) are neither resident nor deemed to be resident in Canada, and (ii) do not use or hold, and are not deemed to hold or use, the Warrant Shares in the course of business carried on or deemed to be carried on in Canada. Holders who meet all of the foregoing requirements are referred to herein as “</w:t>
      </w:r>
      <w:r>
        <w:rPr>
          <w:b/>
        </w:rPr>
        <w:t>Non-Resident Holders</w:t>
      </w:r>
      <w:r>
        <w:rPr/>
        <w:t>”, and this portion of the summary only addresses such Non-Resident Holders.</w:t>
      </w:r>
    </w:p>
    <w:p>
      <w:pPr>
        <w:pStyle w:val="TextBody"/>
        <w:bidi w:val="0"/>
        <w:jc w:val="both"/>
        <w:rPr/>
      </w:pPr>
      <w:r>
        <w:rPr/>
        <w:t>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pStyle w:val="TextBody"/>
        <w:bidi w:val="0"/>
        <w:jc w:val="both"/>
        <w:rPr>
          <w:i/>
        </w:rPr>
      </w:pPr>
      <w:r>
        <w:rPr>
          <w:i/>
        </w:rPr>
        <w:t>Receipt of Dividends</w:t>
      </w:r>
    </w:p>
    <w:p>
      <w:pPr>
        <w:pStyle w:val="TextBody"/>
        <w:bidi w:val="0"/>
        <w:jc w:val="both"/>
        <w:rPr/>
      </w:pPr>
      <w:r>
        <w:rPr/>
        <w:t xml:space="preserve">Dividends paid or credited or deemed to be paid or credited to a Non-Resident Holder by the Corporation are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i/>
        </w:rPr>
        <w:t xml:space="preserve">Canada-United States Tax Convention (1980), </w:t>
      </w:r>
      <w:r>
        <w:rPr/>
        <w:t>as amended (the “</w:t>
      </w:r>
      <w:r>
        <w:rPr>
          <w:b/>
        </w:rPr>
        <w:t>Treaty</w:t>
      </w:r>
      <w:r>
        <w:rPr/>
        <w:t>”), the rate of withholding tax on dividends paid or credited to a Non-Resident Holder who is the beneficial owner of the dividends, resident in the U.S. for purposes of the Treaty and entitled to full benefits under the Treaty (a “</w:t>
      </w:r>
      <w:r>
        <w:rPr>
          <w:b/>
        </w:rPr>
        <w:t>U.S. Holder</w:t>
      </w:r>
      <w:r>
        <w:rPr/>
        <w:t>”) is generally reduced to 15% of the gross amount of the dividends (or 5% in the case of a U.S. Holder that is a company beneficially owning at least 10% of the Corporation’s voting shares). Non-Resident Holders should consult their own tax advisors in this regard.</w:t>
      </w:r>
    </w:p>
    <w:p>
      <w:pPr>
        <w:pStyle w:val="TextBody"/>
        <w:bidi w:val="0"/>
        <w:jc w:val="both"/>
        <w:rPr>
          <w:i/>
        </w:rPr>
      </w:pPr>
      <w:r>
        <w:rPr>
          <w:i/>
        </w:rPr>
        <w:t>Disposition of Warrant Shares</w:t>
      </w:r>
    </w:p>
    <w:p>
      <w:pPr>
        <w:pStyle w:val="TextBody"/>
        <w:bidi w:val="0"/>
        <w:jc w:val="both"/>
        <w:rPr/>
      </w:pPr>
      <w:r>
        <w:rPr/>
        <w:t>A Non-Resident Holder generally will not be subject to tax under the Tax Act in respect of a capital gain realized on the disposition or deemed disposition of a Warrant Share unless such Warrant Share constitutes “taxable Canadian property” (as defined in the Tax Act) of the Non-Resident Holder at the time of disposition and the gain is not exempt from tax pursuant to the terms of an applicable tax treaty or convention.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40" w:after="0"/>
        <w:ind w:left="0" w:right="0" w:hanging="0"/>
        <w:jc w:val="both"/>
        <w:rPr/>
      </w:pPr>
      <w:bookmarkStart w:id="42" w:name="page_28"/>
      <w:bookmarkEnd w:id="42"/>
      <w:r>
        <w:rPr/>
        <w:t>Provided the Warrant Shares are listed on a “designated stock exchange”, as defined in the Tax Act (which currently includes the NEO) at the time of disposition, the Warrant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Warrant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Warrant Shares may be deemed to be taxable Canadian property of a Non-Resident Holder.</w:t>
      </w:r>
    </w:p>
    <w:p>
      <w:pPr>
        <w:pStyle w:val="TextBody"/>
        <w:bidi w:val="0"/>
        <w:spacing w:before="240" w:after="0"/>
        <w:ind w:left="0" w:right="0" w:hanging="0"/>
        <w:jc w:val="both"/>
        <w:rPr/>
      </w:pPr>
      <w:r>
        <w:rPr/>
        <w:t>In the event that the Warrant Shares are taxable Canadian property of a Non-Resident Holder, such Non-Resident Holder may be exempt from tax under the Tax Act in respect of any capital gain arising on the disposition of such Warrant Shares by virtue of an applicable income tax treaty or convention. In cases where a Non-Resident Holder disposes, or is deemed to have disposed, a Warrant Share that is taxable Canadian property of that Non-Resident Holder, and the Non-Resident Holder is not entitled to an exemption from tax under the Tax Act or pursuant to the terms of an applicable income tax treaty or convention, the consequences under the heading “</w:t>
      </w:r>
      <w:r>
        <w:rPr>
          <w:i/>
        </w:rPr>
        <w:t>Taxation of Resident Holders - Capital Gains and Capital Losses</w:t>
      </w:r>
      <w:r>
        <w:rPr/>
        <w:t>” will generally be applicable to such disposition. Non-Resident Holders who may hold Warrant Shares as taxable Canadian property should consult their own tax advisors.</w:t>
      </w:r>
    </w:p>
    <w:p>
      <w:pPr>
        <w:pStyle w:val="TextBody"/>
        <w:bidi w:val="0"/>
        <w:jc w:val="center"/>
        <w:rPr>
          <w:b/>
        </w:rPr>
      </w:pPr>
      <w:r>
        <w:rPr>
          <w:b/>
        </w:rPr>
        <w:t>CERTAIN UNITED STATES FEDERAL INCOME TAX CONSIDERATIONS TO U.S. HOLDERS</w:t>
      </w:r>
    </w:p>
    <w:p>
      <w:pPr>
        <w:pStyle w:val="TextBody"/>
        <w:bidi w:val="0"/>
        <w:jc w:val="both"/>
        <w:rPr/>
      </w:pPr>
      <w:r>
        <w:rPr/>
        <w:t>The following is a general summary of certain material U.S. federal income tax considerations applicable to a U.S. Holder (as defined below) arising from and relating to the acquisition, ownership and disposition of Warrant Shares received upon exercise of the Warrants. This summary is for general information purposes only and does not purport to be a complete analysis or listing of all potential U.S. federal income tax considerations that may apply to a U.S. Holder arising from or relating to the acquisition, ownership and disposition of Warrant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Warrant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Warrant Shares.</w:t>
      </w:r>
    </w:p>
    <w:p>
      <w:pPr>
        <w:pStyle w:val="TextBody"/>
        <w:bidi w:val="0"/>
        <w:jc w:val="both"/>
        <w:rPr/>
      </w:pPr>
      <w:r>
        <w:rPr/>
        <w:t>No ruling from the Internal Revenue Service (the “</w:t>
      </w:r>
      <w:r>
        <w:rPr>
          <w:b/>
        </w:rPr>
        <w:t>IRS</w:t>
      </w:r>
      <w:r>
        <w:rPr/>
        <w:t>”) has been requested, or will be obtained, regarding the U.S. federal income tax consequences of the acquisition, ownership and disposition of Warrant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3" w:name="page_29"/>
      <w:bookmarkEnd w:id="43"/>
      <w:r>
        <w:rPr>
          <w:b/>
        </w:rPr>
        <w:t xml:space="preserve">Scope of this Summary </w:t>
      </w:r>
    </w:p>
    <w:p>
      <w:pPr>
        <w:pStyle w:val="TextBody"/>
        <w:bidi w:val="0"/>
        <w:jc w:val="both"/>
        <w:rPr>
          <w:i/>
        </w:rPr>
      </w:pPr>
      <w:r>
        <w:rPr>
          <w:i/>
        </w:rPr>
        <w:t>Authorities</w:t>
      </w:r>
    </w:p>
    <w:p>
      <w:pPr>
        <w:pStyle w:val="TextBody"/>
        <w:bidi w:val="0"/>
        <w:jc w:val="both"/>
        <w:rPr/>
      </w:pPr>
      <w:r>
        <w:rPr/>
        <w:t>This summary is based on the U.S. Internal Revenue Code of 1986, as amended (the "</w:t>
      </w:r>
      <w:r>
        <w:rPr>
          <w:b/>
        </w:rPr>
        <w:t>Code</w:t>
      </w:r>
      <w:r>
        <w:rPr/>
        <w:t>"), Treasury Regulations (whether final, temporary, or proposed), published rulings of the IRS, published administrative positions of the IRS, the current provisions of the Canada-United States Tax Convention (1980) (the "</w:t>
      </w:r>
      <w:r>
        <w:rPr>
          <w:b/>
        </w:rPr>
        <w:t>Canada-U.S. Tax Convention</w:t>
      </w:r>
      <w:r>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pStyle w:val="TextBody"/>
        <w:bidi w:val="0"/>
        <w:jc w:val="both"/>
        <w:rPr>
          <w:i/>
        </w:rPr>
      </w:pPr>
      <w:r>
        <w:rPr>
          <w:i/>
        </w:rPr>
        <w:t xml:space="preserve">U.S. Holders </w:t>
      </w:r>
    </w:p>
    <w:p>
      <w:pPr>
        <w:pStyle w:val="TextBody"/>
        <w:bidi w:val="0"/>
        <w:jc w:val="both"/>
        <w:rPr/>
      </w:pPr>
      <w:r>
        <w:rPr/>
        <w:t>For purposes of this summary, the term “U.S. Holder” means a beneficial owner of Warrant Shares received upon exercise of the Warrants that is for U.S. federal income tax purposes:</w:t>
      </w:r>
    </w:p>
    <w:p>
      <w:pPr>
        <w:pStyle w:val="TextBody"/>
        <w:numPr>
          <w:ilvl w:val="0"/>
          <w:numId w:val="2"/>
        </w:numPr>
        <w:pBdr/>
        <w:tabs>
          <w:tab w:val="clear" w:pos="1134"/>
          <w:tab w:val="left" w:pos="1261" w:leader="none"/>
        </w:tabs>
        <w:bidi w:val="0"/>
        <w:ind w:left="1261" w:right="0" w:hanging="283"/>
        <w:jc w:val="both"/>
        <w:rPr/>
      </w:pPr>
      <w:r>
        <w:rPr/>
        <w:t>An individual who is a citizen or resident of the United States;</w:t>
      </w:r>
    </w:p>
    <w:p>
      <w:pPr>
        <w:pStyle w:val="TextBody"/>
        <w:numPr>
          <w:ilvl w:val="0"/>
          <w:numId w:val="2"/>
        </w:numPr>
        <w:pBdr/>
        <w:tabs>
          <w:tab w:val="clear" w:pos="1134"/>
          <w:tab w:val="left" w:pos="1261" w:leader="none"/>
        </w:tabs>
        <w:bidi w:val="0"/>
        <w:ind w:left="1261" w:right="0" w:hanging="283"/>
        <w:jc w:val="both"/>
        <w:rPr/>
      </w:pPr>
      <w:r>
        <w:rPr/>
        <w:t xml:space="preserve">a corporation (or other entity treated as a corporation for U.S. federal income tax purposes) organized under the laws of the United States, any state thereof or the District of Columbia; </w:t>
      </w:r>
    </w:p>
    <w:p>
      <w:pPr>
        <w:pStyle w:val="TextBody"/>
        <w:numPr>
          <w:ilvl w:val="0"/>
          <w:numId w:val="3"/>
        </w:numPr>
        <w:pBdr/>
        <w:tabs>
          <w:tab w:val="clear" w:pos="1134"/>
          <w:tab w:val="left" w:pos="1261" w:leader="none"/>
        </w:tabs>
        <w:bidi w:val="0"/>
        <w:ind w:left="1261" w:right="0" w:hanging="283"/>
        <w:jc w:val="both"/>
        <w:rPr/>
      </w:pPr>
      <w:r>
        <w:rPr/>
        <w:t>an estate whose income is subject to U.S. federal income taxation regardless of its source; or</w:t>
      </w:r>
    </w:p>
    <w:p>
      <w:pPr>
        <w:pStyle w:val="TextBody"/>
        <w:numPr>
          <w:ilvl w:val="0"/>
          <w:numId w:val="3"/>
        </w:numPr>
        <w:pBdr/>
        <w:tabs>
          <w:tab w:val="clear" w:pos="1134"/>
          <w:tab w:val="left" w:pos="1261" w:leader="none"/>
        </w:tabs>
        <w:bidi w:val="0"/>
        <w:ind w:left="1261" w:right="0" w:hanging="283"/>
        <w:jc w:val="both"/>
        <w:rPr/>
      </w:pPr>
      <w:r>
        <w:rPr/>
        <w:t xml:space="preserve">a trust that (1) is subject to the primary supervision of a court within the U.S. and the control of one or more U.S. persons for all substantial decisions or (2) has a valid election in effect under applicable Treasury Regulations to be treated as a U.S. person. </w:t>
      </w:r>
    </w:p>
    <w:p>
      <w:pPr>
        <w:pStyle w:val="TextBody"/>
        <w:bidi w:val="0"/>
        <w:jc w:val="both"/>
        <w:rPr/>
      </w:pPr>
      <w:r>
        <w:rPr>
          <w:i/>
        </w:rPr>
        <w:t>Non-U.S. Holders</w:t>
      </w:r>
      <w:r>
        <w:rPr/>
        <w:t xml:space="preserve"> </w:t>
      </w:r>
    </w:p>
    <w:p>
      <w:pPr>
        <w:pStyle w:val="TextBody"/>
        <w:bidi w:val="0"/>
        <w:jc w:val="both"/>
        <w:rPr/>
      </w:pPr>
      <w:r>
        <w:rPr/>
        <w:t>For purposes of this summary, a “non-U.S. Holder” is a beneficial owner of Warrant Shares that is not a U.S. Holder or an entity classified as a partnership for U.S. federal income tax purposes. This summary does not address the U.S. federal, state or local tax consequences to non-U.S. Holders arising from or relating to the acquisition, ownership and disposition of Warrant Shares. Accordingly, a non-U.S. Holder should consult its own tax advisors regarding the U.S. federal, state or local and non-U.S. tax consequences (including the potential application of and operation of any income tax treaties) relating to the acquisition, ownership and disposition of Warrant Shares.</w:t>
      </w:r>
    </w:p>
    <w:p>
      <w:pPr>
        <w:pStyle w:val="TextBody"/>
        <w:bidi w:val="0"/>
        <w:jc w:val="both"/>
        <w:rPr>
          <w:i/>
        </w:rPr>
      </w:pPr>
      <w:r>
        <w:rPr>
          <w:i/>
        </w:rPr>
        <w:t xml:space="preserve">U.S. Holders Subject to Special U.S. Federal Income Tax Rules Not Addressed </w:t>
      </w:r>
    </w:p>
    <w:p>
      <w:pPr>
        <w:pStyle w:val="TextBody"/>
        <w:bidi w:val="0"/>
        <w:jc w:val="both"/>
        <w:rPr/>
      </w:pPr>
      <w:r>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Warrant Shares as part of a straddle, hedging transaction, conversion transaction, constructive sale, or other integrated transaction; (f) acquire Warrant Shares in connection with the exercise of employee stock options or otherwise as compensation for services; (g) hold Warrant Shares other than as a capital asset within the meaning of Section 1221 of the Code (generally, property held for investment purposes); (h) are subject to the alternative minimum tax; (i) are subject to special tax accounting rules with respect to Warrant Shares; (j) are partnerships or other “pass-through” entities (and partners or other owners thereof); (k) are S corporations (and shareholders thereof); (l) are U.S. expatriates or former long-term residents of the United States subject to Section 877 or 877A of the Code; (m) hold Warrant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Warrant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4" w:name="page_30"/>
      <w:bookmarkEnd w:id="44"/>
      <w:r>
        <w:rPr/>
        <w:t>If an entity or arrangement that is classified as a partnership (or other “pass-through” entity) for U.S. federal income tax purposes holds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Warrant Shares.  </w:t>
      </w:r>
    </w:p>
    <w:p>
      <w:pPr>
        <w:pStyle w:val="TextBody"/>
        <w:bidi w:val="0"/>
        <w:jc w:val="both"/>
        <w:rPr>
          <w:b/>
        </w:rPr>
      </w:pPr>
      <w:r>
        <w:rPr>
          <w:b/>
        </w:rPr>
        <w:t xml:space="preserve">Passive Foreign Investment Company Rules </w:t>
      </w:r>
    </w:p>
    <w:p>
      <w:pPr>
        <w:pStyle w:val="TextBody"/>
        <w:bidi w:val="0"/>
        <w:jc w:val="both"/>
        <w:rPr>
          <w:i/>
        </w:rPr>
      </w:pPr>
      <w:r>
        <w:rPr>
          <w:i/>
        </w:rPr>
        <w:t>PFIC Status</w:t>
      </w:r>
    </w:p>
    <w:p>
      <w:pPr>
        <w:pStyle w:val="TextBody"/>
        <w:bidi w:val="0"/>
        <w:jc w:val="both"/>
        <w:rPr/>
      </w:pPr>
      <w:r>
        <w:rPr/>
        <w:t>If the Corporation was to constitute a “passive foreign investment company” under the meaning of Section 1297 of the Code (a “</w:t>
      </w:r>
      <w:r>
        <w:rPr>
          <w:b/>
        </w:rPr>
        <w:t>PFIC</w:t>
      </w:r>
      <w:r>
        <w:rPr/>
        <w:t>”, as defined below) for any year during a U.S. Holder’s holding period, then certain potentially adverse rules would affect the U.S. federal income tax consequences to a U.S. Holder as a result of the acquisition, ownership and disposition of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pStyle w:val="TextBody"/>
        <w:bidi w:val="0"/>
        <w:jc w:val="both"/>
        <w:rPr/>
      </w:pPr>
      <w:r>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pStyle w:val="TextBody"/>
        <w:bidi w:val="0"/>
        <w:jc w:val="both"/>
        <w:rPr/>
      </w:pPr>
      <w:r>
        <w:rPr/>
        <w:t>The Corporation generally will be a PFIC if, for a tax year, (a) 75% or more of the gross income of the Corporation is passive income (the "</w:t>
      </w:r>
      <w:r>
        <w:rPr>
          <w:b/>
        </w:rPr>
        <w:t>PFIC income test</w:t>
      </w:r>
      <w:r>
        <w:rPr/>
        <w:t>") or (b) 50% or more of the value of the Corporation's assets either produce passive income or are held for the production of passive income, based on the quarterly average of the fair market value of such assets (the "</w:t>
      </w:r>
      <w:r>
        <w:rPr>
          <w:b/>
        </w:rPr>
        <w:t>PFIC asset test</w:t>
      </w:r>
      <w:r>
        <w:rPr/>
        <w:t>"). "Gross income" generally includes all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pStyle w:val="TextBody"/>
        <w:bidi w:val="0"/>
        <w:jc w:val="both"/>
        <w:rPr/>
      </w:pPr>
      <w:r>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 w:name="page_31"/>
      <w:bookmarkEnd w:id="45"/>
      <w:r>
        <w:rPr/>
        <w:t>Under certain attribution rules, if the Corporation is a PFIC, U.S. Holders will generally be deemed to own their proportionate share of the Corporation’s direct or indirect equity interest in any company that is also a PFIC (a “</w:t>
      </w:r>
      <w:r>
        <w:rPr>
          <w:b/>
        </w:rPr>
        <w:t>Subsidiary PFIC</w:t>
      </w:r>
      <w:r>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Warrant Shares. Accordingly, U.S. Holders should be aware that they could be subject to tax under the PFIC rules even if no distributions are received and no redemptions or other dispositions of Warrant Shares are made.</w:t>
      </w:r>
    </w:p>
    <w:p>
      <w:pPr>
        <w:pStyle w:val="TextBody"/>
        <w:bidi w:val="0"/>
        <w:jc w:val="both"/>
        <w:rPr>
          <w:i/>
        </w:rPr>
      </w:pPr>
      <w:r>
        <w:rPr>
          <w:i/>
        </w:rPr>
        <w:t>Default PFIC Rules Under Section 1291 of the Code</w:t>
      </w:r>
    </w:p>
    <w:p>
      <w:pPr>
        <w:pStyle w:val="TextBody"/>
        <w:bidi w:val="0"/>
        <w:jc w:val="both"/>
        <w:rPr/>
      </w:pPr>
      <w:r>
        <w:rPr/>
        <w:t>If the Corporation is a PFIC for any tax year during which a U.S. Holder owns Warrant Shares, the U.S. federal income tax consequences to such U.S. Holder of the acquisition, ownership, and disposition of Warrant Shares will depend on whether and when such U.S. Holder makes an election to treat the Corporation and each Subsidiary PFIC, if any, as a “qualified electing fund” or “QEF” under Section 1295 of the Code (a “</w:t>
      </w:r>
      <w:r>
        <w:rPr>
          <w:b/>
        </w:rPr>
        <w:t>QEF Election</w:t>
      </w:r>
      <w:r>
        <w:rPr/>
        <w:t>”) or makes a mark-to-market election under Section 1296 of the Code (a “</w:t>
      </w:r>
      <w:r>
        <w:rPr>
          <w:b/>
        </w:rPr>
        <w:t>Mark-to-Market Election</w:t>
      </w:r>
      <w:r>
        <w:rPr/>
        <w:t>”). A U.S. Holder that does not make either a QEF Election or a Mark-to-Market Election will be referred to in this summary as a “Non-Electing U.S. Holder”.</w:t>
      </w:r>
    </w:p>
    <w:p>
      <w:pPr>
        <w:pStyle w:val="TextBody"/>
        <w:bidi w:val="0"/>
        <w:jc w:val="both"/>
        <w:rPr/>
      </w:pPr>
      <w:r>
        <w:rPr/>
        <w:t>A Non-Electing U.S. Holder will be subject to the rules of Section 1291 of the Code (described below) with respect to: (a) any gain recognized on the sale or other taxable disposition of Warrant Shares; and (b) any “excess distribution” received on the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Warrant Shares, if shorter).</w:t>
      </w:r>
    </w:p>
    <w:p>
      <w:pPr>
        <w:pStyle w:val="TextBody"/>
        <w:bidi w:val="0"/>
        <w:jc w:val="both"/>
        <w:rPr/>
      </w:pPr>
      <w:r>
        <w:rPr/>
        <w:t>Under Section 1291 of the Code, any gain recognized on the sale or other taxable disposition of Warrant Shares (including an indirect disposition of the stock of any Subsidiary PFIC), and any “excess distribution” received on Warrant Shares or with respect to the stock of a Subsidiary PFIC, must be ratably allocated to each day in a Non-Electing U.S. Holder’s holding period for the respective Warrant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pStyle w:val="TextBody"/>
        <w:bidi w:val="0"/>
        <w:jc w:val="both"/>
        <w:rPr/>
      </w:pPr>
      <w:r>
        <w:rPr/>
        <w:t>If the Corporation is a PFIC for any tax year during which a Non-Electing U.S. Holder holds Warrant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Warrant Shares by electing to recognize gain (which will be taxed under the rules of Section 1291 of the Code discussed above), but not loss, as if such Warrant Shares were sold on the last day of the last tax year for which the Corporation was a PFIC. No such election, however, may be made with respect to the Warrants.</w:t>
      </w:r>
    </w:p>
    <w:p>
      <w:pPr>
        <w:pStyle w:val="TextBody"/>
        <w:bidi w:val="0"/>
        <w:jc w:val="both"/>
        <w:rPr/>
      </w:pPr>
      <w:r>
        <w:rPr/>
        <w:t>Under Section 1291(f) of the Code, the IRS has issued proposed Treasury Regulations (the “</w:t>
      </w:r>
      <w:r>
        <w:rPr>
          <w:b/>
        </w:rPr>
        <w:t>Proposed Treasury Regulations</w:t>
      </w:r>
      <w:r>
        <w:rPr/>
        <w:t>”), providing that if a U.S. Holder has an option, warrant or other right to acquire stock of a PFIC (such as the Warrants comprising a part of the Units), such option, warrant or other right is considered to be PFIC stock subject to the default rules of Section 1291 of the Code. Under rules described below, the holding period for the Warrant Shares will begin on the date a U.S. Holder acquires the Units. This will impact the availability of the QEF Election and Mark-to-Market Election with respect to the Warrant Shares. Accordingly, to the extent a U.S. Holder holds Warrant Shares and Unit Shares received pursuant to the Unit Offering, such U.S. Holder will have to account for Warrant Shares and Unit Shares under the PFIC rules and the applicable elections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46" w:name="page_32"/>
      <w:bookmarkEnd w:id="46"/>
      <w:r>
        <w:rPr>
          <w:i/>
        </w:rPr>
        <w:t>QEF Election</w:t>
      </w:r>
    </w:p>
    <w:p>
      <w:pPr>
        <w:pStyle w:val="TextBody"/>
        <w:bidi w:val="0"/>
        <w:jc w:val="both"/>
        <w:rPr/>
      </w:pPr>
      <w:r>
        <w:rPr/>
        <w:t>A U.S. Holder that makes a timely and effective QEF Election for the first tax year in which the holding period of its Warrant Shares begins generally will not be subject to the rules of Section 1291 of the Code discussed above with respect to its Warrant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pStyle w:val="TextBody"/>
        <w:bidi w:val="0"/>
        <w:jc w:val="both"/>
        <w:rPr/>
      </w:pPr>
      <w:r>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Warrant Shares to reflect the amount included in income or allowed as a tax-free distribution because of such QEF Election. In addition, a U.S. Holder that makes a QEF Election generally will recognize capital gain or loss on the sale or other taxable disposition of Warrant Shares.</w:t>
      </w:r>
    </w:p>
    <w:p>
      <w:pPr>
        <w:pStyle w:val="TextBody"/>
        <w:bidi w:val="0"/>
        <w:jc w:val="both"/>
        <w:rPr/>
      </w:pPr>
      <w:r>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Warrant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Warrant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Warrant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Warrant Shares. If a U.S. Holder owns PFIC stock indirectly through another PFIC, separate QEF Elections must be made for the PFIC in which the U.S. Holder is a direct shareholder and the Subsidiary PFIC for the QEF rules to apply to both PFICs.</w:t>
      </w:r>
    </w:p>
    <w:p>
      <w:pPr>
        <w:pStyle w:val="TextBody"/>
        <w:bidi w:val="0"/>
        <w:jc w:val="both"/>
        <w:rPr/>
      </w:pPr>
      <w:r>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pStyle w:val="TextBody"/>
        <w:bidi w:val="0"/>
        <w:jc w:val="both"/>
        <w:rPr/>
      </w:pPr>
      <w:r>
        <w:rPr/>
        <w:t>As discussed above, under the Proposed Treasury Regulations, if a U.S. Holder has an option, warrant or other right to acquire stock of a PFIC (such as the Warrants), such option, warrant or right is considered to be PFIC stock subject to the default rules of Section 1291 of the Code. However, a U.S. Holder of an option, warrant or other right to acquire stock of a PFIC may not make a QEF Election that will apply to the option, warrant or other right to acquire PFIC stock. In addition, under the Proposed Treasury Regulations, if a U.S. Holder holds an option, warrant or other right to acquire stock of a PFIC, the holding period with respect to shares of stock of the PFIC acquired upon exercise of such option, warrant or other right will include the period that the option, warrant or other right was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7" w:name="page_33"/>
      <w:bookmarkEnd w:id="47"/>
      <w:r>
        <w:rPr/>
        <w:t>Consequently, under the Proposed Treasury Regulations, if a U.S. Holder of Unit Shares makes a QEF Election, such election generally will not be treated as a timely QEF Election with respect to Warrant Shares (unless the Warrant Shares are acquired in the same tax year as the U.S. Holder acquired the Units) and the rules of Section 1291 of the Code discussed above will continue to apply with respect to such U.S. Holder’s Warrant Shares. However, a U.S. Holder of Warrant Shares should be eligible to make a timely QEF Election if such U.S. Holder makes a “purging” or “deemed sale” election to recognize gain (which will be taxed under the rules of Section 1291 of the Code discussed above) as if such Warrant Shares were sold for fair market value. As a result of the “purging” or “deemed sale” election, the U.S. Holder will have a new basis and holding period in the Warrant Shares acquired upon the exercise of the Warrants for purposes of the PFIC rules. In addition, gain recognized on the sale or other taxable disposition (other than by exercise) of the Warrants by a U.S. Holder will be subject to the rules of Section 1291 of the Code discussed above. Each U.S. Holder should consult its own tax advisor regarding the application of the PFIC rules to the Warrant Shares.</w:t>
      </w:r>
    </w:p>
    <w:p>
      <w:pPr>
        <w:pStyle w:val="TextBody"/>
        <w:bidi w:val="0"/>
        <w:jc w:val="both"/>
        <w:rPr/>
      </w:pPr>
      <w:r>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pStyle w:val="TextBody"/>
        <w:bidi w:val="0"/>
        <w:jc w:val="both"/>
        <w:rPr/>
      </w:pPr>
      <w:r>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pStyle w:val="TextBody"/>
        <w:bidi w:val="0"/>
        <w:jc w:val="both"/>
        <w:rPr>
          <w:i/>
        </w:rPr>
      </w:pPr>
      <w:r>
        <w:rPr>
          <w:i/>
        </w:rPr>
        <w:t>Mark-to-Market Election</w:t>
      </w:r>
    </w:p>
    <w:p>
      <w:pPr>
        <w:pStyle w:val="TextBody"/>
        <w:bidi w:val="0"/>
        <w:jc w:val="both"/>
        <w:rPr/>
      </w:pPr>
      <w:r>
        <w:rPr/>
        <w:t>A U.S. Holder may make a Mark-to-Market Election with respect to the Warrant Shares only if the Warrant Shares are marketable stock. The Warrant Shares generally will be “marketable stock” if the Warrant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pStyle w:val="TextBody"/>
        <w:bidi w:val="0"/>
        <w:jc w:val="both"/>
        <w:rPr/>
      </w:pPr>
      <w:r>
        <w:rPr/>
        <w:t>A U.S. Holder that makes a Mark-to-Market Election with respect to its Warrant Shares generally will not be subject to the rules of Section 1291 of the Code discussed above with respect to such Warrant Shares. However, if a U.S. Holder does not make a Mark-to-Market Election beginning in the first tax year of such U.S. Holder’s holding period for the Warrant Shares for which the Corporation is a PFIC and such U.S. Holder has not made a timely QEF Election, the rules of Section 1291 of the Code discussed above will apply to certain dispositions of, and distributions on, the Warrant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8" w:name="page_34"/>
      <w:bookmarkEnd w:id="48"/>
      <w:r>
        <w:rPr/>
        <w:t>Any Mark-to-Market Election made by a U.S. Holder for the Unit Shares, to the extent applicable, will also apply to such U.S. Holder’s Warrant Shares. As a result, if a Mark-to-Market Election has been made by a U.S. Holder with respect to Unit Shares, to the extent applicable, any Warrant Shares received will automatically be marked-to-market in the year of exercise. Because, under the Proposed Treasury Regulations, a U.S. Holder’s holding period for Warrant Shares includes the period during which such U.S. Holder held the Warrants, a U.S. Holder will be treated as making a Mark-to-Market Election with respect to its Warrant Shares after the beginning of such U.S. Holder’s holding period for the Warrant Shares unless the Warrant Shares are acquired in the same tax year as the year in which the U.S. Holder acquired its Units. Consequently, the default rules under Section 1291 of the Code described above generally will apply to the mark-to-market gain realized in the tax year in which Warrant Shares are received. However, the general mark-to-market rules will apply to subsequent tax years.</w:t>
      </w:r>
    </w:p>
    <w:p>
      <w:pPr>
        <w:pStyle w:val="TextBody"/>
        <w:bidi w:val="0"/>
        <w:jc w:val="both"/>
        <w:rPr/>
      </w:pPr>
      <w:r>
        <w:rPr/>
        <w:t>A U.S. Holder that makes a Mark-to-Market Election will include in ordinary income, for each tax year in which the Corporation is a PFIC, an amount equal to the excess, if any, of (a) the fair market value of the Warrant Shares, as of the close of such tax year over (b) such U.S. Holder’s adjusted tax basis in such Warrant Shares. A U.S. Holder that makes a Mark-to-Market Election will be allowed a deduction in an amount equal to the excess, if any, of (a) such U.S. Holder’s adjusted tax basis in the Warrant Shares, over (b) the fair market value of such Warrant Shares (but only to the extent of the net amount of previously included income as a result of the Mark-to-Market Election for prior tax years).</w:t>
      </w:r>
    </w:p>
    <w:p>
      <w:pPr>
        <w:pStyle w:val="TextBody"/>
        <w:bidi w:val="0"/>
        <w:jc w:val="both"/>
        <w:rPr/>
      </w:pPr>
      <w:r>
        <w:rPr/>
        <w:t>A U.S. Holder that makes a Mark-to-Market Election generally also will adjust such U.S. Holder’s tax basis in the Warrant Shares to reflect the amount included in gross income or allowed as a deduction because of such Mark-to-Market Election. In addition, upon a sale or other taxable disposition of Warrant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pStyle w:val="TextBody"/>
        <w:bidi w:val="0"/>
        <w:jc w:val="both"/>
        <w:rPr/>
      </w:pPr>
      <w:r>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Warrant Shares cease to be “marketable stock” or the IRS consents to revocation of such election. Each U.S. Holder should consult its own tax advisors regarding the availability of, and procedure for making, a Mark-to-Market Election.</w:t>
      </w:r>
    </w:p>
    <w:p>
      <w:pPr>
        <w:pStyle w:val="TextBody"/>
        <w:bidi w:val="0"/>
        <w:jc w:val="both"/>
        <w:rPr/>
      </w:pPr>
      <w:r>
        <w:rPr/>
        <w:t>Although a U.S. Holder may be eligible to make a Mark-to-Market Election with respect to the Warrant Shares, no such election may be made with respect to the stock of any Subsidiary PFIC that a U.S. Holder is treated as owning, because such stock is not marketable. Hence, the Mark-to-Market Election will not be effective to avoid the interest charge and other income inclusion rules described above with respect to deemed dispositions of Subsidiary PFIC stock or excess distributions from a Subsidiary PFIC to its shareholder.</w:t>
      </w:r>
    </w:p>
    <w:p>
      <w:pPr>
        <w:pStyle w:val="TextBody"/>
        <w:bidi w:val="0"/>
        <w:jc w:val="both"/>
        <w:rPr>
          <w:i/>
        </w:rPr>
      </w:pPr>
      <w:r>
        <w:rPr>
          <w:i/>
        </w:rPr>
        <w:t>Other PFIC Rules</w:t>
      </w:r>
    </w:p>
    <w:p>
      <w:pPr>
        <w:pStyle w:val="TextBody"/>
        <w:bidi w:val="0"/>
        <w:jc w:val="both"/>
        <w:rPr/>
      </w:pPr>
      <w:r>
        <w:rPr/>
        <w:t>Under the Proposed Treasury Regulations, subject to certain exceptions, a U.S. Holder that had not made a timely QEF Election would recognize gain (but not loss) upon certain transfers of Warrant Shares that would otherwise be tax-deferred (e.g., gifts and exchanges pursuant to corporate reorganizations). However, the specific U.S. federal income tax consequences to a U.S. Holder may vary based on the manner in which Warrant Shares are transferred.</w:t>
      </w:r>
    </w:p>
    <w:p>
      <w:pPr>
        <w:pStyle w:val="TextBody"/>
        <w:bidi w:val="0"/>
        <w:jc w:val="both"/>
        <w:rPr/>
      </w:pPr>
      <w:r>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9" w:name="page_35"/>
      <w:bookmarkEnd w:id="49"/>
      <w:r>
        <w:rPr/>
        <w:t>Certain additional adverse rules may apply with respect to a U.S. Holder if the Corporation is a PFIC, regardless of whether such U.S. Holder makes a QEF Election. For example, under Section 1298(b)(6) of the Code, a U.S. Holder that uses Warrant Shares as security for a loan will, except as may be provided in Treasury Regulations, be treated as having made a taxable disposition of such Warrant Shares.</w:t>
      </w:r>
    </w:p>
    <w:p>
      <w:pPr>
        <w:pStyle w:val="TextBody"/>
        <w:bidi w:val="0"/>
        <w:jc w:val="both"/>
        <w:rPr/>
      </w:pPr>
      <w:r>
        <w:rPr/>
        <w:t>In addition, a U.S. Holder who acquires Warrant Shares from a decedent will not receive a “step up” in tax basis of such Warrant Shares to fair market value unless such decedent had a timely and effective QEF Election in place.</w:t>
      </w:r>
    </w:p>
    <w:p>
      <w:pPr>
        <w:pStyle w:val="TextBody"/>
        <w:bidi w:val="0"/>
        <w:jc w:val="both"/>
        <w:rPr/>
      </w:pPr>
      <w:r>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pStyle w:val="TextBody"/>
        <w:bidi w:val="0"/>
        <w:jc w:val="both"/>
        <w:rPr/>
      </w:pPr>
      <w:r>
        <w:rPr/>
        <w:t>The PFIC rules are complex, and each U.S. Holder should consult its own tax advisors regarding the PFIC rules and how the PFIC rules may affect the U.S. federal income tax consequences of the acquisition, ownership, and disposition of Warrant Shares.</w:t>
      </w:r>
    </w:p>
    <w:p>
      <w:pPr>
        <w:pStyle w:val="TextBody"/>
        <w:bidi w:val="0"/>
        <w:jc w:val="both"/>
        <w:rPr>
          <w:b/>
        </w:rPr>
      </w:pPr>
      <w:r>
        <w:rPr>
          <w:b/>
        </w:rPr>
        <w:t>General Rules Applicable to the Ownership and Disposition of Warrant Shares</w:t>
      </w:r>
    </w:p>
    <w:p>
      <w:pPr>
        <w:pStyle w:val="TextBody"/>
        <w:bidi w:val="0"/>
        <w:jc w:val="both"/>
        <w:rPr/>
      </w:pPr>
      <w:r>
        <w:rPr/>
        <w:t>The following discussion is subject, in its entirety, to the rules described above under the heading “Passive Foreign Investment Company Rules”.</w:t>
      </w:r>
    </w:p>
    <w:p>
      <w:pPr>
        <w:pStyle w:val="TextBody"/>
        <w:bidi w:val="0"/>
        <w:jc w:val="both"/>
        <w:rPr>
          <w:i/>
        </w:rPr>
      </w:pPr>
      <w:r>
        <w:rPr>
          <w:i/>
        </w:rPr>
        <w:t>Distributions on Warrant Shares</w:t>
      </w:r>
    </w:p>
    <w:p>
      <w:pPr>
        <w:pStyle w:val="TextBody"/>
        <w:bidi w:val="0"/>
        <w:jc w:val="both"/>
        <w:rPr/>
      </w:pPr>
      <w:r>
        <w:rPr/>
        <w:t>A U.S. Holder that receives a distribution, including a constructive distribution, with respect to a Common Share or Warrant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Warrant Shares, and thereafter as gain from the sale or exchange of such Warrant Shares. (see the section below entitled “</w:t>
      </w:r>
      <w:r>
        <w:rPr>
          <w:i/>
        </w:rPr>
        <w:t>Sale or Other Taxable Disposition of Warrant Shares</w:t>
      </w:r>
      <w:r>
        <w:rPr/>
        <w:t>”). However, the Corporation does not intend to maintain the calculations of its earnings and profits in accordance with U.S. federal income tax principles, and each U.S. Holder therefore should assume that any distribution by the Corporation with respect to the Warrant Shares will constitute ordinary dividend income. Dividends received on Warrant Shares by corporate U.S. Holders generally will not be eligible for the “dividends received deduction”. Subject to applicable limitations and provided the Corporation is eligible for the benefits of the Canada-U.S. Tax Convention or the Warrant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pStyle w:val="TextBody"/>
        <w:bidi w:val="0"/>
        <w:jc w:val="both"/>
        <w:rPr>
          <w:i/>
        </w:rPr>
      </w:pPr>
      <w:r>
        <w:rPr>
          <w:i/>
        </w:rPr>
        <w:t>Sale or Other Taxable Disposition of Warrant Shares</w:t>
      </w:r>
    </w:p>
    <w:p>
      <w:pPr>
        <w:pStyle w:val="TextBody"/>
        <w:bidi w:val="0"/>
        <w:jc w:val="both"/>
        <w:rPr/>
      </w:pPr>
      <w:r>
        <w:rPr/>
        <w:t>Upon the sale or other taxable disposition of Warrant Shares, a U.S. Holder generally will recognize capital gain or loss in an amount equal to the difference between the U.S. dollar value of cash received plus the fair market value of any property received and such U.S. Holder’s tax basis in such Warrant Shares sold or otherwise disposed of. A U.S. Holder’s tax basis in Warrant Shares generally will be such U.S. Holder’s U.S. dollar cost for such Warrant Shares. Gain or loss recognized on such sale or other taxable disposition generally will be long-term capital gain or loss if, at the time of the sale or other disposition, the Warrant Shares have been held for more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0" w:name="page_36"/>
      <w:bookmarkEnd w:id="50"/>
      <w:r>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pStyle w:val="TextBody"/>
        <w:bidi w:val="0"/>
        <w:jc w:val="both"/>
        <w:rPr>
          <w:b/>
        </w:rPr>
      </w:pPr>
      <w:r>
        <w:rPr>
          <w:b/>
        </w:rPr>
        <w:t xml:space="preserve">Additional Tax Considerations </w:t>
      </w:r>
    </w:p>
    <w:p>
      <w:pPr>
        <w:pStyle w:val="TextBody"/>
        <w:bidi w:val="0"/>
        <w:jc w:val="both"/>
        <w:rPr>
          <w:i/>
        </w:rPr>
      </w:pPr>
      <w:r>
        <w:rPr>
          <w:i/>
        </w:rPr>
        <w:t xml:space="preserve">Receipt of Foreign Currency </w:t>
      </w:r>
    </w:p>
    <w:p>
      <w:pPr>
        <w:pStyle w:val="TextBody"/>
        <w:bidi w:val="0"/>
        <w:jc w:val="both"/>
        <w:rPr/>
      </w:pPr>
      <w:r>
        <w:rPr/>
        <w:t>The amount of any distribution paid to a U.S. Holder in foreign currency, or on the sale, exchange or other taxable disposition of Warrant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pStyle w:val="TextBody"/>
        <w:bidi w:val="0"/>
        <w:jc w:val="both"/>
        <w:rPr>
          <w:i/>
        </w:rPr>
      </w:pPr>
      <w:r>
        <w:rPr>
          <w:i/>
        </w:rPr>
        <w:t xml:space="preserve">Foreign Tax Credit </w:t>
      </w:r>
    </w:p>
    <w:p>
      <w:pPr>
        <w:pStyle w:val="TextBody"/>
        <w:bidi w:val="0"/>
        <w:jc w:val="both"/>
        <w:rPr/>
      </w:pPr>
      <w:r>
        <w:rPr/>
        <w:t>Dividends paid on the Warrant Shares will be treated as foreign-source income, and generally will be treated as “passive category income” or “general category income” for U.S. foreign tax credit purposes. Any gain or loss recognized on a sale or other disposition of Warrant Shares generally will be United States source gain or loss. Certain U.S. Holders that are eligible for the benefits of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taxes paid or accrued (the “</w:t>
      </w:r>
      <w:r>
        <w:rPr>
          <w:b/>
        </w:rPr>
        <w:t>Foreign Tax Credit</w:t>
      </w:r>
      <w:r>
        <w:rPr/>
        <w:t xml:space="preserve"> </w:t>
      </w:r>
      <w:r>
        <w:rPr>
          <w:b/>
        </w:rPr>
        <w:t>Regulations</w:t>
      </w:r>
      <w:r>
        <w:rPr/>
        <w:t>”) impose additional requirements for Canadian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pStyle w:val="TextBody"/>
        <w:bidi w:val="0"/>
        <w:jc w:val="both"/>
        <w:rPr/>
      </w:pPr>
      <w:r>
        <w:rPr/>
        <w:t>Subject to the PFIC rules and the Foreign Tax Credit Regulations, each as discussed above, a U.S. Holder that pays (whether directly or through withholding) Canadian income tax with respect to dividends paid on the Warrant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pStyle w:val="TextBody"/>
        <w:bidi w:val="0"/>
        <w:jc w:val="both"/>
        <w:rPr>
          <w:i/>
        </w:rPr>
      </w:pPr>
      <w:r>
        <w:rPr>
          <w:i/>
        </w:rPr>
        <w:t xml:space="preserve">Backup Withholding and Information Reporting </w:t>
      </w:r>
    </w:p>
    <w:p>
      <w:pPr>
        <w:pStyle w:val="TextBody"/>
        <w:bidi w:val="0"/>
        <w:jc w:val="both"/>
        <w:rPr/>
      </w:pPr>
      <w:r>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Warrant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1" w:name="page_37"/>
      <w:bookmarkEnd w:id="51"/>
      <w:r>
        <w:rPr/>
        <w:t>Payments made within the U.S. or by a U.S. payor or U.S. middleman, of dividends on, and proceeds arising from the sale or other taxable disposition of Warrant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pStyle w:val="TextBody"/>
        <w:bidi w:val="0"/>
        <w:jc w:val="both"/>
        <w:rPr/>
      </w:pPr>
      <w:r>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pStyle w:val="TextBody"/>
        <w:bidi w:val="0"/>
        <w:jc w:val="both"/>
        <w:rPr/>
      </w:pPr>
      <w:r>
        <w:rPr>
          <w:b/>
        </w:rPr>
        <w:t>THE ABOVE SUMMARY IS NOT INTENDED TO CONSTITUTE A COMPLETE ANALYSIS OF ALL TAX CONSIDERATIONS APPLICABLE TO U.S. HOLDERS WITH RESPECT TO THE ACQUISITION, OWNERSHIP AND DISPOSITION OF WARRANT SHARES. U.S. HOLDERS SHOULD CONSULT THEIR OWN TAX ADVISORS AS TO THE TAX CONSIDERATIONS APPLICABLE TO THEM IN LIGHT OF THEIR OWN PARTICULAR CIRCUMSTANCES.</w:t>
      </w:r>
      <w:r>
        <w:rPr/>
        <w:t xml:space="preserve"> </w:t>
      </w:r>
    </w:p>
    <w:p>
      <w:pPr>
        <w:pStyle w:val="TextBody"/>
        <w:bidi w:val="0"/>
        <w:jc w:val="center"/>
        <w:rPr>
          <w:b/>
        </w:rPr>
      </w:pPr>
      <w:r>
        <w:rPr>
          <w:b/>
        </w:rPr>
        <w:t>EXPERTS</w:t>
      </w:r>
    </w:p>
    <w:p>
      <w:pPr>
        <w:pStyle w:val="TextBody"/>
        <w:bidi w:val="0"/>
        <w:jc w:val="both"/>
        <w:rPr/>
      </w:pPr>
      <w:r>
        <w:rPr/>
        <w:t>Certain legal matters in connection with the offering of the Securities will be passed upon by Aird &amp; Berlis LLP on behalf of the Corporation.</w:t>
      </w:r>
    </w:p>
    <w:p>
      <w:pPr>
        <w:pStyle w:val="TextBody"/>
        <w:bidi w:val="0"/>
        <w:jc w:val="both"/>
        <w:rPr/>
      </w:pPr>
      <w:r>
        <w:rPr/>
        <w:t>As of the date of this Prospectus Supplement, the partners and associates of Aird &amp; Berlis LLP beneficially owned, directly or indirectly, less than 1% of the outstanding securities of the Corporation.</w:t>
      </w:r>
    </w:p>
    <w:p>
      <w:pPr>
        <w:pStyle w:val="TextBody"/>
        <w:bidi w:val="0"/>
        <w:jc w:val="center"/>
        <w:rPr>
          <w:b/>
        </w:rPr>
      </w:pPr>
      <w:r>
        <w:rPr>
          <w:b/>
        </w:rPr>
        <w:t>AUDITORS, TRANSFER AGENT AND REGISTRAR</w:t>
      </w:r>
    </w:p>
    <w:p>
      <w:pPr>
        <w:pStyle w:val="TextBody"/>
        <w:bidi w:val="0"/>
        <w:jc w:val="both"/>
        <w:rPr/>
      </w:pPr>
      <w:r>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pStyle w:val="TextBody"/>
        <w:bidi w:val="0"/>
        <w:jc w:val="both"/>
        <w:rPr/>
      </w:pPr>
      <w:r>
        <w:rPr/>
        <w:t>The registrar and transfer agent of the Common Shares is Odyssey Trust Company at its principal office in Calgary, Alberta.</w:t>
      </w:r>
    </w:p>
    <w:p>
      <w:pPr>
        <w:pStyle w:val="TextBody"/>
        <w:bidi w:val="0"/>
        <w:jc w:val="center"/>
        <w:rPr>
          <w:b/>
        </w:rPr>
      </w:pPr>
      <w:r>
        <w:rPr>
          <w:b/>
        </w:rPr>
        <w:t>EXEMPTIONS</w:t>
      </w:r>
    </w:p>
    <w:p>
      <w:pPr>
        <w:pStyle w:val="TextBody"/>
        <w:bidi w:val="0"/>
        <w:jc w:val="both"/>
        <w:rPr/>
      </w:pPr>
      <w:r>
        <w:rPr/>
        <w:t>Pursuant to a decision of the Autorité des marchés financiers dated June 10, 2021, the Corporation was granted a permanent exemption from the requirement to translate into French this Prospectus Supplement, the Base Shelf Prospectus as well as the documents incorporated by reference herein and therein. The exemption was granted on the condition that the Base Shelf Prospectus and any Prospectus Supplement (other than in relation to an "at-the-market distribution") be translated into French if the Corporation offers Securities to Québec purchasers in connection with an offering other than in relation to an "at-the-market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52" w:name="page_38"/>
      <w:bookmarkEnd w:id="52"/>
      <w:r>
        <w:rPr>
          <w:b/>
        </w:rPr>
        <w:t>ADDITIONAL INFORMATION</w:t>
      </w:r>
    </w:p>
    <w:p>
      <w:pPr>
        <w:pStyle w:val="TextBody"/>
        <w:bidi w:val="0"/>
        <w:jc w:val="both"/>
        <w:rPr/>
      </w:pPr>
      <w:r>
        <w:rPr/>
        <w:t xml:space="preserve">The Corporation has filed with the SEC the Registration Statement on Form F-10 under the U.S. Securities Act relating to the Corporation's Securities offered hereby,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Securities offered hereby. Information omitted from this Prospectus Supplement and the accompanying Prospectus, but contained in the Registration Statement is available on EDGAR under the Corporation's profile at </w:t>
      </w:r>
      <w:r>
        <w:rPr>
          <w:color w:val="0563C1"/>
          <w:u w:val="single"/>
        </w:rPr>
        <w:t>www.sec.gov</w:t>
      </w:r>
      <w:r>
        <w:rPr/>
        <w:t>. Investors should review the Registration Statement and the exhibits thereto for further information with respect to us and the Securities offered hereby.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pStyle w:val="TextBody"/>
        <w:bidi w:val="0"/>
        <w:jc w:val="both"/>
        <w:rPr/>
      </w:pPr>
      <w:r>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pStyle w:val="TextBody"/>
        <w:bidi w:val="0"/>
        <w:jc w:val="center"/>
        <w:rPr>
          <w:b/>
        </w:rPr>
      </w:pPr>
      <w:r>
        <w:rPr>
          <w:b/>
        </w:rPr>
        <w:t>ENFORCEABILITY OF CIVIL LIABILITIES BY U.S. INVESTORS</w:t>
      </w:r>
    </w:p>
    <w:p>
      <w:pPr>
        <w:pStyle w:val="TextBody"/>
        <w:bidi w:val="0"/>
        <w:jc w:val="both"/>
        <w:rPr/>
      </w:pPr>
      <w:r>
        <w:rPr/>
        <w:t xml:space="preserve">The Corporation is a corporation existing under the </w:t>
      </w:r>
      <w:r>
        <w:rPr>
          <w:i/>
        </w:rPr>
        <w:t>Business Corporations Act</w:t>
      </w:r>
      <w:r>
        <w:rPr/>
        <w:t xml:space="preserve"> (Ontario). Other than Douglas Drysdale, Chief Executive Officer, and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Warrant Shares who reside in the United States to realize upon judgments of courts of the United States predicated upon the Corporation’s civil liability and the civil liability of its directors, officers and experts under the United States federal securities laws.</w:t>
      </w:r>
    </w:p>
    <w:p>
      <w:pPr>
        <w:pStyle w:val="TextBody"/>
        <w:bidi w:val="0"/>
        <w:jc w:val="both"/>
        <w:rPr/>
      </w:pPr>
      <w:r>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pStyle w:val="TextBody"/>
        <w:bidi w:val="0"/>
        <w:jc w:val="both"/>
        <w:rPr/>
      </w:pPr>
      <w:r>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Warrant Shares under this Prospectus Supplement and the accompanying Base Shelf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eading5"/>
        <w:bidi w:val="0"/>
        <w:jc w:val="left"/>
        <w:rPr/>
      </w:pPr>
      <w:hyperlink w:anchor="toc">
        <w:bookmarkStart w:id="53" w:name="page_39"/>
        <w:bookmarkEnd w:id="53"/>
        <w:r>
          <w:rPr>
            <w:rStyle w:val="InternetLink"/>
          </w:rPr>
          <w:t>Table of Contents</w:t>
        </w:r>
      </w:hyperlink>
    </w:p>
    <w:tbl>
      <w:tblPr>
        <w:tblW w:w="2335" w:type="dxa"/>
        <w:jc w:val="left"/>
        <w:tblInd w:w="0" w:type="dxa"/>
        <w:tblLayout w:type="fixed"/>
        <w:tblCellMar>
          <w:top w:w="0" w:type="dxa"/>
          <w:left w:w="0" w:type="dxa"/>
          <w:bottom w:w="0" w:type="dxa"/>
          <w:right w:w="0" w:type="dxa"/>
        </w:tblCellMar>
      </w:tblPr>
      <w:tblGrid>
        <w:gridCol w:w="1025"/>
        <w:gridCol w:w="120"/>
        <w:gridCol w:w="1190"/>
      </w:tblGrid>
      <w:tr>
        <w:trPr/>
        <w:tc>
          <w:tcPr>
            <w:tcW w:w="10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u w:val="single"/>
              </w:rPr>
            </w:pPr>
            <w:r>
              <w:rPr>
                <w:u w:val="single"/>
              </w:rPr>
              <w:t>New Issue</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July 5, 2021</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SHORT FORM BASE SHELF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7350" cy="1076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1076325"/>
                    </a:xfrm>
                    <a:prstGeom prst="rect">
                      <a:avLst/>
                    </a:prstGeom>
                  </pic:spPr>
                </pic:pic>
              </a:graphicData>
            </a:graphic>
          </wp:inline>
        </w:drawing>
      </w:r>
    </w:p>
    <w:p>
      <w:pPr>
        <w:pStyle w:val="TextBody"/>
        <w:bidi w:val="0"/>
        <w:spacing w:before="60" w:after="0"/>
        <w:jc w:val="center"/>
        <w:rPr>
          <w:rFonts w:ascii="Times New Roman" w:hAnsi="Times New Roman"/>
          <w:b/>
          <w:sz w:val="44"/>
        </w:rPr>
      </w:pPr>
      <w:r>
        <w:rPr>
          <w:rFonts w:ascii="Times New Roman" w:hAnsi="Times New Roman"/>
          <w:b/>
          <w:sz w:val="44"/>
        </w:rPr>
        <w:t xml:space="preserve">CYBIN INC. </w:t>
      </w:r>
    </w:p>
    <w:p>
      <w:pPr>
        <w:pStyle w:val="TextBody"/>
        <w:bidi w:val="0"/>
        <w:spacing w:before="60" w:after="0"/>
        <w:jc w:val="center"/>
        <w:rPr>
          <w:rFonts w:ascii="Times New Roman" w:hAnsi="Times New Roman"/>
          <w:b/>
          <w:sz w:val="32"/>
        </w:rPr>
      </w:pPr>
      <w:r>
        <w:rPr>
          <w:rFonts w:ascii="Times New Roman" w:hAnsi="Times New Roman"/>
          <w:b/>
          <w:sz w:val="32"/>
        </w:rPr>
        <w:t xml:space="preserve">$125,000,000 </w:t>
      </w:r>
    </w:p>
    <w:p>
      <w:pPr>
        <w:pStyle w:val="TextBody"/>
        <w:bidi w:val="0"/>
        <w:spacing w:before="60" w:after="0"/>
        <w:jc w:val="center"/>
        <w:rPr>
          <w:rFonts w:ascii="Times New Roman" w:hAnsi="Times New Roman"/>
          <w:b/>
          <w:sz w:val="24"/>
        </w:rPr>
      </w:pPr>
      <w:r>
        <w:rPr>
          <w:rFonts w:ascii="Times New Roman" w:hAnsi="Times New Roman"/>
          <w:b/>
          <w:sz w:val="24"/>
        </w:rPr>
        <w:t xml:space="preserve">Common Shares </w:t>
      </w:r>
    </w:p>
    <w:p>
      <w:pPr>
        <w:pStyle w:val="TextBody"/>
        <w:bidi w:val="0"/>
        <w:spacing w:before="6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Receipts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6"/>
        </w:rPr>
      </w:pPr>
      <w:r>
        <w:rPr>
          <w:rFonts w:ascii="Times New Roman" w:hAnsi="Times New Roman"/>
          <w:sz w:val="16"/>
        </w:rPr>
        <w:t>This short form base shelf prospectus (“</w:t>
      </w:r>
      <w:r>
        <w:rPr>
          <w:rFonts w:ascii="Times New Roman" w:hAnsi="Times New Roman"/>
          <w:b/>
          <w:sz w:val="16"/>
        </w:rPr>
        <w:t>Prospectus</w:t>
      </w:r>
      <w:r>
        <w:rPr>
          <w:rFonts w:ascii="Times New Roman" w:hAnsi="Times New Roman"/>
          <w:sz w:val="16"/>
        </w:rPr>
        <w:t>”) relates to the offering for sale from time to time (each, an “</w:t>
      </w:r>
      <w:r>
        <w:rPr>
          <w:rFonts w:ascii="Times New Roman" w:hAnsi="Times New Roman"/>
          <w:b/>
          <w:sz w:val="16"/>
        </w:rPr>
        <w:t>Offering</w:t>
      </w:r>
      <w:r>
        <w:rPr>
          <w:rFonts w:ascii="Times New Roman" w:hAnsi="Times New Roman"/>
          <w:sz w:val="16"/>
        </w:rPr>
        <w:t>”) by Cybin Inc. (the “</w:t>
      </w:r>
      <w:r>
        <w:rPr>
          <w:rFonts w:ascii="Times New Roman" w:hAnsi="Times New Roman"/>
          <w:b/>
          <w:sz w:val="16"/>
        </w:rPr>
        <w:t>Corporation</w:t>
      </w:r>
      <w:r>
        <w:rPr>
          <w:rFonts w:ascii="Times New Roman" w:hAnsi="Times New Roman"/>
          <w:sz w:val="16"/>
        </w:rPr>
        <w:t>” or “</w:t>
      </w:r>
      <w:r>
        <w:rPr>
          <w:rFonts w:ascii="Times New Roman" w:hAnsi="Times New Roman"/>
          <w:b/>
          <w:sz w:val="16"/>
        </w:rPr>
        <w:t>Cybin</w:t>
      </w:r>
      <w:r>
        <w:rPr>
          <w:rFonts w:ascii="Times New Roman" w:hAnsi="Times New Roman"/>
          <w:sz w:val="16"/>
        </w:rPr>
        <w:t>”) during the 25-month period that this Prospectus, including any of amendments thereto, remains valid, of up to $125,000,000 in the aggregate of: (i) common shares (“</w:t>
      </w:r>
      <w:r>
        <w:rPr>
          <w:rFonts w:ascii="Times New Roman" w:hAnsi="Times New Roman"/>
          <w:b/>
          <w:sz w:val="16"/>
        </w:rPr>
        <w:t>Common Shares</w:t>
      </w:r>
      <w:r>
        <w:rPr>
          <w:rFonts w:ascii="Times New Roman" w:hAnsi="Times New Roman"/>
          <w:sz w:val="16"/>
        </w:rPr>
        <w:t>”) of the Corporation; (ii) warrants (“</w:t>
      </w:r>
      <w:r>
        <w:rPr>
          <w:rFonts w:ascii="Times New Roman" w:hAnsi="Times New Roman"/>
          <w:b/>
          <w:sz w:val="16"/>
        </w:rPr>
        <w:t>Warrants</w:t>
      </w:r>
      <w:r>
        <w:rPr>
          <w:rFonts w:ascii="Times New Roman" w:hAnsi="Times New Roman"/>
          <w:sz w:val="16"/>
        </w:rPr>
        <w:t>”) to purchase other Securities (as defined below) of the Corporation; (iii) units (“</w:t>
      </w:r>
      <w:r>
        <w:rPr>
          <w:rFonts w:ascii="Times New Roman" w:hAnsi="Times New Roman"/>
          <w:b/>
          <w:sz w:val="16"/>
        </w:rPr>
        <w:t>Units</w:t>
      </w:r>
      <w:r>
        <w:rPr>
          <w:rFonts w:ascii="Times New Roman" w:hAnsi="Times New Roman"/>
          <w:sz w:val="16"/>
        </w:rPr>
        <w:t>”) comprising of one or more of the other Securities, (iv) senior and subordinated unsecured debt securities (collectively, “</w:t>
      </w:r>
      <w:r>
        <w:rPr>
          <w:rFonts w:ascii="Times New Roman" w:hAnsi="Times New Roman"/>
          <w:b/>
          <w:sz w:val="16"/>
        </w:rPr>
        <w:t>Debt Securities</w:t>
      </w:r>
      <w:r>
        <w:rPr>
          <w:rFonts w:ascii="Times New Roman" w:hAnsi="Times New Roman"/>
          <w:sz w:val="16"/>
        </w:rPr>
        <w:t>”), including debt securities convertible or exchangeable into other securities of the Corporation, and (v) subscription receipts (“</w:t>
      </w:r>
      <w:r>
        <w:rPr>
          <w:rFonts w:ascii="Times New Roman" w:hAnsi="Times New Roman"/>
          <w:b/>
          <w:sz w:val="16"/>
        </w:rPr>
        <w:t>Subscription Receipts</w:t>
      </w:r>
      <w:r>
        <w:rPr>
          <w:rFonts w:ascii="Times New Roman" w:hAnsi="Times New Roman"/>
          <w:sz w:val="16"/>
        </w:rPr>
        <w:t>” and together with the Common Shares, Warrants, Units and Debt Securities, collectively referred to herein as the “</w:t>
      </w:r>
      <w:r>
        <w:rPr>
          <w:rFonts w:ascii="Times New Roman" w:hAnsi="Times New Roman"/>
          <w:b/>
          <w:sz w:val="16"/>
        </w:rPr>
        <w:t>Securities</w:t>
      </w:r>
      <w:r>
        <w:rPr>
          <w:rFonts w:ascii="Times New Roman" w:hAnsi="Times New Roman"/>
          <w:sz w:val="16"/>
        </w:rPr>
        <w:t>”). The Securities may be offered separately or together, in amounts, at prices and on terms determined based on market conditions at the time of the sale and as set forth in an accompanying prospectus supplement (“</w:t>
      </w:r>
      <w:r>
        <w:rPr>
          <w:rFonts w:ascii="Times New Roman" w:hAnsi="Times New Roman"/>
          <w:b/>
          <w:sz w:val="16"/>
        </w:rPr>
        <w:t>Prospectus Supplement</w:t>
      </w:r>
      <w:r>
        <w:rPr>
          <w:rFonts w:ascii="Times New Roman" w:hAnsi="Times New Roman"/>
          <w:sz w:val="16"/>
        </w:rPr>
        <w:t>”).</w:t>
      </w:r>
    </w:p>
    <w:p>
      <w:pPr>
        <w:pStyle w:val="TextBody"/>
        <w:bidi w:val="0"/>
        <w:spacing w:before="60" w:after="0"/>
        <w:jc w:val="left"/>
        <w:rPr>
          <w:rFonts w:ascii="Times New Roman" w:hAnsi="Times New Roman"/>
          <w:sz w:val="16"/>
        </w:rPr>
      </w:pPr>
      <w:r>
        <w:rPr>
          <w:rFonts w:ascii="Times New Roman" w:hAnsi="Times New Roman"/>
          <w:sz w:val="16"/>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pStyle w:val="TextBody"/>
        <w:bidi w:val="0"/>
        <w:spacing w:before="60" w:after="0"/>
        <w:jc w:val="left"/>
        <w:rPr>
          <w:rFonts w:ascii="Times New Roman" w:hAnsi="Times New Roman"/>
          <w:sz w:val="16"/>
        </w:rPr>
      </w:pPr>
      <w:r>
        <w:rPr>
          <w:rFonts w:ascii="Times New Roman" w:hAnsi="Times New Roman"/>
          <w:sz w:val="16"/>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pStyle w:val="TextBody"/>
        <w:bidi w:val="0"/>
        <w:spacing w:before="60" w:after="0"/>
        <w:jc w:val="left"/>
        <w:rPr>
          <w:rFonts w:ascii="Times New Roman" w:hAnsi="Times New Roman"/>
          <w:sz w:val="16"/>
        </w:rPr>
      </w:pPr>
      <w:r>
        <w:rPr>
          <w:rFonts w:ascii="Times New Roman" w:hAnsi="Times New Roman"/>
          <w:sz w:val="16"/>
        </w:rPr>
        <w:t>The Securities may be sold through underwriters or dealers, directly by us pursuant to applicable statutory exemptions, or through designated agents from time to time. See “</w:t>
      </w:r>
      <w:r>
        <w:rPr>
          <w:rFonts w:ascii="Times New Roman" w:hAnsi="Times New Roman"/>
          <w:i/>
          <w:sz w:val="16"/>
        </w:rPr>
        <w:t>Plan of Distribution”.</w:t>
      </w:r>
      <w:r>
        <w:rPr>
          <w:rFonts w:ascii="Times New Roman" w:hAnsi="Times New Roman"/>
          <w:sz w:val="16"/>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us and any other material terms of the plan of distribution.</w:t>
      </w:r>
    </w:p>
    <w:p>
      <w:pPr>
        <w:pStyle w:val="TextBody"/>
        <w:bidi w:val="0"/>
        <w:spacing w:before="60" w:after="0"/>
        <w:jc w:val="left"/>
        <w:rPr>
          <w:rFonts w:ascii="Times New Roman" w:hAnsi="Times New Roman"/>
          <w:sz w:val="16"/>
        </w:rPr>
      </w:pPr>
      <w:r>
        <w:rPr>
          <w:rFonts w:ascii="Times New Roman" w:hAnsi="Times New Roman"/>
          <w:sz w:val="16"/>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hAnsi="Times New Roman"/>
          <w:i/>
          <w:sz w:val="16"/>
        </w:rPr>
        <w:t>Shelf Distributions</w:t>
      </w:r>
      <w:r>
        <w:rPr>
          <w:rFonts w:ascii="Times New Roman" w:hAnsi="Times New Roman"/>
          <w:sz w:val="16"/>
        </w:rPr>
        <w:t xml:space="preserve"> (“</w:t>
      </w:r>
      <w:r>
        <w:rPr>
          <w:rFonts w:ascii="Times New Roman" w:hAnsi="Times New Roman"/>
          <w:b/>
          <w:sz w:val="16"/>
        </w:rPr>
        <w:t>NI 44-102</w:t>
      </w:r>
      <w:r>
        <w:rPr>
          <w:rFonts w:ascii="Times New Roman" w:hAnsi="Times New Roman"/>
          <w:sz w:val="16"/>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Times New Roman" w:hAnsi="Times New Roman"/>
          <w:b/>
          <w:sz w:val="16"/>
        </w:rPr>
        <w:t>NEO</w:t>
      </w:r>
      <w:r>
        <w:rPr>
          <w:rFonts w:ascii="Times New Roman" w:hAnsi="Times New Roman"/>
          <w:sz w:val="16"/>
        </w:rPr>
        <w:t>”) or other existing trading markets for the Securities, and as set forth in an accompanying Prospectus Supplement, in which case the compensation payable to an underwriter, dealer or agent in connection with any such sale will be decreased by the</w:t>
      </w:r>
    </w:p>
    <w:p>
      <w:pPr>
        <w:pStyle w:val="HorizontalLine"/>
        <w:pBdr>
          <w:bottom w:val="single" w:sz="30" w:space="0" w:color="000000"/>
        </w:pBdr>
        <w:bidi w:val="0"/>
        <w:jc w:val="left"/>
        <w:rPr/>
      </w:pPr>
      <w:r>
        <w:rPr/>
      </w:r>
    </w:p>
    <w:p>
      <w:pPr>
        <w:pStyle w:val="Heading5"/>
        <w:bidi w:val="0"/>
        <w:jc w:val="left"/>
        <w:rPr/>
      </w:pPr>
      <w:hyperlink w:anchor="toc">
        <w:bookmarkStart w:id="54" w:name="page_40"/>
        <w:bookmarkEnd w:id="54"/>
        <w:r>
          <w:rPr>
            <w:rStyle w:val="InternetLink"/>
          </w:rPr>
          <w:t>Table of Contents</w:t>
        </w:r>
      </w:hyperlink>
    </w:p>
    <w:p>
      <w:pPr>
        <w:pStyle w:val="TextBody"/>
        <w:bidi w:val="0"/>
        <w:spacing w:before="0" w:after="0"/>
        <w:jc w:val="left"/>
        <w:rPr>
          <w:rFonts w:ascii="Times New Roman" w:hAnsi="Times New Roman"/>
          <w:sz w:val="16"/>
        </w:rPr>
      </w:pPr>
      <w:r>
        <w:rPr>
          <w:rFonts w:ascii="Times New Roman" w:hAnsi="Times New Roman"/>
          <w:sz w:val="16"/>
        </w:rPr>
        <w:t>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Times New Roman" w:hAnsi="Times New Roman"/>
          <w:i/>
          <w:sz w:val="16"/>
        </w:rPr>
        <w:t>Plan of Distribution”</w:t>
      </w:r>
      <w:r>
        <w:rPr>
          <w:rFonts w:ascii="Times New Roman" w:hAnsi="Times New Roman"/>
          <w:sz w:val="16"/>
        </w:rPr>
        <w:t>.</w:t>
      </w:r>
    </w:p>
    <w:p>
      <w:pPr>
        <w:pStyle w:val="TextBody"/>
        <w:bidi w:val="0"/>
        <w:spacing w:before="60" w:after="0"/>
        <w:jc w:val="left"/>
        <w:rPr>
          <w:rFonts w:ascii="Times New Roman" w:hAnsi="Times New Roman"/>
          <w:sz w:val="16"/>
        </w:rPr>
      </w:pPr>
      <w:r>
        <w:rPr>
          <w:rFonts w:ascii="Times New Roman" w:hAnsi="Times New Roman"/>
          <w:sz w:val="16"/>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London Inter-Bank Offered Rate (LIBOR), Euro Inter-Bank Offered Rate (EURIBOR) or a United States federal funds rate.</w:t>
      </w:r>
    </w:p>
    <w:p>
      <w:pPr>
        <w:pStyle w:val="TextBody"/>
        <w:bidi w:val="0"/>
        <w:spacing w:before="60" w:after="0"/>
        <w:jc w:val="left"/>
        <w:rPr>
          <w:rFonts w:ascii="Times New Roman" w:hAnsi="Times New Roman"/>
          <w:sz w:val="16"/>
        </w:rPr>
      </w:pPr>
      <w:r>
        <w:rPr>
          <w:rFonts w:ascii="Times New Roman" w:hAnsi="Times New Roman"/>
          <w:sz w:val="16"/>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spacing w:before="60" w:after="0"/>
        <w:jc w:val="left"/>
        <w:rPr>
          <w:rFonts w:ascii="Times New Roman" w:hAnsi="Times New Roman"/>
          <w:sz w:val="16"/>
        </w:rPr>
      </w:pPr>
      <w:r>
        <w:rPr>
          <w:rFonts w:ascii="Times New Roman" w:hAnsi="Times New Roman"/>
          <w:sz w:val="16"/>
        </w:rPr>
        <w:t>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hAnsi="Times New Roman"/>
          <w:i/>
          <w:sz w:val="16"/>
        </w:rPr>
        <w:t>Plan of Distribution”</w:t>
      </w:r>
      <w:r>
        <w:rPr>
          <w:rFonts w:ascii="Times New Roman" w:hAnsi="Times New Roman"/>
          <w:sz w:val="16"/>
        </w:rPr>
        <w:t>.</w:t>
      </w:r>
    </w:p>
    <w:p>
      <w:pPr>
        <w:pStyle w:val="TextBody"/>
        <w:bidi w:val="0"/>
        <w:spacing w:before="60" w:after="0"/>
        <w:jc w:val="left"/>
        <w:rPr>
          <w:rFonts w:ascii="Times New Roman" w:hAnsi="Times New Roman"/>
          <w:sz w:val="16"/>
        </w:rPr>
      </w:pPr>
      <w:r>
        <w:rPr>
          <w:rFonts w:ascii="Times New Roman" w:hAnsi="Times New Roman"/>
          <w:sz w:val="16"/>
        </w:rPr>
        <w:t>The Common Shares are listed on the NEO under the trading symbol “CYBN”, and in the United States on the OTCQB under the trading symbol “CLXPF”. On July 2, 2021, the last trading day prior to the filing of this Prospectus, the closing prices of the Common Shares listed on the NEO and the OTCQB were $2.60 and US$2.12, respectively.</w:t>
      </w:r>
    </w:p>
    <w:p>
      <w:pPr>
        <w:pStyle w:val="TextBody"/>
        <w:bidi w:val="0"/>
        <w:spacing w:before="60" w:after="0"/>
        <w:jc w:val="left"/>
        <w:rPr>
          <w:rFonts w:ascii="Times New Roman" w:hAnsi="Times New Roman"/>
          <w:sz w:val="16"/>
        </w:rPr>
      </w:pPr>
      <w:r>
        <w:rPr>
          <w:rFonts w:ascii="Times New Roman" w:hAnsi="Times New Roman"/>
          <w:b/>
          <w:sz w:val="16"/>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hAnsi="Times New Roman"/>
          <w:sz w:val="16"/>
        </w:rPr>
        <w:t>“</w:t>
      </w:r>
      <w:r>
        <w:rPr>
          <w:rFonts w:ascii="Times New Roman" w:hAnsi="Times New Roman"/>
          <w:b/>
          <w:i/>
          <w:sz w:val="16"/>
        </w:rPr>
        <w:t>Risk Factors”</w:t>
      </w:r>
      <w:r>
        <w:rPr>
          <w:rFonts w:ascii="Times New Roman" w:hAnsi="Times New Roman"/>
          <w:b/>
          <w:sz w:val="16"/>
        </w:rPr>
        <w:t xml:space="preserve">. </w:t>
      </w:r>
    </w:p>
    <w:p>
      <w:pPr>
        <w:pStyle w:val="TextBody"/>
        <w:bidi w:val="0"/>
        <w:spacing w:before="60" w:after="0"/>
        <w:jc w:val="left"/>
        <w:rPr>
          <w:rFonts w:ascii="Times New Roman" w:hAnsi="Times New Roman"/>
          <w:b/>
          <w:sz w:val="16"/>
        </w:rPr>
      </w:pPr>
      <w:r>
        <w:rPr>
          <w:rFonts w:ascii="Times New Roman" w:hAnsi="Times New Roman"/>
          <w:b/>
          <w:sz w:val="16"/>
        </w:rPr>
        <w:t xml:space="preserve">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20"/>
        </w:rPr>
      </w:pPr>
      <w:r>
        <w:rPr>
          <w:rFonts w:ascii="Times New Roman" w:hAnsi="Times New Roman"/>
          <w:b/>
          <w:sz w:val="20"/>
        </w:rPr>
        <w:t xml:space="preserve">An investment in the Securities is subject to a number of risks, including those risks described in this Prospectus and documents incorporated by reference into this Prospectus. See </w:t>
      </w:r>
      <w:r>
        <w:rPr>
          <w:rFonts w:ascii="Times New Roman" w:hAnsi="Times New Roman"/>
          <w:sz w:val="20"/>
        </w:rPr>
        <w:t>“</w:t>
      </w:r>
      <w:r>
        <w:rPr>
          <w:rFonts w:ascii="Times New Roman" w:hAnsi="Times New Roman"/>
          <w:b/>
          <w:i/>
          <w:sz w:val="20"/>
        </w:rPr>
        <w:t>Risk Factors”</w:t>
      </w:r>
      <w:r>
        <w:rPr>
          <w:rFonts w:ascii="Times New Roman" w:hAnsi="Times New Roman"/>
          <w:sz w:val="20"/>
        </w:rPr>
        <w:t xml:space="preserve"> </w:t>
      </w:r>
      <w:r>
        <w:rPr>
          <w:rFonts w:ascii="Times New Roman" w:hAnsi="Times New Roman"/>
          <w:b/>
          <w:sz w:val="20"/>
        </w:rPr>
        <w:t xml:space="preserve">in this Prospectus and in the Corporation’s Annual Information Form and Annual MD&amp;A (each as defined herein) incorporated by reference herein. </w:t>
      </w:r>
    </w:p>
    <w:p>
      <w:pPr>
        <w:pStyle w:val="TextBody"/>
        <w:bidi w:val="0"/>
        <w:spacing w:before="60" w:after="0"/>
        <w:jc w:val="left"/>
        <w:rPr>
          <w:rFonts w:ascii="Times New Roman" w:hAnsi="Times New Roman"/>
          <w:b/>
          <w:sz w:val="16"/>
        </w:rPr>
      </w:pPr>
      <w:r>
        <w:rPr>
          <w:rFonts w:ascii="Times New Roman" w:hAnsi="Times New Roman"/>
          <w:b/>
          <w:sz w:val="16"/>
        </w:rPr>
        <w:t xml:space="preserve">No person is authorized by the Corporation to provide any information or to make any representation other than as contained in this Prospectus in connection with the issue and sale of the Securities offered hereunder. </w:t>
      </w:r>
    </w:p>
    <w:p>
      <w:pPr>
        <w:pStyle w:val="TextBody"/>
        <w:bidi w:val="0"/>
        <w:spacing w:before="60" w:after="0"/>
        <w:jc w:val="left"/>
        <w:rPr>
          <w:rFonts w:ascii="Times New Roman" w:hAnsi="Times New Roman"/>
          <w:b/>
          <w:sz w:val="16"/>
        </w:rPr>
      </w:pPr>
      <w:r>
        <w:rPr>
          <w:rFonts w:ascii="Times New Roman" w:hAnsi="Times New Roman"/>
          <w:b/>
          <w:sz w:val="16"/>
        </w:rPr>
        <w:t xml:space="preserve">No underwriter has been involved in the preparation of this Prospectus or performed any review of the contents hereof. </w:t>
      </w:r>
    </w:p>
    <w:p>
      <w:pPr>
        <w:pStyle w:val="TextBody"/>
        <w:bidi w:val="0"/>
        <w:spacing w:before="60" w:after="0"/>
        <w:jc w:val="left"/>
        <w:rPr>
          <w:rFonts w:ascii="Times New Roman" w:hAnsi="Times New Roman"/>
          <w:sz w:val="16"/>
        </w:rPr>
      </w:pPr>
      <w:r>
        <w:rPr>
          <w:rFonts w:ascii="Times New Roman" w:hAnsi="Times New Roman"/>
          <w:sz w:val="16"/>
        </w:rPr>
        <w:t>Each of Douglas Drysdale, Michael Palfreyman, Alex Nivorozhkin and Brett Green,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hAnsi="Times New Roman"/>
          <w:i/>
          <w:sz w:val="16"/>
        </w:rPr>
        <w:t>Risk Factors – Risks Related to an Offering – Enforcement of Civil Liabilities</w:t>
      </w:r>
      <w:r>
        <w:rPr>
          <w:rFonts w:ascii="Times New Roman" w:hAnsi="Times New Roman"/>
          <w:sz w:val="16"/>
        </w:rPr>
        <w:t>”.</w:t>
      </w:r>
    </w:p>
    <w:p>
      <w:pPr>
        <w:pStyle w:val="TextBody"/>
        <w:bidi w:val="0"/>
        <w:spacing w:before="60" w:after="0"/>
        <w:jc w:val="left"/>
        <w:rPr>
          <w:rFonts w:ascii="Times New Roman" w:hAnsi="Times New Roman"/>
          <w:sz w:val="16"/>
        </w:rPr>
      </w:pPr>
      <w:r>
        <w:rPr>
          <w:rFonts w:ascii="Times New Roman" w:hAnsi="Times New Roman"/>
          <w:sz w:val="16"/>
        </w:rPr>
        <w:t>In this Prospectus, references to the “</w:t>
      </w:r>
      <w:r>
        <w:rPr>
          <w:rFonts w:ascii="Times New Roman" w:hAnsi="Times New Roman"/>
          <w:b/>
          <w:sz w:val="16"/>
        </w:rPr>
        <w:t>Corporation</w:t>
      </w:r>
      <w:r>
        <w:rPr>
          <w:rFonts w:ascii="Times New Roman" w:hAnsi="Times New Roman"/>
          <w:sz w:val="16"/>
        </w:rPr>
        <w:t>”, “</w:t>
      </w:r>
      <w:r>
        <w:rPr>
          <w:rFonts w:ascii="Times New Roman" w:hAnsi="Times New Roman"/>
          <w:b/>
          <w:sz w:val="16"/>
        </w:rPr>
        <w:t>Cybin</w:t>
      </w:r>
      <w:r>
        <w:rPr>
          <w:rFonts w:ascii="Times New Roman" w:hAnsi="Times New Roman"/>
          <w:sz w:val="16"/>
        </w:rPr>
        <w:t>”, “</w:t>
      </w:r>
      <w:r>
        <w:rPr>
          <w:rFonts w:ascii="Times New Roman" w:hAnsi="Times New Roman"/>
          <w:b/>
          <w:sz w:val="16"/>
        </w:rPr>
        <w:t>we</w:t>
      </w:r>
      <w:r>
        <w:rPr>
          <w:rFonts w:ascii="Times New Roman" w:hAnsi="Times New Roman"/>
          <w:sz w:val="16"/>
        </w:rPr>
        <w:t>”, “</w:t>
      </w:r>
      <w:r>
        <w:rPr>
          <w:rFonts w:ascii="Times New Roman" w:hAnsi="Times New Roman"/>
          <w:b/>
          <w:sz w:val="16"/>
        </w:rPr>
        <w:t>us</w:t>
      </w:r>
      <w:r>
        <w:rPr>
          <w:rFonts w:ascii="Times New Roman" w:hAnsi="Times New Roman"/>
          <w:sz w:val="16"/>
        </w:rPr>
        <w:t>” and “</w:t>
      </w:r>
      <w:r>
        <w:rPr>
          <w:rFonts w:ascii="Times New Roman" w:hAnsi="Times New Roman"/>
          <w:b/>
          <w:sz w:val="16"/>
        </w:rPr>
        <w:t>our</w:t>
      </w:r>
      <w:r>
        <w:rPr>
          <w:rFonts w:ascii="Times New Roman" w:hAnsi="Times New Roman"/>
          <w:sz w:val="16"/>
        </w:rPr>
        <w:t>” refer to Cybin Inc. and/or, as applicable, one or more of its subsidiaries. The Corporation’s registered and head office is located at 100 King Street West, Suite 5600, Toronto, Ontario M5X 1C9.</w:t>
      </w:r>
    </w:p>
    <w:p>
      <w:pPr>
        <w:pStyle w:val="TextBody"/>
        <w:bidi w:val="0"/>
        <w:spacing w:before="0" w:after="0"/>
        <w:jc w:val="left"/>
        <w:rPr/>
      </w:pPr>
      <w:r>
        <w:rPr/>
        <w:t> </w:t>
      </w:r>
    </w:p>
    <w:p>
      <w:pPr>
        <w:pStyle w:val="TextBody"/>
        <w:pBdr/>
        <w:bidi w:val="0"/>
        <w:spacing w:before="0" w:after="0"/>
        <w:ind w:left="0" w:right="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The Corporation currently has two business segments: (a) Serenity Life Sciences Inc. (“Serenity Life”) and Cybin US Holdings Inc. (“Cybin U.S.”) that focus on the research, development and commercialization of psychedelic-inspired regulated medicines; and (b) Natures Journey Inc. (“Natures Journey”) that focuses on consumer mental wellness, including, but not limited to, non-psychedelic mushroom nutraceutical products. Like most life sciences and pharmaceutical companies, Serenity Life’s and Cybin U.S.’s (psychedelic) business is focused on research and development, see </w:t>
      </w:r>
      <w:r>
        <w:rPr>
          <w:rFonts w:ascii="Times New Roman" w:hAnsi="Times New Roman"/>
          <w:sz w:val="16"/>
          <w:bdr w:val="single" w:sz="2" w:space="2" w:color="000000"/>
        </w:rPr>
        <w:t>“</w:t>
      </w:r>
      <w:r>
        <w:rPr>
          <w:rFonts w:ascii="Times New Roman" w:hAnsi="Times New Roman"/>
          <w:b/>
          <w:i/>
          <w:sz w:val="16"/>
          <w:bdr w:val="single" w:sz="2" w:space="2" w:color="000000"/>
        </w:rPr>
        <w:t>Use of Proceeds”</w:t>
      </w:r>
      <w:r>
        <w:rPr>
          <w:rFonts w:ascii="Times New Roman" w:hAnsi="Times New Roman"/>
          <w:b/>
          <w:sz w:val="16"/>
          <w:bdr w:val="single" w:sz="2" w:space="2" w:color="000000"/>
        </w:rPr>
        <w:t xml:space="preserve">. Currently the Corporation plans to conduct research and development on synthesized API from pharmaceutical manufacturers in Jamaica. No product will be commercialized prior to applicable legal or regulatory approval. </w:t>
      </w:r>
    </w:p>
    <w:p>
      <w:pPr>
        <w:pStyle w:val="TextBody"/>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The Canadian and United States federal governments regulate drugs through the </w:t>
      </w:r>
      <w:r>
        <w:rPr>
          <w:rFonts w:ascii="Times New Roman" w:hAnsi="Times New Roman"/>
          <w:b/>
          <w:i/>
          <w:sz w:val="16"/>
          <w:bdr w:val="single" w:sz="2" w:space="2" w:color="000000"/>
        </w:rPr>
        <w:t xml:space="preserve">Controlled Drugs and Substances Act </w:t>
      </w:r>
      <w:r>
        <w:rPr>
          <w:rFonts w:ascii="Times New Roman" w:hAnsi="Times New Roman"/>
          <w:b/>
          <w:sz w:val="16"/>
          <w:bdr w:val="single" w:sz="2" w:space="2" w:color="000000"/>
        </w:rPr>
        <w:t xml:space="preserve">(Canada) (the “CDSA”) and the </w:t>
      </w:r>
      <w:r>
        <w:rPr>
          <w:rFonts w:ascii="Times New Roman" w:hAnsi="Times New Roman"/>
          <w:b/>
          <w:i/>
          <w:sz w:val="16"/>
          <w:bdr w:val="single" w:sz="2" w:space="2" w:color="000000"/>
        </w:rPr>
        <w:t>Controlled Substances Act</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(21 U.S.C. § 811) (the “CSA”), respectively, which place controlled substances in a schedule. Under the CDSA, psilocybin is currently a Schedule III drug. Under the CSA, psilocybin is currently a Schedule I drug. </w:t>
      </w:r>
    </w:p>
    <w:p>
      <w:pPr>
        <w:pStyle w:val="TextBody"/>
        <w:pBdr/>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Unlike in Canada and the United States, psilocybin mushrooms are not an illegal drug under Jamaica’s </w:t>
      </w:r>
      <w:r>
        <w:rPr>
          <w:rFonts w:ascii="Times New Roman" w:hAnsi="Times New Roman"/>
          <w:b/>
          <w:i/>
          <w:sz w:val="16"/>
          <w:bdr w:val="single" w:sz="2" w:space="2" w:color="000000"/>
        </w:rPr>
        <w:t>Dangerous Drugs Act, 1948</w:t>
      </w:r>
      <w:r>
        <w:rPr>
          <w:rFonts w:ascii="Times New Roman" w:hAnsi="Times New Roman"/>
          <w:b/>
          <w:sz w:val="16"/>
          <w:bdr w:val="single" w:sz="2" w:space="2" w:color="000000"/>
        </w:rPr>
        <w:t xml:space="preserve">. The Corporation’s activity in relation to the sponsored research of psilocybin mushrooms, botanicals and other related fungi is limited to the jurisdiction of Jamaica. The Corporation’s future business activities in Jamaica involve the import of psychedelic and pharmaceutical based medicines (derived from mushrooms) for the purposes of research and development and clinical trials in Jamaica.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ii</w:t>
      </w:r>
    </w:p>
    <w:p>
      <w:pPr>
        <w:pStyle w:val="HorizontalLine"/>
        <w:pBdr>
          <w:bottom w:val="single" w:sz="30" w:space="0" w:color="000000"/>
        </w:pBdr>
        <w:bidi w:val="0"/>
        <w:jc w:val="left"/>
        <w:rPr/>
      </w:pPr>
      <w:r>
        <w:rPr/>
      </w:r>
    </w:p>
    <w:p>
      <w:pPr>
        <w:pStyle w:val="Heading5"/>
        <w:bidi w:val="0"/>
        <w:jc w:val="left"/>
        <w:rPr/>
      </w:pPr>
      <w:hyperlink w:anchor="toc">
        <w:bookmarkStart w:id="55" w:name="page_41"/>
        <w:bookmarkEnd w:id="55"/>
        <w:r>
          <w:rPr>
            <w:rStyle w:val="InternetLink"/>
          </w:rPr>
          <w:t>Table of Contents</w:t>
        </w:r>
      </w:hyperlink>
    </w:p>
    <w:p>
      <w:pPr>
        <w:pStyle w:val="TextBody"/>
        <w:pBdr/>
        <w:bidi w:val="0"/>
        <w:spacing w:before="0" w:after="0"/>
        <w:ind w:left="0" w:right="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In both Canada and the United States, the applicable federal government is responsible for regulating, among other things, the approval, import, sale and marketing of drugs, including any psychedelic substances, whether natural or novel. Health Canada, and the Food and Drug Administration (“FDA”) in the United States,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hAnsi="Times New Roman"/>
          <w:sz w:val="16"/>
          <w:bdr w:val="single" w:sz="2" w:space="2" w:color="000000"/>
        </w:rPr>
        <w:t>“</w:t>
      </w:r>
      <w:r>
        <w:rPr>
          <w:rFonts w:ascii="Times New Roman" w:hAnsi="Times New Roman"/>
          <w:b/>
          <w:i/>
          <w:sz w:val="16"/>
          <w:bdr w:val="single" w:sz="2" w:space="2" w:color="000000"/>
        </w:rPr>
        <w:t>Regulatory Overview – Research and Development”</w:t>
      </w:r>
      <w:r>
        <w:rPr>
          <w:rFonts w:ascii="Times New Roman" w:hAnsi="Times New Roman"/>
          <w:b/>
          <w:sz w:val="16"/>
          <w:bdr w:val="single" w:sz="2" w:space="2" w:color="000000"/>
        </w:rPr>
        <w:t xml:space="preserve">. </w:t>
      </w:r>
    </w:p>
    <w:p>
      <w:pPr>
        <w:pStyle w:val="TextBody"/>
        <w:bidi w:val="0"/>
        <w:spacing w:before="60" w:after="0"/>
        <w:ind w:left="60" w:right="60" w:hanging="0"/>
        <w:jc w:val="left"/>
        <w:rPr>
          <w:rFonts w:ascii="Times New Roman" w:hAnsi="Times New Roman"/>
          <w:b/>
          <w:sz w:val="16"/>
          <w:bdr w:val="single" w:sz="2" w:space="2" w:color="000000"/>
        </w:rPr>
      </w:pPr>
      <w:r>
        <w:rPr>
          <w:rFonts w:ascii="Times New Roman" w:hAnsi="Times New Roman"/>
          <w:b/>
          <w:sz w:val="16"/>
          <w:bdr w:val="single" w:sz="2" w:space="2" w:color="000000"/>
        </w:rPr>
        <w:t xml:space="preserve">The Corporation does not deal with psychedelic substances except in jurisdictions where such activity is not illegal and then only within laboratory and clinical trial settings conducted within approved regulatory frameworks. The Corporation initially intends to sponsor and work with licensed third parties in Jamaica to conduct any clinical trials and research relating to psychedelics and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w:t>
      </w:r>
    </w:p>
    <w:p>
      <w:pPr>
        <w:pStyle w:val="TextBody"/>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Natural health products (“NHPs”), prescription drugs, and non-prescription drugs are all classified and regulated under the federal </w:t>
      </w:r>
      <w:r>
        <w:rPr>
          <w:rFonts w:ascii="Times New Roman" w:hAnsi="Times New Roman"/>
          <w:b/>
          <w:i/>
          <w:sz w:val="16"/>
          <w:bdr w:val="single" w:sz="2" w:space="2" w:color="000000"/>
        </w:rPr>
        <w:t>Food and Drugs Act</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(Canada) (the “Canadian FDA”). Labelling, marketing and selling of any NHPs must comply with the Canadian FDA, including by ensuring that the Corporation’s products are not packaged or marketed in a manner that is misleading or deceptive to a consumer. In the United States, foods, drugs and dietary supplements are subject to extensive regulation. The </w:t>
      </w:r>
      <w:r>
        <w:rPr>
          <w:rFonts w:ascii="Times New Roman" w:hAnsi="Times New Roman"/>
          <w:b/>
          <w:i/>
          <w:sz w:val="16"/>
          <w:bdr w:val="single" w:sz="2" w:space="2" w:color="000000"/>
        </w:rPr>
        <w:t>Federal Food, Drug, and Cosmetic Act</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and the </w:t>
      </w:r>
      <w:r>
        <w:rPr>
          <w:rFonts w:ascii="Times New Roman" w:hAnsi="Times New Roman"/>
          <w:b/>
          <w:i/>
          <w:sz w:val="16"/>
          <w:bdr w:val="single" w:sz="2" w:space="2" w:color="000000"/>
        </w:rPr>
        <w:t>Dietary Supplement Health and Education Act of 1994</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generally govern, among other things, the research, development, testing, manufacturing, storage, recordkeeping, approval, labeling, promotion and marketing, distribution, post-approval monitoring and reporting, sampling, and import and export of foods, drugs and dietary supplements. See </w:t>
      </w:r>
      <w:r>
        <w:rPr>
          <w:rFonts w:ascii="Times New Roman" w:hAnsi="Times New Roman"/>
          <w:sz w:val="16"/>
          <w:bdr w:val="single" w:sz="2" w:space="2" w:color="000000"/>
        </w:rPr>
        <w:t>“</w:t>
      </w:r>
      <w:r>
        <w:rPr>
          <w:rFonts w:ascii="Times New Roman" w:hAnsi="Times New Roman"/>
          <w:b/>
          <w:i/>
          <w:sz w:val="16"/>
          <w:bdr w:val="single" w:sz="2" w:space="2" w:color="000000"/>
        </w:rPr>
        <w:t>Regulatory Overview – United States”</w:t>
      </w:r>
      <w:r>
        <w:rPr>
          <w:rFonts w:ascii="Times New Roman" w:hAnsi="Times New Roman"/>
          <w:b/>
          <w:sz w:val="16"/>
          <w:bdr w:val="single" w:sz="2" w:space="2" w:color="000000"/>
        </w:rPr>
        <w:t xml:space="preserve">. </w:t>
      </w:r>
    </w:p>
    <w:p>
      <w:pPr>
        <w:pStyle w:val="TextBody"/>
        <w:bidi w:val="0"/>
        <w:spacing w:before="60" w:after="0"/>
        <w:ind w:left="60" w:right="60" w:hanging="0"/>
        <w:jc w:val="left"/>
        <w:rPr>
          <w:rFonts w:ascii="Times New Roman" w:hAnsi="Times New Roman"/>
          <w:b/>
          <w:sz w:val="16"/>
          <w:bdr w:val="single" w:sz="2" w:space="2" w:color="000000"/>
        </w:rPr>
      </w:pPr>
      <w:r>
        <w:rPr>
          <w:rFonts w:ascii="Times New Roman" w:hAnsi="Times New Roman"/>
          <w:b/>
          <w:sz w:val="16"/>
          <w:bdr w:val="single" w:sz="2" w:space="2" w:color="000000"/>
        </w:rPr>
        <w:t xml:space="preserve">The Corporation’s operations are conducted in strict compliance with local laws where such activities are permissible and do not require any specific legal or regulatory approvals. </w:t>
      </w:r>
    </w:p>
    <w:p>
      <w:pPr>
        <w:pStyle w:val="TextBody"/>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Ministry of Health (Jamaica),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herein and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in the Annual Information Form. </w:t>
      </w:r>
    </w:p>
    <w:p>
      <w:pPr>
        <w:pStyle w:val="TextBody"/>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Certain statements throughout this Prospectus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herein and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in the Annual Information Form. </w:t>
      </w:r>
    </w:p>
    <w:p>
      <w:pPr>
        <w:pStyle w:val="TextBody"/>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hAnsi="Times New Roman"/>
          <w:sz w:val="16"/>
          <w:bdr w:val="single" w:sz="2" w:space="2" w:color="000000"/>
        </w:rPr>
        <w:t>“</w:t>
      </w:r>
      <w:r>
        <w:rPr>
          <w:rFonts w:ascii="Times New Roman" w:hAnsi="Times New Roman"/>
          <w:b/>
          <w:i/>
          <w:sz w:val="16"/>
          <w:bdr w:val="single" w:sz="2" w:space="2" w:color="000000"/>
        </w:rPr>
        <w:t>Compliance Program”</w:t>
      </w:r>
      <w:r>
        <w:rPr>
          <w:rFonts w:ascii="Times New Roman" w:hAnsi="Times New Roman"/>
          <w:b/>
          <w:sz w:val="16"/>
          <w:bdr w:val="single" w:sz="2" w:space="2" w:color="000000"/>
        </w:rPr>
        <w:t xml:space="preserve">.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 </w:t>
      </w:r>
    </w:p>
    <w:p>
      <w:pPr>
        <w:pStyle w:val="TextBody"/>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herein and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in the Annual Information Form. </w:t>
      </w:r>
    </w:p>
    <w:p>
      <w:pPr>
        <w:pStyle w:val="TextBody"/>
        <w:pBdr/>
        <w:bidi w:val="0"/>
        <w:spacing w:before="60" w:after="0"/>
        <w:ind w:left="60" w:right="60" w:hanging="0"/>
        <w:jc w:val="left"/>
        <w:rPr>
          <w:rFonts w:ascii="Times New Roman" w:hAnsi="Times New Roman"/>
          <w:sz w:val="16"/>
          <w:bdr w:val="single" w:sz="2" w:space="2" w:color="000000"/>
        </w:rPr>
      </w:pPr>
      <w:r>
        <w:rPr>
          <w:rFonts w:ascii="Times New Roman" w:hAnsi="Times New Roman"/>
          <w:b/>
          <w:sz w:val="16"/>
          <w:bdr w:val="single" w:sz="2" w:space="2" w:color="000000"/>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in this Prospectus, prior to investing in the Securities. See </w:t>
      </w:r>
      <w:r>
        <w:rPr>
          <w:rFonts w:ascii="Times New Roman" w:hAnsi="Times New Roman"/>
          <w:sz w:val="16"/>
          <w:bdr w:val="single" w:sz="2" w:space="2" w:color="000000"/>
        </w:rPr>
        <w:t>“</w:t>
      </w:r>
      <w:r>
        <w:rPr>
          <w:rFonts w:ascii="Times New Roman" w:hAnsi="Times New Roman"/>
          <w:b/>
          <w:i/>
          <w:sz w:val="16"/>
          <w:bdr w:val="single" w:sz="2" w:space="2" w:color="000000"/>
        </w:rPr>
        <w:t>Cautionary Note Regarding Forward-Looking Information”</w:t>
      </w:r>
      <w:r>
        <w:rPr>
          <w:rFonts w:ascii="Times New Roman" w:hAnsi="Times New Roman"/>
          <w:sz w:val="16"/>
          <w:bdr w:val="single" w:sz="2" w:space="2" w:color="000000"/>
        </w:rPr>
        <w:t xml:space="preserve"> </w:t>
      </w:r>
      <w:r>
        <w:rPr>
          <w:rFonts w:ascii="Times New Roman" w:hAnsi="Times New Roman"/>
          <w:b/>
          <w:sz w:val="16"/>
          <w:bdr w:val="single" w:sz="2" w:space="2" w:color="000000"/>
        </w:rPr>
        <w:t xml:space="preserve">and </w:t>
      </w:r>
      <w:r>
        <w:rPr>
          <w:rFonts w:ascii="Times New Roman" w:hAnsi="Times New Roman"/>
          <w:sz w:val="16"/>
          <w:bdr w:val="single" w:sz="2" w:space="2" w:color="000000"/>
        </w:rPr>
        <w:t>“</w:t>
      </w:r>
      <w:r>
        <w:rPr>
          <w:rFonts w:ascii="Times New Roman" w:hAnsi="Times New Roman"/>
          <w:b/>
          <w:i/>
          <w:sz w:val="16"/>
          <w:bdr w:val="single" w:sz="2" w:space="2" w:color="000000"/>
        </w:rPr>
        <w:t>Risk Factors”</w:t>
      </w:r>
      <w:r>
        <w:rPr>
          <w:rFonts w:ascii="Times New Roman" w:hAnsi="Times New Roman"/>
          <w:b/>
          <w:sz w:val="16"/>
          <w:bdr w:val="single" w:sz="2" w:space="2"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iii</w:t>
      </w:r>
    </w:p>
    <w:p>
      <w:pPr>
        <w:pStyle w:val="HorizontalLine"/>
        <w:pBdr>
          <w:bottom w:val="single" w:sz="30" w:space="0" w:color="000000"/>
        </w:pBdr>
        <w:bidi w:val="0"/>
        <w:jc w:val="left"/>
        <w:rPr/>
      </w:pPr>
      <w:r>
        <w:rPr/>
      </w:r>
    </w:p>
    <w:p>
      <w:pPr>
        <w:pStyle w:val="Heading5"/>
        <w:bidi w:val="0"/>
        <w:jc w:val="left"/>
        <w:rPr/>
      </w:pPr>
      <w:hyperlink w:anchor="toc">
        <w:bookmarkStart w:id="56" w:name="page_42"/>
        <w:bookmarkEnd w:id="56"/>
        <w:r>
          <w:rPr>
            <w:rStyle w:val="InternetLink"/>
          </w:rPr>
          <w:t>Table of Contents</w:t>
        </w:r>
      </w:hyperlink>
    </w:p>
    <w:p>
      <w:pPr>
        <w:pStyle w:val="TextBody"/>
        <w:bidi w:val="0"/>
        <w:spacing w:before="0" w:after="0"/>
        <w:jc w:val="center"/>
        <w:rPr>
          <w:rFonts w:ascii="Times New Roman" w:hAnsi="Times New Roman"/>
          <w:b/>
          <w:sz w:val="20"/>
        </w:rPr>
      </w:pPr>
      <w:bookmarkStart w:id="57" w:name="toc"/>
      <w:bookmarkEnd w:id="57"/>
      <w:r>
        <w:rPr>
          <w:rFonts w:ascii="Times New Roman" w:hAnsi="Times New Roman"/>
          <w:b/>
          <w:sz w:val="20"/>
        </w:rPr>
        <w:t xml:space="preserve">TABLE OF CONTENTS </w:t>
      </w:r>
    </w:p>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6305"/>
        <w:gridCol w:w="120"/>
        <w:gridCol w:w="96"/>
        <w:gridCol w:w="419"/>
        <w:gridCol w:w="60"/>
      </w:tblGrid>
      <w:tr>
        <w:trPr/>
        <w:tc>
          <w:tcPr>
            <w:tcW w:w="6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
              <w:r>
                <w:rPr>
                  <w:rStyle w:val="InternetLink"/>
                  <w:rFonts w:ascii="Times New Roman" w:hAnsi="Times New Roman"/>
                  <w:sz w:val="20"/>
                </w:rPr>
                <w:t>GENERAL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2">
              <w:r>
                <w:rPr>
                  <w:rStyle w:val="InternetLink"/>
                  <w:rFonts w:ascii="Times New Roman" w:hAnsi="Times New Roman"/>
                  <w:sz w:val="20"/>
                </w:rPr>
                <w:t>CAUTIONARY NOTE REGARDING FORWARD-LOOKING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3">
              <w:r>
                <w:rPr>
                  <w:rStyle w:val="InternetLink"/>
                  <w:rFonts w:ascii="Times New Roman" w:hAnsi="Times New Roman"/>
                  <w:sz w:val="20"/>
                </w:rPr>
                <w:t>EXEMPTION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4">
              <w:r>
                <w:rPr>
                  <w:rStyle w:val="InternetLink"/>
                  <w:rFonts w:ascii="Times New Roman" w:hAnsi="Times New Roman"/>
                  <w:sz w:val="20"/>
                </w:rPr>
                <w:t>TRADEMARKS AND SERVICE MARKS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5">
              <w:r>
                <w:rPr>
                  <w:rStyle w:val="InternetLink"/>
                  <w:rFonts w:ascii="Times New Roman" w:hAnsi="Times New Roman"/>
                  <w:sz w:val="20"/>
                </w:rPr>
                <w:t>MARKETING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6">
              <w:r>
                <w:rPr>
                  <w:rStyle w:val="InternetLink"/>
                  <w:rFonts w:ascii="Times New Roman" w:hAnsi="Times New Roman"/>
                  <w:sz w:val="20"/>
                </w:rPr>
                <w:t>MARKET AND INDUSTRY DATA</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7">
              <w:r>
                <w:rPr>
                  <w:rStyle w:val="InternetLink"/>
                  <w:rFonts w:ascii="Times New Roman" w:hAnsi="Times New Roman"/>
                  <w:sz w:val="20"/>
                </w:rPr>
                <w:t>DOCUMENTS INCORPORATED BY REFERENCE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8">
              <w:r>
                <w:rPr>
                  <w:rStyle w:val="InternetLink"/>
                  <w:rFonts w:ascii="Times New Roman" w:hAnsi="Times New Roman"/>
                  <w:sz w:val="20"/>
                </w:rPr>
                <w:t>THE CORPORATION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9">
              <w:r>
                <w:rPr>
                  <w:rStyle w:val="InternetLink"/>
                  <w:rFonts w:ascii="Times New Roman" w:hAnsi="Times New Roman"/>
                  <w:sz w:val="20"/>
                </w:rPr>
                <w:t>REGULATORY OVERVIEW</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0">
              <w:r>
                <w:rPr>
                  <w:rStyle w:val="InternetLink"/>
                  <w:rFonts w:ascii="Times New Roman" w:hAnsi="Times New Roman"/>
                  <w:sz w:val="20"/>
                </w:rPr>
                <w:t>COMPLIANCE PROGRAM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1">
              <w:r>
                <w:rPr>
                  <w:rStyle w:val="InternetLink"/>
                  <w:rFonts w:ascii="Times New Roman" w:hAnsi="Times New Roman"/>
                  <w:sz w:val="20"/>
                </w:rPr>
                <w:t>CONSOLIDATED CAPITALIZATION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2">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3">
              <w:r>
                <w:rPr>
                  <w:rStyle w:val="InternetLink"/>
                  <w:rFonts w:ascii="Times New Roman" w:hAnsi="Times New Roman"/>
                  <w:sz w:val="20"/>
                </w:rPr>
                <w:t>DIVIDEND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4">
              <w:r>
                <w:rPr>
                  <w:rStyle w:val="InternetLink"/>
                  <w:rFonts w:ascii="Times New Roman" w:hAnsi="Times New Roman"/>
                  <w:sz w:val="20"/>
                </w:rPr>
                <w:t>DESCRIPTION OF SECURITIES BEING DISTRIBUTED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5">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6">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7">
              <w:r>
                <w:rPr>
                  <w:rStyle w:val="InternetLink"/>
                  <w:rFonts w:ascii="Times New Roman" w:hAnsi="Times New Roman"/>
                  <w:sz w:val="20"/>
                </w:rPr>
                <w:t>CERTAIN FEDERAL INCOME TAX CONSIDERATIONS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8">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60" w:type="dxa"/>
            <w:tcBorders/>
            <w:vAlign w:val="center"/>
          </w:tcPr>
          <w:p>
            <w:pPr>
              <w:pStyle w:val="TableContents"/>
              <w:bidi w:val="0"/>
              <w:spacing w:before="0" w:after="283"/>
              <w:jc w:val="left"/>
              <w:rPr/>
            </w:pPr>
            <w:r>
              <w:rPr/>
              <w:t> </w:t>
            </w:r>
          </w:p>
        </w:tc>
      </w:tr>
      <w:tr>
        <w:trPr>
          <w:trHeight w:val="75" w:hRule="atLeast"/>
        </w:trPr>
        <w:tc>
          <w:tcPr>
            <w:tcW w:w="6305" w:type="dxa"/>
            <w:tcBorders/>
            <w:vAlign w:val="center"/>
          </w:tcPr>
          <w:p>
            <w:pPr>
              <w:pStyle w:val="TableContents"/>
              <w:bidi w:val="0"/>
              <w:spacing w:before="0" w:after="283"/>
              <w:jc w:val="left"/>
              <w:rPr/>
            </w:pPr>
            <w:r>
              <w:rPr/>
              <w:t> </w:t>
            </w:r>
          </w:p>
        </w:tc>
        <w:tc>
          <w:tcPr>
            <w:tcW w:w="695" w:type="dxa"/>
            <w:gridSpan w:val="4"/>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0"/>
              <w:jc w:val="left"/>
              <w:rPr/>
            </w:pPr>
            <w:hyperlink w:anchor="toc191613_19">
              <w:r>
                <w:rPr>
                  <w:rStyle w:val="InternetLink"/>
                  <w:rFonts w:ascii="Times New Roman" w:hAnsi="Times New Roman"/>
                  <w:sz w:val="20"/>
                </w:rPr>
                <w:t>AUDITORS, TRANSFER AGENT AND REGISTRAR</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HorizontalLine"/>
        <w:pBdr>
          <w:bottom w:val="single" w:sz="30" w:space="0" w:color="000000"/>
        </w:pBdr>
        <w:bidi w:val="0"/>
        <w:jc w:val="left"/>
        <w:rPr/>
      </w:pPr>
      <w:r>
        <w:rPr/>
      </w:r>
    </w:p>
    <w:p>
      <w:pPr>
        <w:pStyle w:val="Heading5"/>
        <w:bidi w:val="0"/>
        <w:jc w:val="left"/>
        <w:rPr/>
      </w:pPr>
      <w:hyperlink w:anchor="toc">
        <w:bookmarkStart w:id="58" w:name="page_43"/>
        <w:bookmarkEnd w:id="58"/>
        <w:r>
          <w:rPr>
            <w:rStyle w:val="InternetLink"/>
          </w:rPr>
          <w:t>Table of Contents</w:t>
        </w:r>
      </w:hyperlink>
    </w:p>
    <w:p>
      <w:pPr>
        <w:pStyle w:val="TextBody"/>
        <w:bidi w:val="0"/>
        <w:spacing w:before="0" w:after="0"/>
        <w:jc w:val="center"/>
        <w:rPr>
          <w:rFonts w:ascii="Times New Roman" w:hAnsi="Times New Roman"/>
          <w:b/>
          <w:sz w:val="20"/>
        </w:rPr>
      </w:pPr>
      <w:bookmarkStart w:id="59" w:name="toc191613_1"/>
      <w:bookmarkEnd w:id="59"/>
      <w:r>
        <w:rPr>
          <w:rFonts w:ascii="Times New Roman" w:hAnsi="Times New Roman"/>
          <w:b/>
          <w:sz w:val="20"/>
        </w:rPr>
        <w:t xml:space="preserve">GENERAL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hAnsi="Times New Roman"/>
          <w:b/>
          <w:sz w:val="20"/>
        </w:rPr>
        <w:t>Information 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w:t>
      </w:r>
      <w:r>
        <w:rPr>
          <w:rFonts w:ascii="Times New Roman" w:hAnsi="Times New Roman"/>
          <w:sz w:val="20"/>
        </w:rPr>
        <w:t xml:space="preserve"> The Corporation is not 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pStyle w:val="TextBody"/>
        <w:bidi w:val="0"/>
        <w:spacing w:before="240" w:after="0"/>
        <w:jc w:val="left"/>
        <w:rPr>
          <w:rFonts w:ascii="Times New Roman" w:hAnsi="Times New Roman"/>
          <w:sz w:val="20"/>
        </w:rPr>
      </w:pPr>
      <w:r>
        <w:rPr>
          <w:rFonts w:ascii="Times New Roman" w:hAnsi="Times New Roman"/>
          <w:sz w:val="20"/>
        </w:rPr>
        <w:t>The information contained on www.cybin.com is not intended to be included in or incorporated by reference herein, and prospective purchasers should not rely on such information when deciding whether or not to invest in any Securities.</w:t>
      </w:r>
    </w:p>
    <w:p>
      <w:pPr>
        <w:pStyle w:val="TextBody"/>
        <w:bidi w:val="0"/>
        <w:spacing w:before="240" w:after="0"/>
        <w:jc w:val="left"/>
        <w:rPr>
          <w:rFonts w:ascii="Times New Roman" w:hAnsi="Times New Roman"/>
          <w:sz w:val="20"/>
        </w:rPr>
      </w:pPr>
      <w:r>
        <w:rPr>
          <w:rFonts w:ascii="Times New Roman" w:hAnsi="Times New Roman"/>
          <w:sz w:val="20"/>
        </w:rPr>
        <w:t>In this Prospectus, unless stated otherwise or the context requires otherwise, all dollar amounts are expressed in Canadian dollars.</w:t>
      </w:r>
    </w:p>
    <w:p>
      <w:pPr>
        <w:pStyle w:val="TextBody"/>
        <w:bidi w:val="0"/>
        <w:spacing w:before="480" w:after="0"/>
        <w:jc w:val="center"/>
        <w:rPr>
          <w:rFonts w:ascii="Times New Roman" w:hAnsi="Times New Roman"/>
          <w:b/>
          <w:sz w:val="20"/>
        </w:rPr>
      </w:pPr>
      <w:bookmarkStart w:id="60" w:name="toc191613_2"/>
      <w:bookmarkEnd w:id="60"/>
      <w:r>
        <w:rPr>
          <w:rFonts w:ascii="Times New Roman" w:hAnsi="Times New Roman"/>
          <w:b/>
          <w:sz w:val="20"/>
        </w:rPr>
        <w:t xml:space="preserve">CAUTIONARY NOTE REGARDING FORWARD-LOOKING INFORMATION </w:t>
      </w:r>
    </w:p>
    <w:p>
      <w:pPr>
        <w:pStyle w:val="TextBody"/>
        <w:bidi w:val="0"/>
        <w:spacing w:before="240" w:after="0"/>
        <w:jc w:val="left"/>
        <w:rPr>
          <w:rFonts w:ascii="Times New Roman" w:hAnsi="Times New Roman"/>
          <w:sz w:val="20"/>
        </w:rPr>
      </w:pPr>
      <w:r>
        <w:rPr>
          <w:rFonts w:ascii="Times New Roman" w:hAnsi="Times New Roman"/>
          <w:sz w:val="20"/>
        </w:rPr>
        <w:t>Certain statements contained in this Prospectus, and in certain documents incorporated by reference in this Prospectus, constitute “forward-looking information” and “forward-looking statements”. All statements other than statements of historical fact contained in this Prospectus and in documents incorporated by reference in this Prospectus,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pStyle w:val="TextBody"/>
        <w:bidi w:val="0"/>
        <w:spacing w:before="240" w:after="0"/>
        <w:jc w:val="left"/>
        <w:rPr>
          <w:rFonts w:ascii="Times New Roman" w:hAnsi="Times New Roman"/>
          <w:sz w:val="20"/>
        </w:rPr>
      </w:pPr>
      <w:r>
        <w:rPr>
          <w:rFonts w:ascii="Times New Roman" w:hAnsi="Times New Roman"/>
          <w:sz w:val="20"/>
        </w:rPr>
        <w:t>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hAnsi="Times New Roman"/>
          <w:i/>
          <w:sz w:val="20"/>
        </w:rPr>
        <w:t>Risk Factors”</w:t>
      </w:r>
      <w:r>
        <w:rPr>
          <w:rFonts w:ascii="Times New Roman" w:hAnsi="Times New Roman"/>
          <w:sz w:val="20"/>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pStyle w:val="TextBody"/>
        <w:bidi w:val="0"/>
        <w:spacing w:before="240" w:after="0"/>
        <w:jc w:val="left"/>
        <w:rPr>
          <w:rFonts w:ascii="Times New Roman" w:hAnsi="Times New Roman"/>
          <w:sz w:val="20"/>
        </w:rPr>
      </w:pPr>
      <w:r>
        <w:rPr>
          <w:rFonts w:ascii="Times New Roman" w:hAnsi="Times New Roman"/>
          <w:sz w:val="20"/>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single" w:sz="30" w:space="0" w:color="000000"/>
        </w:pBdr>
        <w:bidi w:val="0"/>
        <w:jc w:val="left"/>
        <w:rPr/>
      </w:pPr>
      <w:r>
        <w:rPr/>
      </w:r>
    </w:p>
    <w:p>
      <w:pPr>
        <w:pStyle w:val="Heading5"/>
        <w:bidi w:val="0"/>
        <w:jc w:val="left"/>
        <w:rPr/>
      </w:pPr>
      <w:hyperlink w:anchor="toc">
        <w:bookmarkStart w:id="61" w:name="page_44"/>
        <w:bookmarkEnd w:id="61"/>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Some of the risks which could affect future results and could cause results to differ materially from those expressed in the forward-looking statements contained herein include: novel coronavirus “COVID-19”; limited operating history; achieving publicly announced milestones; speculative nature of investment risk; early stage of the industry and product development; regulatory risks and uncertainties; Jamaican operations; emerging market risk;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Risks related to the Common Shares: market for the Common Shares; significant sales of Common Shares; volatile market price for the Common Shares; tax issues; no dividends; Risks related to an Offering and the Corporation: an investment in the Securities is speculative; completion of an Offering; receipt of all regulatory and stock exchange approvals in respect of an Offering; forward-looking statements may prove to be inaccurate; potential dilution; potential need for additional financing; negative operating cash flow and going concern; discretion over the use of proceeds; management of growth; the Common Shares are subject to market price volatility; no history of payment of cash dividends; limited operating history as a public company; and risks relating to research and development objectives and milestones.</w:t>
      </w:r>
    </w:p>
    <w:p>
      <w:pPr>
        <w:pStyle w:val="TextBody"/>
        <w:bidi w:val="0"/>
        <w:spacing w:before="240" w:after="0"/>
        <w:jc w:val="left"/>
        <w:rPr>
          <w:rFonts w:ascii="Times New Roman" w:hAnsi="Times New Roman"/>
          <w:sz w:val="20"/>
        </w:rPr>
      </w:pPr>
      <w:r>
        <w:rPr>
          <w:rFonts w:ascii="Times New Roman" w:hAnsi="Times New Roman"/>
          <w:sz w:val="20"/>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substantial fluctuation of losses from quarter to quarter and year to year due to numerous external risk factors, and anticipation that we will continue to incur significant losses in the future;</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60"/>
        <w:gridCol w:w="110"/>
        <w:gridCol w:w="60"/>
        <w:gridCol w:w="74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uncertainty as to the Corporation’s ability to raise additional funding to support operations;</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60"/>
        <w:gridCol w:w="110"/>
        <w:gridCol w:w="60"/>
        <w:gridCol w:w="4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Corporation’s ability to access additional funding;</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60"/>
        <w:gridCol w:w="110"/>
        <w:gridCol w:w="6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fluctuation of foreign exchange rates;</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60"/>
        <w:gridCol w:w="110"/>
        <w:gridCol w:w="60"/>
        <w:gridCol w:w="6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duration of COVID-19 and the extent of its economic and social impact;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risks associated with the development of the Corporation’s product candidates which are at early stages of development;</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60"/>
        <w:gridCol w:w="110"/>
        <w:gridCol w:w="60"/>
        <w:gridCol w:w="9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reliance upon industry publications as the Corporation’s primary sources for third-party industry data and forecasts;</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60"/>
        <w:gridCol w:w="110"/>
        <w:gridCol w:w="60"/>
        <w:gridCol w:w="88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reliance on third parties to plan, conduct and monitor the Corporation’s preclinical studies and clinical trials;</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60"/>
        <w:gridCol w:w="110"/>
        <w:gridCol w:w="60"/>
        <w:gridCol w:w="79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reliance on third party contract manufacturers to deliver quality clinical and preclinical materials;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Corporation’s product candidates may fail to demonstrate safety and efficacy to the satisfaction of regulatory authorities or may not otherwise produce positive results;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single" w:sz="30" w:space="0" w:color="000000"/>
        </w:pBdr>
        <w:bidi w:val="0"/>
        <w:jc w:val="left"/>
        <w:rPr/>
      </w:pPr>
      <w:r>
        <w:rPr/>
      </w:r>
    </w:p>
    <w:p>
      <w:pPr>
        <w:pStyle w:val="Heading5"/>
        <w:bidi w:val="0"/>
        <w:jc w:val="left"/>
        <w:rPr/>
      </w:pPr>
      <w:hyperlink w:anchor="toc">
        <w:bookmarkStart w:id="62" w:name="page_45"/>
        <w:bookmarkEnd w:id="62"/>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risks related to filing investigational new drug applications to commence clinical trials and to continue clinical trials if approved;</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60"/>
        <w:gridCol w:w="77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risks of delays and inability to complete clinical trials due to difficulties enrolling patients;</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60"/>
        <w:gridCol w:w="110"/>
        <w:gridCol w:w="60"/>
        <w:gridCol w:w="57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competition from other biotechnology and pharmaceutical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Corporation’s reliance on the capabilities and experience of the Corporation’s key executives and scientists and the resulting loss of any of these individuals;</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60"/>
        <w:gridCol w:w="110"/>
        <w:gridCol w:w="60"/>
        <w:gridCol w:w="5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Corporation’s ability to fully realize the benefits of acquisitions;</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60"/>
        <w:gridCol w:w="110"/>
        <w:gridCol w:w="60"/>
        <w:gridCol w:w="84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Corporation’s ability to adequately protect the Corporation’s intellectual property and trade secrets;</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60"/>
        <w:gridCol w:w="110"/>
        <w:gridCol w:w="60"/>
        <w:gridCol w:w="38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 of patent-related or other litigation; and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 of unforeseen changes to the laws or regulations in the United States, Jamaica and Canada and other jurisdictions in which the Corporation operates.</w:t>
            </w:r>
          </w:p>
        </w:tc>
      </w:tr>
    </w:tbl>
    <w:p>
      <w:pPr>
        <w:pStyle w:val="TextBody"/>
        <w:bidi w:val="0"/>
        <w:spacing w:before="240" w:after="0"/>
        <w:jc w:val="left"/>
        <w:rPr>
          <w:rFonts w:ascii="Times New Roman" w:hAnsi="Times New Roman"/>
          <w:sz w:val="20"/>
        </w:rPr>
      </w:pPr>
      <w:r>
        <w:rPr>
          <w:rFonts w:ascii="Times New Roman" w:hAnsi="Times New Roman"/>
          <w:sz w:val="20"/>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spacing w:before="240" w:after="0"/>
        <w:jc w:val="left"/>
        <w:rPr>
          <w:rFonts w:ascii="Times New Roman" w:hAnsi="Times New Roman"/>
          <w:sz w:val="20"/>
        </w:rPr>
      </w:pPr>
      <w:r>
        <w:rPr>
          <w:rFonts w:ascii="Times New Roman" w:hAnsi="Times New Roman"/>
          <w:sz w:val="20"/>
        </w:rPr>
        <w:t>In addition to the factors set out above and those identified under the heading “</w:t>
      </w:r>
      <w:r>
        <w:rPr>
          <w:rFonts w:ascii="Times New Roman" w:hAnsi="Times New Roman"/>
          <w:i/>
          <w:sz w:val="20"/>
        </w:rPr>
        <w:t>Risk Factors”</w:t>
      </w:r>
      <w:r>
        <w:rPr>
          <w:rFonts w:ascii="Times New Roman" w:hAnsi="Times New Roman"/>
          <w:sz w:val="20"/>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spacing w:before="240" w:after="0"/>
        <w:jc w:val="left"/>
        <w:rPr>
          <w:rFonts w:ascii="Times New Roman" w:hAnsi="Times New Roman"/>
          <w:sz w:val="20"/>
        </w:rPr>
      </w:pPr>
      <w:r>
        <w:rPr>
          <w:rFonts w:ascii="Times New Roman" w:hAnsi="Times New Roman"/>
          <w:b/>
          <w:sz w:val="20"/>
        </w:rPr>
        <w:t>Many of these factors are beyond the Corporation</w:t>
      </w:r>
      <w:r>
        <w:rPr>
          <w:rFonts w:ascii="Times New Roman" w:hAnsi="Times New Roman"/>
          <w:sz w:val="20"/>
        </w:rPr>
        <w:t>’</w:t>
      </w:r>
      <w:r>
        <w:rPr>
          <w:rFonts w:ascii="Times New Roman" w:hAnsi="Times New Roman"/>
          <w:b/>
          <w:sz w:val="20"/>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hAnsi="Times New Roman"/>
          <w:sz w:val="20"/>
        </w:rPr>
        <w:t>’</w:t>
      </w:r>
      <w:r>
        <w:rPr>
          <w:rFonts w:ascii="Times New Roman" w:hAnsi="Times New Roman"/>
          <w:b/>
          <w:sz w:val="20"/>
        </w:rPr>
        <w:t>s behalf, are expressly qualified in their entirety by the cautionary statements. Except as required by law, the Corporation undertakes no obligation to update any forward-looking statement</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b/>
          <w:sz w:val="20"/>
        </w:rPr>
        <w:t xml:space="preserve">The forward-looking statements contained in this Prospectus and the documents incorporated by reference herein are expressly qualified in their entirety by the foregoing cautionary statement. </w:t>
      </w:r>
      <w:r>
        <w:rPr>
          <w:rFonts w:ascii="Times New Roman" w:hAnsi="Times New Roman"/>
          <w:sz w:val="20"/>
        </w:rPr>
        <w:t>Investors should read this entire 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single" w:sz="30" w:space="0" w:color="000000"/>
        </w:pBdr>
        <w:bidi w:val="0"/>
        <w:jc w:val="left"/>
        <w:rPr/>
      </w:pPr>
      <w:r>
        <w:rPr/>
      </w:r>
    </w:p>
    <w:p>
      <w:pPr>
        <w:pStyle w:val="Heading5"/>
        <w:bidi w:val="0"/>
        <w:jc w:val="left"/>
        <w:rPr/>
      </w:pPr>
      <w:hyperlink w:anchor="toc">
        <w:bookmarkStart w:id="63" w:name="page_46"/>
        <w:bookmarkEnd w:id="63"/>
        <w:r>
          <w:rPr>
            <w:rStyle w:val="InternetLink"/>
          </w:rPr>
          <w:t>Table of Contents</w:t>
        </w:r>
      </w:hyperlink>
    </w:p>
    <w:p>
      <w:pPr>
        <w:pStyle w:val="TextBody"/>
        <w:bidi w:val="0"/>
        <w:spacing w:before="0" w:after="0"/>
        <w:jc w:val="center"/>
        <w:rPr>
          <w:rFonts w:ascii="Times New Roman" w:hAnsi="Times New Roman"/>
          <w:b/>
          <w:sz w:val="20"/>
        </w:rPr>
      </w:pPr>
      <w:bookmarkStart w:id="64" w:name="toc191613_3"/>
      <w:bookmarkEnd w:id="64"/>
      <w:r>
        <w:rPr>
          <w:rFonts w:ascii="Times New Roman" w:hAnsi="Times New Roman"/>
          <w:b/>
          <w:sz w:val="20"/>
        </w:rPr>
        <w:t xml:space="preserve">EXEMPTION </w:t>
      </w:r>
    </w:p>
    <w:p>
      <w:pPr>
        <w:pStyle w:val="TextBody"/>
        <w:bidi w:val="0"/>
        <w:spacing w:before="240" w:after="0"/>
        <w:jc w:val="left"/>
        <w:rPr>
          <w:rFonts w:ascii="Times New Roman" w:hAnsi="Times New Roman"/>
          <w:sz w:val="20"/>
        </w:rPr>
      </w:pPr>
      <w:r>
        <w:rPr>
          <w:rFonts w:ascii="Times New Roman" w:hAnsi="Times New Roman"/>
          <w:sz w:val="20"/>
        </w:rPr>
        <w:t>Pursuant to a decision of the Autorité des marchés financiers dated June 10, 2021, the Corporation was granted a permanent exemption from the requirement to translate into French this Prospectus as well as the documents incorporated by reference therein and any Prospectus Supplement to be filed in relation to an “at-the-market distribution”. This exemption is granted on the condition that this Prospectus and any Prospectus Supplement (other than in relation to an “at-the-market distribution”) be translated into French if the Corporation offers Securities to Québec purchasers in connection with an Offering of Securities other than in relation to an “at-the-market distribution”.</w:t>
      </w:r>
    </w:p>
    <w:p>
      <w:pPr>
        <w:pStyle w:val="TextBody"/>
        <w:bidi w:val="0"/>
        <w:spacing w:before="480" w:after="0"/>
        <w:jc w:val="center"/>
        <w:rPr>
          <w:rFonts w:ascii="Times New Roman" w:hAnsi="Times New Roman"/>
          <w:b/>
          <w:sz w:val="20"/>
        </w:rPr>
      </w:pPr>
      <w:bookmarkStart w:id="65" w:name="toc191613_4"/>
      <w:bookmarkEnd w:id="65"/>
      <w:r>
        <w:rPr>
          <w:rFonts w:ascii="Times New Roman" w:hAnsi="Times New Roman"/>
          <w:b/>
          <w:sz w:val="20"/>
        </w:rPr>
        <w:t xml:space="preserve">TRADEMARKS AND SERVICE MARKS </w:t>
      </w:r>
    </w:p>
    <w:p>
      <w:pPr>
        <w:pStyle w:val="TextBody"/>
        <w:bidi w:val="0"/>
        <w:spacing w:before="240" w:after="0"/>
        <w:jc w:val="left"/>
        <w:rPr>
          <w:rFonts w:ascii="Times New Roman" w:hAnsi="Times New Roman"/>
          <w:sz w:val="20"/>
        </w:rPr>
      </w:pPr>
      <w:r>
        <w:rPr>
          <w:rFonts w:ascii="Times New Roman" w:hAnsi="Times New Roman"/>
          <w:sz w:val="20"/>
        </w:rPr>
        <w:t>This prospectus includes trademarks, trade names and service marks which are protected under applicable intellectual property laws for use in connection with the operation of our business, and which are the property of the Corporation. All other trade names, trademarks or service marks appearing in this prospectus that are not identified as marks owned by us are the property of their respective owners. Solely for convenience, trademarks, service marks and trade names referred to in this prospectus may be listed without the ®, (TM) and (sm) symbols, however, we will assert, to the fullest extent under applicable law, our applicable rights in these trademarks, service marks and trade names.</w:t>
      </w:r>
    </w:p>
    <w:p>
      <w:pPr>
        <w:pStyle w:val="TextBody"/>
        <w:bidi w:val="0"/>
        <w:spacing w:before="480" w:after="0"/>
        <w:jc w:val="center"/>
        <w:rPr>
          <w:rFonts w:ascii="Times New Roman" w:hAnsi="Times New Roman"/>
          <w:b/>
          <w:sz w:val="20"/>
        </w:rPr>
      </w:pPr>
      <w:bookmarkStart w:id="66" w:name="toc191613_5"/>
      <w:bookmarkEnd w:id="66"/>
      <w:r>
        <w:rPr>
          <w:rFonts w:ascii="Times New Roman" w:hAnsi="Times New Roman"/>
          <w:b/>
          <w:sz w:val="20"/>
        </w:rPr>
        <w:t xml:space="preserve">MARKETING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Any template version of marketing materials (as such terms are defined in National Instrument 41-101 – </w:t>
      </w:r>
      <w:r>
        <w:rPr>
          <w:rFonts w:ascii="Times New Roman" w:hAnsi="Times New Roman"/>
          <w:i/>
          <w:sz w:val="20"/>
        </w:rPr>
        <w:t>General Prospectus Requirements</w:t>
      </w:r>
      <w:r>
        <w:rPr>
          <w:rFonts w:ascii="Times New Roman" w:hAnsi="Times New Roman"/>
          <w:sz w:val="20"/>
        </w:rPr>
        <w:t>) that are utilized in connection with the distribution of Securities will be filed under the Corporation’s profile on www.sedar.com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pStyle w:val="TextBody"/>
        <w:bidi w:val="0"/>
        <w:spacing w:before="480" w:after="0"/>
        <w:jc w:val="center"/>
        <w:rPr>
          <w:rFonts w:ascii="Times New Roman" w:hAnsi="Times New Roman"/>
          <w:b/>
          <w:sz w:val="20"/>
        </w:rPr>
      </w:pPr>
      <w:bookmarkStart w:id="67" w:name="toc191613_6"/>
      <w:bookmarkEnd w:id="67"/>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Market and industry data contained and incorporated by reference in this Prospectus or any applicable Prospectus Supplement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hAnsi="Times New Roman"/>
          <w:i/>
          <w:sz w:val="20"/>
        </w:rPr>
        <w:t>Cautionary Note Regarding Forward-Looking Information”</w:t>
      </w:r>
      <w:r>
        <w:rPr>
          <w:rFonts w:ascii="Times New Roman" w:hAnsi="Times New Roman"/>
          <w:sz w:val="20"/>
        </w:rPr>
        <w:t xml:space="preserve"> and “</w:t>
      </w:r>
      <w:r>
        <w:rPr>
          <w:rFonts w:ascii="Times New Roman" w:hAnsi="Times New Roman"/>
          <w:i/>
          <w:sz w:val="20"/>
        </w:rPr>
        <w:t>Risk Factors”</w:t>
      </w:r>
      <w:r>
        <w:rPr>
          <w:rFonts w:ascii="Times New Roman" w:hAnsi="Times New Roman"/>
          <w:sz w:val="20"/>
        </w:rPr>
        <w:t xml:space="preserve"> in this 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single" w:sz="30" w:space="0" w:color="000000"/>
        </w:pBdr>
        <w:bidi w:val="0"/>
        <w:jc w:val="left"/>
        <w:rPr/>
      </w:pPr>
      <w:r>
        <w:rPr/>
      </w:r>
    </w:p>
    <w:p>
      <w:pPr>
        <w:pStyle w:val="Heading5"/>
        <w:bidi w:val="0"/>
        <w:jc w:val="left"/>
        <w:rPr/>
      </w:pPr>
      <w:hyperlink w:anchor="toc">
        <w:bookmarkStart w:id="68" w:name="page_47"/>
        <w:bookmarkEnd w:id="68"/>
        <w:r>
          <w:rPr>
            <w:rStyle w:val="InternetLink"/>
          </w:rPr>
          <w:t>Table of Contents</w:t>
        </w:r>
      </w:hyperlink>
    </w:p>
    <w:p>
      <w:pPr>
        <w:pStyle w:val="TextBody"/>
        <w:bidi w:val="0"/>
        <w:spacing w:before="0" w:after="0"/>
        <w:jc w:val="center"/>
        <w:rPr>
          <w:rFonts w:ascii="Times New Roman" w:hAnsi="Times New Roman"/>
          <w:b/>
          <w:sz w:val="20"/>
        </w:rPr>
      </w:pPr>
      <w:bookmarkStart w:id="69" w:name="toc191613_7"/>
      <w:bookmarkEnd w:id="69"/>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b/>
          <w:sz w:val="20"/>
        </w:rPr>
        <w:t>Information has been incorporated by reference in this Prospectus from documents filed with securities commissions or similar authorities in Canada.</w:t>
      </w:r>
      <w:r>
        <w:rPr>
          <w:rFonts w:ascii="Times New Roman" w:hAnsi="Times New Roman"/>
          <w:sz w:val="20"/>
        </w:rPr>
        <w:t xml:space="preserve"> Copies of the documents incorporated herein by reference may be obtained on request without charge from the Secretary of the Corporation at 100 King Street West, Suite 5600, Toronto, Ontario M5X 1C9, telephone (908) 764-8385, and are also available electronically on SEDAR.</w:t>
      </w:r>
    </w:p>
    <w:p>
      <w:pPr>
        <w:pStyle w:val="TextBody"/>
        <w:bidi w:val="0"/>
        <w:spacing w:before="240" w:after="0"/>
        <w:jc w:val="left"/>
        <w:rPr>
          <w:rFonts w:ascii="Times New Roman" w:hAnsi="Times New Roman"/>
          <w:sz w:val="20"/>
        </w:rPr>
      </w:pPr>
      <w:r>
        <w:rPr>
          <w:rFonts w:ascii="Times New Roman" w:hAnsi="Times New Roman"/>
          <w:sz w:val="20"/>
        </w:rPr>
        <w:t>The following documents of the Corporation filed with the securities commissions or similar authorities in Canada are incorporated by reference in this Prospectus: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pPr>
            <w:hyperlink r:id="rId5">
              <w:r>
                <w:rPr>
                  <w:rStyle w:val="InternetLink"/>
                  <w:rFonts w:ascii="Times New Roman" w:hAnsi="Times New Roman"/>
                  <w:sz w:val="20"/>
                </w:rPr>
                <w:t>annual information form of the Corporation dated June 24, 2021 (the “</w:t>
              </w:r>
            </w:hyperlink>
            <w:hyperlink r:id="rId6">
              <w:r>
                <w:rPr>
                  <w:rStyle w:val="InternetLink"/>
                  <w:rFonts w:ascii="Times New Roman" w:hAnsi="Times New Roman"/>
                  <w:b/>
                  <w:sz w:val="20"/>
                </w:rPr>
                <w:t>Annual Information Form</w:t>
              </w:r>
            </w:hyperlink>
            <w:hyperlink r:id="rId7">
              <w:r>
                <w:rPr>
                  <w:rStyle w:val="InternetLink"/>
                  <w:rFonts w:ascii="Times New Roman" w:hAnsi="Times New Roman"/>
                  <w:sz w:val="20"/>
                </w:rPr>
                <w:t xml:space="preserve">”) for the year ended March 31, 2021; </w:t>
              </w:r>
            </w:hyperlink>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2"/>
        <w:gridCol w:w="9973"/>
      </w:tblGrid>
      <w:tr>
        <w:trPr/>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0"/>
              <w:jc w:val="left"/>
              <w:rPr/>
            </w:pPr>
            <w:hyperlink r:id="rId8">
              <w:r>
                <w:rPr>
                  <w:rStyle w:val="InternetLink"/>
                  <w:rFonts w:ascii="Times New Roman" w:hAnsi="Times New Roman"/>
                  <w:sz w:val="20"/>
                </w:rPr>
                <w:t>the audited consolidated financial statements of the Corporation and the notes thereto as at and for the fiscal year ended March 31, 2021, together with the auditor’s report thereon (the “</w:t>
              </w:r>
            </w:hyperlink>
            <w:hyperlink r:id="rId9">
              <w:r>
                <w:rPr>
                  <w:rStyle w:val="InternetLink"/>
                  <w:rFonts w:ascii="Times New Roman" w:hAnsi="Times New Roman"/>
                  <w:b/>
                  <w:sz w:val="20"/>
                </w:rPr>
                <w:t>Annual Financial Statements</w:t>
              </w:r>
            </w:hyperlink>
            <w:hyperlink r:id="rId10">
              <w:r>
                <w:rPr>
                  <w:rStyle w:val="InternetLink"/>
                  <w:rFonts w:ascii="Times New Roman" w:hAnsi="Times New Roman"/>
                  <w:sz w:val="20"/>
                </w:rPr>
                <w:t xml:space="preserve">”); </w:t>
              </w:r>
            </w:hyperlink>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60"/>
        <w:gridCol w:w="200"/>
        <w:gridCol w:w="95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9545" w:type="dxa"/>
            <w:tcBorders/>
            <w:vAlign w:val="center"/>
          </w:tcPr>
          <w:p>
            <w:pPr>
              <w:pStyle w:val="TableContents"/>
              <w:bidi w:val="0"/>
              <w:spacing w:before="0" w:after="0"/>
              <w:jc w:val="left"/>
              <w:rPr/>
            </w:pPr>
            <w:hyperlink r:id="rId11">
              <w:r>
                <w:rPr>
                  <w:rStyle w:val="InternetLink"/>
                  <w:rFonts w:ascii="Times New Roman" w:hAnsi="Times New Roman"/>
                  <w:sz w:val="20"/>
                </w:rPr>
                <w:t>management’s discussion and analysis of the Corporation for the year ended March 31, 2021 (the “</w:t>
              </w:r>
            </w:hyperlink>
            <w:hyperlink r:id="rId12">
              <w:r>
                <w:rPr>
                  <w:rStyle w:val="InternetLink"/>
                  <w:rFonts w:ascii="Times New Roman" w:hAnsi="Times New Roman"/>
                  <w:b/>
                  <w:sz w:val="20"/>
                </w:rPr>
                <w:t>Annual MD&amp;A</w:t>
              </w:r>
            </w:hyperlink>
            <w:hyperlink r:id="rId13">
              <w:r>
                <w:rPr>
                  <w:rStyle w:val="InternetLink"/>
                  <w:rFonts w:ascii="Times New Roman" w:hAnsi="Times New Roman"/>
                  <w:sz w:val="20"/>
                </w:rPr>
                <w:t xml:space="preserve">”); </w:t>
              </w:r>
            </w:hyperlink>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pPr>
            <w:hyperlink r:id="rId14">
              <w:r>
                <w:rPr>
                  <w:rStyle w:val="InternetLink"/>
                  <w:rFonts w:ascii="Times New Roman" w:hAnsi="Times New Roman"/>
                  <w:sz w:val="20"/>
                </w:rPr>
                <w:t xml:space="preserve">management information circular of the Corporation dated April 22, 2021 relating to a special meeting of shareholders of the Corporation held on May 21, 2021; </w:t>
              </w:r>
            </w:hyperlink>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pPr>
            <w:hyperlink r:id="rId15">
              <w:r>
                <w:rPr>
                  <w:rStyle w:val="InternetLink"/>
                  <w:rFonts w:ascii="Times New Roman" w:hAnsi="Times New Roman"/>
                  <w:sz w:val="20"/>
                </w:rPr>
                <w:t xml:space="preserve">management information circular of Clarmin Exploration Inc. (now the Corporation) date July 15, 2020 relating to an annual and special meeting of shareholders held August 13, 2020; and </w:t>
              </w:r>
            </w:hyperlink>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0"/>
              <w:jc w:val="left"/>
              <w:rPr/>
            </w:pPr>
            <w:hyperlink r:id="rId16">
              <w:r>
                <w:rPr>
                  <w:rStyle w:val="InternetLink"/>
                  <w:rFonts w:ascii="Times New Roman" w:hAnsi="Times New Roman"/>
                  <w:sz w:val="20"/>
                </w:rPr>
                <w:t>business acquisition report dated January  22, 2021 in respect of the Corporation’s acquisition of Adelia Therapeutics Inc. (the “</w:t>
              </w:r>
            </w:hyperlink>
            <w:hyperlink r:id="rId17">
              <w:r>
                <w:rPr>
                  <w:rStyle w:val="InternetLink"/>
                  <w:rFonts w:ascii="Times New Roman" w:hAnsi="Times New Roman"/>
                  <w:b/>
                  <w:sz w:val="20"/>
                </w:rPr>
                <w:t>Adelia Transaction</w:t>
              </w:r>
            </w:hyperlink>
            <w:hyperlink r:id="rId18">
              <w:r>
                <w:rPr>
                  <w:rStyle w:val="InternetLink"/>
                  <w:rFonts w:ascii="Times New Roman" w:hAnsi="Times New Roman"/>
                  <w:sz w:val="20"/>
                </w:rPr>
                <w:t>”), see “</w:t>
              </w:r>
            </w:hyperlink>
            <w:hyperlink r:id="rId19">
              <w:r>
                <w:rPr>
                  <w:rStyle w:val="InternetLink"/>
                  <w:rFonts w:ascii="Times New Roman" w:hAnsi="Times New Roman"/>
                  <w:i/>
                  <w:sz w:val="20"/>
                </w:rPr>
                <w:t>Select Recent Developments”</w:t>
              </w:r>
            </w:hyperlink>
            <w:hyperlink r:id="rId20">
              <w:r>
                <w:rPr>
                  <w:rStyle w:val="InternetLink"/>
                  <w:rFonts w:ascii="Times New Roman" w:hAnsi="Times New Roman"/>
                  <w:sz w:val="20"/>
                </w:rPr>
                <w:t>.</w:t>
              </w:r>
            </w:hyperlink>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 of the type referred to in Section 11.1 of Form 44-101F1 – </w:t>
      </w:r>
      <w:r>
        <w:rPr>
          <w:rFonts w:ascii="Times New Roman" w:hAnsi="Times New Roman"/>
          <w:i/>
          <w:sz w:val="20"/>
        </w:rPr>
        <w:t>Short Form Prospectus Distributions</w:t>
      </w:r>
      <w:r>
        <w:rPr>
          <w:rFonts w:ascii="Times New Roman" w:hAnsi="Times New Roman"/>
          <w:sz w:val="20"/>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pStyle w:val="TextBody"/>
        <w:bidi w:val="0"/>
        <w:spacing w:before="240" w:after="0"/>
        <w:jc w:val="left"/>
        <w:rPr>
          <w:rFonts w:ascii="Times New Roman" w:hAnsi="Times New Roman"/>
          <w:b/>
          <w:sz w:val="20"/>
        </w:rPr>
      </w:pPr>
      <w:r>
        <w:rPr>
          <w:rFonts w:ascii="Times New Roman" w:hAnsi="Times New Roman"/>
          <w:b/>
          <w:sz w:val="20"/>
        </w:rPr>
        <w:t xml:space="preserve">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w:t>
      </w:r>
    </w:p>
    <w:p>
      <w:pPr>
        <w:pStyle w:val="TextBody"/>
        <w:bidi w:val="0"/>
        <w:spacing w:before="240" w:after="0"/>
        <w:jc w:val="left"/>
        <w:rPr>
          <w:rFonts w:ascii="Times New Roman" w:hAnsi="Times New Roman"/>
          <w:sz w:val="20"/>
        </w:rPr>
      </w:pPr>
      <w:r>
        <w:rPr>
          <w:rFonts w:ascii="Times New Roman" w:hAnsi="Times New Roman"/>
          <w:sz w:val="20"/>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pStyle w:val="TextBody"/>
        <w:bidi w:val="0"/>
        <w:spacing w:before="240" w:after="0"/>
        <w:jc w:val="left"/>
        <w:rPr>
          <w:rFonts w:ascii="Times New Roman" w:hAnsi="Times New Roman"/>
          <w:b/>
          <w:sz w:val="20"/>
        </w:rPr>
      </w:pPr>
      <w:r>
        <w:rPr>
          <w:rFonts w:ascii="Times New Roman" w:hAnsi="Times New Roman"/>
          <w:b/>
          <w:sz w:val="20"/>
        </w:rPr>
        <w:t xml:space="preserve">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single" w:sz="30" w:space="0" w:color="000000"/>
        </w:pBdr>
        <w:bidi w:val="0"/>
        <w:jc w:val="left"/>
        <w:rPr/>
      </w:pPr>
      <w:r>
        <w:rPr/>
      </w:r>
    </w:p>
    <w:p>
      <w:pPr>
        <w:pStyle w:val="Heading5"/>
        <w:bidi w:val="0"/>
        <w:jc w:val="left"/>
        <w:rPr/>
      </w:pPr>
      <w:hyperlink w:anchor="toc">
        <w:bookmarkStart w:id="70" w:name="page_48"/>
        <w:bookmarkEnd w:id="70"/>
        <w:r>
          <w:rPr>
            <w:rStyle w:val="InternetLink"/>
          </w:rPr>
          <w:t>Table of Contents</w:t>
        </w:r>
      </w:hyperlink>
    </w:p>
    <w:p>
      <w:pPr>
        <w:pStyle w:val="TextBody"/>
        <w:bidi w:val="0"/>
        <w:spacing w:before="0" w:after="0"/>
        <w:jc w:val="center"/>
        <w:rPr>
          <w:rFonts w:ascii="Times New Roman" w:hAnsi="Times New Roman"/>
          <w:b/>
          <w:sz w:val="20"/>
        </w:rPr>
      </w:pPr>
      <w:bookmarkStart w:id="71" w:name="toc191613_8"/>
      <w:bookmarkEnd w:id="71"/>
      <w:r>
        <w:rPr>
          <w:rFonts w:ascii="Times New Roman" w:hAnsi="Times New Roman"/>
          <w:b/>
          <w:sz w:val="20"/>
        </w:rPr>
        <w:t xml:space="preserve">THE CORPORATION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Business </w:t>
      </w:r>
    </w:p>
    <w:p>
      <w:pPr>
        <w:pStyle w:val="TextBody"/>
        <w:bidi w:val="0"/>
        <w:spacing w:before="120" w:after="0"/>
        <w:jc w:val="left"/>
        <w:rPr>
          <w:rFonts w:ascii="Times New Roman" w:hAnsi="Times New Roman"/>
          <w:sz w:val="20"/>
        </w:rPr>
      </w:pPr>
      <w:r>
        <w:rPr>
          <w:rFonts w:ascii="Times New Roman" w:hAnsi="Times New Roman"/>
          <w:sz w:val="20"/>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pStyle w:val="TextBody"/>
        <w:bidi w:val="0"/>
        <w:spacing w:before="240" w:after="0"/>
        <w:jc w:val="left"/>
        <w:rPr>
          <w:rFonts w:ascii="Times New Roman" w:hAnsi="Times New Roman"/>
          <w:sz w:val="20"/>
        </w:rPr>
      </w:pPr>
      <w:r>
        <w:rPr>
          <w:rFonts w:ascii="Times New Roman" w:hAnsi="Times New Roman"/>
          <w:sz w:val="20"/>
        </w:rPr>
        <w:t>The Corporation believes that there is presently a sizeable legal market for psychedelic pharmaceutical and nutraceutical products and, further, believes that there is a promising prospect for a strong, legal psychedelic pharmaceutical and nutraceutical industry to emerge globally. In particular, although the legal market for psychedelic pharmaceutical products is presently limited, globally, and in some jurisdictions it is still in its early stages, the Corporation believes that , in time, owing to generally increased acceptance and regulation of psychedelic-based treatments, this will give way to the emergence of numerous and sizable opportunities for market participants, including the Corporation.</w:t>
      </w:r>
    </w:p>
    <w:p>
      <w:pPr>
        <w:pStyle w:val="TextBody"/>
        <w:bidi w:val="0"/>
        <w:spacing w:before="240" w:after="0"/>
        <w:jc w:val="left"/>
        <w:rPr>
          <w:rFonts w:ascii="Times New Roman" w:hAnsi="Times New Roman"/>
          <w:sz w:val="20"/>
        </w:rPr>
      </w:pPr>
      <w:r>
        <w:rPr>
          <w:rFonts w:ascii="Times New Roman" w:hAnsi="Times New Roman"/>
          <w:sz w:val="20"/>
        </w:rPr>
        <w:t>Psychedelics are progressively emerging as potential alternative candidates for conventional therapies for individuals suffering from elusive maladies like post-traumatic stress disorder (“</w:t>
      </w:r>
      <w:r>
        <w:rPr>
          <w:rFonts w:ascii="Times New Roman" w:hAnsi="Times New Roman"/>
          <w:b/>
          <w:sz w:val="20"/>
        </w:rPr>
        <w:t>PTSD</w:t>
      </w:r>
      <w:r>
        <w:rPr>
          <w:rFonts w:ascii="Times New Roman" w:hAnsi="Times New Roman"/>
          <w:sz w:val="20"/>
        </w:rPr>
        <w:t>”), addiction, anxiety, and depression.1 For example, in August of 2020, as a result of the efforts of TheraPsil, a non-profit coalition that advocates for a legal, Special Access Programme access to psilocybin therapy for palliative care of Canadians, four Canadians with incurable cancer were approved by the Canadian federal Minister of Health, to use psilocybin therapy in the treatment of their end-of-life distress.2</w:t>
      </w:r>
    </w:p>
    <w:p>
      <w:pPr>
        <w:pStyle w:val="TextBody"/>
        <w:bidi w:val="0"/>
        <w:spacing w:before="240" w:after="0"/>
        <w:jc w:val="left"/>
        <w:rPr>
          <w:rFonts w:ascii="Times New Roman" w:hAnsi="Times New Roman"/>
          <w:sz w:val="20"/>
        </w:rPr>
      </w:pPr>
      <w:r>
        <w:rPr>
          <w:rFonts w:ascii="Times New Roman" w:hAnsi="Times New Roman"/>
          <w:sz w:val="20"/>
        </w:rPr>
        <w:t>As of the date of this Prospectus, certain synthetic psychoactive tryptamines and phenthylamines are being researched as candidates for the treatment of several psychiatric conditions, such as PTSD and depression.3 In 2018 and 2019, for example, the FDA granted breakthrough therapy designation for psilocybin for use as a candidate in the treatment of Major Depressive Disorder (“</w:t>
      </w:r>
      <w:r>
        <w:rPr>
          <w:rFonts w:ascii="Times New Roman" w:hAnsi="Times New Roman"/>
          <w:b/>
          <w:sz w:val="20"/>
        </w:rPr>
        <w:t>MDD</w:t>
      </w:r>
      <w:r>
        <w:rPr>
          <w:rFonts w:ascii="Times New Roman" w:hAnsi="Times New Roman"/>
          <w:sz w:val="20"/>
        </w:rPr>
        <w:t>”).4 At present, treatments for such conditions are limited in effectiveness, with some traditional treatment methods posing a heightened risk of complications. By contrast, the Corporation expects that psychoactive compounds, such as psilocybin, may in time also emerge as a safer and healthier medical treatment alternative for various ailments.</w:t>
      </w:r>
    </w:p>
    <w:p>
      <w:pPr>
        <w:pStyle w:val="TextBody"/>
        <w:pBdr>
          <w:bottom w:val="single" w:sz="2" w:space="1" w:color="000000"/>
        </w:pBdr>
        <w:bidi w:val="0"/>
        <w:spacing w:lineRule="atLeast" w:line="160" w:before="0" w:after="40"/>
        <w:jc w:val="left"/>
        <w:rPr/>
      </w:pPr>
      <w:r>
        <w:rPr/>
        <w:t> </w:t>
      </w:r>
    </w:p>
    <w:tbl>
      <w:tblPr>
        <w:tblW w:w="8230" w:type="dxa"/>
        <w:jc w:val="left"/>
        <w:tblInd w:w="0" w:type="dxa"/>
        <w:tblLayout w:type="fixed"/>
        <w:tblCellMar>
          <w:top w:w="0" w:type="dxa"/>
          <w:left w:w="0" w:type="dxa"/>
          <w:bottom w:w="0" w:type="dxa"/>
          <w:right w:w="0" w:type="dxa"/>
        </w:tblCellMar>
      </w:tblPr>
      <w:tblGrid>
        <w:gridCol w:w="200"/>
        <w:gridCol w:w="8030"/>
      </w:tblGrid>
      <w:tr>
        <w:trPr/>
        <w:tc>
          <w:tcPr>
            <w:tcW w:w="200" w:type="dxa"/>
            <w:tcBorders/>
            <w:vAlign w:val="center"/>
          </w:tcPr>
          <w:p>
            <w:pPr>
              <w:pStyle w:val="TableContents"/>
              <w:bidi w:val="0"/>
              <w:spacing w:before="0" w:after="283"/>
              <w:jc w:val="left"/>
              <w:rPr/>
            </w:pPr>
            <w:r>
              <w:rPr/>
              <w:t>1 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https://www.baystreet.ca/stockstowatch/7145/Magic-Mushroom-Market-Set-to-Grow-10-Feet-Tall.</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2 </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https://www.forbes.com/sites/davidcarpenter/2020/08/08/four-terminally-ill-canadians-gain-legal-right-to-use-magic-mushrooms-for-end-of-life-distress/#3194f50a2bdf.</w:t>
            </w:r>
          </w:p>
        </w:tc>
      </w:tr>
    </w:tbl>
    <w:tbl>
      <w:tblPr>
        <w:tblW w:w="8650" w:type="dxa"/>
        <w:jc w:val="left"/>
        <w:tblInd w:w="0" w:type="dxa"/>
        <w:tblLayout w:type="fixed"/>
        <w:tblCellMar>
          <w:top w:w="0" w:type="dxa"/>
          <w:left w:w="0" w:type="dxa"/>
          <w:bottom w:w="0" w:type="dxa"/>
          <w:right w:w="0" w:type="dxa"/>
        </w:tblCellMar>
      </w:tblPr>
      <w:tblGrid>
        <w:gridCol w:w="200"/>
        <w:gridCol w:w="8450"/>
      </w:tblGrid>
      <w:tr>
        <w:trPr/>
        <w:tc>
          <w:tcPr>
            <w:tcW w:w="200" w:type="dxa"/>
            <w:tcBorders/>
            <w:vAlign w:val="center"/>
          </w:tcPr>
          <w:p>
            <w:pPr>
              <w:pStyle w:val="TableContents"/>
              <w:bidi w:val="0"/>
              <w:spacing w:before="0" w:after="283"/>
              <w:jc w:val="left"/>
              <w:rPr/>
            </w:pPr>
            <w:r>
              <w:rPr/>
              <w:t>3 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https://www.healtheuropa.eu/worlds-first-magic-mushroom-nasal-spray-for-ptsd-and-depression/95434/.</w:t>
            </w:r>
          </w:p>
        </w:tc>
      </w:tr>
    </w:tbl>
    <w:tbl>
      <w:tblPr>
        <w:tblW w:w="10450" w:type="dxa"/>
        <w:jc w:val="left"/>
        <w:tblInd w:w="0" w:type="dxa"/>
        <w:tblLayout w:type="fixed"/>
        <w:tblCellMar>
          <w:top w:w="0" w:type="dxa"/>
          <w:left w:w="0" w:type="dxa"/>
          <w:bottom w:w="0" w:type="dxa"/>
          <w:right w:w="0" w:type="dxa"/>
        </w:tblCellMar>
      </w:tblPr>
      <w:tblGrid>
        <w:gridCol w:w="200"/>
        <w:gridCol w:w="10250"/>
      </w:tblGrid>
      <w:tr>
        <w:trPr/>
        <w:tc>
          <w:tcPr>
            <w:tcW w:w="200" w:type="dxa"/>
            <w:tcBorders/>
            <w:vAlign w:val="center"/>
          </w:tcPr>
          <w:p>
            <w:pPr>
              <w:pStyle w:val="TableContents"/>
              <w:bidi w:val="0"/>
              <w:spacing w:before="0" w:after="283"/>
              <w:jc w:val="left"/>
              <w:rPr/>
            </w:pPr>
            <w:r>
              <w:rPr/>
              <w:t>4 </w:t>
            </w:r>
          </w:p>
        </w:tc>
        <w:tc>
          <w:tcPr>
            <w:tcW w:w="10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https://www.biopharmaglobal.com/2019/11/26/usona-institute-receives-fda-breakthrough-therapy-designation-for-psilocybin-for-the-treatment-of-major-depressive-disorder/.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single" w:sz="30" w:space="0" w:color="000000"/>
        </w:pBdr>
        <w:bidi w:val="0"/>
        <w:jc w:val="left"/>
        <w:rPr/>
      </w:pPr>
      <w:r>
        <w:rPr/>
      </w:r>
    </w:p>
    <w:p>
      <w:pPr>
        <w:pStyle w:val="Heading5"/>
        <w:bidi w:val="0"/>
        <w:jc w:val="left"/>
        <w:rPr/>
      </w:pPr>
      <w:hyperlink w:anchor="toc">
        <w:bookmarkStart w:id="72" w:name="page_49"/>
        <w:bookmarkEnd w:id="72"/>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Corporation’s target market is focused on psychedelic pharmaceutical and non-psychedelic products. The Corporation views its synthetic psychedelic substances as boosters for the brain that can potentially rebuild pathways and break negative patterns all while looking at non-psychedelic medical extracts as the next wave of nutraceuticals that can potentially optimize overall health.5</w:t>
      </w:r>
    </w:p>
    <w:p>
      <w:pPr>
        <w:pStyle w:val="TextBody"/>
        <w:bidi w:val="0"/>
        <w:spacing w:before="240" w:after="0"/>
        <w:jc w:val="left"/>
        <w:rPr>
          <w:rFonts w:ascii="Times New Roman" w:hAnsi="Times New Roman"/>
          <w:sz w:val="20"/>
        </w:rPr>
      </w:pPr>
      <w:r>
        <w:rPr>
          <w:rFonts w:ascii="Times New Roman" w:hAnsi="Times New Roman"/>
          <w:sz w:val="20"/>
        </w:rPr>
        <w:t>The Corporation currently has two business segments: (a) Serenity Life and Cybin U.S. that focus on the research and development of psychedelic pharmaceutical products; and (b) Natures Journey that focuses on consumer mental wellness, including non-psychedelic nutraceutical products.</w:t>
      </w:r>
    </w:p>
    <w:p>
      <w:pPr>
        <w:pStyle w:val="TextBody"/>
        <w:bidi w:val="0"/>
        <w:spacing w:before="240" w:after="0"/>
        <w:jc w:val="left"/>
        <w:rPr>
          <w:rFonts w:ascii="Times New Roman" w:hAnsi="Times New Roman"/>
          <w:sz w:val="20"/>
        </w:rPr>
      </w:pPr>
      <w:r>
        <w:rPr>
          <w:rFonts w:ascii="Times New Roman" w:hAnsi="Times New Roman"/>
          <w:sz w:val="20"/>
        </w:rPr>
        <w:t>For additional information in respect of the Corporation and its operation, please see the Corporation’s Annual Information Form incorporated by reference into this Prospectus.</w:t>
      </w:r>
    </w:p>
    <w:p>
      <w:pPr>
        <w:pStyle w:val="TextBody"/>
        <w:bidi w:val="0"/>
        <w:spacing w:before="360" w:after="0"/>
        <w:jc w:val="left"/>
        <w:rPr>
          <w:rFonts w:ascii="Times New Roman" w:hAnsi="Times New Roman"/>
          <w:b/>
          <w:sz w:val="20"/>
        </w:rPr>
      </w:pPr>
      <w:r>
        <w:rPr>
          <w:rFonts w:ascii="Times New Roman" w:hAnsi="Times New Roman"/>
          <w:b/>
          <w:sz w:val="20"/>
        </w:rPr>
        <w:t xml:space="preserve">Inter-Corporate Relationships </w:t>
      </w:r>
    </w:p>
    <w:p>
      <w:pPr>
        <w:pStyle w:val="TextBody"/>
        <w:bidi w:val="0"/>
        <w:spacing w:before="120" w:after="0"/>
        <w:jc w:val="left"/>
        <w:rPr>
          <w:rFonts w:ascii="Times New Roman" w:hAnsi="Times New Roman"/>
          <w:sz w:val="20"/>
        </w:rPr>
      </w:pPr>
      <w:r>
        <w:rPr>
          <w:rFonts w:ascii="Times New Roman" w:hAnsi="Times New Roman"/>
          <w:sz w:val="20"/>
        </w:rPr>
        <w:t>As at the date of this Prospectus, the Corporation’s corporate structure includes the following material wholly-owned subsidiaries: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5525" cy="2800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2295525" cy="2800350"/>
                    </a:xfrm>
                    <a:prstGeom prst="rect">
                      <a:avLst/>
                    </a:prstGeom>
                  </pic:spPr>
                </pic:pic>
              </a:graphicData>
            </a:graphic>
          </wp:inline>
        </w:drawing>
      </w:r>
    </w:p>
    <w:p>
      <w:pPr>
        <w:pStyle w:val="TextBody"/>
        <w:bidi w:val="0"/>
        <w:spacing w:before="240" w:after="0"/>
        <w:ind w:left="240" w:right="240" w:hanging="0"/>
        <w:jc w:val="left"/>
        <w:rPr>
          <w:rFonts w:ascii="Times New Roman" w:hAnsi="Times New Roman"/>
          <w:sz w:val="20"/>
        </w:rPr>
      </w:pPr>
      <w:r>
        <w:rPr>
          <w:rFonts w:ascii="Times New Roman" w:hAnsi="Times New Roman"/>
          <w:sz w:val="20"/>
        </w:rPr>
        <w:t>Note: (1) The Adelia Shareholders (defined below) hold certain non-voting securities of Cybin US, see “</w:t>
      </w:r>
      <w:r>
        <w:rPr>
          <w:rFonts w:ascii="Times New Roman" w:hAnsi="Times New Roman"/>
          <w:i/>
          <w:sz w:val="20"/>
        </w:rPr>
        <w:t>Select Recent Developments</w:t>
      </w:r>
      <w:r>
        <w:rPr>
          <w:rFonts w:ascii="Times New Roman" w:hAnsi="Times New Roman"/>
          <w:sz w:val="20"/>
        </w:rPr>
        <w:t>” below.</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5 </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single" w:sz="30" w:space="0" w:color="000000"/>
        </w:pBdr>
        <w:bidi w:val="0"/>
        <w:jc w:val="left"/>
        <w:rPr/>
      </w:pPr>
      <w:r>
        <w:rPr/>
      </w:r>
    </w:p>
    <w:p>
      <w:pPr>
        <w:pStyle w:val="Heading5"/>
        <w:bidi w:val="0"/>
        <w:jc w:val="left"/>
        <w:rPr/>
      </w:pPr>
      <w:hyperlink w:anchor="toc">
        <w:bookmarkStart w:id="73" w:name="page_50"/>
        <w:bookmarkEnd w:id="73"/>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COVID-19 Pandemic </w:t>
      </w:r>
    </w:p>
    <w:p>
      <w:pPr>
        <w:pStyle w:val="TextBody"/>
        <w:bidi w:val="0"/>
        <w:spacing w:before="120" w:after="0"/>
        <w:jc w:val="left"/>
        <w:rPr>
          <w:rFonts w:ascii="Times New Roman" w:hAnsi="Times New Roman"/>
          <w:sz w:val="20"/>
        </w:rPr>
      </w:pPr>
      <w:r>
        <w:rPr>
          <w:rFonts w:ascii="Times New Roman" w:hAnsi="Times New Roman"/>
          <w:sz w:val="20"/>
        </w:rPr>
        <w:t>On March 11, 2020, the World Health Organization declared the outbreak of COVID-19 a pandemic. Since the outbreak of COVID-19, the Corporation has focused its efforts on safeguarding the health and well-being of its employees, consultants and community members. To help slow the spread of COVID-19, the Corporation’s employees have been working remotely, where possible, and abiding by local and national guidance put in place in Canada, the United States, and Jamaica related to social distancing and restrictions on travel outside of the home. The Corporation has and will continue to abide by the protocols within Canada, the United States, and Jamaica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Corporation.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Corporation are suspended or scaled back, or if the Corporation’s supply chains are disrupted, such events may have a material adverse effect on the Corporation. The breadth of the impact of the COVID-19 pandemic on investors, businesses, the global economy and financial and commodity markets may also have a material adverse effect on the Corporation.</w:t>
      </w:r>
    </w:p>
    <w:p>
      <w:pPr>
        <w:pStyle w:val="TextBody"/>
        <w:bidi w:val="0"/>
        <w:spacing w:before="240" w:after="0"/>
        <w:jc w:val="left"/>
        <w:rPr>
          <w:rFonts w:ascii="Times New Roman" w:hAnsi="Times New Roman"/>
          <w:sz w:val="20"/>
        </w:rPr>
      </w:pPr>
      <w:r>
        <w:rPr>
          <w:rFonts w:ascii="Times New Roman" w:hAnsi="Times New Roman"/>
          <w:sz w:val="20"/>
        </w:rPr>
        <w:t>For additional information see “</w:t>
      </w:r>
      <w:r>
        <w:rPr>
          <w:rFonts w:ascii="Times New Roman" w:hAnsi="Times New Roman"/>
          <w:i/>
          <w:sz w:val="20"/>
        </w:rPr>
        <w:t>Risk Factors – Risks Related to the Business of the Corporation – Novel Coronavirus COVID-19”</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Select Recent Developments </w:t>
      </w:r>
    </w:p>
    <w:p>
      <w:pPr>
        <w:pStyle w:val="TextBody"/>
        <w:bidi w:val="0"/>
        <w:spacing w:before="120" w:after="0"/>
        <w:jc w:val="left"/>
        <w:rPr>
          <w:rFonts w:ascii="Times New Roman" w:hAnsi="Times New Roman"/>
          <w:sz w:val="20"/>
        </w:rPr>
      </w:pPr>
      <w:r>
        <w:rPr>
          <w:rFonts w:ascii="Times New Roman" w:hAnsi="Times New Roman"/>
          <w:sz w:val="20"/>
        </w:rPr>
        <w:t>On December 4, 2020, the Corporation entered into a contribution agreement (the “</w:t>
      </w:r>
      <w:r>
        <w:rPr>
          <w:rFonts w:ascii="Times New Roman" w:hAnsi="Times New Roman"/>
          <w:b/>
          <w:sz w:val="20"/>
        </w:rPr>
        <w:t>Contribution Agreement</w:t>
      </w:r>
      <w:r>
        <w:rPr>
          <w:rFonts w:ascii="Times New Roman" w:hAnsi="Times New Roman"/>
          <w:sz w:val="20"/>
        </w:rPr>
        <w:t>”) with Cybin Corp., Cybin U.S. and all of the shareholders (the “</w:t>
      </w:r>
      <w:r>
        <w:rPr>
          <w:rFonts w:ascii="Times New Roman" w:hAnsi="Times New Roman"/>
          <w:b/>
          <w:sz w:val="20"/>
        </w:rPr>
        <w:t>Adelia Shareholders</w:t>
      </w:r>
      <w:r>
        <w:rPr>
          <w:rFonts w:ascii="Times New Roman" w:hAnsi="Times New Roman"/>
          <w:sz w:val="20"/>
        </w:rPr>
        <w:t>”) of Adelia Therapeutics Inc. (“</w:t>
      </w:r>
      <w:r>
        <w:rPr>
          <w:rFonts w:ascii="Times New Roman" w:hAnsi="Times New Roman"/>
          <w:b/>
          <w:sz w:val="20"/>
        </w:rPr>
        <w:t>Adelia</w:t>
      </w:r>
      <w:r>
        <w:rPr>
          <w:rFonts w:ascii="Times New Roman" w:hAnsi="Times New Roman"/>
          <w:sz w:val="20"/>
        </w:rPr>
        <w:t>”) whereby Cybin U.S. agreed to purchase from the Adelia Shareholders all of the issued and outstanding Adelia shares in exchange for the Class B Shares. The Adelia Transaction closed on December 14, 2020.</w:t>
      </w:r>
    </w:p>
    <w:p>
      <w:pPr>
        <w:pStyle w:val="TextBody"/>
        <w:bidi w:val="0"/>
        <w:spacing w:before="240" w:after="0"/>
        <w:jc w:val="left"/>
        <w:rPr>
          <w:rFonts w:ascii="Times New Roman" w:hAnsi="Times New Roman"/>
          <w:sz w:val="20"/>
        </w:rPr>
      </w:pPr>
      <w:r>
        <w:rPr>
          <w:rFonts w:ascii="Times New Roman" w:hAnsi="Times New Roman"/>
          <w:sz w:val="20"/>
        </w:rPr>
        <w:t>Pursuant to the Contribution Agreement and the support agreement entered into among Cybin U.S. and the Adelia Shareholders (the “</w:t>
      </w:r>
      <w:r>
        <w:rPr>
          <w:rFonts w:ascii="Times New Roman" w:hAnsi="Times New Roman"/>
          <w:b/>
          <w:sz w:val="20"/>
        </w:rPr>
        <w:t>Support Agreement</w:t>
      </w:r>
      <w:r>
        <w:rPr>
          <w:rFonts w:ascii="Times New Roman" w:hAnsi="Times New Roman"/>
          <w:sz w:val="20"/>
        </w:rPr>
        <w:t>”), the Adelia Shareholders received non-voting Class B common shares in the capital of Cybin U.S. (each a “</w:t>
      </w:r>
      <w:r>
        <w:rPr>
          <w:rFonts w:ascii="Times New Roman" w:hAnsi="Times New Roman"/>
          <w:b/>
          <w:sz w:val="20"/>
        </w:rPr>
        <w:t>Class</w:t>
      </w:r>
      <w:r>
        <w:rPr>
          <w:rFonts w:ascii="Times New Roman" w:hAnsi="Times New Roman"/>
          <w:sz w:val="20"/>
        </w:rPr>
        <w:t> </w:t>
      </w:r>
      <w:r>
        <w:rPr>
          <w:rFonts w:ascii="Times New Roman" w:hAnsi="Times New Roman"/>
          <w:b/>
          <w:sz w:val="20"/>
        </w:rPr>
        <w:t>B Share</w:t>
      </w:r>
      <w:r>
        <w:rPr>
          <w:rFonts w:ascii="Times New Roman" w:hAnsi="Times New Roman"/>
          <w:sz w:val="20"/>
        </w:rPr>
        <w:t>”), which are 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$10,773,529.50.</w:t>
      </w:r>
    </w:p>
    <w:p>
      <w:pPr>
        <w:pStyle w:val="TextBody"/>
        <w:bidi w:val="0"/>
        <w:spacing w:before="240" w:after="0"/>
        <w:jc w:val="left"/>
        <w:rPr>
          <w:rFonts w:ascii="Times New Roman" w:hAnsi="Times New Roman"/>
          <w:sz w:val="20"/>
        </w:rPr>
      </w:pPr>
      <w:r>
        <w:rPr>
          <w:rFonts w:ascii="Times New Roman" w:hAnsi="Times New Roman"/>
          <w:sz w:val="20"/>
        </w:rPr>
        <w:t>Under the Contribution Agreement, the Adelia Shareholders are also entitled to Class B Shares upon the occurrence of certain milestones as set out in the Contribution Agreement, which are also exchangeable for Common Shares on a 10 Common Shares for 1 Class B Share basis. The total value of the Class B Shares issuable pursuant to the milestones is up to $9,388,045.50 assuming all milestones are met prior to the applicable deadlines. In March, 2021, pursuant to the terms of the Contribution Agreement, an aggregate of 42,247.3 Class B Shares were issued to the Adelia Shareholders in satisfaction of $686,306.31 due to them upon meeting the certain relevant milestone.</w:t>
      </w:r>
    </w:p>
    <w:p>
      <w:pPr>
        <w:pStyle w:val="TextBody"/>
        <w:bidi w:val="0"/>
        <w:spacing w:before="240" w:after="0"/>
        <w:jc w:val="left"/>
        <w:rPr>
          <w:rFonts w:ascii="Times New Roman" w:hAnsi="Times New Roman"/>
          <w:sz w:val="20"/>
        </w:rPr>
      </w:pPr>
      <w:r>
        <w:rPr>
          <w:rFonts w:ascii="Times New Roman" w:hAnsi="Times New Roman"/>
          <w:sz w:val="20"/>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 the third 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single" w:sz="30" w:space="0" w:color="000000"/>
        </w:pBdr>
        <w:bidi w:val="0"/>
        <w:jc w:val="left"/>
        <w:rPr/>
      </w:pPr>
      <w:r>
        <w:rPr/>
      </w:r>
    </w:p>
    <w:p>
      <w:pPr>
        <w:pStyle w:val="Heading5"/>
        <w:bidi w:val="0"/>
        <w:jc w:val="left"/>
        <w:rPr/>
      </w:pPr>
      <w:hyperlink w:anchor="toc">
        <w:bookmarkStart w:id="74" w:name="page_51"/>
        <w:bookmarkEnd w:id="74"/>
        <w:r>
          <w:rPr>
            <w:rStyle w:val="InternetLink"/>
          </w:rPr>
          <w:t>Table of Contents</w:t>
        </w:r>
      </w:hyperlink>
    </w:p>
    <w:p>
      <w:pPr>
        <w:pStyle w:val="TextBody"/>
        <w:bidi w:val="0"/>
        <w:spacing w:before="0" w:after="0"/>
        <w:jc w:val="center"/>
        <w:rPr>
          <w:rFonts w:ascii="Times New Roman" w:hAnsi="Times New Roman"/>
          <w:b/>
          <w:sz w:val="20"/>
        </w:rPr>
      </w:pPr>
      <w:bookmarkStart w:id="75" w:name="toc191613_9"/>
      <w:bookmarkEnd w:id="75"/>
      <w:r>
        <w:rPr>
          <w:rFonts w:ascii="Times New Roman" w:hAnsi="Times New Roman"/>
          <w:b/>
          <w:sz w:val="20"/>
        </w:rPr>
        <w:t xml:space="preserve">REGULATORY OVERVIEW </w:t>
      </w:r>
    </w:p>
    <w:p>
      <w:pPr>
        <w:pStyle w:val="TextBody"/>
        <w:bidi w:val="0"/>
        <w:spacing w:before="240" w:after="0"/>
        <w:jc w:val="left"/>
        <w:rPr>
          <w:rFonts w:ascii="Times New Roman" w:hAnsi="Times New Roman"/>
          <w:sz w:val="20"/>
        </w:rPr>
      </w:pPr>
      <w:r>
        <w:rPr>
          <w:rFonts w:ascii="Times New Roman" w:hAnsi="Times New Roman"/>
          <w:sz w:val="20"/>
        </w:rPr>
        <w:t>A summary of the applicable regulatory framework for the Corporation’s various business segments and proposed business activity are set forth below.</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8"/>
        <w:gridCol w:w="120"/>
        <w:gridCol w:w="2568"/>
        <w:gridCol w:w="120"/>
        <w:gridCol w:w="4699"/>
      </w:tblGrid>
      <w:tr>
        <w:trPr/>
        <w:tc>
          <w:tcPr>
            <w:tcW w:w="26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r>
      <w:tr>
        <w:trPr/>
        <w:tc>
          <w:tcPr>
            <w:tcW w:w="269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Business Segment</w:t>
            </w:r>
          </w:p>
        </w:tc>
        <w:tc>
          <w:tcPr>
            <w:tcW w:w="120" w:type="dxa"/>
            <w:tcBorders/>
            <w:vAlign w:val="center"/>
          </w:tcPr>
          <w:p>
            <w:pPr>
              <w:pStyle w:val="TableContents"/>
              <w:bidi w:val="0"/>
              <w:spacing w:before="0" w:after="283"/>
              <w:jc w:val="left"/>
              <w:rPr/>
            </w:pPr>
            <w:r>
              <w:rPr/>
              <w:t>  </w:t>
            </w:r>
          </w:p>
        </w:tc>
        <w:tc>
          <w:tcPr>
            <w:tcW w:w="25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Current/Proposed</w:t>
              <w:br/>
              <w:t>Location of Operation</w:t>
            </w:r>
          </w:p>
        </w:tc>
        <w:tc>
          <w:tcPr>
            <w:tcW w:w="120" w:type="dxa"/>
            <w:tcBorders/>
            <w:vAlign w:val="center"/>
          </w:tcPr>
          <w:p>
            <w:pPr>
              <w:pStyle w:val="TableContents"/>
              <w:bidi w:val="0"/>
              <w:spacing w:before="0" w:after="283"/>
              <w:jc w:val="left"/>
              <w:rPr/>
            </w:pPr>
            <w:r>
              <w:rPr/>
              <w:t>  </w:t>
            </w:r>
          </w:p>
        </w:tc>
        <w:tc>
          <w:tcPr>
            <w:tcW w:w="46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Summary of Applicable Regulatory Frameworks</w:t>
            </w:r>
          </w:p>
        </w:tc>
      </w:tr>
      <w:tr>
        <w:trPr/>
        <w:tc>
          <w:tcPr>
            <w:tcW w:w="2698" w:type="dxa"/>
            <w:tcBorders/>
            <w:vAlign w:val="center"/>
          </w:tcPr>
          <w:p>
            <w:pPr>
              <w:pStyle w:val="TableContents"/>
              <w:bidi w:val="0"/>
              <w:spacing w:before="0" w:after="283"/>
              <w:jc w:val="left"/>
              <w:rPr/>
            </w:pPr>
            <w:r>
              <w:rPr/>
              <w:t>Serenity Life &amp; Cybin U.S.</w:t>
            </w:r>
            <w:r>
              <w:rPr>
                <w:b/>
              </w:rPr>
              <w:t>(1)</w:t>
            </w:r>
          </w:p>
        </w:tc>
        <w:tc>
          <w:tcPr>
            <w:tcW w:w="12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center"/>
              <w:rPr/>
            </w:pPr>
            <w:r>
              <w:rPr/>
              <w:t>Canada, United Kingdom, United States &amp; Jamaica</w:t>
            </w:r>
          </w:p>
        </w:tc>
        <w:tc>
          <w:tcPr>
            <w:tcW w:w="12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Canadian and United States federal governments regulate drugs through the CDSA and the CSA, respectively, which place controlled substances in a schedule.</w:t>
            </w:r>
            <w:r>
              <w:rPr>
                <w:rFonts w:ascii="Times New Roman" w:hAnsi="Times New Roman"/>
                <w:b/>
                <w:sz w:val="20"/>
              </w:rPr>
              <w:t>(2)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CDSA, psilocybin is currently a Schedule III drug.</w:t>
            </w:r>
            <w:r>
              <w:rPr>
                <w:rFonts w:ascii="Times New Roman" w:hAnsi="Times New Roman"/>
                <w:b/>
                <w:sz w:val="20"/>
              </w:rPr>
              <w:t>(3)</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CSA, psilocybin is currently a Schedule I drug.</w:t>
            </w:r>
            <w:r>
              <w:rPr>
                <w:rFonts w:ascii="Times New Roman" w:hAnsi="Times New Roman"/>
                <w:b/>
                <w:sz w:val="20"/>
              </w:rPr>
              <w:t>(4)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Misuse of Drugs Regulations 2001 and the Misuse of Drugs Regulations 2001</w:t>
            </w:r>
          </w:p>
        </w:tc>
      </w:tr>
      <w:tr>
        <w:trPr>
          <w:trHeight w:val="120" w:hRule="atLeast"/>
        </w:trPr>
        <w:tc>
          <w:tcPr>
            <w:tcW w:w="2698" w:type="dxa"/>
            <w:tcBorders/>
            <w:vAlign w:val="center"/>
          </w:tcPr>
          <w:p>
            <w:pPr>
              <w:pStyle w:val="TableContents"/>
              <w:bidi w:val="0"/>
              <w:spacing w:before="0" w:after="283"/>
              <w:jc w:val="left"/>
              <w:rPr/>
            </w:pPr>
            <w:r>
              <w:rPr/>
              <w:t> </w:t>
            </w:r>
          </w:p>
        </w:tc>
        <w:tc>
          <w:tcPr>
            <w:tcW w:w="2688" w:type="dxa"/>
            <w:gridSpan w:val="2"/>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pPr>
            <w:r>
              <w:rPr/>
              <w:t> </w:t>
            </w:r>
          </w:p>
        </w:tc>
      </w:tr>
      <w:tr>
        <w:trPr/>
        <w:tc>
          <w:tcPr>
            <w:tcW w:w="2698" w:type="dxa"/>
            <w:tcBorders/>
            <w:vAlign w:val="center"/>
          </w:tcPr>
          <w:p>
            <w:pPr>
              <w:pStyle w:val="TableContents"/>
              <w:bidi w:val="0"/>
              <w:spacing w:before="0" w:after="283"/>
              <w:jc w:val="left"/>
              <w:rPr/>
            </w:pPr>
            <w:r>
              <w:rPr/>
              <w:t>Natures Journey</w:t>
            </w:r>
            <w:r>
              <w:rPr>
                <w:b/>
              </w:rPr>
              <w:t>(5)</w:t>
            </w:r>
          </w:p>
        </w:tc>
        <w:tc>
          <w:tcPr>
            <w:tcW w:w="12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center"/>
              <w:rPr/>
            </w:pPr>
            <w:r>
              <w:rPr/>
              <w:t>Canada and the United States</w:t>
            </w:r>
          </w:p>
        </w:tc>
        <w:tc>
          <w:tcPr>
            <w:tcW w:w="12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Food and Drugs Act </w:t>
            </w:r>
            <w:r>
              <w:rPr>
                <w:rFonts w:ascii="Times New Roman" w:hAnsi="Times New Roman"/>
                <w:sz w:val="20"/>
              </w:rPr>
              <w:t xml:space="preserve">(Canada) </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Dietary Supplement Health and Education Act of 1994</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The Federal Food, Drug, and Cosmetic Act</w:t>
            </w:r>
          </w:p>
        </w:tc>
      </w:tr>
      <w:tr>
        <w:trPr>
          <w:trHeight w:val="120" w:hRule="atLeast"/>
        </w:trPr>
        <w:tc>
          <w:tcPr>
            <w:tcW w:w="2698" w:type="dxa"/>
            <w:tcBorders/>
            <w:vAlign w:val="center"/>
          </w:tcPr>
          <w:p>
            <w:pPr>
              <w:pStyle w:val="TableContents"/>
              <w:bidi w:val="0"/>
              <w:spacing w:before="0" w:after="283"/>
              <w:jc w:val="left"/>
              <w:rPr/>
            </w:pPr>
            <w:r>
              <w:rPr/>
              <w:t> </w:t>
            </w:r>
          </w:p>
        </w:tc>
        <w:tc>
          <w:tcPr>
            <w:tcW w:w="2688" w:type="dxa"/>
            <w:gridSpan w:val="2"/>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pPr>
            <w:r>
              <w:rPr/>
              <w:t> </w:t>
            </w:r>
          </w:p>
        </w:tc>
      </w:tr>
      <w:tr>
        <w:trPr/>
        <w:tc>
          <w:tcPr>
            <w:tcW w:w="2698" w:type="dxa"/>
            <w:tcBorders/>
            <w:vAlign w:val="center"/>
          </w:tcPr>
          <w:p>
            <w:pPr>
              <w:pStyle w:val="TableContents"/>
              <w:bidi w:val="0"/>
              <w:spacing w:before="0" w:after="283"/>
              <w:jc w:val="left"/>
              <w:rPr/>
            </w:pPr>
            <w:r>
              <w:rPr/>
              <w:t>Jamaica Research &amp; Development</w:t>
            </w:r>
          </w:p>
        </w:tc>
        <w:tc>
          <w:tcPr>
            <w:tcW w:w="120" w:type="dxa"/>
            <w:tcBorders/>
            <w:vAlign w:val="center"/>
          </w:tcPr>
          <w:p>
            <w:pPr>
              <w:pStyle w:val="TableContents"/>
              <w:bidi w:val="0"/>
              <w:spacing w:before="0" w:after="283"/>
              <w:jc w:val="left"/>
              <w:rPr/>
            </w:pPr>
            <w:r>
              <w:rPr/>
              <w:t>  </w:t>
            </w:r>
          </w:p>
        </w:tc>
        <w:tc>
          <w:tcPr>
            <w:tcW w:w="2568" w:type="dxa"/>
            <w:tcBorders/>
            <w:vAlign w:val="center"/>
          </w:tcPr>
          <w:p>
            <w:pPr>
              <w:pStyle w:val="TableContents"/>
              <w:bidi w:val="0"/>
              <w:spacing w:before="0" w:after="283"/>
              <w:jc w:val="center"/>
              <w:rPr/>
            </w:pPr>
            <w:r>
              <w:rPr/>
              <w:t>Jamaica</w:t>
            </w:r>
          </w:p>
        </w:tc>
        <w:tc>
          <w:tcPr>
            <w:tcW w:w="12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Psilocybin mushrooms are not an illegal drug under Jamaica’s </w:t>
            </w:r>
            <w:r>
              <w:rPr>
                <w:rFonts w:ascii="Times New Roman" w:hAnsi="Times New Roman"/>
                <w:i/>
                <w:sz w:val="20"/>
              </w:rPr>
              <w:t>Dangerous Drugs Act, 1948</w:t>
            </w:r>
            <w:r>
              <w:rPr>
                <w:rFonts w:ascii="Times New Roman" w:hAnsi="Times New Roman"/>
                <w:sz w:val="20"/>
              </w:rPr>
              <w:t>.(6)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Corporation’s activity in relation to the sponsored research of psilocybin mushrooms, botanicals and other related fungi is limited to the jurisdiction of Jamaica.</w:t>
            </w:r>
          </w:p>
        </w:tc>
      </w:tr>
    </w:tbl>
    <w:p>
      <w:pPr>
        <w:pStyle w:val="TextBody"/>
        <w:bidi w:val="0"/>
        <w:spacing w:before="240" w:after="0"/>
        <w:jc w:val="left"/>
        <w:rPr>
          <w:rFonts w:ascii="Times New Roman" w:hAnsi="Times New Roman"/>
          <w:b/>
          <w:sz w:val="20"/>
        </w:rPr>
      </w:pPr>
      <w:r>
        <w:rPr>
          <w:rFonts w:ascii="Times New Roman" w:hAnsi="Times New Roman"/>
          <w:b/>
          <w:sz w:val="20"/>
          <w:u w:val="single"/>
        </w:rPr>
        <w:t>Notes:</w:t>
      </w:r>
      <w:r>
        <w:rPr>
          <w:rFonts w:ascii="Times New Roman" w:hAnsi="Times New Roman"/>
          <w:b/>
          <w:sz w:val="20"/>
        </w:rPr>
        <w:t xml:space="preserve">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segment focuses on the research, development and commercialization of psychedelic-inspired regulation medicines.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hAnsi="Times New Roman"/>
                <w:i/>
                <w:sz w:val="20"/>
              </w:rPr>
              <w:t>Regulatory Overview – Research and Development”</w:t>
            </w:r>
            <w:r>
              <w:rPr>
                <w:rFonts w:ascii="Times New Roman" w:hAnsi="Times New Roman"/>
                <w:sz w:val="20"/>
              </w:rPr>
              <w:t>.</w:t>
            </w:r>
          </w:p>
        </w:tc>
      </w:tr>
    </w:tbl>
    <w:tbl>
      <w:tblPr>
        <w:tblW w:w="9835" w:type="dxa"/>
        <w:jc w:val="left"/>
        <w:tblInd w:w="0" w:type="dxa"/>
        <w:tblLayout w:type="fixed"/>
        <w:tblCellMar>
          <w:top w:w="0" w:type="dxa"/>
          <w:left w:w="0" w:type="dxa"/>
          <w:bottom w:w="0" w:type="dxa"/>
          <w:right w:w="0" w:type="dxa"/>
        </w:tblCellMar>
      </w:tblPr>
      <w:tblGrid>
        <w:gridCol w:w="290"/>
        <w:gridCol w:w="9545"/>
      </w:tblGrid>
      <w:tr>
        <w:trPr/>
        <w:tc>
          <w:tcPr>
            <w:tcW w:w="290" w:type="dxa"/>
            <w:tcBorders/>
            <w:vAlign w:val="center"/>
          </w:tcPr>
          <w:p>
            <w:pPr>
              <w:pStyle w:val="TableContents"/>
              <w:bidi w:val="0"/>
              <w:spacing w:before="0" w:after="283"/>
              <w:jc w:val="left"/>
              <w:rPr/>
            </w:pPr>
            <w:r>
              <w:rPr/>
              <w:t>(3)</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further information on the Canadian regulatory framework, see “</w:t>
            </w:r>
            <w:r>
              <w:rPr>
                <w:rFonts w:ascii="Times New Roman" w:hAnsi="Times New Roman"/>
                <w:i/>
                <w:sz w:val="20"/>
              </w:rPr>
              <w:t xml:space="preserve">Regulatory Overview – Canada – Psychedelics.” </w:t>
            </w:r>
          </w:p>
        </w:tc>
      </w:tr>
    </w:tbl>
    <w:tbl>
      <w:tblPr>
        <w:tblW w:w="9280" w:type="dxa"/>
        <w:jc w:val="left"/>
        <w:tblInd w:w="0" w:type="dxa"/>
        <w:tblLayout w:type="fixed"/>
        <w:tblCellMar>
          <w:top w:w="0" w:type="dxa"/>
          <w:left w:w="0" w:type="dxa"/>
          <w:bottom w:w="0" w:type="dxa"/>
          <w:right w:w="0" w:type="dxa"/>
        </w:tblCellMar>
      </w:tblPr>
      <w:tblGrid>
        <w:gridCol w:w="290"/>
        <w:gridCol w:w="8990"/>
      </w:tblGrid>
      <w:tr>
        <w:trPr/>
        <w:tc>
          <w:tcPr>
            <w:tcW w:w="290" w:type="dxa"/>
            <w:tcBorders/>
            <w:vAlign w:val="center"/>
          </w:tcPr>
          <w:p>
            <w:pPr>
              <w:pStyle w:val="TableContents"/>
              <w:bidi w:val="0"/>
              <w:spacing w:before="0" w:after="283"/>
              <w:jc w:val="left"/>
              <w:rPr/>
            </w:pPr>
            <w:r>
              <w:rPr/>
              <w:t>(4)</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further information on the United States regulatory framework, see “</w:t>
            </w:r>
            <w:r>
              <w:rPr>
                <w:rFonts w:ascii="Times New Roman" w:hAnsi="Times New Roman"/>
                <w:i/>
                <w:sz w:val="20"/>
              </w:rPr>
              <w:t>Regulatory Overview – United States.”</w:t>
            </w:r>
          </w:p>
        </w:tc>
      </w:tr>
    </w:tbl>
    <w:tbl>
      <w:tblPr>
        <w:tblW w:w="9895" w:type="dxa"/>
        <w:jc w:val="left"/>
        <w:tblInd w:w="0" w:type="dxa"/>
        <w:tblLayout w:type="fixed"/>
        <w:tblCellMar>
          <w:top w:w="0" w:type="dxa"/>
          <w:left w:w="0" w:type="dxa"/>
          <w:bottom w:w="0" w:type="dxa"/>
          <w:right w:w="0" w:type="dxa"/>
        </w:tblCellMar>
      </w:tblPr>
      <w:tblGrid>
        <w:gridCol w:w="290"/>
        <w:gridCol w:w="9605"/>
      </w:tblGrid>
      <w:tr>
        <w:trPr/>
        <w:tc>
          <w:tcPr>
            <w:tcW w:w="290" w:type="dxa"/>
            <w:tcBorders/>
            <w:vAlign w:val="center"/>
          </w:tcPr>
          <w:p>
            <w:pPr>
              <w:pStyle w:val="TableContents"/>
              <w:bidi w:val="0"/>
              <w:spacing w:before="0" w:after="283"/>
              <w:jc w:val="left"/>
              <w:rPr/>
            </w:pPr>
            <w:r>
              <w:rPr/>
              <w:t>(5)</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segment focuses on consumer mental wellness, including non-psychedelic mushroom nutraceutical products.</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(6)</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Psilocybin mushrooms do not fall within the definition of a dangerous drug under the </w:t>
            </w:r>
            <w:r>
              <w:rPr>
                <w:rFonts w:ascii="Times New Roman" w:hAnsi="Times New Roman"/>
                <w:i/>
                <w:sz w:val="20"/>
              </w:rPr>
              <w:t>Dangerous Drugs Act</w:t>
            </w:r>
            <w:r>
              <w:rPr>
                <w:rFonts w:ascii="Times New Roman" w:hAnsi="Times New Roman"/>
                <w:sz w:val="20"/>
              </w:rPr>
              <w:t xml:space="preserve">, </w:t>
            </w:r>
            <w:r>
              <w:rPr>
                <w:rFonts w:ascii="Times New Roman" w:hAnsi="Times New Roman"/>
                <w:i/>
                <w:sz w:val="20"/>
              </w:rPr>
              <w:t>1948</w:t>
            </w:r>
            <w:r>
              <w:rPr>
                <w:rFonts w:ascii="Times New Roman" w:hAnsi="Times New Roman"/>
                <w:sz w:val="20"/>
              </w:rPr>
              <w:t xml:space="preserve"> in Jamaica. For further information on the Jamaica regulatory framework, see “</w:t>
            </w:r>
            <w:r>
              <w:rPr>
                <w:rFonts w:ascii="Times New Roman" w:hAnsi="Times New Roman"/>
                <w:i/>
                <w:sz w:val="20"/>
              </w:rPr>
              <w:t>Regulatory Overview – Jamaica.”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single" w:sz="30" w:space="0" w:color="000000"/>
        </w:pBdr>
        <w:bidi w:val="0"/>
        <w:jc w:val="left"/>
        <w:rPr/>
      </w:pPr>
      <w:r>
        <w:rPr/>
      </w:r>
    </w:p>
    <w:p>
      <w:pPr>
        <w:pStyle w:val="Heading5"/>
        <w:bidi w:val="0"/>
        <w:jc w:val="left"/>
        <w:rPr/>
      </w:pPr>
      <w:hyperlink w:anchor="toc">
        <w:bookmarkStart w:id="76" w:name="page_52"/>
        <w:bookmarkEnd w:id="76"/>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Canada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Psychedelics </w:t>
      </w:r>
    </w:p>
    <w:p>
      <w:pPr>
        <w:pStyle w:val="TextBody"/>
        <w:bidi w:val="0"/>
        <w:spacing w:before="120" w:after="0"/>
        <w:jc w:val="left"/>
        <w:rPr>
          <w:rFonts w:ascii="Times New Roman" w:hAnsi="Times New Roman"/>
          <w:sz w:val="20"/>
        </w:rPr>
      </w:pPr>
      <w:r>
        <w:rPr>
          <w:rFonts w:ascii="Times New Roman" w:hAnsi="Times New Roman"/>
          <w:sz w:val="20"/>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spacing w:before="240" w:after="0"/>
        <w:jc w:val="left"/>
        <w:rPr>
          <w:rFonts w:ascii="Times New Roman" w:hAnsi="Times New Roman"/>
          <w:sz w:val="20"/>
        </w:rPr>
      </w:pPr>
      <w:r>
        <w:rPr>
          <w:rFonts w:ascii="Times New Roman" w:hAnsi="Times New Roman"/>
          <w:sz w:val="20"/>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Times New Roman" w:hAnsi="Times New Roman"/>
          <w:b/>
          <w:sz w:val="20"/>
        </w:rPr>
        <w:t>Section</w:t>
      </w:r>
      <w:r>
        <w:rPr>
          <w:rFonts w:ascii="Times New Roman" w:hAnsi="Times New Roman"/>
          <w:sz w:val="20"/>
        </w:rPr>
        <w:t> </w:t>
      </w:r>
      <w:r>
        <w:rPr>
          <w:rFonts w:ascii="Times New Roman" w:hAnsi="Times New Roman"/>
          <w:b/>
          <w:sz w:val="20"/>
        </w:rPr>
        <w:t>56</w:t>
      </w:r>
      <w:r>
        <w:rPr>
          <w:rFonts w:ascii="Times New Roman" w:hAnsi="Times New Roman"/>
          <w:sz w:val="20"/>
        </w:rPr>
        <w:t xml:space="preserve"> </w:t>
      </w:r>
      <w:r>
        <w:rPr>
          <w:rFonts w:ascii="Times New Roman" w:hAnsi="Times New Roman"/>
          <w:b/>
          <w:sz w:val="20"/>
        </w:rPr>
        <w:t>Exemption</w:t>
      </w:r>
      <w:r>
        <w:rPr>
          <w:rFonts w:ascii="Times New Roman" w:hAnsi="Times New Roman"/>
          <w:sz w:val="20"/>
        </w:rPr>
        <w:t>”) is required. This exemption allows the holder to possess and use the controlled substance without being subject to the restrictions set out in the CDSA. The Corporation has not applied for a Section 56 Exemption from Health Canada.</w:t>
      </w:r>
    </w:p>
    <w:p>
      <w:pPr>
        <w:pStyle w:val="TextBody"/>
        <w:bidi w:val="0"/>
        <w:spacing w:before="240" w:after="0"/>
        <w:jc w:val="left"/>
        <w:rPr>
          <w:rFonts w:ascii="Times New Roman" w:hAnsi="Times New Roman"/>
          <w:sz w:val="20"/>
        </w:rPr>
      </w:pPr>
      <w:r>
        <w:rPr>
          <w:rFonts w:ascii="Times New Roman" w:hAnsi="Times New Roman"/>
          <w:sz w:val="20"/>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Times New Roman" w:hAnsi="Times New Roman"/>
          <w:i/>
          <w:sz w:val="20"/>
        </w:rPr>
        <w:t>Controlled Drugs and Substances Act</w:t>
      </w:r>
      <w:r>
        <w:rPr>
          <w:rFonts w:ascii="Times New Roman" w:hAnsi="Times New Roman"/>
          <w:sz w:val="20"/>
        </w:rPr>
        <w:t xml:space="preserve">, </w:t>
      </w:r>
      <w:r>
        <w:rPr>
          <w:rFonts w:ascii="Times New Roman" w:hAnsi="Times New Roman"/>
          <w:i/>
          <w:sz w:val="20"/>
        </w:rPr>
        <w:t>Food and Drugs Regulations</w:t>
      </w:r>
      <w:r>
        <w:rPr>
          <w:rFonts w:ascii="Times New Roman" w:hAnsi="Times New Roman"/>
          <w:sz w:val="20"/>
        </w:rPr>
        <w:t>)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pStyle w:val="TextBody"/>
        <w:bidi w:val="0"/>
        <w:spacing w:before="240" w:after="0"/>
        <w:jc w:val="left"/>
        <w:rPr>
          <w:rFonts w:ascii="Times New Roman" w:hAnsi="Times New Roman"/>
          <w:sz w:val="20"/>
        </w:rPr>
      </w:pPr>
      <w:r>
        <w:rPr>
          <w:rFonts w:ascii="Times New Roman" w:hAnsi="Times New Roman"/>
          <w:sz w:val="20"/>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licences and approvals described above.</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Non-Psychedelics </w:t>
      </w:r>
    </w:p>
    <w:p>
      <w:pPr>
        <w:pStyle w:val="TextBody"/>
        <w:bidi w:val="0"/>
        <w:spacing w:before="120" w:after="0"/>
        <w:jc w:val="left"/>
        <w:rPr>
          <w:rFonts w:ascii="Times New Roman" w:hAnsi="Times New Roman"/>
          <w:sz w:val="20"/>
        </w:rPr>
      </w:pPr>
      <w:r>
        <w:rPr>
          <w:rFonts w:ascii="Times New Roman" w:hAnsi="Times New Roman"/>
          <w:sz w:val="20"/>
        </w:rPr>
        <w:t>NHPs, prescription drugs, and non-prescription drugs are all classified and regulated under the Canadian FDA.</w:t>
      </w:r>
    </w:p>
    <w:p>
      <w:pPr>
        <w:pStyle w:val="TextBody"/>
        <w:bidi w:val="0"/>
        <w:spacing w:before="240" w:after="0"/>
        <w:jc w:val="left"/>
        <w:rPr>
          <w:rFonts w:ascii="Times New Roman" w:hAnsi="Times New Roman"/>
          <w:sz w:val="20"/>
        </w:rPr>
      </w:pPr>
      <w:r>
        <w:rPr>
          <w:rFonts w:ascii="Times New Roman" w:hAnsi="Times New Roman"/>
          <w:sz w:val="20"/>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Times New Roman" w:hAnsi="Times New Roman"/>
          <w:b/>
          <w:sz w:val="20"/>
        </w:rPr>
        <w:t>Canadian Regulations</w:t>
      </w:r>
      <w:r>
        <w:rPr>
          <w:rFonts w:ascii="Times New Roman" w:hAnsi="Times New Roman"/>
          <w:sz w:val="20"/>
        </w:rPr>
        <w:t xml:space="preserve">”). In addition, drugs and NHPs are regulated under the federal </w:t>
      </w:r>
      <w:r>
        <w:rPr>
          <w:rFonts w:ascii="Times New Roman" w:hAnsi="Times New Roman"/>
          <w:i/>
          <w:sz w:val="20"/>
        </w:rPr>
        <w:t>Controlled Drugs and Substances Act</w:t>
      </w:r>
      <w:r>
        <w:rPr>
          <w:rFonts w:ascii="Times New Roman" w:hAnsi="Times New Roman"/>
          <w:sz w:val="20"/>
        </w:rPr>
        <w:t xml:space="preserve"> if the product is considered a “controlled substance” or a “precursor,” as defined in that statute or in related regulatory provisions.</w:t>
      </w:r>
    </w:p>
    <w:p>
      <w:pPr>
        <w:pStyle w:val="TextBody"/>
        <w:bidi w:val="0"/>
        <w:spacing w:before="240" w:after="0"/>
        <w:jc w:val="left"/>
        <w:rPr>
          <w:rFonts w:ascii="Times New Roman" w:hAnsi="Times New Roman"/>
          <w:sz w:val="20"/>
        </w:rPr>
      </w:pPr>
      <w:r>
        <w:rPr>
          <w:rFonts w:ascii="Times New Roman" w:hAnsi="Times New Roman"/>
          <w:sz w:val="20"/>
        </w:rPr>
        <w:t>Health Canada is primarily responsible for administering the Canadian Regulations.</w:t>
      </w:r>
    </w:p>
    <w:p>
      <w:pPr>
        <w:pStyle w:val="TextBody"/>
        <w:bidi w:val="0"/>
        <w:spacing w:before="240" w:after="0"/>
        <w:jc w:val="left"/>
        <w:rPr>
          <w:rFonts w:ascii="Times New Roman" w:hAnsi="Times New Roman"/>
          <w:sz w:val="20"/>
        </w:rPr>
      </w:pPr>
      <w:r>
        <w:rPr>
          <w:rFonts w:ascii="Times New Roman" w:hAnsi="Times New Roman"/>
          <w:sz w:val="20"/>
        </w:rPr>
        <w:t>Health Canada and the Canadian Regulations also set out requirements for establishment and site licences, market authorization for drugs and NHP licences. Each NHP must have a product licence or a Homeopathic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single" w:sz="30" w:space="0" w:color="000000"/>
        </w:pBdr>
        <w:bidi w:val="0"/>
        <w:jc w:val="left"/>
        <w:rPr/>
      </w:pPr>
      <w:r>
        <w:rPr/>
      </w:r>
    </w:p>
    <w:p>
      <w:pPr>
        <w:pStyle w:val="Heading5"/>
        <w:bidi w:val="0"/>
        <w:jc w:val="left"/>
        <w:rPr/>
      </w:pPr>
      <w:hyperlink w:anchor="toc">
        <w:bookmarkStart w:id="77" w:name="page_53"/>
        <w:bookmarkEnd w:id="77"/>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Medicine Number (“</w:t>
      </w:r>
      <w:r>
        <w:rPr>
          <w:rFonts w:ascii="Times New Roman" w:hAnsi="Times New Roman"/>
          <w:b/>
          <w:sz w:val="20"/>
        </w:rPr>
        <w:t>DIN-HM</w:t>
      </w:r>
      <w:r>
        <w:rPr>
          <w:rFonts w:ascii="Times New Roman" w:hAnsi="Times New Roman"/>
          <w:sz w:val="20"/>
        </w:rPr>
        <w:t>”) issued by Health Canada before it can be sold in Canada. Health Canada assigns a natural health product number (“</w:t>
      </w:r>
      <w:r>
        <w:rPr>
          <w:rFonts w:ascii="Times New Roman" w:hAnsi="Times New Roman"/>
          <w:b/>
          <w:sz w:val="20"/>
        </w:rPr>
        <w:t>NPN</w:t>
      </w:r>
      <w:r>
        <w:rPr>
          <w:rFonts w:ascii="Times New Roman" w:hAnsi="Times New Roman"/>
          <w:sz w:val="20"/>
        </w:rPr>
        <w:t>”) to each NHP once Health Canada issues the licence for that NHP. The Canadian Regulations require that all drugs and NHPs be manufactured, packaged, labeled, imported, distributed and stored under Canadian Good Manufacturing Practices (“</w:t>
      </w:r>
      <w:r>
        <w:rPr>
          <w:rFonts w:ascii="Times New Roman" w:hAnsi="Times New Roman"/>
          <w:b/>
          <w:sz w:val="20"/>
        </w:rPr>
        <w:t>GMP</w:t>
      </w:r>
      <w:r>
        <w:rPr>
          <w:rFonts w:ascii="Times New Roman" w:hAnsi="Times New Roman"/>
          <w:sz w:val="20"/>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pStyle w:val="TextBody"/>
        <w:bidi w:val="0"/>
        <w:spacing w:before="240" w:after="0"/>
        <w:jc w:val="left"/>
        <w:rPr>
          <w:rFonts w:ascii="Times New Roman" w:hAnsi="Times New Roman"/>
          <w:sz w:val="20"/>
        </w:rPr>
      </w:pPr>
      <w:r>
        <w:rPr>
          <w:rFonts w:ascii="Times New Roman" w:hAnsi="Times New Roman"/>
          <w:sz w:val="20"/>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pStyle w:val="TextBody"/>
        <w:bidi w:val="0"/>
        <w:spacing w:before="240" w:after="0"/>
        <w:jc w:val="left"/>
        <w:rPr>
          <w:rFonts w:ascii="Times New Roman" w:hAnsi="Times New Roman"/>
          <w:sz w:val="20"/>
        </w:rPr>
      </w:pPr>
      <w:r>
        <w:rPr>
          <w:rFonts w:ascii="Times New Roman" w:hAnsi="Times New Roman"/>
          <w:sz w:val="20"/>
        </w:rPr>
        <w:t>The Corporation’s expected nutraceutical products will be considered “food” and, as such, will be principally regulated under the Canadian FDA and the Canadian Regulations. The Corporation must ensure that the labelling, marketing and selling of any of its products comply with the Canadian FDA, including by ensuring that the Corporation’s products are not packaged or marketed in a manner that is misleading or deceptive to a consumer.</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Description of the Business—Research and Development”</w:t>
      </w:r>
      <w:r>
        <w:rPr>
          <w:rFonts w:ascii="Times New Roman" w:hAnsi="Times New Roman"/>
          <w:sz w:val="20"/>
        </w:rPr>
        <w:t xml:space="preserve"> in the Corporation’s Annual Information Form for additional information concerning the regulation applicable to the process required before prescription drug product candidates may be marketed in Canada.</w:t>
      </w:r>
    </w:p>
    <w:p>
      <w:pPr>
        <w:pStyle w:val="TextBody"/>
        <w:bidi w:val="0"/>
        <w:spacing w:before="360" w:after="0"/>
        <w:jc w:val="left"/>
        <w:rPr>
          <w:rFonts w:ascii="Times New Roman" w:hAnsi="Times New Roman"/>
          <w:b/>
          <w:sz w:val="20"/>
        </w:rPr>
      </w:pPr>
      <w:r>
        <w:rPr>
          <w:rFonts w:ascii="Times New Roman" w:hAnsi="Times New Roman"/>
          <w:b/>
          <w:sz w:val="20"/>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Times New Roman" w:hAnsi="Times New Roman"/>
          <w:b/>
          <w:sz w:val="20"/>
        </w:rPr>
        <w:t>IND</w:t>
      </w:r>
      <w:r>
        <w:rPr>
          <w:rFonts w:ascii="Times New Roman" w:hAnsi="Times New Roman"/>
          <w:sz w:val="20"/>
        </w:rPr>
        <w:t>”) with the FDA in the first half of 2021.6</w:t>
      </w:r>
    </w:p>
    <w:p>
      <w:pPr>
        <w:pStyle w:val="TextBody"/>
        <w:bidi w:val="0"/>
        <w:spacing w:before="240" w:after="0"/>
        <w:jc w:val="left"/>
        <w:rPr>
          <w:rFonts w:ascii="Times New Roman" w:hAnsi="Times New Roman"/>
          <w:sz w:val="20"/>
        </w:rPr>
      </w:pPr>
      <w:r>
        <w:rPr>
          <w:rFonts w:ascii="Times New Roman" w:hAnsi="Times New Roman"/>
          <w:sz w:val="20"/>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6 </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Corporation has not yet held a pre-IND meeting with the FDA, in preparation for the filing of an IND application for the Sublingual Film. The Corporation has assumed that the FDA will grant such a Pre-IND meeting and that it will be able to complete the IND approval process; however, there is no guarantee that any such IND application will be accepted or granted by FDA. The Corporation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single" w:sz="30" w:space="0" w:color="000000"/>
        </w:pBdr>
        <w:bidi w:val="0"/>
        <w:jc w:val="left"/>
        <w:rPr/>
      </w:pPr>
      <w:r>
        <w:rPr/>
      </w:r>
    </w:p>
    <w:p>
      <w:pPr>
        <w:pStyle w:val="Heading5"/>
        <w:bidi w:val="0"/>
        <w:jc w:val="left"/>
        <w:rPr/>
      </w:pPr>
      <w:hyperlink w:anchor="toc">
        <w:bookmarkStart w:id="78" w:name="page_54"/>
        <w:bookmarkEnd w:id="78"/>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substances listed in Schedule I under the CSA must register with the U.S. Drug Enforcement Administration (“</w:t>
      </w:r>
      <w:r>
        <w:rPr>
          <w:rFonts w:ascii="Times New Roman" w:hAnsi="Times New Roman"/>
          <w:b/>
          <w:sz w:val="20"/>
        </w:rPr>
        <w:t>DEA</w:t>
      </w:r>
      <w:r>
        <w:rPr>
          <w:rFonts w:ascii="Times New Roman" w:hAnsi="Times New Roman"/>
          <w:sz w:val="20"/>
        </w:rPr>
        <w:t>”), and obtain DEA approval of the research proposal.</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Description of the Business – Research and Development”</w:t>
      </w:r>
      <w:r>
        <w:rPr>
          <w:rFonts w:ascii="Times New Roman" w:hAnsi="Times New Roman"/>
          <w:sz w:val="20"/>
        </w:rPr>
        <w:t xml:space="preserve"> in the Corporation’s Annual Information Form for additional information concerning the regulation applicable to the process required before prescription drug product candidates may be marketed in the United States.</w:t>
      </w:r>
    </w:p>
    <w:p>
      <w:pPr>
        <w:pStyle w:val="TextBody"/>
        <w:bidi w:val="0"/>
        <w:spacing w:before="240" w:after="0"/>
        <w:jc w:val="left"/>
        <w:rPr>
          <w:rFonts w:ascii="Times New Roman" w:hAnsi="Times New Roman"/>
          <w:sz w:val="20"/>
        </w:rPr>
      </w:pPr>
      <w:r>
        <w:rPr>
          <w:rFonts w:ascii="Times New Roman" w:hAnsi="Times New Roman"/>
          <w:sz w:val="20"/>
        </w:rPr>
        <w:t xml:space="preserve">The FDA also regulates the formulation, manufacturing, preparation, packaging, labeling, holding, and distribution of foods, drugs and dietary supplements under the </w:t>
      </w:r>
      <w:r>
        <w:rPr>
          <w:rFonts w:ascii="Times New Roman" w:hAnsi="Times New Roman"/>
          <w:i/>
          <w:sz w:val="20"/>
        </w:rPr>
        <w:t xml:space="preserve">Federal Food, Drug and Cosmetic Act </w:t>
      </w:r>
      <w:r>
        <w:rPr>
          <w:rFonts w:ascii="Times New Roman" w:hAnsi="Times New Roman"/>
          <w:sz w:val="20"/>
        </w:rPr>
        <w:t>(“</w:t>
      </w:r>
      <w:r>
        <w:rPr>
          <w:rFonts w:ascii="Times New Roman" w:hAnsi="Times New Roman"/>
          <w:b/>
          <w:sz w:val="20"/>
        </w:rPr>
        <w:t>FFDCA</w:t>
      </w:r>
      <w:r>
        <w:rPr>
          <w:rFonts w:ascii="Times New Roman" w:hAnsi="Times New Roman"/>
          <w:sz w:val="20"/>
        </w:rPr>
        <w:t xml:space="preserve">”) and the </w:t>
      </w:r>
      <w:r>
        <w:rPr>
          <w:rFonts w:ascii="Times New Roman" w:hAnsi="Times New Roman"/>
          <w:i/>
          <w:sz w:val="20"/>
        </w:rPr>
        <w:t xml:space="preserve">Dietary Supplement Health and Education Act of 1994 </w:t>
      </w:r>
      <w:r>
        <w:rPr>
          <w:rFonts w:ascii="Times New Roman" w:hAnsi="Times New Roman"/>
          <w:sz w:val="20"/>
        </w:rPr>
        <w:t>(“</w:t>
      </w:r>
      <w:r>
        <w:rPr>
          <w:rFonts w:ascii="Times New Roman" w:hAnsi="Times New Roman"/>
          <w:b/>
          <w:sz w:val="20"/>
        </w:rPr>
        <w:t>DSHEA</w:t>
      </w:r>
      <w:r>
        <w:rPr>
          <w:rFonts w:ascii="Times New Roman" w:hAnsi="Times New Roman"/>
          <w:sz w:val="20"/>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 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Corporation may want to market, and the FDA’s refusal to accept such evidence could prevent the marketing of such dietary ingredients.</w:t>
      </w:r>
    </w:p>
    <w:p>
      <w:pPr>
        <w:pStyle w:val="TextBody"/>
        <w:bidi w:val="0"/>
        <w:spacing w:before="240" w:after="0"/>
        <w:jc w:val="left"/>
        <w:rPr>
          <w:rFonts w:ascii="Times New Roman" w:hAnsi="Times New Roman"/>
          <w:sz w:val="20"/>
        </w:rPr>
      </w:pPr>
      <w:r>
        <w:rPr>
          <w:rFonts w:ascii="Times New Roman" w:hAnsi="Times New Roman"/>
          <w:sz w:val="20"/>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Corporation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Corporation would be prevented from using that claim. In addition, the FDA deems promotional and internet materials as labeling; therefore, the Corporation’s promotional and internet materials must comply with FDA requirements and could be the subject of regulatory action by the FDA, or by the Federal Trade Commission (the “</w:t>
      </w:r>
      <w:r>
        <w:rPr>
          <w:rFonts w:ascii="Times New Roman" w:hAnsi="Times New Roman"/>
          <w:b/>
          <w:sz w:val="20"/>
        </w:rPr>
        <w:t>FTC</w:t>
      </w:r>
      <w:r>
        <w:rPr>
          <w:rFonts w:ascii="Times New Roman" w:hAnsi="Times New Roman"/>
          <w:sz w:val="20"/>
        </w:rPr>
        <w:t>”) if that agency or other governmental authorities, reviewing the materials as advertising, considers the materials false and misleading.</w:t>
      </w:r>
    </w:p>
    <w:p>
      <w:pPr>
        <w:pStyle w:val="TextBody"/>
        <w:bidi w:val="0"/>
        <w:spacing w:before="240" w:after="0"/>
        <w:jc w:val="left"/>
        <w:rPr>
          <w:rFonts w:ascii="Times New Roman" w:hAnsi="Times New Roman"/>
          <w:sz w:val="20"/>
        </w:rPr>
      </w:pPr>
      <w:r>
        <w:rPr>
          <w:rFonts w:ascii="Times New Roman" w:hAnsi="Times New Roman"/>
          <w:sz w:val="20"/>
        </w:rPr>
        <w:t>U.S. laws also require recordkeeping and reporting to the FDA of all serious adverse events involving dietary supplements products. The Corporation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Corporation may from time to time elect, or be required, to recall, withdraw or remove a product from a market, either temporarily or permanently.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single" w:sz="30" w:space="0" w:color="000000"/>
        </w:pBdr>
        <w:bidi w:val="0"/>
        <w:jc w:val="left"/>
        <w:rPr/>
      </w:pPr>
      <w:r>
        <w:rPr/>
      </w:r>
    </w:p>
    <w:p>
      <w:pPr>
        <w:pStyle w:val="Heading5"/>
        <w:bidi w:val="0"/>
        <w:jc w:val="left"/>
        <w:rPr/>
      </w:pPr>
      <w:hyperlink w:anchor="toc">
        <w:bookmarkStart w:id="79" w:name="page_55"/>
        <w:bookmarkEnd w:id="79"/>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Corporation’s expected nutraceutical products will be considered “food” and must be labeled as such. Within the U.S., this category of products is subject to the federal </w:t>
      </w:r>
      <w:r>
        <w:rPr>
          <w:rFonts w:ascii="Times New Roman" w:hAnsi="Times New Roman"/>
          <w:i/>
          <w:sz w:val="20"/>
        </w:rPr>
        <w:t>Nutrition, Labeling and Education Act</w:t>
      </w:r>
      <w:r>
        <w:rPr>
          <w:rFonts w:ascii="Times New Roman" w:hAnsi="Times New Roman"/>
          <w:sz w:val="20"/>
        </w:rPr>
        <w:t xml:space="preserve"> (“</w:t>
      </w:r>
      <w:r>
        <w:rPr>
          <w:rFonts w:ascii="Times New Roman" w:hAnsi="Times New Roman"/>
          <w:b/>
          <w:sz w:val="20"/>
        </w:rPr>
        <w:t>NLEA</w:t>
      </w:r>
      <w:r>
        <w:rPr>
          <w:rFonts w:ascii="Times New Roman" w:hAnsi="Times New Roman"/>
          <w:sz w:val="20"/>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Corporation’s expected nutraceutical products were regulated as foods, it would be required to comply with the </w:t>
      </w:r>
      <w:r>
        <w:rPr>
          <w:rFonts w:ascii="Times New Roman" w:hAnsi="Times New Roman"/>
          <w:i/>
          <w:sz w:val="20"/>
        </w:rPr>
        <w:t>Federal Food Safety</w:t>
      </w:r>
      <w:r>
        <w:rPr>
          <w:rFonts w:ascii="Times New Roman" w:hAnsi="Times New Roman"/>
          <w:sz w:val="20"/>
        </w:rPr>
        <w:t> </w:t>
      </w:r>
      <w:r>
        <w:rPr>
          <w:rFonts w:ascii="Times New Roman" w:hAnsi="Times New Roman"/>
          <w:i/>
          <w:sz w:val="20"/>
        </w:rPr>
        <w:t>&amp; Modernization Act</w:t>
      </w:r>
      <w:r>
        <w:rPr>
          <w:rFonts w:ascii="Times New Roman" w:hAnsi="Times New Roman"/>
          <w:sz w:val="20"/>
        </w:rPr>
        <w:t xml:space="preserve"> and applicable regulations. The Corporation would be required to provide foreign supplier certifications evidencing the Corporation’s compliance with FDA requirements.</w:t>
      </w:r>
    </w:p>
    <w:p>
      <w:pPr>
        <w:pStyle w:val="TextBody"/>
        <w:bidi w:val="0"/>
        <w:spacing w:before="240" w:after="0"/>
        <w:jc w:val="left"/>
        <w:rPr>
          <w:rFonts w:ascii="Times New Roman" w:hAnsi="Times New Roman"/>
          <w:sz w:val="20"/>
        </w:rPr>
      </w:pPr>
      <w:r>
        <w:rPr>
          <w:rFonts w:ascii="Times New Roman" w:hAnsi="Times New Roman"/>
          <w:sz w:val="20"/>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expected nutraceutical products could be banned or subject to recall from the marketplace. The Corporation could also be subject to possible business and consumer claims under applicable statutory, product liability and common laws.</w:t>
      </w:r>
    </w:p>
    <w:p>
      <w:pPr>
        <w:pStyle w:val="TextBody"/>
        <w:bidi w:val="0"/>
        <w:spacing w:before="240" w:after="0"/>
        <w:jc w:val="left"/>
        <w:rPr>
          <w:rFonts w:ascii="Times New Roman" w:hAnsi="Times New Roman"/>
          <w:sz w:val="20"/>
        </w:rPr>
      </w:pPr>
      <w:r>
        <w:rPr>
          <w:rFonts w:ascii="Times New Roman" w:hAnsi="Times New Roman"/>
          <w:sz w:val="20"/>
        </w:rPr>
        <w:t>The FTC will exercise jurisdiction over the advertising of the Corporation’s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Corporation may utilize, as well as the role of endorsements and product clinical studies. The Corporation cannot be sure that the FTC, or comparable foreign agencies, will not question the Corporation’s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Corporation’s ability to market the Corporation’s expected nutraceutical products.</w:t>
      </w:r>
    </w:p>
    <w:p>
      <w:pPr>
        <w:pStyle w:val="TextBody"/>
        <w:bidi w:val="0"/>
        <w:spacing w:before="240" w:after="0"/>
        <w:jc w:val="left"/>
        <w:rPr>
          <w:rFonts w:ascii="Times New Roman" w:hAnsi="Times New Roman"/>
          <w:sz w:val="20"/>
        </w:rPr>
      </w:pPr>
      <w:r>
        <w:rPr>
          <w:rFonts w:ascii="Times New Roman" w:hAnsi="Times New Roman"/>
          <w:sz w:val="20"/>
        </w:rPr>
        <w:t>The Corporation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Corporation may become subject to additional laws or regulations administered by the FDA or by other federal, state, local or foreign governmental authorities, to the repeal of laws or regulations that the Corporation considers favorable, or to more stringent interpretations of current laws or regulations. In the future, the Corporation believes that the dietary supplement industry will likely face increased scrutiny from federal, state and local governmental authorities. It is difficult to predict the effect future laws, regulations, repeals or interpretations will have on the Corporation’s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Corporation’s business or financial performance.</w:t>
      </w:r>
    </w:p>
    <w:p>
      <w:pPr>
        <w:pStyle w:val="TextBody"/>
        <w:bidi w:val="0"/>
        <w:spacing w:before="360" w:after="0"/>
        <w:jc w:val="left"/>
        <w:rPr>
          <w:rFonts w:ascii="Times New Roman" w:hAnsi="Times New Roman"/>
          <w:b/>
          <w:sz w:val="20"/>
        </w:rPr>
      </w:pPr>
      <w:r>
        <w:rPr>
          <w:rFonts w:ascii="Times New Roman" w:hAnsi="Times New Roman"/>
          <w:b/>
          <w:sz w:val="20"/>
        </w:rPr>
        <w:t xml:space="preserve">Jamaica </w:t>
      </w:r>
    </w:p>
    <w:p>
      <w:pPr>
        <w:pStyle w:val="TextBody"/>
        <w:bidi w:val="0"/>
        <w:spacing w:before="120" w:after="0"/>
        <w:jc w:val="left"/>
        <w:rPr>
          <w:rFonts w:ascii="Times New Roman" w:hAnsi="Times New Roman"/>
          <w:sz w:val="20"/>
        </w:rPr>
      </w:pPr>
      <w:r>
        <w:rPr>
          <w:rFonts w:ascii="Times New Roman" w:hAnsi="Times New Roman"/>
          <w:sz w:val="20"/>
        </w:rPr>
        <w:t xml:space="preserve">Psilocybin mushrooms do not fall within the definition of a dangerous drug under the </w:t>
      </w:r>
      <w:r>
        <w:rPr>
          <w:rFonts w:ascii="Times New Roman" w:hAnsi="Times New Roman"/>
          <w:i/>
          <w:sz w:val="20"/>
        </w:rPr>
        <w:t>Dangerous Drugs Act</w:t>
      </w:r>
      <w:r>
        <w:rPr>
          <w:rFonts w:ascii="Times New Roman" w:hAnsi="Times New Roman"/>
          <w:sz w:val="20"/>
        </w:rPr>
        <w:t xml:space="preserve"> (the “</w:t>
      </w:r>
      <w:r>
        <w:rPr>
          <w:rFonts w:ascii="Times New Roman" w:hAnsi="Times New Roman"/>
          <w:b/>
          <w:sz w:val="20"/>
        </w:rPr>
        <w:t>DDA</w:t>
      </w:r>
      <w:r>
        <w:rPr>
          <w:rFonts w:ascii="Times New Roman" w:hAnsi="Times New Roman"/>
          <w:sz w:val="20"/>
        </w:rPr>
        <w:t>”) in Jamaica. The Corporation’s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University of West Indies (“</w:t>
      </w:r>
      <w:r>
        <w:rPr>
          <w:rFonts w:ascii="Times New Roman" w:hAnsi="Times New Roman"/>
          <w:b/>
          <w:sz w:val="20"/>
        </w:rPr>
        <w:t>UWI</w:t>
      </w:r>
      <w:r>
        <w:rPr>
          <w:rFonts w:ascii="Times New Roman" w:hAnsi="Times New Roman"/>
          <w:sz w:val="20"/>
        </w:rPr>
        <w:t>”) and the Corporation will act as a sponsor (the “</w:t>
      </w:r>
      <w:r>
        <w:rPr>
          <w:rFonts w:ascii="Times New Roman" w:hAnsi="Times New Roman"/>
          <w:b/>
          <w:sz w:val="20"/>
        </w:rPr>
        <w:t>Clinical Trials</w:t>
      </w:r>
      <w:r>
        <w:rPr>
          <w:rFonts w:ascii="Times New Roman" w:hAnsi="Times New Roman"/>
          <w:sz w:val="20"/>
        </w:rPr>
        <w: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single" w:sz="30" w:space="0" w:color="000000"/>
        </w:pBdr>
        <w:bidi w:val="0"/>
        <w:jc w:val="left"/>
        <w:rPr/>
      </w:pPr>
      <w:r>
        <w:rPr/>
      </w:r>
    </w:p>
    <w:p>
      <w:pPr>
        <w:pStyle w:val="Heading5"/>
        <w:bidi w:val="0"/>
        <w:jc w:val="left"/>
        <w:rPr/>
      </w:pPr>
      <w:hyperlink w:anchor="toc">
        <w:bookmarkStart w:id="80" w:name="page_56"/>
        <w:bookmarkEnd w:id="80"/>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process of conducting clinical trials in Jamaica is governed by the Ministry of Health, Jamaica Guidelines for the Conduct of Research on Human Subjects (the “</w:t>
      </w:r>
      <w:r>
        <w:rPr>
          <w:rFonts w:ascii="Times New Roman" w:hAnsi="Times New Roman"/>
          <w:b/>
          <w:sz w:val="20"/>
        </w:rPr>
        <w:t>Guidelines</w:t>
      </w:r>
      <w:r>
        <w:rPr>
          <w:rFonts w:ascii="Times New Roman" w:hAnsi="Times New Roman"/>
          <w:sz w:val="20"/>
        </w:rPr>
        <w:t>”). The Corporation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pStyle w:val="TextBody"/>
        <w:bidi w:val="0"/>
        <w:spacing w:before="240" w:after="0"/>
        <w:jc w:val="left"/>
        <w:rPr>
          <w:rFonts w:ascii="Times New Roman" w:hAnsi="Times New Roman"/>
          <w:sz w:val="20"/>
        </w:rPr>
      </w:pPr>
      <w:r>
        <w:rPr>
          <w:rFonts w:ascii="Times New Roman" w:hAnsi="Times New Roman"/>
          <w:sz w:val="20"/>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pStyle w:val="TextBody"/>
        <w:bidi w:val="0"/>
        <w:spacing w:before="240" w:after="0"/>
        <w:jc w:val="left"/>
        <w:rPr>
          <w:rFonts w:ascii="Times New Roman" w:hAnsi="Times New Roman"/>
          <w:sz w:val="20"/>
        </w:rPr>
      </w:pPr>
      <w:r>
        <w:rPr>
          <w:rFonts w:ascii="Times New Roman" w:hAnsi="Times New Roman"/>
          <w:sz w:val="20"/>
        </w:rPr>
        <w:t xml:space="preserve">The regulation of the sale, manufacturing, importation and distribution of drugs in Jamaica is largely governed by the </w:t>
      </w:r>
      <w:r>
        <w:rPr>
          <w:rFonts w:ascii="Times New Roman" w:hAnsi="Times New Roman"/>
          <w:i/>
          <w:sz w:val="20"/>
        </w:rPr>
        <w:t>Food</w:t>
      </w:r>
      <w:r>
        <w:rPr>
          <w:rFonts w:ascii="Times New Roman" w:hAnsi="Times New Roman"/>
          <w:sz w:val="20"/>
        </w:rPr>
        <w:t> </w:t>
      </w:r>
      <w:r>
        <w:rPr>
          <w:rFonts w:ascii="Times New Roman" w:hAnsi="Times New Roman"/>
          <w:i/>
          <w:sz w:val="20"/>
        </w:rPr>
        <w:t xml:space="preserve">&amp; Drugs Act, 1964 </w:t>
      </w:r>
      <w:r>
        <w:rPr>
          <w:rFonts w:ascii="Times New Roman" w:hAnsi="Times New Roman"/>
          <w:sz w:val="20"/>
        </w:rPr>
        <w:t>(the “</w:t>
      </w:r>
      <w:r>
        <w:rPr>
          <w:rFonts w:ascii="Times New Roman" w:hAnsi="Times New Roman"/>
          <w:b/>
          <w:sz w:val="20"/>
        </w:rPr>
        <w:t>Jamaica</w:t>
      </w:r>
      <w:r>
        <w:rPr>
          <w:rFonts w:ascii="Times New Roman" w:hAnsi="Times New Roman"/>
          <w:sz w:val="20"/>
        </w:rPr>
        <w:t xml:space="preserve"> </w:t>
      </w:r>
      <w:r>
        <w:rPr>
          <w:rFonts w:ascii="Times New Roman" w:hAnsi="Times New Roman"/>
          <w:b/>
          <w:sz w:val="20"/>
        </w:rPr>
        <w:t>FDA</w:t>
      </w:r>
      <w:r>
        <w:rPr>
          <w:rFonts w:ascii="Times New Roman" w:hAnsi="Times New Roman"/>
          <w:sz w:val="20"/>
        </w:rPr>
        <w:t xml:space="preserve">”) and the </w:t>
      </w:r>
      <w:r>
        <w:rPr>
          <w:rFonts w:ascii="Times New Roman" w:hAnsi="Times New Roman"/>
          <w:i/>
          <w:sz w:val="20"/>
        </w:rPr>
        <w:t>Food and Drugs Regulations</w:t>
      </w:r>
      <w:r>
        <w:rPr>
          <w:rFonts w:ascii="Times New Roman" w:hAnsi="Times New Roman"/>
          <w:sz w:val="20"/>
        </w:rPr>
        <w:t xml:space="preserve">, </w:t>
      </w:r>
      <w:r>
        <w:rPr>
          <w:rFonts w:ascii="Times New Roman" w:hAnsi="Times New Roman"/>
          <w:i/>
          <w:sz w:val="20"/>
        </w:rPr>
        <w:t>1975</w:t>
      </w:r>
      <w:r>
        <w:rPr>
          <w:rFonts w:ascii="Times New Roman" w:hAnsi="Times New Roman"/>
          <w:sz w:val="20"/>
        </w:rPr>
        <w:t xml:space="preserve"> (the “</w:t>
      </w:r>
      <w:r>
        <w:rPr>
          <w:rFonts w:ascii="Times New Roman" w:hAnsi="Times New Roman"/>
          <w:b/>
          <w:sz w:val="20"/>
        </w:rPr>
        <w:t>Regulations</w:t>
      </w:r>
      <w:r>
        <w:rPr>
          <w:rFonts w:ascii="Times New Roman" w:hAnsi="Times New Roman"/>
          <w:sz w:val="20"/>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pStyle w:val="TextBody"/>
        <w:bidi w:val="0"/>
        <w:spacing w:before="240" w:after="0"/>
        <w:jc w:val="left"/>
        <w:rPr>
          <w:rFonts w:ascii="Times New Roman" w:hAnsi="Times New Roman"/>
          <w:sz w:val="20"/>
        </w:rPr>
      </w:pPr>
      <w:r>
        <w:rPr>
          <w:rFonts w:ascii="Times New Roman" w:hAnsi="Times New Roman"/>
          <w:sz w:val="20"/>
        </w:rPr>
        <w:t>Regulation 40 stipulates that, a person shall not sell, manufacture, import or distribute a drug unless that drug has been registered with the MOH. The Regulations further state that a permit must be obtained from the Ministry of Health Jamaica (“</w:t>
      </w:r>
      <w:r>
        <w:rPr>
          <w:rFonts w:ascii="Times New Roman" w:hAnsi="Times New Roman"/>
          <w:b/>
          <w:sz w:val="20"/>
        </w:rPr>
        <w:t>MOH</w:t>
      </w:r>
      <w:r>
        <w:rPr>
          <w:rFonts w:ascii="Times New Roman" w:hAnsi="Times New Roman"/>
          <w:sz w:val="20"/>
        </w:rPr>
        <w:t>”) for the sale, manufacturing, importation and distribution of drugs into Jamaica. Additionally, Regulation 65 states that a person shall not import, sell, advertise for sale, or manufacture a new drug in Jamaica unless that person has obtained a licence from the MOH.</w:t>
      </w:r>
    </w:p>
    <w:p>
      <w:pPr>
        <w:pStyle w:val="TextBody"/>
        <w:bidi w:val="0"/>
        <w:spacing w:before="240" w:after="0"/>
        <w:jc w:val="left"/>
        <w:rPr>
          <w:rFonts w:ascii="Times New Roman" w:hAnsi="Times New Roman"/>
          <w:sz w:val="20"/>
        </w:rPr>
      </w:pPr>
      <w:r>
        <w:rPr>
          <w:rFonts w:ascii="Times New Roman" w:hAnsi="Times New Roman"/>
          <w:sz w:val="20"/>
        </w:rPr>
        <w:t>Failure to comply with section 4 of the Jamaica FDA shall result in such person being guilty of an offence and liable to a fine not exceeding J$1,000,000 (approximately US$6,711)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pStyle w:val="TextBody"/>
        <w:bidi w:val="0"/>
        <w:spacing w:before="240" w:after="0"/>
        <w:jc w:val="left"/>
        <w:rPr>
          <w:rFonts w:ascii="Times New Roman" w:hAnsi="Times New Roman"/>
          <w:sz w:val="20"/>
        </w:rPr>
      </w:pPr>
      <w:r>
        <w:rPr>
          <w:rFonts w:ascii="Times New Roman" w:hAnsi="Times New Roman"/>
          <w:sz w:val="20"/>
        </w:rPr>
        <w:t>Regulation 87 provides that any person who fails to comply with the Regulations shall be guilty of an offence and shall be liable to a fine not exceeding J$2,000 (approximately US$13) or to imprisonment for a term not exceeding twelve months.</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Clinical Trials include the preparation and manufacture of precursor chemicals, then the </w:t>
      </w:r>
      <w:r>
        <w:rPr>
          <w:rFonts w:ascii="Times New Roman" w:hAnsi="Times New Roman"/>
          <w:i/>
          <w:sz w:val="20"/>
        </w:rPr>
        <w:t>Precursor Chemicals Act</w:t>
      </w:r>
      <w:r>
        <w:rPr>
          <w:rFonts w:ascii="Times New Roman" w:hAnsi="Times New Roman"/>
          <w:sz w:val="20"/>
        </w:rPr>
        <w:t xml:space="preserve"> (the “</w:t>
      </w:r>
      <w:r>
        <w:rPr>
          <w:rFonts w:ascii="Times New Roman" w:hAnsi="Times New Roman"/>
          <w:b/>
          <w:sz w:val="20"/>
        </w:rPr>
        <w:t>PCA</w:t>
      </w:r>
      <w:r>
        <w:rPr>
          <w:rFonts w:ascii="Times New Roman" w:hAnsi="Times New Roman"/>
          <w:sz w:val="20"/>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pStyle w:val="TextBody"/>
        <w:bidi w:val="0"/>
        <w:spacing w:before="240" w:after="0"/>
        <w:jc w:val="left"/>
        <w:rPr>
          <w:rFonts w:ascii="Times New Roman" w:hAnsi="Times New Roman"/>
          <w:sz w:val="20"/>
        </w:rPr>
      </w:pPr>
      <w:r>
        <w:rPr>
          <w:rFonts w:ascii="Times New Roman" w:hAnsi="Times New Roman"/>
          <w:sz w:val="20"/>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pStyle w:val="TextBody"/>
        <w:bidi w:val="0"/>
        <w:spacing w:before="240" w:after="0"/>
        <w:jc w:val="left"/>
        <w:rPr>
          <w:rFonts w:ascii="Times New Roman" w:hAnsi="Times New Roman"/>
          <w:sz w:val="20"/>
        </w:rPr>
      </w:pPr>
      <w:r>
        <w:rPr>
          <w:rFonts w:ascii="Times New Roman" w:hAnsi="Times New Roman"/>
          <w:sz w:val="20"/>
        </w:rPr>
        <w:t>As of the date of this Prospectus, the Corporation’s sponsorship of the Clinical Trials has not commenced. The Corporation has submitted its application to the Institutional Review Board and Ethics Committee of the Ministry of Health Jamaica (“</w:t>
      </w:r>
      <w:r>
        <w:rPr>
          <w:rFonts w:ascii="Times New Roman" w:hAnsi="Times New Roman"/>
          <w:b/>
          <w:sz w:val="20"/>
        </w:rPr>
        <w:t>Jamaica IRB</w:t>
      </w:r>
      <w:r>
        <w:rPr>
          <w:rFonts w:ascii="Times New Roman" w:hAnsi="Times New Roman"/>
          <w:sz w:val="20"/>
        </w:rPr>
        <w:t>”) and is awaiting comments. Once such comments are settled, if any, the Corporation will begin its sponsorship of the Clinical Trials subject to applicable laws. The Corporation is unable to apply for an import licence for its sponsored Clinical Trial materials until it receives final Jamaica IRB approval. Once received, the Corporation will apply to obtain an import licence and any other required licences.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single" w:sz="30" w:space="0" w:color="000000"/>
        </w:pBdr>
        <w:bidi w:val="0"/>
        <w:jc w:val="left"/>
        <w:rPr/>
      </w:pPr>
      <w:r>
        <w:rPr/>
      </w:r>
    </w:p>
    <w:p>
      <w:pPr>
        <w:pStyle w:val="Heading5"/>
        <w:bidi w:val="0"/>
        <w:jc w:val="left"/>
        <w:rPr/>
      </w:pPr>
      <w:hyperlink w:anchor="toc">
        <w:bookmarkStart w:id="81" w:name="page_57"/>
        <w:bookmarkEnd w:id="81"/>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pStyle w:val="TextBody"/>
        <w:bidi w:val="0"/>
        <w:spacing w:before="240" w:after="0"/>
        <w:jc w:val="left"/>
        <w:rPr>
          <w:rFonts w:ascii="Times New Roman" w:hAnsi="Times New Roman"/>
          <w:sz w:val="20"/>
        </w:rPr>
      </w:pPr>
      <w:r>
        <w:rPr>
          <w:rFonts w:ascii="Times New Roman" w:hAnsi="Times New Roman"/>
          <w:sz w:val="20"/>
        </w:rPr>
        <w:t>The main UK controlled drugs legislation is the Misuse of Drugs Act 1971 (“</w:t>
      </w:r>
      <w:r>
        <w:rPr>
          <w:rFonts w:ascii="Times New Roman" w:hAnsi="Times New Roman"/>
          <w:b/>
          <w:sz w:val="20"/>
        </w:rPr>
        <w:t>MDA</w:t>
      </w:r>
      <w:r>
        <w:rPr>
          <w:rFonts w:ascii="Times New Roman" w:hAnsi="Times New Roman"/>
          <w:sz w:val="20"/>
        </w:rPr>
        <w:t>”) and the Misuse of Drugs Regulations 2001 (“</w:t>
      </w:r>
      <w:r>
        <w:rPr>
          <w:rFonts w:ascii="Times New Roman" w:hAnsi="Times New Roman"/>
          <w:b/>
          <w:sz w:val="20"/>
        </w:rPr>
        <w:t>MDR</w:t>
      </w:r>
      <w:r>
        <w:rPr>
          <w:rFonts w:ascii="Times New Roman" w:hAnsi="Times New Roman"/>
          <w:sz w:val="20"/>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bidi w:val="0"/>
        <w:spacing w:before="240" w:after="0"/>
        <w:jc w:val="left"/>
        <w:rPr>
          <w:rFonts w:ascii="Times New Roman" w:hAnsi="Times New Roman"/>
          <w:sz w:val="20"/>
        </w:rPr>
      </w:pPr>
      <w:r>
        <w:rPr>
          <w:rFonts w:ascii="Times New Roman" w:hAnsi="Times New Roman"/>
          <w:sz w:val="20"/>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pStyle w:val="TextBody"/>
        <w:bidi w:val="0"/>
        <w:spacing w:before="240" w:after="0"/>
        <w:jc w:val="left"/>
        <w:rPr>
          <w:rFonts w:ascii="Times New Roman" w:hAnsi="Times New Roman"/>
          <w:sz w:val="20"/>
        </w:rPr>
      </w:pPr>
      <w:r>
        <w:rPr>
          <w:rFonts w:ascii="Times New Roman" w:hAnsi="Times New Roman"/>
          <w:sz w:val="20"/>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Licensing Requirements </w:t>
      </w:r>
    </w:p>
    <w:p>
      <w:pPr>
        <w:pStyle w:val="TextBody"/>
        <w:bidi w:val="0"/>
        <w:spacing w:before="120" w:after="0"/>
        <w:jc w:val="left"/>
        <w:rPr>
          <w:rFonts w:ascii="Times New Roman" w:hAnsi="Times New Roman"/>
          <w:sz w:val="20"/>
        </w:rPr>
      </w:pPr>
      <w:r>
        <w:rPr>
          <w:rFonts w:ascii="Times New Roman" w:hAnsi="Times New Roman"/>
          <w:sz w:val="20"/>
        </w:rPr>
        <w:t>The Corporation obtains acceptable psychedelic agent psilocybin (“</w:t>
      </w:r>
      <w:r>
        <w:rPr>
          <w:rFonts w:ascii="Times New Roman" w:hAnsi="Times New Roman"/>
          <w:b/>
          <w:sz w:val="20"/>
        </w:rPr>
        <w:t>API</w:t>
      </w:r>
      <w:r>
        <w:rPr>
          <w:rFonts w:ascii="Times New Roman" w:hAnsi="Times New Roman"/>
          <w:sz w:val="20"/>
        </w:rPr>
        <w:t>”) from the pharmaceutical ingredient provider who is based in the United States. The API itself is expected to be manufactured and packaged in FDA-registered facilities in the United Kingdom. The API is expected to be sent directly to the Corporation’s partners for research and development purposes in the United States, Canada and Jamaica.</w:t>
      </w:r>
    </w:p>
    <w:p>
      <w:pPr>
        <w:pStyle w:val="TextBody"/>
        <w:bidi w:val="0"/>
        <w:spacing w:before="240" w:after="0"/>
        <w:jc w:val="left"/>
        <w:rPr>
          <w:rFonts w:ascii="Times New Roman" w:hAnsi="Times New Roman"/>
          <w:sz w:val="20"/>
        </w:rPr>
      </w:pPr>
      <w:r>
        <w:rPr>
          <w:rFonts w:ascii="Times New Roman" w:hAnsi="Times New Roman"/>
          <w:sz w:val="20"/>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pStyle w:val="TextBody"/>
        <w:bidi w:val="0"/>
        <w:spacing w:before="240" w:after="0"/>
        <w:jc w:val="left"/>
        <w:rPr>
          <w:rFonts w:ascii="Times New Roman" w:hAnsi="Times New Roman"/>
          <w:sz w:val="20"/>
        </w:rPr>
      </w:pPr>
      <w:r>
        <w:rPr>
          <w:rFonts w:ascii="Times New Roman" w:hAnsi="Times New Roman"/>
          <w:sz w:val="20"/>
        </w:rPr>
        <w:t>All premises that are licensed in connection with the possession, supply, manufacture and/or production of controlled drugs are required to adhere to detailed security standards.7</w:t>
      </w:r>
    </w:p>
    <w:p>
      <w:pPr>
        <w:pStyle w:val="TextBody"/>
        <w:bidi w:val="0"/>
        <w:spacing w:before="240" w:after="0"/>
        <w:jc w:val="left"/>
        <w:rPr>
          <w:rFonts w:ascii="Times New Roman" w:hAnsi="Times New Roman"/>
          <w:sz w:val="20"/>
        </w:rPr>
      </w:pPr>
      <w:r>
        <w:rPr>
          <w:rFonts w:ascii="Times New Roman" w:hAnsi="Times New Roman"/>
          <w:sz w:val="20"/>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thefts/losses.8</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7 </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Home Office guidance; Security guidance for all existing or prospective Home Office Controlled Drug Licensees and/or Precursor Chemical Licensees or Registrants; 2020; https://assets.publishing.service.gov.uk/government/uploads/system/uploads/attachment_data/file/ 857591/Security_Guidance_for_all_Businesses_and_Other_Organisations_v1.4_Jan_2020.pdf.</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8 </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Home Office guidance; Guidelines for Standard Operating Procedures (SOPs); https://assets.publishing.service.gov.uk/government/uploads/system/uploads/attachment_data/file/480572/StandardOpProcedure.pdf.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15</w:t>
      </w:r>
    </w:p>
    <w:p>
      <w:pPr>
        <w:pStyle w:val="HorizontalLine"/>
        <w:pBdr>
          <w:bottom w:val="single" w:sz="30" w:space="0" w:color="000000"/>
        </w:pBdr>
        <w:bidi w:val="0"/>
        <w:jc w:val="left"/>
        <w:rPr/>
      </w:pPr>
      <w:r>
        <w:rPr/>
      </w:r>
    </w:p>
    <w:p>
      <w:pPr>
        <w:pStyle w:val="Heading5"/>
        <w:bidi w:val="0"/>
        <w:jc w:val="left"/>
        <w:rPr/>
      </w:pPr>
      <w:hyperlink w:anchor="toc">
        <w:bookmarkStart w:id="82" w:name="page_58"/>
        <w:bookmarkEnd w:id="82"/>
        <w:r>
          <w:rPr>
            <w:rStyle w:val="InternetLink"/>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Pharmaceutical Products </w:t>
      </w:r>
    </w:p>
    <w:p>
      <w:pPr>
        <w:pStyle w:val="TextBody"/>
        <w:bidi w:val="0"/>
        <w:spacing w:before="120" w:after="0"/>
        <w:jc w:val="left"/>
        <w:rPr>
          <w:rFonts w:ascii="Times New Roman" w:hAnsi="Times New Roman"/>
          <w:sz w:val="20"/>
        </w:rPr>
      </w:pPr>
      <w:r>
        <w:rPr>
          <w:rFonts w:ascii="Times New Roman" w:hAnsi="Times New Roman"/>
          <w:sz w:val="20"/>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pStyle w:val="TextBody"/>
        <w:bidi w:val="0"/>
        <w:spacing w:before="240" w:after="0"/>
        <w:jc w:val="left"/>
        <w:rPr>
          <w:rFonts w:ascii="Times New Roman" w:hAnsi="Times New Roman"/>
          <w:sz w:val="20"/>
        </w:rPr>
      </w:pPr>
      <w:r>
        <w:rPr>
          <w:rFonts w:ascii="Times New Roman" w:hAnsi="Times New Roman"/>
          <w:sz w:val="20"/>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pStyle w:val="TextBody"/>
        <w:bidi w:val="0"/>
        <w:spacing w:before="240" w:after="0"/>
        <w:jc w:val="left"/>
        <w:rPr>
          <w:rFonts w:ascii="Times New Roman" w:hAnsi="Times New Roman"/>
          <w:sz w:val="20"/>
        </w:rPr>
      </w:pPr>
      <w:r>
        <w:rPr>
          <w:rFonts w:ascii="Times New Roman" w:hAnsi="Times New Roman"/>
          <w:sz w:val="20"/>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Times New Roman" w:hAnsi="Times New Roman"/>
          <w:b/>
          <w:sz w:val="20"/>
        </w:rPr>
        <w:t>MHRA</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As mentioned above, once the API has been made in the UK, it is expected to be sent directly to the Corporation’s partners for research and development purposes in the United States, Canada or Jamaica. How the API is subsequently processed will determine the licences that the UK-based facility must hold. In particular:</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the API is just one ‘ingredient’ of the investigational medicinal product (“</w:t>
            </w:r>
            <w:r>
              <w:rPr>
                <w:rFonts w:ascii="Times New Roman" w:hAnsi="Times New Roman"/>
                <w:b/>
                <w:sz w:val="20"/>
              </w:rPr>
              <w:t>IMP</w:t>
            </w:r>
            <w:r>
              <w:rPr>
                <w:rFonts w:ascii="Times New Roman" w:hAnsi="Times New Roman"/>
                <w:sz w:val="20"/>
              </w:rPr>
              <w:t>”) which is used in the clinical trial then the UK-based facility must register with the MHRA and provide the MHRA with 60 days’ notice of the intended start of manufacture/distribution, and comply with GMP and Good Distribution Practice for active substances.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Conversely, if the API will itself constitute the IMP, the manufacturer must hold a Manufacturer’s Authorisations for IMPs licence (“</w:t>
            </w:r>
            <w:r>
              <w:rPr>
                <w:rFonts w:ascii="Times New Roman" w:hAnsi="Times New Roman"/>
                <w:b/>
                <w:sz w:val="20"/>
              </w:rPr>
              <w:t>MIA(IMP</w:t>
            </w:r>
            <w:r>
              <w:rPr>
                <w:rFonts w:ascii="Times New Roman" w:hAnsi="Times New Roman"/>
                <w:sz w:val="20"/>
              </w:rPr>
              <w:t>)”). In this scenario, an MIA(IMP) would be required regardless of whether the IMP is for use in the UK, another EEA Member State or a third country (such as the United States, Canada or Jamaica).</w:t>
            </w:r>
          </w:p>
        </w:tc>
      </w:tr>
    </w:tbl>
    <w:p>
      <w:pPr>
        <w:pStyle w:val="TextBody"/>
        <w:bidi w:val="0"/>
        <w:spacing w:before="240" w:after="0"/>
        <w:jc w:val="left"/>
        <w:rPr>
          <w:rFonts w:ascii="Times New Roman" w:hAnsi="Times New Roman"/>
          <w:sz w:val="20"/>
        </w:rPr>
      </w:pPr>
      <w:r>
        <w:rPr>
          <w:rFonts w:ascii="Times New Roman" w:hAnsi="Times New Roman"/>
          <w:sz w:val="20"/>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Food/Food Supplements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60"/>
        <w:gridCol w:w="110"/>
        <w:gridCol w:w="60"/>
        <w:gridCol w:w="62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Functional foods and nutraceuticals must comply with general UK food laws.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Ordinarily, food and food ingredients do not need to be pre-authorised before they can be placed on the market. However, “novel foods”, which are foods that have not been consumed to a significant degree by humans in the UK or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place a novel food on the market in the UK, it must be authorised in advance (either under an EU authorisation if granted pre-1 January 2021, or after this date under a Great Britain authorisation for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16</w:t>
      </w:r>
    </w:p>
    <w:p>
      <w:pPr>
        <w:pStyle w:val="HorizontalLine"/>
        <w:pBdr>
          <w:bottom w:val="single" w:sz="30" w:space="0" w:color="000000"/>
        </w:pBdr>
        <w:bidi w:val="0"/>
        <w:jc w:val="left"/>
        <w:rPr/>
      </w:pPr>
      <w:r>
        <w:rPr/>
      </w:r>
    </w:p>
    <w:p>
      <w:pPr>
        <w:pStyle w:val="Heading5"/>
        <w:bidi w:val="0"/>
        <w:jc w:val="left"/>
        <w:rPr/>
      </w:pPr>
      <w:hyperlink w:anchor="toc">
        <w:bookmarkStart w:id="83" w:name="page_59"/>
        <w:bookmarkEnd w:id="83"/>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tc>
      </w:tr>
    </w:tbl>
    <w:p>
      <w:pPr>
        <w:pStyle w:val="TextBody"/>
        <w:bidi w:val="0"/>
        <w:spacing w:before="240" w:after="0"/>
        <w:jc w:val="left"/>
        <w:rPr>
          <w:rFonts w:ascii="Times New Roman" w:hAnsi="Times New Roman"/>
          <w:sz w:val="20"/>
        </w:rPr>
      </w:pPr>
      <w:r>
        <w:rPr>
          <w:rFonts w:ascii="Times New Roman" w:hAnsi="Times New Roman"/>
          <w:sz w:val="20"/>
        </w:rPr>
        <w:t>In addition to novel foods legislation, the person who intends to commercialise the product in the UK would also have to comply with the full body of food legislation, which includes food labelling and food hygiene requirements.</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The Corporation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pStyle w:val="TextBody"/>
        <w:bidi w:val="0"/>
        <w:spacing w:before="240" w:after="0"/>
        <w:jc w:val="left"/>
        <w:rPr>
          <w:rFonts w:ascii="Times New Roman" w:hAnsi="Times New Roman"/>
          <w:sz w:val="20"/>
        </w:rPr>
      </w:pPr>
      <w:r>
        <w:rPr>
          <w:rFonts w:ascii="Times New Roman" w:hAnsi="Times New Roman"/>
          <w:sz w:val="20"/>
        </w:rPr>
        <w:t>As a result of COVID-19, UWI has implemented certain facility procedures and is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UWI or other institutions involved in pharmaceutical product development.</w:t>
      </w:r>
    </w:p>
    <w:p>
      <w:pPr>
        <w:pStyle w:val="TextBody"/>
        <w:bidi w:val="0"/>
        <w:spacing w:before="240" w:after="0"/>
        <w:jc w:val="left"/>
        <w:rPr>
          <w:rFonts w:ascii="Times New Roman" w:hAnsi="Times New Roman"/>
          <w:sz w:val="20"/>
        </w:rPr>
      </w:pPr>
      <w:r>
        <w:rPr>
          <w:rFonts w:ascii="Times New Roman" w:hAnsi="Times New Roman"/>
          <w:sz w:val="20"/>
        </w:rPr>
        <w:t>Psychedelics are a class of drug whose primary action is to trigger psychedelic experiences via serotonin receptor agonism, causing thought, visual and auditory changes, and altered state of consciousness. Major psychedelic drugs include mescaline, LSD, psilocybin, and dimethyl tryptamine (“</w:t>
      </w:r>
      <w:r>
        <w:rPr>
          <w:rFonts w:ascii="Times New Roman" w:hAnsi="Times New Roman"/>
          <w:b/>
          <w:sz w:val="20"/>
        </w:rPr>
        <w:t>DMT</w:t>
      </w:r>
      <w:r>
        <w:rPr>
          <w:rFonts w:ascii="Times New Roman" w:hAnsi="Times New Roman"/>
          <w:sz w:val="20"/>
        </w:rPr>
        <w:t xml:space="preserve">”). Psilocybin is a naturally occurring psychedelic prodrug compound produced by more than 200 species of mushrooms, collectively known as psilocybin mushrooms. The most potent are members of the genus </w:t>
      </w:r>
      <w:r>
        <w:rPr>
          <w:rFonts w:ascii="Times New Roman" w:hAnsi="Times New Roman"/>
          <w:i/>
          <w:sz w:val="20"/>
        </w:rPr>
        <w:t>Psilocybe</w:t>
      </w:r>
      <w:r>
        <w:rPr>
          <w:rFonts w:ascii="Times New Roman" w:hAnsi="Times New Roman"/>
          <w:sz w:val="20"/>
        </w:rPr>
        <w:t xml:space="preserve">, such as </w:t>
      </w:r>
      <w:r>
        <w:rPr>
          <w:rFonts w:ascii="Times New Roman" w:hAnsi="Times New Roman"/>
          <w:i/>
          <w:sz w:val="20"/>
        </w:rPr>
        <w:t>P. azurescens</w:t>
      </w:r>
      <w:r>
        <w:rPr>
          <w:rFonts w:ascii="Times New Roman" w:hAnsi="Times New Roman"/>
          <w:sz w:val="20"/>
        </w:rPr>
        <w:t xml:space="preserve">, </w:t>
      </w:r>
      <w:r>
        <w:rPr>
          <w:rFonts w:ascii="Times New Roman" w:hAnsi="Times New Roman"/>
          <w:i/>
          <w:sz w:val="20"/>
        </w:rPr>
        <w:t>P. semilanceata</w:t>
      </w:r>
      <w:r>
        <w:rPr>
          <w:rFonts w:ascii="Times New Roman" w:hAnsi="Times New Roman"/>
          <w:sz w:val="20"/>
        </w:rPr>
        <w:t xml:space="preserve">, and </w:t>
      </w:r>
      <w:r>
        <w:rPr>
          <w:rFonts w:ascii="Times New Roman" w:hAnsi="Times New Roman"/>
          <w:i/>
          <w:sz w:val="20"/>
        </w:rPr>
        <w:t>P. cyanescens</w:t>
      </w:r>
      <w:r>
        <w:rPr>
          <w:rFonts w:ascii="Times New Roman" w:hAnsi="Times New Roman"/>
          <w:sz w:val="20"/>
        </w:rPr>
        <w:t>, but psilocybin has also been isolated from about a dozen other genera. As a prodrug, psilocybin is quickly converted by the body to psilocin, which has mind-altering effects.</w:t>
      </w:r>
    </w:p>
    <w:p>
      <w:pPr>
        <w:pStyle w:val="TextBody"/>
        <w:bidi w:val="0"/>
        <w:spacing w:before="240" w:after="0"/>
        <w:jc w:val="left"/>
        <w:rPr>
          <w:rFonts w:ascii="Times New Roman" w:hAnsi="Times New Roman"/>
          <w:sz w:val="20"/>
        </w:rPr>
      </w:pPr>
      <w:r>
        <w:rPr>
          <w:rFonts w:ascii="Times New Roman" w:hAnsi="Times New Roman"/>
          <w:sz w:val="20"/>
        </w:rPr>
        <w:t>The pharmacokinetics, pharmacology and human metabolism of psilocybin are well known and well characterized. In conjunction with psychotherapy, psilocybin has been utilized broadly in phase II clinical trials.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single" w:sz="30" w:space="0" w:color="000000"/>
        </w:pBdr>
        <w:bidi w:val="0"/>
        <w:jc w:val="left"/>
        <w:rPr/>
      </w:pPr>
      <w:r>
        <w:rPr/>
      </w:r>
    </w:p>
    <w:p>
      <w:pPr>
        <w:pStyle w:val="Heading5"/>
        <w:bidi w:val="0"/>
        <w:jc w:val="left"/>
        <w:rPr/>
      </w:pPr>
      <w:hyperlink w:anchor="toc">
        <w:bookmarkStart w:id="84" w:name="page_60"/>
        <w:bookmarkEnd w:id="84"/>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Psilocybin found in certain species of mushrooms is a non-habit forming naturally occurring psychedelic compound. Once ingested, psilocybin is rapidly metabolized to psilocin, which then acts on serotonin receptors in the brain. The Corporation intends to research and sponsor clinical trials on the efficacy of chemically synthesized psilocybin as it relates to the following indications9:</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60"/>
        <w:gridCol w:w="110"/>
        <w:gridCol w:w="60"/>
        <w:gridCol w:w="73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mental health (depression, PTSD, anxiety and attention deficit hyperactivity disorder); and</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60"/>
        <w:gridCol w:w="110"/>
        <w:gridCol w:w="60"/>
        <w:gridCol w:w="33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addiction (alcohol, drugs and cigarettes).</w:t>
            </w:r>
          </w:p>
        </w:tc>
      </w:tr>
    </w:tbl>
    <w:p>
      <w:pPr>
        <w:pStyle w:val="TextBody"/>
        <w:bidi w:val="0"/>
        <w:spacing w:before="240" w:after="0"/>
        <w:jc w:val="left"/>
        <w:rPr>
          <w:rFonts w:ascii="Times New Roman" w:hAnsi="Times New Roman"/>
          <w:sz w:val="20"/>
        </w:rPr>
      </w:pPr>
      <w:r>
        <w:rPr>
          <w:rFonts w:ascii="Times New Roman" w:hAnsi="Times New Roman"/>
          <w:sz w:val="20"/>
        </w:rPr>
        <w:t>In late 2019, management of Cybin Corp. commenced research and development on the delivery of synthetic psilocybin and other psychedelics through mechanisms such as sublingual film delivery. Cybin has filed a patent application for such delivery mechanism.</w:t>
      </w:r>
    </w:p>
    <w:p>
      <w:pPr>
        <w:pStyle w:val="TextBody"/>
        <w:bidi w:val="0"/>
        <w:spacing w:before="240" w:after="0"/>
        <w:jc w:val="left"/>
        <w:rPr>
          <w:rFonts w:ascii="Times New Roman" w:hAnsi="Times New Roman"/>
          <w:sz w:val="20"/>
        </w:rPr>
      </w:pPr>
      <w:r>
        <w:rPr>
          <w:rFonts w:ascii="Times New Roman" w:hAnsi="Times New Roman"/>
          <w:sz w:val="20"/>
        </w:rPr>
        <w:t>In partnership with UWI, the Corporation plans to conduct research and development of synthetic psilocybin. The Corporation’s activity in relation to the intended research of psilocybin mushrooms, botanicals and other related fungi is limited to the jurisdiction of Jamaica and the Corporation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Corporation’s Jamaica team is composed of business consultants, legal counsel and local post-doctoral research students. As of the date of this Prospectus, the Corporation’s sponsorship of the clinical trials has not commenced. The Corporation has submitted its application to the Jamaica IRB and has received conditional approval and is awaiting final approval. Once such comments are settled, if any, the Corporation will begin its sponsorship of the clinical trials subject to applicable laws. The Corporation is unable to apply for an import license for its sponsored clinical trial materials until it receives final Jamaica IRB approval, once received, the Corporation will apply to obtain an import license.</w:t>
      </w:r>
    </w:p>
    <w:p>
      <w:pPr>
        <w:pStyle w:val="TextBody"/>
        <w:bidi w:val="0"/>
        <w:spacing w:before="240" w:after="0"/>
        <w:jc w:val="left"/>
        <w:rPr>
          <w:rFonts w:ascii="Times New Roman" w:hAnsi="Times New Roman"/>
          <w:sz w:val="20"/>
        </w:rPr>
      </w:pPr>
      <w:r>
        <w:rPr>
          <w:rFonts w:ascii="Times New Roman" w:hAnsi="Times New Roman"/>
          <w:sz w:val="20"/>
        </w:rPr>
        <w:t>Research and development is led by the Corporation’s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pStyle w:val="TextBody"/>
        <w:bidi w:val="0"/>
        <w:spacing w:before="240" w:after="0"/>
        <w:jc w:val="left"/>
        <w:rPr>
          <w:rFonts w:ascii="Times New Roman" w:hAnsi="Times New Roman"/>
          <w:sz w:val="20"/>
        </w:rPr>
      </w:pPr>
      <w:r>
        <w:rPr>
          <w:rFonts w:ascii="Times New Roman" w:hAnsi="Times New Roman"/>
          <w:sz w:val="20"/>
        </w:rPr>
        <w:t>The Corporation has also retained Stosic and Associates, a leading government relations firm, to work with high level pharmaceutical, institutional and government relations individuals to progress the acceptance of psychedelics in Canada for medical use.</w:t>
      </w:r>
    </w:p>
    <w:p>
      <w:pPr>
        <w:pStyle w:val="TextBody"/>
        <w:bidi w:val="0"/>
        <w:spacing w:before="240" w:after="0"/>
        <w:jc w:val="left"/>
        <w:rPr>
          <w:rFonts w:ascii="Times New Roman" w:hAnsi="Times New Roman"/>
          <w:sz w:val="20"/>
        </w:rPr>
      </w:pPr>
      <w:r>
        <w:rPr>
          <w:rFonts w:ascii="Times New Roman" w:hAnsi="Times New Roman"/>
          <w:sz w:val="20"/>
        </w:rPr>
        <w:t>The Corporation’s research and development must be conducted in strict compliance with the regulations of federal, state, local and regulatory agencies in Canada and the United States, and the equivalent regulatory agencies in the other jurisdictions in which the Corporation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DDA. Accordingly, conducting</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9 </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18</w:t>
      </w:r>
    </w:p>
    <w:p>
      <w:pPr>
        <w:pStyle w:val="HorizontalLine"/>
        <w:pBdr>
          <w:bottom w:val="single" w:sz="30" w:space="0" w:color="000000"/>
        </w:pBdr>
        <w:bidi w:val="0"/>
        <w:jc w:val="left"/>
        <w:rPr/>
      </w:pPr>
      <w:r>
        <w:rPr/>
      </w:r>
    </w:p>
    <w:p>
      <w:pPr>
        <w:pStyle w:val="Heading5"/>
        <w:bidi w:val="0"/>
        <w:jc w:val="left"/>
        <w:rPr/>
      </w:pPr>
      <w:hyperlink w:anchor="toc">
        <w:bookmarkStart w:id="85" w:name="page_61"/>
        <w:bookmarkEnd w:id="85"/>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on psilocybin mushrooms does not contravene the laws of Jamaica and does not require any permit or authorization from Jamaican regulatory authorities.</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Canada </w:t>
      </w:r>
    </w:p>
    <w:p>
      <w:pPr>
        <w:pStyle w:val="TextBody"/>
        <w:bidi w:val="0"/>
        <w:spacing w:before="120" w:after="0"/>
        <w:jc w:val="left"/>
        <w:rPr>
          <w:rFonts w:ascii="Times New Roman" w:hAnsi="Times New Roman"/>
          <w:i/>
          <w:sz w:val="20"/>
        </w:rPr>
      </w:pPr>
      <w:r>
        <w:rPr>
          <w:rFonts w:ascii="Times New Roman" w:hAnsi="Times New Roman"/>
          <w:i/>
          <w:sz w:val="20"/>
        </w:rPr>
        <w:t xml:space="preserve">Psychedelics </w:t>
      </w:r>
    </w:p>
    <w:p>
      <w:pPr>
        <w:pStyle w:val="TextBody"/>
        <w:bidi w:val="0"/>
        <w:spacing w:before="120" w:after="0"/>
        <w:jc w:val="left"/>
        <w:rPr>
          <w:rFonts w:ascii="Times New Roman" w:hAnsi="Times New Roman"/>
          <w:sz w:val="20"/>
        </w:rPr>
      </w:pPr>
      <w:r>
        <w:rPr>
          <w:rFonts w:ascii="Times New Roman" w:hAnsi="Times New Roman"/>
          <w:sz w:val="20"/>
        </w:rPr>
        <w:t>The process required before a prescription drug product candidate may be marketed in Canada generally involves: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Chemical and Biological Research –</w:t>
            </w:r>
            <w:r>
              <w:rPr>
                <w:rFonts w:ascii="Times New Roman" w:hAnsi="Times New Roman"/>
                <w:sz w:val="20"/>
              </w:rPr>
              <w:t xml:space="preserve"> Laboratory tests are carried out on tissue cultures and with a variety of small animals to determine the effects of the drug. If the results are promising, the manufacturer will proceed to the next step of development.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Pre-Clinical Development – </w:t>
            </w:r>
            <w:r>
              <w:rPr>
                <w:rFonts w:ascii="Times New Roman" w:hAnsi="Times New Roman"/>
                <w:sz w:val="20"/>
              </w:rPr>
              <w:t>Animals are given the drug in varying amounts over differing periods of time. If it can be shown that the drug causes no serious or unexpected harm at the doses required to have an effect, the manufacturer will proceed to clinical trials.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Clinical Trials – Phase I – </w:t>
            </w:r>
            <w:r>
              <w:rPr>
                <w:rFonts w:ascii="Times New Roman" w:hAnsi="Times New Roman"/>
                <w:sz w:val="20"/>
              </w:rPr>
              <w:t>The first administration in humans is to test if people can tolerate the drug. If this testing is to take place in Canada, the manufacturer must prepare a clinical trial application for the Therapeutic Products Directorate of Health Canada (the “</w:t>
            </w:r>
            <w:r>
              <w:rPr>
                <w:rFonts w:ascii="Times New Roman" w:hAnsi="Times New Roman"/>
                <w:b/>
                <w:sz w:val="20"/>
              </w:rPr>
              <w:t>TPD</w:t>
            </w:r>
            <w:r>
              <w:rPr>
                <w:rFonts w:ascii="Times New Roman" w:hAnsi="Times New Roman"/>
                <w:sz w:val="20"/>
              </w:rPr>
              <w:t>”). This includes the results of the first two steps and a proposal for testing in humans. If the information is sufficient, the Health Products and Food Branch of Health Canada (the “</w:t>
            </w:r>
            <w:r>
              <w:rPr>
                <w:rFonts w:ascii="Times New Roman" w:hAnsi="Times New Roman"/>
                <w:b/>
                <w:sz w:val="20"/>
              </w:rPr>
              <w:t>HPFB</w:t>
            </w:r>
            <w:r>
              <w:rPr>
                <w:rFonts w:ascii="Times New Roman" w:hAnsi="Times New Roman"/>
                <w:sz w:val="20"/>
              </w:rPr>
              <w:t>”) grants permission to start testing the drug, generally first on healthy volunteers.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Clinical Trials – Phase II – </w:t>
            </w:r>
            <w:r>
              <w:rPr>
                <w:rFonts w:ascii="Times New Roman" w:hAnsi="Times New Roman"/>
                <w:sz w:val="20"/>
              </w:rPr>
              <w:t>Phase II 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Clinical Trials – Phase III – </w:t>
            </w:r>
            <w:r>
              <w:rPr>
                <w:rFonts w:ascii="Times New Roman" w:hAnsi="Times New Roman"/>
                <w:sz w:val="20"/>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New Drug Submission – </w:t>
            </w:r>
            <w:r>
              <w:rPr>
                <w:rFonts w:ascii="Times New Roman" w:hAnsi="Times New Roman"/>
                <w:sz w:val="20"/>
              </w:rPr>
              <w:t>If the results from phase III continue to be favourable, the drug manufacturer can submit a new drug submission (“</w:t>
            </w:r>
            <w:r>
              <w:rPr>
                <w:rFonts w:ascii="Times New Roman" w:hAnsi="Times New Roman"/>
                <w:b/>
                <w:sz w:val="20"/>
              </w:rPr>
              <w:t>NDS</w:t>
            </w:r>
            <w:r>
              <w:rPr>
                <w:rFonts w:ascii="Times New Roman" w:hAnsi="Times New Roman"/>
                <w:sz w:val="20"/>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rPr>
        <w:t>The process required before a prescription drug product candidate may be marketed in the United States generally involves: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completion of extensive non-clinical laboratory tests, animal studies and formulation studies, all performed in accordance with the FDA’s Good Laboratory, Good Clinical and/or Manufacturing Practice regulations;</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60"/>
        <w:gridCol w:w="110"/>
        <w:gridCol w:w="60"/>
        <w:gridCol w:w="8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submission to the FDA of an IND, which must become effective before human clinical trials may begin;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approval by an institutional review board or independent ethics committee at each clinical trial site before each trial may be initiated;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single" w:sz="30" w:space="0" w:color="000000"/>
        </w:pBdr>
        <w:bidi w:val="0"/>
        <w:jc w:val="left"/>
        <w:rPr/>
      </w:pPr>
      <w:r>
        <w:rPr/>
      </w:r>
    </w:p>
    <w:p>
      <w:pPr>
        <w:pStyle w:val="Heading5"/>
        <w:bidi w:val="0"/>
        <w:jc w:val="left"/>
        <w:rPr/>
      </w:pPr>
      <w:hyperlink w:anchor="toc">
        <w:bookmarkStart w:id="86" w:name="page_62"/>
        <w:bookmarkEnd w:id="86"/>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60"/>
        <w:gridCol w:w="110"/>
        <w:gridCol w:w="6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submission to the FDA of a New Drug Application (“</w:t>
            </w:r>
            <w:r>
              <w:rPr>
                <w:rFonts w:ascii="Times New Roman" w:hAnsi="Times New Roman"/>
                <w:b/>
                <w:sz w:val="20"/>
              </w:rPr>
              <w:t>NDA</w:t>
            </w:r>
            <w:r>
              <w:rPr>
                <w:rFonts w:ascii="Times New Roman" w:hAnsi="Times New Roman"/>
                <w:sz w:val="20"/>
              </w:rPr>
              <w:t>”); and</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60"/>
        <w:gridCol w:w="110"/>
        <w:gridCol w:w="60"/>
        <w:gridCol w:w="82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FDA review and approval of the NDA prior to any commercial marketing, sale or shipment of the drug.</w:t>
            </w:r>
          </w:p>
        </w:tc>
      </w:tr>
    </w:tbl>
    <w:p>
      <w:pPr>
        <w:pStyle w:val="TextBody"/>
        <w:bidi w:val="0"/>
        <w:spacing w:before="240" w:after="0"/>
        <w:jc w:val="left"/>
        <w:rPr>
          <w:rFonts w:ascii="Times New Roman" w:hAnsi="Times New Roman"/>
          <w:sz w:val="20"/>
        </w:rPr>
      </w:pPr>
      <w:r>
        <w:rPr>
          <w:rFonts w:ascii="Times New Roman" w:hAnsi="Times New Roman"/>
          <w:sz w:val="20"/>
        </w:rPr>
        <w:t>The testing and approval process requires substantial time, effort and financial resources, and the Corporation cannot be certain that any approvals for its prescription drug product candidates will be granted on a timely basis, if at all.</w:t>
      </w:r>
    </w:p>
    <w:p>
      <w:pPr>
        <w:pStyle w:val="TextBody"/>
        <w:bidi w:val="0"/>
        <w:spacing w:before="240" w:after="0"/>
        <w:jc w:val="left"/>
        <w:rPr>
          <w:rFonts w:ascii="Times New Roman" w:hAnsi="Times New Roman"/>
          <w:sz w:val="20"/>
        </w:rPr>
      </w:pPr>
      <w:r>
        <w:rPr>
          <w:rFonts w:ascii="Times New Roman" w:hAnsi="Times New Roman"/>
          <w:sz w:val="20"/>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pStyle w:val="TextBody"/>
        <w:bidi w:val="0"/>
        <w:spacing w:before="240" w:after="0"/>
        <w:jc w:val="left"/>
        <w:rPr>
          <w:rFonts w:ascii="Times New Roman" w:hAnsi="Times New Roman"/>
          <w:sz w:val="20"/>
        </w:rPr>
      </w:pPr>
      <w:r>
        <w:rPr>
          <w:rFonts w:ascii="Times New Roman" w:hAnsi="Times New Roman"/>
          <w:sz w:val="20"/>
        </w:rPr>
        <w:t>An independent institutional review board (“</w:t>
      </w:r>
      <w:r>
        <w:rPr>
          <w:rFonts w:ascii="Times New Roman" w:hAnsi="Times New Roman"/>
          <w:b/>
          <w:sz w:val="20"/>
        </w:rPr>
        <w:t>IRB</w:t>
      </w:r>
      <w:r>
        <w:rPr>
          <w:rFonts w:ascii="Times New Roman" w:hAnsi="Times New Roman"/>
          <w:sz w:val="20"/>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pStyle w:val="TextBody"/>
        <w:bidi w:val="0"/>
        <w:spacing w:before="240" w:after="0"/>
        <w:jc w:val="left"/>
        <w:rPr>
          <w:rFonts w:ascii="Times New Roman" w:hAnsi="Times New Roman"/>
          <w:sz w:val="20"/>
        </w:rPr>
      </w:pPr>
      <w:r>
        <w:rPr>
          <w:rFonts w:ascii="Times New Roman" w:hAnsi="Times New Roman"/>
          <w:sz w:val="20"/>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pStyle w:val="TextBody"/>
        <w:bidi w:val="0"/>
        <w:spacing w:before="240" w:after="0"/>
        <w:jc w:val="left"/>
        <w:rPr>
          <w:rFonts w:ascii="Times New Roman" w:hAnsi="Times New Roman"/>
          <w:sz w:val="20"/>
        </w:rPr>
      </w:pPr>
      <w:r>
        <w:rPr>
          <w:rFonts w:ascii="Times New Roman" w:hAnsi="Times New Roman"/>
          <w:sz w:val="20"/>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single" w:sz="30" w:space="0" w:color="000000"/>
        </w:pBdr>
        <w:bidi w:val="0"/>
        <w:jc w:val="left"/>
        <w:rPr/>
      </w:pPr>
      <w:r>
        <w:rPr/>
      </w:r>
    </w:p>
    <w:p>
      <w:pPr>
        <w:pStyle w:val="Heading5"/>
        <w:bidi w:val="0"/>
        <w:jc w:val="left"/>
        <w:rPr/>
      </w:pPr>
      <w:hyperlink w:anchor="toc">
        <w:bookmarkStart w:id="87" w:name="page_63"/>
        <w:bookmarkEnd w:id="87"/>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pStyle w:val="TextBody"/>
        <w:bidi w:val="0"/>
        <w:spacing w:before="240" w:after="0"/>
        <w:jc w:val="left"/>
        <w:rPr>
          <w:rFonts w:ascii="Times New Roman" w:hAnsi="Times New Roman"/>
          <w:sz w:val="20"/>
        </w:rPr>
      </w:pPr>
      <w:r>
        <w:rPr>
          <w:rFonts w:ascii="Times New Roman" w:hAnsi="Times New Roman"/>
          <w:sz w:val="20"/>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pStyle w:val="TextBody"/>
        <w:bidi w:val="0"/>
        <w:spacing w:before="240" w:after="0"/>
        <w:jc w:val="left"/>
        <w:rPr>
          <w:rFonts w:ascii="Times New Roman" w:hAnsi="Times New Roman"/>
          <w:sz w:val="20"/>
        </w:rPr>
      </w:pPr>
      <w:r>
        <w:rPr>
          <w:rFonts w:ascii="Times New Roman" w:hAnsi="Times New Roman"/>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bidi w:val="0"/>
        <w:spacing w:before="360" w:after="0"/>
        <w:jc w:val="left"/>
        <w:rPr>
          <w:rFonts w:ascii="Times New Roman" w:hAnsi="Times New Roman"/>
          <w:i/>
          <w:sz w:val="20"/>
        </w:rPr>
      </w:pPr>
      <w:r>
        <w:rPr>
          <w:rFonts w:ascii="Times New Roman" w:hAnsi="Times New Roman"/>
          <w:i/>
          <w:sz w:val="20"/>
        </w:rPr>
        <w:t xml:space="preserve">Controlled Substances </w:t>
      </w:r>
    </w:p>
    <w:p>
      <w:pPr>
        <w:pStyle w:val="TextBody"/>
        <w:bidi w:val="0"/>
        <w:spacing w:before="120" w:after="0"/>
        <w:jc w:val="left"/>
        <w:rPr>
          <w:rFonts w:ascii="Times New Roman" w:hAnsi="Times New Roman"/>
          <w:sz w:val="20"/>
        </w:rPr>
      </w:pPr>
      <w:r>
        <w:rPr>
          <w:rFonts w:ascii="Times New Roman" w:hAnsi="Times New Roman"/>
          <w:sz w:val="20"/>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spacing w:before="240" w:after="0"/>
        <w:jc w:val="left"/>
        <w:rPr>
          <w:rFonts w:ascii="Times New Roman" w:hAnsi="Times New Roman"/>
          <w:sz w:val="20"/>
        </w:rPr>
      </w:pPr>
      <w:r>
        <w:rPr>
          <w:rFonts w:ascii="Times New Roman" w:hAnsi="Times New Roman"/>
          <w:sz w:val="20"/>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spacing w:before="240" w:after="0"/>
        <w:jc w:val="left"/>
        <w:rPr>
          <w:rFonts w:ascii="Times New Roman" w:hAnsi="Times New Roman"/>
          <w:sz w:val="20"/>
        </w:rPr>
      </w:pPr>
      <w:r>
        <w:rPr>
          <w:rFonts w:ascii="Times New Roman" w:hAnsi="Times New Roman"/>
          <w:sz w:val="20"/>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21</w:t>
      </w:r>
    </w:p>
    <w:p>
      <w:pPr>
        <w:pStyle w:val="HorizontalLine"/>
        <w:pBdr>
          <w:bottom w:val="single" w:sz="30" w:space="0" w:color="000000"/>
        </w:pBdr>
        <w:bidi w:val="0"/>
        <w:jc w:val="left"/>
        <w:rPr/>
      </w:pPr>
      <w:r>
        <w:rPr/>
      </w:r>
    </w:p>
    <w:p>
      <w:pPr>
        <w:pStyle w:val="Heading5"/>
        <w:bidi w:val="0"/>
        <w:jc w:val="left"/>
        <w:rPr/>
      </w:pPr>
      <w:hyperlink w:anchor="toc">
        <w:bookmarkStart w:id="88" w:name="page_64"/>
        <w:bookmarkEnd w:id="88"/>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pStyle w:val="TextBody"/>
        <w:bidi w:val="0"/>
        <w:spacing w:before="240" w:after="0"/>
        <w:jc w:val="left"/>
        <w:rPr>
          <w:rFonts w:ascii="Times New Roman" w:hAnsi="Times New Roman"/>
          <w:sz w:val="20"/>
        </w:rPr>
      </w:pPr>
      <w:r>
        <w:rPr>
          <w:rFonts w:ascii="Times New Roman" w:hAnsi="Times New Roman"/>
          <w:sz w:val="20"/>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bidi w:val="0"/>
        <w:spacing w:before="240" w:after="0"/>
        <w:jc w:val="left"/>
        <w:rPr>
          <w:rFonts w:ascii="Times New Roman" w:hAnsi="Times New Roman"/>
          <w:sz w:val="20"/>
        </w:rPr>
      </w:pPr>
      <w:r>
        <w:rPr>
          <w:rFonts w:ascii="Times New Roman" w:hAnsi="Times New Roman"/>
          <w:sz w:val="20"/>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Patent Cooperation Treaty </w:t>
      </w:r>
    </w:p>
    <w:p>
      <w:pPr>
        <w:pStyle w:val="TextBody"/>
        <w:bidi w:val="0"/>
        <w:spacing w:before="120" w:after="0"/>
        <w:jc w:val="left"/>
        <w:rPr>
          <w:rFonts w:ascii="Times New Roman" w:hAnsi="Times New Roman"/>
          <w:sz w:val="20"/>
        </w:rPr>
      </w:pPr>
      <w:r>
        <w:rPr>
          <w:rFonts w:ascii="Times New Roman" w:hAnsi="Times New Roman"/>
          <w:sz w:val="20"/>
        </w:rPr>
        <w:t>The Patent Cooperation Treaty (the “</w:t>
      </w:r>
      <w:r>
        <w:rPr>
          <w:rFonts w:ascii="Times New Roman" w:hAnsi="Times New Roman"/>
          <w:b/>
          <w:sz w:val="20"/>
        </w:rPr>
        <w:t>PCT</w:t>
      </w:r>
      <w:r>
        <w:rPr>
          <w:rFonts w:ascii="Times New Roman" w:hAnsi="Times New Roman"/>
          <w:sz w:val="20"/>
        </w:rPr>
        <w:t>”) facilitates filing for patent recognition in multiple jurisdictions simultaneously using a single uniform patent application. 193 countries, including Canada and the United States have ratified the PCT.</w:t>
      </w:r>
    </w:p>
    <w:p>
      <w:pPr>
        <w:pStyle w:val="TextBody"/>
        <w:bidi w:val="0"/>
        <w:spacing w:before="240" w:after="0"/>
        <w:jc w:val="left"/>
        <w:rPr>
          <w:rFonts w:ascii="Times New Roman" w:hAnsi="Times New Roman"/>
          <w:sz w:val="20"/>
        </w:rPr>
      </w:pPr>
      <w:r>
        <w:rPr>
          <w:rFonts w:ascii="Times New Roman" w:hAnsi="Times New Roman"/>
          <w:sz w:val="20"/>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spacing w:before="240" w:after="0"/>
        <w:jc w:val="left"/>
        <w:rPr>
          <w:rFonts w:ascii="Times New Roman" w:hAnsi="Times New Roman"/>
          <w:sz w:val="20"/>
        </w:rPr>
      </w:pPr>
      <w:r>
        <w:rPr>
          <w:rFonts w:ascii="Times New Roman" w:hAnsi="Times New Roman"/>
          <w:sz w:val="20"/>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pStyle w:val="TextBody"/>
        <w:bidi w:val="0"/>
        <w:spacing w:before="240" w:after="0"/>
        <w:jc w:val="left"/>
        <w:rPr>
          <w:rFonts w:ascii="Times New Roman" w:hAnsi="Times New Roman"/>
          <w:sz w:val="20"/>
        </w:rPr>
      </w:pPr>
      <w:r>
        <w:rPr>
          <w:rFonts w:ascii="Times New Roman" w:hAnsi="Times New Roman"/>
          <w:sz w:val="20"/>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22</w:t>
      </w:r>
    </w:p>
    <w:p>
      <w:pPr>
        <w:pStyle w:val="HorizontalLine"/>
        <w:pBdr>
          <w:bottom w:val="single" w:sz="30" w:space="0" w:color="000000"/>
        </w:pBdr>
        <w:bidi w:val="0"/>
        <w:jc w:val="left"/>
        <w:rPr/>
      </w:pPr>
      <w:r>
        <w:rPr/>
      </w:r>
    </w:p>
    <w:p>
      <w:pPr>
        <w:pStyle w:val="Heading5"/>
        <w:bidi w:val="0"/>
        <w:jc w:val="left"/>
        <w:rPr/>
      </w:pPr>
      <w:hyperlink w:anchor="toc">
        <w:bookmarkStart w:id="89" w:name="page_65"/>
        <w:bookmarkEnd w:id="89"/>
        <w:r>
          <w:rPr>
            <w:rStyle w:val="InternetLink"/>
          </w:rPr>
          <w:t>Table of Contents</w:t>
        </w:r>
      </w:hyperlink>
    </w:p>
    <w:p>
      <w:pPr>
        <w:pStyle w:val="TextBody"/>
        <w:bidi w:val="0"/>
        <w:spacing w:before="0" w:after="0"/>
        <w:jc w:val="center"/>
        <w:rPr>
          <w:rFonts w:ascii="Times New Roman" w:hAnsi="Times New Roman"/>
          <w:b/>
          <w:sz w:val="20"/>
        </w:rPr>
      </w:pPr>
      <w:bookmarkStart w:id="90" w:name="toc191613_10"/>
      <w:bookmarkEnd w:id="90"/>
      <w:r>
        <w:rPr>
          <w:rFonts w:ascii="Times New Roman" w:hAnsi="Times New Roman"/>
          <w:b/>
          <w:sz w:val="20"/>
        </w:rPr>
        <w:t xml:space="preserve">COMPLIANCE PROGRAM </w:t>
      </w:r>
    </w:p>
    <w:p>
      <w:pPr>
        <w:pStyle w:val="TextBody"/>
        <w:bidi w:val="0"/>
        <w:spacing w:before="240" w:after="0"/>
        <w:jc w:val="left"/>
        <w:rPr>
          <w:rFonts w:ascii="Times New Roman" w:hAnsi="Times New Roman"/>
          <w:sz w:val="20"/>
        </w:rPr>
      </w:pPr>
      <w:r>
        <w:rPr>
          <w:rFonts w:ascii="Times New Roman" w:hAnsi="Times New Roman"/>
          <w:sz w:val="20"/>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pStyle w:val="TextBody"/>
        <w:bidi w:val="0"/>
        <w:spacing w:before="240" w:after="0"/>
        <w:jc w:val="left"/>
        <w:rPr>
          <w:rFonts w:ascii="Times New Roman" w:hAnsi="Times New Roman"/>
          <w:sz w:val="20"/>
        </w:rPr>
      </w:pPr>
      <w:r>
        <w:rPr>
          <w:rFonts w:ascii="Times New Roman" w:hAnsi="Times New Roman"/>
          <w:sz w:val="20"/>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pStyle w:val="TextBody"/>
        <w:bidi w:val="0"/>
        <w:spacing w:before="240" w:after="0"/>
        <w:jc w:val="left"/>
        <w:rPr>
          <w:rFonts w:ascii="Times New Roman" w:hAnsi="Times New Roman"/>
          <w:sz w:val="20"/>
        </w:rPr>
      </w:pPr>
      <w:r>
        <w:rPr>
          <w:rFonts w:ascii="Times New Roman" w:hAnsi="Times New Roman"/>
          <w:sz w:val="20"/>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pStyle w:val="TextBody"/>
        <w:bidi w:val="0"/>
        <w:spacing w:before="240" w:after="0"/>
        <w:jc w:val="left"/>
        <w:rPr>
          <w:rFonts w:ascii="Times New Roman" w:hAnsi="Times New Roman"/>
          <w:sz w:val="20"/>
        </w:rPr>
      </w:pPr>
      <w:r>
        <w:rPr>
          <w:rFonts w:ascii="Times New Roman" w:hAnsi="Times New Roman"/>
          <w:sz w:val="20"/>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pStyle w:val="TextBody"/>
        <w:bidi w:val="0"/>
        <w:spacing w:before="240" w:after="0"/>
        <w:jc w:val="left"/>
        <w:rPr>
          <w:rFonts w:ascii="Times New Roman" w:hAnsi="Times New Roman"/>
          <w:sz w:val="20"/>
        </w:rPr>
      </w:pPr>
      <w:r>
        <w:rPr>
          <w:rFonts w:ascii="Times New Roman" w:hAnsi="Times New Roman"/>
          <w:sz w:val="20"/>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pStyle w:val="TextBody"/>
        <w:bidi w:val="0"/>
        <w:spacing w:before="240" w:after="0"/>
        <w:jc w:val="left"/>
        <w:rPr>
          <w:rFonts w:ascii="Times New Roman" w:hAnsi="Times New Roman"/>
          <w:sz w:val="20"/>
        </w:rPr>
      </w:pPr>
      <w:r>
        <w:rPr>
          <w:rFonts w:ascii="Times New Roman" w:hAnsi="Times New Roman"/>
          <w:sz w:val="20"/>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pStyle w:val="TextBody"/>
        <w:bidi w:val="0"/>
        <w:spacing w:before="240" w:after="0"/>
        <w:jc w:val="left"/>
        <w:rPr>
          <w:rFonts w:ascii="Times New Roman" w:hAnsi="Times New Roman"/>
          <w:sz w:val="20"/>
        </w:rPr>
      </w:pPr>
      <w:r>
        <w:rPr>
          <w:rFonts w:ascii="Times New Roman" w:hAnsi="Times New Roman"/>
          <w:sz w:val="20"/>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spacing w:before="480" w:after="0"/>
        <w:jc w:val="center"/>
        <w:rPr>
          <w:rFonts w:ascii="Times New Roman" w:hAnsi="Times New Roman"/>
          <w:b/>
          <w:sz w:val="20"/>
        </w:rPr>
      </w:pPr>
      <w:bookmarkStart w:id="91" w:name="toc191613_11"/>
      <w:bookmarkEnd w:id="91"/>
      <w:r>
        <w:rPr>
          <w:rFonts w:ascii="Times New Roman" w:hAnsi="Times New Roman"/>
          <w:b/>
          <w:sz w:val="20"/>
        </w:rPr>
        <w:t xml:space="preserve">CONSOLIDATED CAPITALIZATION </w:t>
      </w:r>
    </w:p>
    <w:p>
      <w:pPr>
        <w:pStyle w:val="TextBody"/>
        <w:bidi w:val="0"/>
        <w:spacing w:before="240" w:after="0"/>
        <w:jc w:val="left"/>
        <w:rPr>
          <w:rFonts w:ascii="Times New Roman" w:hAnsi="Times New Roman"/>
          <w:sz w:val="20"/>
        </w:rPr>
      </w:pPr>
      <w:r>
        <w:rPr>
          <w:rFonts w:ascii="Times New Roman" w:hAnsi="Times New Roman"/>
          <w:sz w:val="20"/>
        </w:rPr>
        <w:t>Since the date of the Annual Financial Statements, there has been no material change to the share and loan capital of the Corporation.</w:t>
      </w:r>
    </w:p>
    <w:p>
      <w:pPr>
        <w:pStyle w:val="TextBody"/>
        <w:bidi w:val="0"/>
        <w:spacing w:before="240" w:after="0"/>
        <w:jc w:val="left"/>
        <w:rPr>
          <w:rFonts w:ascii="Times New Roman" w:hAnsi="Times New Roman"/>
          <w:sz w:val="20"/>
        </w:rPr>
      </w:pPr>
      <w:r>
        <w:rPr>
          <w:rFonts w:ascii="Times New Roman" w:hAnsi="Times New Roman"/>
          <w:sz w:val="20"/>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23</w:t>
      </w:r>
    </w:p>
    <w:p>
      <w:pPr>
        <w:pStyle w:val="HorizontalLine"/>
        <w:pBdr>
          <w:bottom w:val="single" w:sz="30" w:space="0" w:color="000000"/>
        </w:pBdr>
        <w:bidi w:val="0"/>
        <w:jc w:val="left"/>
        <w:rPr/>
      </w:pPr>
      <w:r>
        <w:rPr/>
      </w:r>
    </w:p>
    <w:p>
      <w:pPr>
        <w:pStyle w:val="Heading5"/>
        <w:bidi w:val="0"/>
        <w:jc w:val="left"/>
        <w:rPr/>
      </w:pPr>
      <w:hyperlink w:anchor="toc">
        <w:bookmarkStart w:id="92" w:name="page_66"/>
        <w:bookmarkEnd w:id="92"/>
        <w:r>
          <w:rPr>
            <w:rStyle w:val="InternetLink"/>
          </w:rPr>
          <w:t>Table of Contents</w:t>
        </w:r>
      </w:hyperlink>
    </w:p>
    <w:p>
      <w:pPr>
        <w:pStyle w:val="TextBody"/>
        <w:bidi w:val="0"/>
        <w:spacing w:before="0" w:after="0"/>
        <w:jc w:val="center"/>
        <w:rPr>
          <w:rFonts w:ascii="Times New Roman" w:hAnsi="Times New Roman"/>
          <w:b/>
          <w:sz w:val="20"/>
        </w:rPr>
      </w:pPr>
      <w:bookmarkStart w:id="93" w:name="toc191613_12"/>
      <w:bookmarkEnd w:id="9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hAnsi="Times New Roman"/>
          <w:i/>
          <w:sz w:val="20"/>
        </w:rPr>
        <w:t>Risk Factors – Risks Related to an Offering – Discretion over the Use of Proceeds”</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Sources and Uses of Capital </w:t>
      </w:r>
    </w:p>
    <w:p>
      <w:pPr>
        <w:pStyle w:val="TextBody"/>
        <w:bidi w:val="0"/>
        <w:spacing w:before="120" w:after="0"/>
        <w:jc w:val="left"/>
        <w:rPr>
          <w:rFonts w:ascii="Times New Roman" w:hAnsi="Times New Roman"/>
          <w:sz w:val="20"/>
        </w:rPr>
      </w:pPr>
      <w:r>
        <w:rPr>
          <w:rFonts w:ascii="Times New Roman" w:hAnsi="Times New Roman"/>
          <w:sz w:val="20"/>
        </w:rPr>
        <w:t>The Corporation had cash and cash equivalents on hand as at May 31, 2021 of approximately $58,409,485 including the remaining net proceeds from the Corporation’s bought deal short form prospectus offering for aggregate gross proceeds of $34,303,500 (the “</w:t>
      </w:r>
      <w:r>
        <w:rPr>
          <w:rFonts w:ascii="Times New Roman" w:hAnsi="Times New Roman"/>
          <w:b/>
          <w:sz w:val="20"/>
        </w:rPr>
        <w:t>February Offering</w:t>
      </w:r>
      <w:r>
        <w:rPr>
          <w:rFonts w:ascii="Times New Roman" w:hAnsi="Times New Roman"/>
          <w:sz w:val="20"/>
        </w:rPr>
        <w:t>”) that was completed on February 4, 2021. The Corporation’s current financial resources are sufficient to meet its short-term liquidity requirements and to fund its operations for at least the coming 12 months, exclusive of any additional proceeds to be raised through an Offering of Securities. The Corporation’s expectation is based on significant assumptions and is subject to significant risk, see “</w:t>
      </w:r>
      <w:r>
        <w:rPr>
          <w:rFonts w:ascii="Times New Roman" w:hAnsi="Times New Roman"/>
          <w:i/>
          <w:sz w:val="20"/>
        </w:rPr>
        <w:t>Cautionary Note Regarding Forward Looking Information</w:t>
      </w:r>
      <w:r>
        <w:rPr>
          <w:rFonts w:ascii="Times New Roman" w:hAnsi="Times New Roman"/>
          <w:sz w:val="20"/>
        </w:rPr>
        <w:t>” and “</w:t>
      </w:r>
      <w:r>
        <w:rPr>
          <w:rFonts w:ascii="Times New Roman" w:hAnsi="Times New Roman"/>
          <w:i/>
          <w:sz w:val="20"/>
        </w:rPr>
        <w:t>Risk Factors</w:t>
      </w:r>
      <w:r>
        <w:rPr>
          <w:rFonts w:ascii="Times New Roman" w:hAnsi="Times New Roman"/>
          <w:sz w:val="20"/>
        </w:rPr>
        <w:t>”. As at May 31, 2021, the Corporation anticipates that it will require approximately $39,417,732 to continue operations over the next 12 months, including funding for the Corporations business objectives and milestones.</w:t>
      </w:r>
    </w:p>
    <w:p>
      <w:pPr>
        <w:pStyle w:val="TextBody"/>
        <w:bidi w:val="0"/>
        <w:spacing w:before="0" w:after="0"/>
        <w:jc w:val="left"/>
        <w:rPr/>
      </w:pPr>
      <w:r>
        <w:rPr/>
        <w:t> </w:t>
      </w:r>
    </w:p>
    <w:tbl>
      <w:tblPr>
        <w:tblW w:w="9530" w:type="dxa"/>
        <w:jc w:val="left"/>
        <w:tblInd w:w="0" w:type="dxa"/>
        <w:tblLayout w:type="fixed"/>
        <w:tblCellMar>
          <w:top w:w="0" w:type="dxa"/>
          <w:left w:w="0" w:type="dxa"/>
          <w:bottom w:w="0" w:type="dxa"/>
          <w:right w:w="0" w:type="dxa"/>
        </w:tblCellMar>
      </w:tblPr>
      <w:tblGrid>
        <w:gridCol w:w="4115"/>
        <w:gridCol w:w="120"/>
        <w:gridCol w:w="163"/>
        <w:gridCol w:w="1282"/>
        <w:gridCol w:w="60"/>
        <w:gridCol w:w="120"/>
        <w:gridCol w:w="183"/>
        <w:gridCol w:w="1442"/>
        <w:gridCol w:w="60"/>
        <w:gridCol w:w="120"/>
        <w:gridCol w:w="215"/>
        <w:gridCol w:w="1495"/>
        <w:gridCol w:w="155"/>
      </w:tblGrid>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Program(1)</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Anticipated</w:t>
              <w:br/>
              <w:t>12 Month Use</w:t>
              <w:br/>
              <w:t>of Funds(2)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Use of Proceeds</w:t>
              <w:br/>
              <w:t>Disclosure in</w:t>
              <w:br/>
              <w:t>February 2021</w:t>
              <w:br/>
              <w:t>Prospectus(3)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br/>
              <w:t>Remaining to be</w:t>
              <w:br/>
              <w:t>Applied From</w:t>
              <w:br/>
              <w:t>Proceeds(4)</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Psilocybin Program</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3,791,727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3,837,600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2,841,727</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Deuterated Tryptamines Preclinical Programs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82" w:type="dxa"/>
            <w:tcBorders/>
            <w:vAlign w:val="center"/>
          </w:tcPr>
          <w:p>
            <w:pPr>
              <w:pStyle w:val="TableContents"/>
              <w:bidi w:val="0"/>
              <w:spacing w:before="0" w:after="283"/>
              <w:jc w:val="right"/>
              <w:rPr/>
            </w:pPr>
            <w:r>
              <w:rPr/>
              <w:t>5,662,888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11,920,000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283"/>
              <w:jc w:val="right"/>
              <w:rPr/>
            </w:pPr>
            <w:r>
              <w:rPr/>
              <w:t>10,862,888</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Phenethylamine Preclinical Development Program</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2,375,141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2,600,000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2,375,141</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Nutraceutical Products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82"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283"/>
              <w:jc w:val="right"/>
              <w:rPr/>
            </w:pPr>
            <w:r>
              <w:rPr/>
              <w:t>500,000</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4,187,704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6,425,000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6,187,764</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including General and Administrative</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82" w:type="dxa"/>
            <w:tcBorders/>
            <w:vAlign w:val="center"/>
          </w:tcPr>
          <w:p>
            <w:pPr>
              <w:pStyle w:val="TableContents"/>
              <w:bidi w:val="0"/>
              <w:spacing w:before="0" w:after="283"/>
              <w:jc w:val="right"/>
              <w:rPr/>
            </w:pPr>
            <w:r>
              <w:rPr/>
              <w:t>22,900,272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10,778,000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283"/>
              <w:jc w:val="right"/>
              <w:rPr/>
            </w:pPr>
            <w:r>
              <w:rPr/>
              <w:t>69,709</w:t>
            </w:r>
          </w:p>
        </w:tc>
        <w:tc>
          <w:tcPr>
            <w:tcW w:w="15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128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1282" w:type="dxa"/>
            <w:tcBorders/>
            <w:shd w:fill="CCEEFF" w:val="clear"/>
            <w:vAlign w:val="center"/>
          </w:tcPr>
          <w:p>
            <w:pPr>
              <w:pStyle w:val="TableContents"/>
              <w:bidi w:val="0"/>
              <w:spacing w:before="0" w:after="283"/>
              <w:jc w:val="right"/>
              <w:rPr>
                <w:b/>
              </w:rPr>
            </w:pPr>
            <w:r>
              <w:rPr>
                <w:b/>
              </w:rPr>
              <w:t>39,417,732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1442" w:type="dxa"/>
            <w:tcBorders/>
            <w:shd w:fill="CCEEFF" w:val="clear"/>
            <w:vAlign w:val="center"/>
          </w:tcPr>
          <w:p>
            <w:pPr>
              <w:pStyle w:val="TableContents"/>
              <w:bidi w:val="0"/>
              <w:spacing w:before="0" w:after="283"/>
              <w:jc w:val="right"/>
              <w:rPr>
                <w:b/>
              </w:rPr>
            </w:pPr>
            <w:r>
              <w:rPr>
                <w:b/>
              </w:rPr>
              <w:t>36,060,600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1495" w:type="dxa"/>
            <w:tcBorders/>
            <w:shd w:fill="CCEEFF" w:val="clear"/>
            <w:vAlign w:val="center"/>
          </w:tcPr>
          <w:p>
            <w:pPr>
              <w:pStyle w:val="TableContents"/>
              <w:bidi w:val="0"/>
              <w:spacing w:before="0" w:after="283"/>
              <w:jc w:val="right"/>
              <w:rPr>
                <w:b/>
              </w:rPr>
            </w:pPr>
            <w:r>
              <w:rPr>
                <w:b/>
              </w:rPr>
              <w:t>22,697,751</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u w:val="single"/>
        </w:rPr>
        <w:t>Notes:</w:t>
      </w:r>
      <w:r>
        <w:rPr>
          <w:rFonts w:ascii="Times New Roman" w:hAnsi="Times New Roman"/>
          <w:b/>
          <w:sz w:val="20"/>
        </w:rPr>
        <w:t xml:space="preserve">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Please see the Corporation’s Annual MD&amp;A for a description of the Corporation’s Programs. All milestones are subject to receipt of all necessary approvals, including the academic and scientific organizations with which the Corporation is working.</w:t>
            </w:r>
          </w:p>
        </w:tc>
      </w:tr>
    </w:tbl>
    <w:tbl>
      <w:tblPr>
        <w:tblW w:w="7510" w:type="dxa"/>
        <w:jc w:val="left"/>
        <w:tblInd w:w="0" w:type="dxa"/>
        <w:tblLayout w:type="fixed"/>
        <w:tblCellMar>
          <w:top w:w="0" w:type="dxa"/>
          <w:left w:w="0" w:type="dxa"/>
          <w:bottom w:w="0" w:type="dxa"/>
          <w:right w:w="0" w:type="dxa"/>
        </w:tblCellMar>
      </w:tblPr>
      <w:tblGrid>
        <w:gridCol w:w="290"/>
        <w:gridCol w:w="7220"/>
      </w:tblGrid>
      <w:tr>
        <w:trPr/>
        <w:tc>
          <w:tcPr>
            <w:tcW w:w="290" w:type="dxa"/>
            <w:tcBorders/>
            <w:vAlign w:val="center"/>
          </w:tcPr>
          <w:p>
            <w:pPr>
              <w:pStyle w:val="TableContents"/>
              <w:bidi w:val="0"/>
              <w:spacing w:before="0" w:after="283"/>
              <w:jc w:val="left"/>
              <w:rPr/>
            </w:pPr>
            <w:r>
              <w:rPr/>
              <w:t>(2)</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amounts have been converted from USD to CAD at an exchange rate of 1.2575:1.</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 proceeds from private placements previously disclosed in the Listing Statement, as well proceeds disclosed in the February Offering prospectus.</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 detailed information in respect of the Corporation’s business objectives and milestones, and the application of proceeds from prior offerings by the Corporation, prospective purchasers of Securities should carefully consider the information described in the interim and annual management’s discussion and analysis of the Corporation, and the documents incorporated by reference herein, including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24</w:t>
      </w:r>
    </w:p>
    <w:p>
      <w:pPr>
        <w:pStyle w:val="HorizontalLine"/>
        <w:pBdr>
          <w:bottom w:val="single" w:sz="30" w:space="0" w:color="000000"/>
        </w:pBdr>
        <w:bidi w:val="0"/>
        <w:jc w:val="left"/>
        <w:rPr/>
      </w:pPr>
      <w:r>
        <w:rPr/>
      </w:r>
    </w:p>
    <w:p>
      <w:pPr>
        <w:pStyle w:val="Heading5"/>
        <w:bidi w:val="0"/>
        <w:jc w:val="left"/>
        <w:rPr/>
      </w:pPr>
      <w:hyperlink w:anchor="toc">
        <w:bookmarkStart w:id="94" w:name="page_67"/>
        <w:bookmarkEnd w:id="94"/>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hAnsi="Times New Roman"/>
          <w:i/>
          <w:sz w:val="20"/>
        </w:rPr>
        <w:t>Cautionary Note Regarding Forward-Looking Information”</w:t>
      </w:r>
      <w:r>
        <w:rPr>
          <w:rFonts w:ascii="Times New Roman" w:hAnsi="Times New Roman"/>
          <w:sz w:val="20"/>
        </w:rPr>
        <w:t xml:space="preserve"> section above. The actual amount that the Corporation spends in connection with each of the identified uses and programs will depend on a number of factors, including those listed under “</w:t>
      </w:r>
      <w:r>
        <w:rPr>
          <w:rFonts w:ascii="Times New Roman" w:hAnsi="Times New Roman"/>
          <w:i/>
          <w:sz w:val="20"/>
        </w:rPr>
        <w:t>Risk Factors”</w:t>
      </w:r>
      <w:r>
        <w:rPr>
          <w:rFonts w:ascii="Times New Roman" w:hAnsi="Times New Roman"/>
          <w:sz w:val="20"/>
        </w:rPr>
        <w:t xml:space="preserve"> in, or incorporated by reference in, this Prospectus.</w:t>
      </w:r>
    </w:p>
    <w:p>
      <w:pPr>
        <w:pStyle w:val="TextBody"/>
        <w:bidi w:val="0"/>
        <w:spacing w:before="240" w:after="0"/>
        <w:jc w:val="left"/>
        <w:rPr>
          <w:rFonts w:ascii="Times New Roman" w:hAnsi="Times New Roman"/>
          <w:sz w:val="20"/>
        </w:rPr>
      </w:pPr>
      <w:r>
        <w:rPr>
          <w:rFonts w:ascii="Times New Roman" w:hAnsi="Times New Roman"/>
          <w:sz w:val="20"/>
        </w:rPr>
        <w:t>Certain COVID-19 related risks could delay or slow the implementation of the certain of the Corporation’s planned programs resulting in additional costs for the Corporation. The extent to which COVID-19 may impact the Corporation’s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the Corporation cannot determine their potential impact on operations at this time. The COVID-19 pandemic may negatively impact the Corporation’s business through disruption of supply and manufacturing, which would influence the amount and timing of planned expenditure. For example, prolonged disruptions in the supply of goods and services relied on by the Corporation to develop its products or restrictions resulting from government regulations that impact the Corporation’s ability to conduct its studies and clinic trials, may adversely impact the Corporation’s business. See “</w:t>
      </w:r>
      <w:r>
        <w:rPr>
          <w:rFonts w:ascii="Times New Roman" w:hAnsi="Times New Roman"/>
          <w:i/>
          <w:sz w:val="20"/>
        </w:rPr>
        <w:t>The Corporation – COVID-19 Pandemic”</w:t>
      </w:r>
      <w:r>
        <w:rPr>
          <w:rFonts w:ascii="Times New Roman" w:hAnsi="Times New Roman"/>
          <w:sz w:val="20"/>
        </w:rPr>
        <w:t xml:space="preserve"> and “</w:t>
      </w:r>
      <w:r>
        <w:rPr>
          <w:rFonts w:ascii="Times New Roman" w:hAnsi="Times New Roman"/>
          <w:i/>
          <w:sz w:val="20"/>
        </w:rPr>
        <w:t>Risk Factors – Risks Related to the Business of the Corporation – Novel Coronavirus COVID-19”.</w:t>
      </w:r>
    </w:p>
    <w:p>
      <w:pPr>
        <w:pStyle w:val="TextBody"/>
        <w:bidi w:val="0"/>
        <w:spacing w:before="360" w:after="0"/>
        <w:jc w:val="left"/>
        <w:rPr>
          <w:rFonts w:ascii="Times New Roman" w:hAnsi="Times New Roman"/>
          <w:b/>
          <w:sz w:val="20"/>
        </w:rPr>
      </w:pPr>
      <w:r>
        <w:rPr>
          <w:rFonts w:ascii="Times New Roman" w:hAnsi="Times New Roman"/>
          <w:b/>
          <w:sz w:val="20"/>
        </w:rPr>
        <w:t xml:space="preserve">Negative Cash Flow From Operations </w:t>
      </w:r>
    </w:p>
    <w:p>
      <w:pPr>
        <w:pStyle w:val="TextBody"/>
        <w:bidi w:val="0"/>
        <w:spacing w:before="120" w:after="0"/>
        <w:jc w:val="left"/>
        <w:rPr>
          <w:rFonts w:ascii="Times New Roman" w:hAnsi="Times New Roman"/>
          <w:sz w:val="20"/>
        </w:rPr>
      </w:pPr>
      <w:r>
        <w:rPr>
          <w:rFonts w:ascii="Times New Roman" w:hAnsi="Times New Roman"/>
          <w:sz w:val="20"/>
        </w:rPr>
        <w:t>Since inception, the Corporation has financed its operations primarily from the issuance of equity and interest income on funds available for investment. To date, the Corporation has raised approximately $90,000,000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hAnsi="Times New Roman"/>
          <w:i/>
          <w:sz w:val="20"/>
        </w:rPr>
        <w:t>Risk Factors – Risks Related to an Offering –</w:t>
      </w:r>
      <w:r>
        <w:rPr>
          <w:rFonts w:ascii="Times New Roman" w:hAnsi="Times New Roman"/>
          <w:sz w:val="20"/>
        </w:rPr>
        <w:t xml:space="preserve"> </w:t>
      </w:r>
      <w:r>
        <w:rPr>
          <w:rFonts w:ascii="Times New Roman" w:hAnsi="Times New Roman"/>
          <w:i/>
          <w:sz w:val="20"/>
        </w:rPr>
        <w:t>Negative Operating Cash Flow and Going Concern”</w:t>
      </w:r>
      <w:r>
        <w:rPr>
          <w:rFonts w:ascii="Times New Roman" w:hAnsi="Times New Roman"/>
          <w:sz w:val="20"/>
        </w:rPr>
        <w:t>.</w:t>
      </w:r>
    </w:p>
    <w:p>
      <w:pPr>
        <w:pStyle w:val="TextBody"/>
        <w:bidi w:val="0"/>
        <w:spacing w:before="480" w:after="0"/>
        <w:jc w:val="center"/>
        <w:rPr>
          <w:rFonts w:ascii="Times New Roman" w:hAnsi="Times New Roman"/>
          <w:b/>
          <w:sz w:val="20"/>
        </w:rPr>
      </w:pPr>
      <w:bookmarkStart w:id="95" w:name="toc191613_13"/>
      <w:bookmarkEnd w:id="9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hAnsi="Times New Roman"/>
          <w:i/>
          <w:sz w:val="20"/>
        </w:rPr>
        <w:t>Risk Factors – Risks Related to an Offering – Speculative Nature of Investment Risk</w:t>
      </w:r>
      <w:r>
        <w:rPr>
          <w:rFonts w:ascii="Times New Roman" w:hAnsi="Times New Roman"/>
          <w:sz w:val="20"/>
        </w:rPr>
        <w: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25</w:t>
      </w:r>
    </w:p>
    <w:p>
      <w:pPr>
        <w:pStyle w:val="HorizontalLine"/>
        <w:pBdr>
          <w:bottom w:val="single" w:sz="30" w:space="0" w:color="000000"/>
        </w:pBdr>
        <w:bidi w:val="0"/>
        <w:jc w:val="left"/>
        <w:rPr/>
      </w:pPr>
      <w:r>
        <w:rPr/>
      </w:r>
    </w:p>
    <w:p>
      <w:pPr>
        <w:pStyle w:val="Heading5"/>
        <w:bidi w:val="0"/>
        <w:jc w:val="left"/>
        <w:rPr/>
      </w:pPr>
      <w:hyperlink w:anchor="toc">
        <w:bookmarkStart w:id="96" w:name="page_68"/>
        <w:bookmarkEnd w:id="96"/>
        <w:r>
          <w:rPr>
            <w:rStyle w:val="InternetLink"/>
          </w:rPr>
          <w:t>Table of Contents</w:t>
        </w:r>
      </w:hyperlink>
    </w:p>
    <w:p>
      <w:pPr>
        <w:pStyle w:val="TextBody"/>
        <w:bidi w:val="0"/>
        <w:spacing w:before="0" w:after="0"/>
        <w:jc w:val="center"/>
        <w:rPr>
          <w:rFonts w:ascii="Times New Roman" w:hAnsi="Times New Roman"/>
          <w:b/>
          <w:sz w:val="20"/>
        </w:rPr>
      </w:pPr>
      <w:bookmarkStart w:id="97" w:name="toc191613_14"/>
      <w:bookmarkEnd w:id="97"/>
      <w:r>
        <w:rPr>
          <w:rFonts w:ascii="Times New Roman" w:hAnsi="Times New Roman"/>
          <w:b/>
          <w:sz w:val="20"/>
        </w:rPr>
        <w:t xml:space="preserve">DESCRIPTION OF SECURITIES BEING DISTRIBUTED </w:t>
      </w:r>
    </w:p>
    <w:p>
      <w:pPr>
        <w:pStyle w:val="TextBody"/>
        <w:bidi w:val="0"/>
        <w:spacing w:before="240" w:after="0"/>
        <w:jc w:val="left"/>
        <w:rPr>
          <w:rFonts w:ascii="Times New Roman" w:hAnsi="Times New Roman"/>
          <w:sz w:val="20"/>
        </w:rPr>
      </w:pPr>
      <w:r>
        <w:rPr>
          <w:rFonts w:ascii="Times New Roman" w:hAnsi="Times New Roman"/>
          <w:sz w:val="20"/>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sz w:val="20"/>
        </w:rPr>
        <w:t>The Corporation is authorized to issue an unlimited number of Common Shares and an unlimited number of preferred shares. As at July 2, 2021, the Corporation had 148,413,013 Common Shares and nil preferred shares issued and outstanding.</w:t>
      </w:r>
    </w:p>
    <w:p>
      <w:pPr>
        <w:pStyle w:val="TextBody"/>
        <w:bidi w:val="0"/>
        <w:spacing w:before="240" w:after="0"/>
        <w:jc w:val="left"/>
        <w:rPr>
          <w:rFonts w:ascii="Times New Roman" w:hAnsi="Times New Roman"/>
          <w:sz w:val="20"/>
        </w:rPr>
      </w:pPr>
      <w:r>
        <w:rPr>
          <w:rFonts w:ascii="Times New Roman" w:hAnsi="Times New Roman"/>
          <w:sz w:val="20"/>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pStyle w:val="TextBody"/>
        <w:bidi w:val="0"/>
        <w:spacing w:before="240" w:after="0"/>
        <w:jc w:val="left"/>
        <w:rPr>
          <w:rFonts w:ascii="Times New Roman" w:hAnsi="Times New Roman"/>
          <w:sz w:val="20"/>
        </w:rPr>
      </w:pPr>
      <w:r>
        <w:rPr>
          <w:rFonts w:ascii="Times New Roman" w:hAnsi="Times New Roman"/>
          <w:sz w:val="20"/>
        </w:rPr>
        <w:t>Common Shares may be sold separately or together with certain other Securities under this Prospectus. Common Shares may also be issuable on conversion, exchange, exercise or maturity of certain other Securities qualified for issuance under this Prospectus.</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pStyle w:val="TextBody"/>
        <w:bidi w:val="0"/>
        <w:spacing w:before="240" w:after="0"/>
        <w:jc w:val="left"/>
        <w:rPr>
          <w:rFonts w:ascii="Times New Roman" w:hAnsi="Times New Roman"/>
          <w:sz w:val="20"/>
        </w:rPr>
      </w:pPr>
      <w:r>
        <w:rPr>
          <w:rFonts w:ascii="Times New Roman" w:hAnsi="Times New Roman"/>
          <w:sz w:val="20"/>
        </w:rPr>
        <w:t>A copy of any warrant indenture or any warrant agency agreement relating to an offering of Warrants will be filed by the Corporation with the relevant securities regulatory authorities in Canada after it has been entered into by the Corporation.</w:t>
      </w:r>
    </w:p>
    <w:p>
      <w:pPr>
        <w:pStyle w:val="TextBody"/>
        <w:bidi w:val="0"/>
        <w:spacing w:before="240" w:after="0"/>
        <w:jc w:val="left"/>
        <w:rPr>
          <w:rFonts w:ascii="Times New Roman" w:hAnsi="Times New Roman"/>
          <w:sz w:val="20"/>
        </w:rPr>
      </w:pPr>
      <w:r>
        <w:rPr>
          <w:rFonts w:ascii="Times New Roman" w:hAnsi="Times New Roman"/>
          <w:sz w:val="20"/>
        </w:rPr>
        <w:t>Each applicable Prospectus Supplement will set forth the terms and other information with respect to the Warrants being offered thereby, which may include, without limitation, the following (where applicable):</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60"/>
        <w:gridCol w:w="110"/>
        <w:gridCol w:w="60"/>
        <w:gridCol w:w="2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of the Warrants;</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60"/>
        <w:gridCol w:w="110"/>
        <w:gridCol w:w="60"/>
        <w:gridCol w:w="52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aggregate number of Warrants offered and the offering price;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number and terms of the other Securities purchasable upon exercise of the Warrants, and procedures that will result in the adjustment of those numbers;</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60"/>
        <w:gridCol w:w="110"/>
        <w:gridCol w:w="60"/>
        <w:gridCol w:w="2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exercise price of the Warrants;</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60"/>
        <w:gridCol w:w="110"/>
        <w:gridCol w:w="60"/>
        <w:gridCol w:w="50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dates or periods during which the Warrants are exercisable;</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60"/>
        <w:gridCol w:w="110"/>
        <w:gridCol w:w="6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and terms of any securities with which the Warrants are issued;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26</w:t>
      </w:r>
    </w:p>
    <w:p>
      <w:pPr>
        <w:pStyle w:val="HorizontalLine"/>
        <w:pBdr>
          <w:bottom w:val="single" w:sz="30" w:space="0" w:color="000000"/>
        </w:pBdr>
        <w:bidi w:val="0"/>
        <w:jc w:val="left"/>
        <w:rPr/>
      </w:pPr>
      <w:r>
        <w:rPr/>
      </w:r>
    </w:p>
    <w:p>
      <w:pPr>
        <w:pStyle w:val="Heading5"/>
        <w:bidi w:val="0"/>
        <w:jc w:val="left"/>
        <w:rPr/>
      </w:pPr>
      <w:hyperlink w:anchor="toc">
        <w:bookmarkStart w:id="98" w:name="page_69"/>
        <w:bookmarkEnd w:id="98"/>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the Warrants are issued as a unit with another Security, the date on and after which the Warrants and the other Security will be separately transferable;</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60"/>
        <w:gridCol w:w="110"/>
        <w:gridCol w:w="60"/>
        <w:gridCol w:w="6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minimum or maximum amount of Warrants that may be exercised at any one time;</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60"/>
        <w:gridCol w:w="110"/>
        <w:gridCol w:w="6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whether such Warrants will be listed on any securities exchange;</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60"/>
        <w:gridCol w:w="110"/>
        <w:gridCol w:w="60"/>
        <w:gridCol w:w="85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terms, procedures and limitations relating to the transferability, exchange or exercise of the Warrants;</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60"/>
        <w:gridCol w:w="110"/>
        <w:gridCol w:w="60"/>
        <w:gridCol w:w="59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material Canadian tax consequences of owning the Warrants; and</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60"/>
        <w:gridCol w:w="110"/>
        <w:gridCol w:w="60"/>
        <w:gridCol w:w="45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other material terms and conditions of the Warrants.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Units </w:t>
      </w:r>
    </w:p>
    <w:p>
      <w:pPr>
        <w:pStyle w:val="TextBody"/>
        <w:bidi w:val="0"/>
        <w:spacing w:before="120" w:after="0"/>
        <w:jc w:val="left"/>
        <w:rPr>
          <w:rFonts w:ascii="Times New Roman" w:hAnsi="Times New Roman"/>
          <w:sz w:val="20"/>
        </w:rPr>
      </w:pPr>
      <w:r>
        <w:rPr>
          <w:rFonts w:ascii="Times New Roman" w:hAnsi="Times New Roman"/>
          <w:sz w:val="20"/>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pStyle w:val="TextBody"/>
        <w:bidi w:val="0"/>
        <w:spacing w:before="240" w:after="0"/>
        <w:jc w:val="left"/>
        <w:rPr>
          <w:rFonts w:ascii="Times New Roman" w:hAnsi="Times New Roman"/>
          <w:sz w:val="20"/>
        </w:rPr>
      </w:pPr>
      <w:r>
        <w:rPr>
          <w:rFonts w:ascii="Times New Roman" w:hAnsi="Times New Roman"/>
          <w:sz w:val="20"/>
        </w:rPr>
        <w:t>Each applicable Prospectus Supplement will set forth the terms and other information with respect to the Units being offered thereby, which may include, without limitation, the following (where applicable):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number and terms of the Units and of the Securities comprising the Units, including whether and under what circumstances those Securities may be held or transferred separately;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provisions for the issuance, payment, settlement, transfer or exchange of the Units or of the Securities comprising the Units;</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60"/>
        <w:gridCol w:w="110"/>
        <w:gridCol w:w="60"/>
        <w:gridCol w:w="7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material Canadian tax consequences of owning the Securities comprising the Units; and</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60"/>
        <w:gridCol w:w="110"/>
        <w:gridCol w:w="60"/>
        <w:gridCol w:w="4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other material terms and conditions of the Units.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Securities </w:t>
      </w:r>
    </w:p>
    <w:p>
      <w:pPr>
        <w:pStyle w:val="TextBody"/>
        <w:bidi w:val="0"/>
        <w:spacing w:before="120" w:after="0"/>
        <w:jc w:val="left"/>
        <w:rPr>
          <w:rFonts w:ascii="Times New Roman" w:hAnsi="Times New Roman"/>
          <w:sz w:val="20"/>
        </w:rPr>
      </w:pPr>
      <w:r>
        <w:rPr>
          <w:rFonts w:ascii="Times New Roman" w:hAnsi="Times New Roman"/>
          <w:sz w:val="20"/>
        </w:rPr>
        <w:t>Debt Securities will be senior or subordinated unsecured indebtedness of the Corporation as described in the relevant Prospectus Supplement. If the Debt Securities are senior indebtedness, they will rank equally and rateably with all other unsecured indebtedness of the Corporation, from time to time issued and outstanding, which is not subordinated.</w:t>
      </w:r>
    </w:p>
    <w:p>
      <w:pPr>
        <w:pStyle w:val="TextBody"/>
        <w:bidi w:val="0"/>
        <w:spacing w:before="240" w:after="0"/>
        <w:jc w:val="left"/>
        <w:rPr>
          <w:rFonts w:ascii="Times New Roman" w:hAnsi="Times New Roman"/>
          <w:sz w:val="20"/>
        </w:rPr>
      </w:pPr>
      <w:r>
        <w:rPr>
          <w:rFonts w:ascii="Times New Roman" w:hAnsi="Times New Roman"/>
          <w:sz w:val="20"/>
        </w:rPr>
        <w:t>If the Debt Securities are subordinated indebtedness, they will rank equally and rateably with all other subordinated Debt Securities from time to time issued and outstanding. In the event of the insolvency or winding-up of the Corporation, the subordinated Debt Securities will be subordinated and postponed in right of payment to the prior payment in full of all other liabilities and indebtedness of the Corporation, other than indebtedness that, by its terms, ranks equally with, or subordinate to, such subordinated Debt Securities.</w:t>
      </w:r>
    </w:p>
    <w:p>
      <w:pPr>
        <w:pStyle w:val="TextBody"/>
        <w:bidi w:val="0"/>
        <w:spacing w:before="240" w:after="0"/>
        <w:jc w:val="left"/>
        <w:rPr>
          <w:rFonts w:ascii="Times New Roman" w:hAnsi="Times New Roman"/>
          <w:sz w:val="20"/>
        </w:rPr>
      </w:pPr>
      <w:r>
        <w:rPr>
          <w:rFonts w:ascii="Times New Roman" w:hAnsi="Times New Roman"/>
          <w:sz w:val="20"/>
        </w:rPr>
        <w:t>Any convertible or exchangeable Debt Securities will be convertible or exchangeable only for other securities of the Corporation.</w:t>
      </w:r>
    </w:p>
    <w:p>
      <w:pPr>
        <w:pStyle w:val="TextBody"/>
        <w:bidi w:val="0"/>
        <w:spacing w:before="240" w:after="0"/>
        <w:jc w:val="left"/>
        <w:rPr>
          <w:rFonts w:ascii="Times New Roman" w:hAnsi="Times New Roman"/>
          <w:sz w:val="20"/>
        </w:rPr>
      </w:pPr>
      <w:r>
        <w:rPr>
          <w:rFonts w:ascii="Times New Roman" w:hAnsi="Times New Roman"/>
          <w:sz w:val="20"/>
        </w:rPr>
        <w:t>In conformity with applicable laws of Canada, for all bonds and notes of companies that are publicly offered, the Debt Securities will be governed by a document called an “</w:t>
      </w:r>
      <w:r>
        <w:rPr>
          <w:rFonts w:ascii="Times New Roman" w:hAnsi="Times New Roman"/>
          <w:b/>
          <w:sz w:val="20"/>
        </w:rPr>
        <w:t>indenture”</w:t>
      </w:r>
      <w:r>
        <w:rPr>
          <w:rFonts w:ascii="Times New Roman" w:hAnsi="Times New Roman"/>
          <w:sz w:val="20"/>
        </w:rPr>
        <w:t>. There will be a separate indenture for the senior Debt Securities and the subordinated Debt Securities. An indenture is a contract between a financial institution, acting on your behalf as trustee of the Debt Securities offered, and us. The trustee has two main roles. First, subject to some limitations on the extent to which the trustee can act on your behalf, the trustee can enforce your rights against us if we default on our obligations under the indenture. Second, the trustee performs certain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27</w:t>
      </w:r>
    </w:p>
    <w:p>
      <w:pPr>
        <w:pStyle w:val="HorizontalLine"/>
        <w:pBdr>
          <w:bottom w:val="single" w:sz="30" w:space="0" w:color="000000"/>
        </w:pBdr>
        <w:bidi w:val="0"/>
        <w:jc w:val="left"/>
        <w:rPr/>
      </w:pPr>
      <w:r>
        <w:rPr/>
      </w:r>
    </w:p>
    <w:p>
      <w:pPr>
        <w:pStyle w:val="Heading5"/>
        <w:bidi w:val="0"/>
        <w:jc w:val="left"/>
        <w:rPr/>
      </w:pPr>
      <w:hyperlink w:anchor="toc">
        <w:bookmarkStart w:id="99" w:name="page_70"/>
        <w:bookmarkEnd w:id="99"/>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administrative duties for us. The aggregate principal amount of Debt Securities that may be issued under each indenture is unlimited. A copy of the form of each indenture to be entered into in connection with offerings of Debt Securities will be filed with the applicable securities regulatory authorities in Canada when it is entered into. A copy of any indenture or supplement thereto entered into by us will be filed with securities regulatory authorities and will be available on our profile on SEDAR.</w:t>
      </w:r>
    </w:p>
    <w:p>
      <w:pPr>
        <w:pStyle w:val="TextBody"/>
        <w:bidi w:val="0"/>
        <w:spacing w:before="240" w:after="0"/>
        <w:jc w:val="left"/>
        <w:rPr>
          <w:rFonts w:ascii="Times New Roman" w:hAnsi="Times New Roman"/>
          <w:sz w:val="20"/>
        </w:rPr>
      </w:pPr>
      <w:r>
        <w:rPr>
          <w:rFonts w:ascii="Times New Roman" w:hAnsi="Times New Roman"/>
          <w:sz w:val="20"/>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LIBOR, EURIBOR or a United States federal funds rate.</w:t>
      </w:r>
    </w:p>
    <w:p>
      <w:pPr>
        <w:pStyle w:val="TextBody"/>
        <w:bidi w:val="0"/>
        <w:spacing w:before="240" w:after="0"/>
        <w:jc w:val="left"/>
        <w:rPr>
          <w:rFonts w:ascii="Times New Roman" w:hAnsi="Times New Roman"/>
          <w:sz w:val="20"/>
        </w:rPr>
      </w:pPr>
      <w:r>
        <w:rPr>
          <w:rFonts w:ascii="Times New Roman" w:hAnsi="Times New Roman"/>
          <w:sz w:val="20"/>
        </w:rPr>
        <w:t>Selected provisions of the Debt Securities and the indenture(s) under which such Debt Securities will be issued are summarized below. This summary is not complete. The statements made in this Prospectus relating to any indenture and Debt Securities to be issued thereunder are summaries of certain anticipated provisions thereof and are subject to, and are qualified in their entirety by reference to, all provisions of the applicable indenture. The indentures will not limit the amount of Debt Securities that we may issue thereunder. We may issue Debt Securities from time to time under an indenture in one or more series by entering into supplemental indentures or by our board of directors or a duly authorized committee authorizing the issuance. The Debt Securities of a series need not be issued at the same time, bear interest at the same rate or mature on the same date.</w:t>
      </w:r>
    </w:p>
    <w:p>
      <w:pPr>
        <w:pStyle w:val="TextBody"/>
        <w:bidi w:val="0"/>
        <w:spacing w:before="240" w:after="0"/>
        <w:jc w:val="left"/>
        <w:rPr>
          <w:rFonts w:ascii="Times New Roman" w:hAnsi="Times New Roman"/>
          <w:sz w:val="20"/>
        </w:rPr>
      </w:pPr>
      <w:r>
        <w:rPr>
          <w:rFonts w:ascii="Times New Roman" w:hAnsi="Times New Roman"/>
          <w:sz w:val="20"/>
        </w:rPr>
        <w:t>The Prospectus Supplement for a particular series of Debt Securities will disclose the specific terms of such Debt Securities, including the price or prices at which the Debt Securities to be offered will be issued. The terms and provisions of any Debt Securities offered under a Prospectus Supplement may differ from the terms described below, and may not be subject to or contain any or all of such terms. Those terms may include some or all of the following:</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60"/>
        <w:gridCol w:w="110"/>
        <w:gridCol w:w="60"/>
        <w:gridCol w:w="80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aggregate principal amount and authorized denominations of such Debt Securities;</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60"/>
        <w:gridCol w:w="110"/>
        <w:gridCol w:w="60"/>
        <w:gridCol w:w="74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indenture under which such Debt Securities will be issued and the trustee(s) thereunder;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currency or currency units for which the Debt Securities may be purchased and the currency or currency unit in which the principal and any interest is payable (in either case, if other than Canadian dollars);</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60"/>
        <w:gridCol w:w="110"/>
        <w:gridCol w:w="60"/>
        <w:gridCol w:w="9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whether such Debt Securities are senior or subordinated and, if subordinated, the applicable subordination provisions;</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60"/>
        <w:gridCol w:w="110"/>
        <w:gridCol w:w="60"/>
        <w:gridCol w:w="6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percentage of the principal amount at which such Debt Securities will be issued;</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60"/>
        <w:gridCol w:w="110"/>
        <w:gridCol w:w="60"/>
        <w:gridCol w:w="4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date or dates on which such Debt Securities will mature;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rate or rates per annum at which such Debt Securities will bear interest (if any), or the method of determination of such rates (if any);</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60"/>
        <w:gridCol w:w="110"/>
        <w:gridCol w:w="60"/>
        <w:gridCol w:w="74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dates on which any such interest will be payable and the record dates for such payments;</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60"/>
        <w:gridCol w:w="110"/>
        <w:gridCol w:w="6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redemption term or terms under which such Debt Securities may be defeased;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whether such Debt Securities are to be issued in registered form, bearer form or in the form of temporary or permanent global securities and the basis of exchange, transfer and ownership thereof;</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60"/>
        <w:gridCol w:w="110"/>
        <w:gridCol w:w="60"/>
        <w:gridCol w:w="5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place or places where principal, premium and interest will be payable;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28</w:t>
      </w:r>
    </w:p>
    <w:p>
      <w:pPr>
        <w:pStyle w:val="HorizontalLine"/>
        <w:pBdr>
          <w:bottom w:val="single" w:sz="30" w:space="0" w:color="000000"/>
        </w:pBdr>
        <w:bidi w:val="0"/>
        <w:jc w:val="left"/>
        <w:rPr/>
      </w:pPr>
      <w:r>
        <w:rPr/>
      </w:r>
    </w:p>
    <w:p>
      <w:pPr>
        <w:pStyle w:val="Heading5"/>
        <w:bidi w:val="0"/>
        <w:jc w:val="left"/>
        <w:rPr/>
      </w:pPr>
      <w:hyperlink w:anchor="toc">
        <w:bookmarkStart w:id="100" w:name="page_71"/>
        <w:bookmarkEnd w:id="100"/>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and terms of any other Securities with which the Debt Securities will be offered, if any, and the principal amount of Debt Securities that will be offered with each Security;</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60"/>
        <w:gridCol w:w="110"/>
        <w:gridCol w:w="60"/>
        <w:gridCol w:w="70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securities exchange(s) on which such series of Debt Securities will be listed, if any;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terms relating to the modification, amendment or waiver of any terms of such Debt Securities or the applicable indenture;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change in the right of the trustee or the holders to declare the principal, premium and interest with respect to such series of debt securities to be due and payable;</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60"/>
        <w:gridCol w:w="110"/>
        <w:gridCol w:w="60"/>
        <w:gridCol w:w="12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governing law;</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limit upon the aggregate principal amount of the Debt Securities of such series that may be authenticated and delivered under the indenture;</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60"/>
        <w:gridCol w:w="110"/>
        <w:gridCol w:w="60"/>
        <w:gridCol w:w="75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other than the Corporation or the trustee, the identity of each registrar and/or paying agent;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Debt Securities are issued as a Unit with another Security, the date on and after which the Debt Securities and other Security will be separately transferable;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Debt Securities are to be issued upon the exercise of Warrants, the time, manner and place for such Securities to be authenticated and delivered;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Debt Securities are to be convertible or exchangeable into other securities of the Corporation, the terms and procedures for the conversion or exchange of the Debt Securities into other securities; and</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60"/>
        <w:gridCol w:w="110"/>
        <w:gridCol w:w="60"/>
        <w:gridCol w:w="8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other specific terms of the Debt Securities of such series, including any events of default or covenants.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Subscription Receipts </w:t>
      </w:r>
    </w:p>
    <w:p>
      <w:pPr>
        <w:pStyle w:val="TextBody"/>
        <w:bidi w:val="0"/>
        <w:spacing w:before="120" w:after="0"/>
        <w:jc w:val="left"/>
        <w:rPr>
          <w:rFonts w:ascii="Times New Roman" w:hAnsi="Times New Roman"/>
          <w:sz w:val="20"/>
        </w:rPr>
      </w:pPr>
      <w:r>
        <w:rPr>
          <w:rFonts w:ascii="Times New Roman" w:hAnsi="Times New Roman"/>
          <w:sz w:val="20"/>
        </w:rPr>
        <w:t>Subscription Receipts may be offered separately or together with other Securities, as the case may be. The Subscription Receipts may be issued under a subscription receipt agreement.</w:t>
      </w:r>
    </w:p>
    <w:p>
      <w:pPr>
        <w:pStyle w:val="TextBody"/>
        <w:bidi w:val="0"/>
        <w:spacing w:before="240" w:after="0"/>
        <w:jc w:val="left"/>
        <w:rPr>
          <w:rFonts w:ascii="Times New Roman" w:hAnsi="Times New Roman"/>
          <w:sz w:val="20"/>
        </w:rPr>
      </w:pPr>
      <w:r>
        <w:rPr>
          <w:rFonts w:ascii="Times New Roman" w:hAnsi="Times New Roman"/>
          <w:sz w:val="20"/>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60"/>
        <w:gridCol w:w="110"/>
        <w:gridCol w:w="60"/>
        <w:gridCol w:w="3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of Subscription Receipts;</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60"/>
        <w:gridCol w:w="110"/>
        <w:gridCol w:w="60"/>
        <w:gridCol w:w="4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price at which the Subscription Receipts will be offered;</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60"/>
        <w:gridCol w:w="110"/>
        <w:gridCol w:w="6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terms, conditions and procedures for the conversion of the Subscription Receipts into other Securities;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number and terms of the other Securities that may be exchanged upon conversion of each Subscription Receipt;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designation, number and terms of other Securities with which the Subscription Receipts will be offered, if any, and the number of Subscription Receipts that will be offered with each Security;</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60"/>
        <w:gridCol w:w="110"/>
        <w:gridCol w:w="60"/>
        <w:gridCol w:w="97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terms applicable to the gross or net proceeds from the sale of the Subscription Receipts plus any interest earned thereon;</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60"/>
        <w:gridCol w:w="110"/>
        <w:gridCol w:w="60"/>
        <w:gridCol w:w="69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material Canadian tax consequences of owning the Subscription Receipts; and</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60"/>
        <w:gridCol w:w="110"/>
        <w:gridCol w:w="60"/>
        <w:gridCol w:w="5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other material terms and conditions of the Subscription Receipts.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single" w:sz="30" w:space="0" w:color="000000"/>
        </w:pBdr>
        <w:bidi w:val="0"/>
        <w:jc w:val="left"/>
        <w:rPr/>
      </w:pPr>
      <w:r>
        <w:rPr/>
      </w:r>
    </w:p>
    <w:p>
      <w:pPr>
        <w:pStyle w:val="Heading5"/>
        <w:bidi w:val="0"/>
        <w:jc w:val="left"/>
        <w:rPr/>
      </w:pPr>
      <w:hyperlink w:anchor="toc">
        <w:bookmarkStart w:id="101" w:name="page_72"/>
        <w:bookmarkEnd w:id="101"/>
        <w:r>
          <w:rPr>
            <w:rStyle w:val="InternetLink"/>
          </w:rPr>
          <w:t>Table of Contents</w:t>
        </w:r>
      </w:hyperlink>
    </w:p>
    <w:p>
      <w:pPr>
        <w:pStyle w:val="TextBody"/>
        <w:bidi w:val="0"/>
        <w:spacing w:before="0" w:after="0"/>
        <w:jc w:val="center"/>
        <w:rPr>
          <w:rFonts w:ascii="Times New Roman" w:hAnsi="Times New Roman"/>
          <w:b/>
          <w:sz w:val="20"/>
        </w:rPr>
      </w:pPr>
      <w:bookmarkStart w:id="102" w:name="toc191613_15"/>
      <w:bookmarkEnd w:id="102"/>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Corporation may from time to time during the 25-month period that this Prospectus, including any amendments and supplements hereto, remains valid, offer for sale and sell up to an aggregate of $125,000,000 in Securities hereunder.</w:t>
      </w:r>
    </w:p>
    <w:p>
      <w:pPr>
        <w:pStyle w:val="TextBody"/>
        <w:bidi w:val="0"/>
        <w:spacing w:before="240" w:after="0"/>
        <w:jc w:val="left"/>
        <w:rPr>
          <w:rFonts w:ascii="Times New Roman" w:hAnsi="Times New Roman"/>
          <w:sz w:val="20"/>
        </w:rPr>
      </w:pPr>
      <w:r>
        <w:rPr>
          <w:rFonts w:ascii="Times New Roman" w:hAnsi="Times New Roman"/>
          <w:sz w:val="20"/>
        </w:rPr>
        <w:t>The Securities may be sold by us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us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our Securities offered by that Prospectus Supplement.</w:t>
      </w:r>
    </w:p>
    <w:p>
      <w:pPr>
        <w:pStyle w:val="TextBody"/>
        <w:bidi w:val="0"/>
        <w:spacing w:before="240" w:after="0"/>
        <w:jc w:val="left"/>
        <w:rPr>
          <w:rFonts w:ascii="Times New Roman" w:hAnsi="Times New Roman"/>
          <w:sz w:val="20"/>
        </w:rPr>
      </w:pPr>
      <w:r>
        <w:rPr>
          <w:rFonts w:ascii="Times New Roman" w:hAnsi="Times New Roman"/>
          <w:sz w:val="20"/>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pStyle w:val="TextBody"/>
        <w:bidi w:val="0"/>
        <w:spacing w:before="240" w:after="0"/>
        <w:jc w:val="left"/>
        <w:rPr>
          <w:rFonts w:ascii="Times New Roman" w:hAnsi="Times New Roman"/>
          <w:sz w:val="20"/>
        </w:rPr>
      </w:pPr>
      <w:r>
        <w:rPr>
          <w:rFonts w:ascii="Times New Roman" w:hAnsi="Times New Roman"/>
          <w:sz w:val="20"/>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pStyle w:val="TextBody"/>
        <w:bidi w:val="0"/>
        <w:spacing w:before="240" w:after="0"/>
        <w:jc w:val="left"/>
        <w:rPr>
          <w:rFonts w:ascii="Times New Roman" w:hAnsi="Times New Roman"/>
          <w:sz w:val="20"/>
        </w:rPr>
      </w:pPr>
      <w:r>
        <w:rPr>
          <w:rFonts w:ascii="Times New Roman" w:hAnsi="Times New Roman"/>
          <w:sz w:val="20"/>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spacing w:before="240" w:after="0"/>
        <w:jc w:val="left"/>
        <w:rPr>
          <w:rFonts w:ascii="Times New Roman" w:hAnsi="Times New Roman"/>
          <w:sz w:val="20"/>
        </w:rPr>
      </w:pPr>
      <w:r>
        <w:rPr>
          <w:rFonts w:ascii="Times New Roman" w:hAnsi="Times New Roman"/>
          <w:sz w:val="20"/>
        </w:rPr>
        <w:t>In connection with the sale of the Securities, underwriters, dealers or agents may receive compensation from the Corporation including in the form of underwriters’, dealers’ or agents’ fees, commissions or concessions.</w:t>
      </w:r>
    </w:p>
    <w:p>
      <w:pPr>
        <w:pStyle w:val="TextBody"/>
        <w:bidi w:val="0"/>
        <w:spacing w:before="240" w:after="0"/>
        <w:jc w:val="left"/>
        <w:rPr>
          <w:rFonts w:ascii="Times New Roman" w:hAnsi="Times New Roman"/>
          <w:sz w:val="20"/>
        </w:rPr>
      </w:pPr>
      <w:r>
        <w:rPr>
          <w:rFonts w:ascii="Times New Roman" w:hAnsi="Times New Roman"/>
          <w:sz w:val="20"/>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pStyle w:val="TextBody"/>
        <w:bidi w:val="0"/>
        <w:spacing w:before="240" w:after="0"/>
        <w:jc w:val="left"/>
        <w:rPr>
          <w:rFonts w:ascii="Times New Roman" w:hAnsi="Times New Roman"/>
          <w:sz w:val="20"/>
        </w:rPr>
      </w:pPr>
      <w:r>
        <w:rPr>
          <w:rFonts w:ascii="Times New Roman" w:hAnsi="Times New Roman"/>
          <w:sz w:val="20"/>
        </w:rPr>
        <w:t>Underwriters, dealers or agents who participate in the distribution of the Securities may be entitled, under agreements to be entered into with the Corporation to indemnification by the Corporation against certain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single" w:sz="30" w:space="0" w:color="000000"/>
        </w:pBdr>
        <w:bidi w:val="0"/>
        <w:jc w:val="left"/>
        <w:rPr/>
      </w:pPr>
      <w:r>
        <w:rPr/>
      </w:r>
    </w:p>
    <w:p>
      <w:pPr>
        <w:pStyle w:val="Heading5"/>
        <w:bidi w:val="0"/>
        <w:jc w:val="left"/>
        <w:rPr/>
      </w:pPr>
      <w:hyperlink w:anchor="toc">
        <w:bookmarkStart w:id="103" w:name="page_73"/>
        <w:bookmarkEnd w:id="103"/>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pStyle w:val="TextBody"/>
        <w:bidi w:val="0"/>
        <w:spacing w:before="240" w:after="0"/>
        <w:jc w:val="left"/>
        <w:rPr>
          <w:rFonts w:ascii="Times New Roman" w:hAnsi="Times New Roman"/>
          <w:sz w:val="20"/>
        </w:rPr>
      </w:pPr>
      <w:r>
        <w:rPr>
          <w:rFonts w:ascii="Times New Roman" w:hAnsi="Times New Roman"/>
          <w:sz w:val="20"/>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pStyle w:val="TextBody"/>
        <w:bidi w:val="0"/>
        <w:spacing w:before="240" w:after="0"/>
        <w:jc w:val="left"/>
        <w:rPr>
          <w:rFonts w:ascii="Times New Roman" w:hAnsi="Times New Roman"/>
          <w:sz w:val="20"/>
        </w:rPr>
      </w:pPr>
      <w:r>
        <w:rPr>
          <w:rFonts w:ascii="Times New Roman" w:hAnsi="Times New Roman"/>
          <w:sz w:val="20"/>
        </w:rPr>
        <w:t>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hAnsi="Times New Roman"/>
          <w:i/>
          <w:sz w:val="20"/>
        </w:rPr>
        <w:t>Risk Factors”</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Offerings in the United States </w:t>
      </w:r>
    </w:p>
    <w:p>
      <w:pPr>
        <w:pStyle w:val="TextBody"/>
        <w:bidi w:val="0"/>
        <w:spacing w:before="120" w:after="0"/>
        <w:jc w:val="left"/>
        <w:rPr>
          <w:rFonts w:ascii="Times New Roman" w:hAnsi="Times New Roman"/>
          <w:sz w:val="20"/>
        </w:rPr>
      </w:pPr>
      <w:r>
        <w:rPr>
          <w:rFonts w:ascii="Times New Roman" w:hAnsi="Times New Roman"/>
          <w:sz w:val="20"/>
        </w:rPr>
        <w:t>The Securities have not been, and will not be, registered under the U.S. Securities Act or any state securities laws and, subject to certain exceptions, may not be offered or sold or otherwise transferred or disposed of in the United States absent registration or pursuant to an applicable exemption from registration under the U.S. Securities Act and applicable state securities laws. In addition, until 40 days after the commencement of an Offering of Securities under any applicable Prospectus Supplement, an offer or sale of Securities within the United States by any dealer (whether or not participating in the Offering of Securities) may violate the registration requirements of the U.S. Securities Act if such offer is made otherwise than in reliance on an exemption from the registration requirements of the U.S. Securities Act.</w:t>
      </w:r>
    </w:p>
    <w:p>
      <w:pPr>
        <w:pStyle w:val="TextBody"/>
        <w:bidi w:val="0"/>
        <w:spacing w:before="480" w:after="0"/>
        <w:jc w:val="center"/>
        <w:rPr>
          <w:rFonts w:ascii="Times New Roman" w:hAnsi="Times New Roman"/>
          <w:b/>
          <w:sz w:val="20"/>
        </w:rPr>
      </w:pPr>
      <w:bookmarkStart w:id="104" w:name="toc191613_16"/>
      <w:bookmarkEnd w:id="10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b/>
          <w:sz w:val="20"/>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hAnsi="Times New Roman"/>
          <w:b/>
          <w:i/>
          <w:sz w:val="20"/>
        </w:rPr>
        <w:t>Risk Factors”</w:t>
      </w:r>
      <w:r>
        <w:rPr>
          <w:rFonts w:ascii="Times New Roman" w:hAnsi="Times New Roman"/>
          <w:sz w:val="20"/>
        </w:rPr>
        <w:t xml:space="preserve"> </w:t>
      </w:r>
      <w:r>
        <w:rPr>
          <w:rFonts w:ascii="Times New Roman" w:hAnsi="Times New Roman"/>
          <w:b/>
          <w:sz w:val="20"/>
        </w:rPr>
        <w:t xml:space="preserve">in the Annual Information Form and under the heading </w:t>
      </w:r>
      <w:r>
        <w:rPr>
          <w:rFonts w:ascii="Times New Roman" w:hAnsi="Times New Roman"/>
          <w:sz w:val="20"/>
        </w:rPr>
        <w:t>“</w:t>
      </w:r>
      <w:r>
        <w:rPr>
          <w:rFonts w:ascii="Times New Roman" w:hAnsi="Times New Roman"/>
          <w:b/>
          <w:i/>
          <w:sz w:val="20"/>
        </w:rPr>
        <w:t>Risks and Uncertainties”</w:t>
      </w:r>
      <w:r>
        <w:rPr>
          <w:rFonts w:ascii="Times New Roman" w:hAnsi="Times New Roman"/>
          <w:sz w:val="20"/>
        </w:rPr>
        <w:t xml:space="preserve"> </w:t>
      </w:r>
      <w:r>
        <w:rPr>
          <w:rFonts w:ascii="Times New Roman" w:hAnsi="Times New Roman"/>
          <w:b/>
          <w:sz w:val="20"/>
        </w:rPr>
        <w:t xml:space="preserve">in the Annual MD&amp;A, and any other risk factors described herein or in a document incorporated by reference herein, which investors should carefully consider before investing. </w:t>
      </w:r>
      <w:r>
        <w:rPr>
          <w:rFonts w:ascii="Times New Roman" w:hAnsi="Times New Roman"/>
          <w:sz w:val="20"/>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single" w:sz="30" w:space="0" w:color="000000"/>
        </w:pBdr>
        <w:bidi w:val="0"/>
        <w:jc w:val="left"/>
        <w:rPr/>
      </w:pPr>
      <w:r>
        <w:rPr/>
      </w:r>
    </w:p>
    <w:p>
      <w:pPr>
        <w:pStyle w:val="Heading5"/>
        <w:bidi w:val="0"/>
        <w:jc w:val="left"/>
        <w:rPr/>
      </w:pPr>
      <w:hyperlink w:anchor="toc">
        <w:bookmarkStart w:id="105" w:name="page_74"/>
        <w:bookmarkEnd w:id="105"/>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Business of the Corporation </w:t>
      </w:r>
    </w:p>
    <w:p>
      <w:pPr>
        <w:pStyle w:val="TextBody"/>
        <w:bidi w:val="0"/>
        <w:spacing w:before="120" w:after="0"/>
        <w:jc w:val="left"/>
        <w:rPr>
          <w:rFonts w:ascii="Times New Roman" w:hAnsi="Times New Roman"/>
          <w:i/>
          <w:sz w:val="20"/>
        </w:rPr>
      </w:pPr>
      <w:r>
        <w:rPr>
          <w:rFonts w:ascii="Times New Roman" w:hAnsi="Times New Roman"/>
          <w:i/>
          <w:sz w:val="20"/>
        </w:rPr>
        <w:t xml:space="preserve">Novel Coronavirus “COVID-19” </w:t>
      </w:r>
    </w:p>
    <w:p>
      <w:pPr>
        <w:pStyle w:val="TextBody"/>
        <w:bidi w:val="0"/>
        <w:spacing w:before="120" w:after="0"/>
        <w:jc w:val="left"/>
        <w:rPr>
          <w:rFonts w:ascii="Times New Roman" w:hAnsi="Times New Roman"/>
          <w:sz w:val="20"/>
        </w:rPr>
      </w:pPr>
      <w:r>
        <w:rPr>
          <w:rFonts w:ascii="Times New Roman" w:hAnsi="Times New Roman"/>
          <w:sz w:val="20"/>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Corporation and its operating subsidiaries in future periods. However, depending on the length and severity of the pandemic, COVID-19 could impact the Corporation’s operations, could cause delays relating to approval from Health Canada, the FDA and equivalent organizations in other countries, could postpone research activities, and could impair the Corporation’s ability to raise funds depending on COVID-19s effect on capital markets.</w:t>
      </w:r>
    </w:p>
    <w:p>
      <w:pPr>
        <w:pStyle w:val="TextBody"/>
        <w:bidi w:val="0"/>
        <w:spacing w:before="240" w:after="0"/>
        <w:jc w:val="left"/>
        <w:rPr>
          <w:rFonts w:ascii="Times New Roman" w:hAnsi="Times New Roman"/>
          <w:sz w:val="20"/>
        </w:rPr>
      </w:pPr>
      <w:r>
        <w:rPr>
          <w:rFonts w:ascii="Times New Roman" w:hAnsi="Times New Roman"/>
          <w:sz w:val="20"/>
        </w:rPr>
        <w:t>The rapid development of the COVID-19 pandemic and the measures being taken by governments and private parties to respond to it are extremely fluid. While the Corporation has continuously sought to assess the potential impact of the pandemic on its operations, any assessment is subject to extreme uncertainty as to probability, severity and duration. The Corporation has attempted to assess the impact of the pandemic by identifying risks in the following principle areas: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Mandatory Closure.</w:t>
            </w:r>
            <w:r>
              <w:rPr>
                <w:rFonts w:ascii="Times New Roman" w:hAnsi="Times New Roman"/>
                <w:sz w:val="20"/>
              </w:rPr>
              <w:t xml:space="preserve"> In response to the pandemic, many provinces, states and localities have implemented mandatory shut-downs of business to prevent the spread of COVID-19. In the locations where the Corporation operates or conducts research activity, these activities have been deemed an “essential service”, and thus not subject to the mandatory closures applicable to nonessential businesses. The Corporation’s ability to generate revenue and meet its milestones could be materially impacted by any shut down of operations or services.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Research and Development Disruptions</w:t>
            </w:r>
            <w:r>
              <w:rPr>
                <w:rFonts w:ascii="Times New Roman" w:hAnsi="Times New Roman"/>
                <w:sz w:val="20"/>
              </w:rPr>
              <w:t>. The Corporation relies on a third parties for its research and development activities. If these third parties are unable to continue operating due to mandatory closures or other effects of the pandemic, it may negatively impact the Corporation’s ability to meet its milestones and may significantly delay development. At this time, the Corporation has not experienced any significant disruptions.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Staffing Disruption</w:t>
            </w:r>
            <w:r>
              <w:rPr>
                <w:rFonts w:ascii="Times New Roman" w:hAnsi="Times New Roman"/>
                <w:sz w:val="20"/>
              </w:rPr>
              <w:t>. The Corporation is, for the time being, implementing among its staff where feasible “social distancing” measures recommended by local authorities. The Corporation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Corporation may find it difficult to ensure that its operations remain staffed due to employees falling ill with COVID-19, becoming subject to quarantine, or deciding not to come to come to work on their own volition to avoid infection.</w:t>
            </w:r>
          </w:p>
        </w:tc>
      </w:tr>
    </w:tbl>
    <w:p>
      <w:pPr>
        <w:pStyle w:val="TextBody"/>
        <w:bidi w:val="0"/>
        <w:spacing w:before="240" w:after="0"/>
        <w:jc w:val="left"/>
        <w:rPr>
          <w:rFonts w:ascii="Times New Roman" w:hAnsi="Times New Roman"/>
          <w:sz w:val="20"/>
        </w:rPr>
      </w:pPr>
      <w:r>
        <w:rPr>
          <w:rFonts w:ascii="Times New Roman" w:hAnsi="Times New Roman"/>
          <w:sz w:val="20"/>
        </w:rPr>
        <w:t>The Corporation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Corporation’s ability to generate revenue.</w:t>
      </w:r>
    </w:p>
    <w:p>
      <w:pPr>
        <w:pStyle w:val="TextBody"/>
        <w:bidi w:val="0"/>
        <w:spacing w:before="240" w:after="0"/>
        <w:jc w:val="left"/>
        <w:rPr>
          <w:rFonts w:ascii="Times New Roman" w:hAnsi="Times New Roman"/>
          <w:sz w:val="20"/>
        </w:rPr>
      </w:pPr>
      <w:r>
        <w:rPr>
          <w:rFonts w:ascii="Times New Roman" w:hAnsi="Times New Roman"/>
          <w:sz w:val="20"/>
        </w:rPr>
        <w:t>The Corporation has sufficient cash on hand raised via equity financings to fund its operations for the next 12-months and meet its working capital requirements. It is anticipated that the long-term goals of the Corporation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32</w:t>
      </w:r>
    </w:p>
    <w:p>
      <w:pPr>
        <w:pStyle w:val="HorizontalLine"/>
        <w:pBdr>
          <w:bottom w:val="single" w:sz="30" w:space="0" w:color="000000"/>
        </w:pBdr>
        <w:bidi w:val="0"/>
        <w:jc w:val="left"/>
        <w:rPr/>
      </w:pPr>
      <w:r>
        <w:rPr/>
      </w:r>
    </w:p>
    <w:p>
      <w:pPr>
        <w:pStyle w:val="Heading5"/>
        <w:bidi w:val="0"/>
        <w:jc w:val="left"/>
        <w:rPr/>
      </w:pPr>
      <w:hyperlink w:anchor="toc">
        <w:bookmarkStart w:id="106" w:name="page_75"/>
        <w:bookmarkEnd w:id="106"/>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will require additional capital contributions via debt or equity financings. In the event that the impact of COVID-19 worsens and negatively affects capital markets generally, there is a risk that the Corporation may not be able to secure funding for these long-term objectives. See “</w:t>
      </w:r>
      <w:r>
        <w:rPr>
          <w:rFonts w:ascii="Times New Roman" w:hAnsi="Times New Roman"/>
          <w:i/>
          <w:sz w:val="20"/>
        </w:rPr>
        <w:t>The Corporation – COVID-19 Pandemic”</w:t>
      </w:r>
      <w:r>
        <w:rPr>
          <w:rFonts w:ascii="Times New Roman" w:hAnsi="Times New Roman"/>
          <w:sz w:val="20"/>
        </w:rPr>
        <w:t>.</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Times New Roman" w:hAnsi="Times New Roman"/>
          <w:i/>
          <w:sz w:val="20"/>
        </w:rPr>
        <w:t>Controlled Substances Import and Export Act</w:t>
      </w:r>
      <w:r>
        <w:rPr>
          <w:rFonts w:ascii="Times New Roman" w:hAnsi="Times New Roman"/>
          <w:sz w:val="20"/>
        </w:rPr>
        <w:t xml:space="preserve"> and as such, medical and recreational use is illegal under the U.S. federal laws. 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pStyle w:val="TextBody"/>
        <w:bidi w:val="0"/>
        <w:spacing w:before="240" w:after="0"/>
        <w:jc w:val="left"/>
        <w:rPr>
          <w:rFonts w:ascii="Times New Roman" w:hAnsi="Times New Roman"/>
          <w:sz w:val="20"/>
        </w:rPr>
      </w:pPr>
      <w:r>
        <w:rPr>
          <w:rFonts w:ascii="Times New Roman" w:hAnsi="Times New Roman"/>
          <w:sz w:val="20"/>
        </w:rPr>
        <w:t>The loss of the necessary licences and permits for Schedule III drugs could have an adverse effect on the Corporation’s operations.</w:t>
      </w:r>
    </w:p>
    <w:p>
      <w:pPr>
        <w:pStyle w:val="TextBody"/>
        <w:bidi w:val="0"/>
        <w:spacing w:before="240" w:after="0"/>
        <w:jc w:val="left"/>
        <w:rPr>
          <w:rFonts w:ascii="Times New Roman" w:hAnsi="Times New Roman"/>
          <w:sz w:val="20"/>
        </w:rPr>
      </w:pPr>
      <w:r>
        <w:rPr>
          <w:rFonts w:ascii="Times New Roman" w:hAnsi="Times New Roman"/>
          <w:sz w:val="20"/>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pStyle w:val="TextBody"/>
        <w:bidi w:val="0"/>
        <w:spacing w:before="240" w:after="0"/>
        <w:jc w:val="left"/>
        <w:rPr>
          <w:rFonts w:ascii="Times New Roman" w:hAnsi="Times New Roman"/>
          <w:sz w:val="20"/>
        </w:rPr>
      </w:pPr>
      <w:r>
        <w:rPr>
          <w:rFonts w:ascii="Times New Roman" w:hAnsi="Times New Roman"/>
          <w:sz w:val="20"/>
        </w:rPr>
        <w:t>The success of the Corporation’s business is dependent on the reform of controlled substances laws pertaining to psilocybin. If controlled substances laws are not favourably reformed in Canada, the United States, and other global jurisdictions, including Jamaica, the commercial opportunity that the Corporation is pursuing may be highly limited.</w:t>
      </w:r>
    </w:p>
    <w:p>
      <w:pPr>
        <w:pStyle w:val="TextBody"/>
        <w:bidi w:val="0"/>
        <w:spacing w:before="240" w:after="0"/>
        <w:jc w:val="left"/>
        <w:rPr>
          <w:rFonts w:ascii="Times New Roman" w:hAnsi="Times New Roman"/>
          <w:sz w:val="20"/>
        </w:rPr>
      </w:pPr>
      <w:r>
        <w:rPr>
          <w:rFonts w:ascii="Times New Roman" w:hAnsi="Times New Roman"/>
          <w:sz w:val="20"/>
        </w:rPr>
        <w:t>The Corporation makes no medical, treatment or health benefit claims about the Corporation’s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HorizontalLine"/>
        <w:pBdr>
          <w:bottom w:val="single" w:sz="30" w:space="0" w:color="000000"/>
        </w:pBdr>
        <w:bidi w:val="0"/>
        <w:jc w:val="left"/>
        <w:rPr/>
      </w:pPr>
      <w:r>
        <w:rPr/>
      </w:r>
    </w:p>
    <w:p>
      <w:pPr>
        <w:pStyle w:val="Heading5"/>
        <w:bidi w:val="0"/>
        <w:jc w:val="left"/>
        <w:rPr/>
      </w:pPr>
      <w:hyperlink w:anchor="toc">
        <w:bookmarkStart w:id="107" w:name="page_76"/>
        <w:bookmarkEnd w:id="107"/>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Corporation will complete such trials. If the Corporation cannot obtain the approvals or research necessary to commercialize its business, it may have a material adverse effect on the Corporation’s performance and operations.</w:t>
      </w:r>
    </w:p>
    <w:p>
      <w:pPr>
        <w:pStyle w:val="TextBody"/>
        <w:bidi w:val="0"/>
        <w:spacing w:before="240" w:after="0"/>
        <w:jc w:val="left"/>
        <w:rPr>
          <w:rFonts w:ascii="Times New Roman" w:hAnsi="Times New Roman"/>
          <w:sz w:val="20"/>
        </w:rPr>
      </w:pPr>
      <w:r>
        <w:rPr>
          <w:rFonts w:ascii="Times New Roman" w:hAnsi="Times New Roman"/>
          <w:sz w:val="20"/>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products could be banned or subject to recall from the marketplace. The Corporation could also be subject to possible business and consumer claims under applicable statutory, product liability and common laws.</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an Offering </w:t>
      </w:r>
    </w:p>
    <w:p>
      <w:pPr>
        <w:pStyle w:val="TextBody"/>
        <w:bidi w:val="0"/>
        <w:spacing w:before="120" w:after="0"/>
        <w:jc w:val="left"/>
        <w:rPr>
          <w:rFonts w:ascii="Times New Roman" w:hAnsi="Times New Roman"/>
          <w:i/>
          <w:sz w:val="20"/>
        </w:rPr>
      </w:pPr>
      <w:r>
        <w:rPr>
          <w:rFonts w:ascii="Times New Roman" w:hAnsi="Times New Roman"/>
          <w:i/>
          <w:sz w:val="20"/>
        </w:rPr>
        <w:t xml:space="preserve">Speculative Nature of Investment Risk </w:t>
      </w:r>
    </w:p>
    <w:p>
      <w:pPr>
        <w:pStyle w:val="TextBody"/>
        <w:bidi w:val="0"/>
        <w:spacing w:before="120" w:after="0"/>
        <w:jc w:val="left"/>
        <w:rPr>
          <w:rFonts w:ascii="Times New Roman" w:hAnsi="Times New Roman"/>
          <w:sz w:val="20"/>
        </w:rPr>
      </w:pPr>
      <w:r>
        <w:rPr>
          <w:rFonts w:ascii="Times New Roman" w:hAnsi="Times New Roman"/>
          <w:sz w:val="20"/>
        </w:rPr>
        <w:t>An investment in the Securities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pStyle w:val="TextBody"/>
        <w:bidi w:val="0"/>
        <w:spacing w:before="360" w:after="0"/>
        <w:jc w:val="left"/>
        <w:rPr>
          <w:rFonts w:ascii="Times New Roman" w:hAnsi="Times New Roman"/>
          <w:i/>
          <w:sz w:val="20"/>
        </w:rPr>
      </w:pPr>
      <w:r>
        <w:rPr>
          <w:rFonts w:ascii="Times New Roman" w:hAnsi="Times New Roman"/>
          <w:i/>
          <w:sz w:val="20"/>
        </w:rPr>
        <w:t xml:space="preserve">Negative Operating Cash Flow and Going Concern </w:t>
      </w:r>
    </w:p>
    <w:p>
      <w:pPr>
        <w:pStyle w:val="TextBody"/>
        <w:bidi w:val="0"/>
        <w:spacing w:before="120" w:after="0"/>
        <w:jc w:val="left"/>
        <w:rPr>
          <w:rFonts w:ascii="Times New Roman" w:hAnsi="Times New Roman"/>
          <w:sz w:val="20"/>
        </w:rPr>
      </w:pPr>
      <w:r>
        <w:rPr>
          <w:rFonts w:ascii="Times New Roman" w:hAnsi="Times New Roman"/>
          <w:sz w:val="20"/>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pStyle w:val="TextBody"/>
        <w:bidi w:val="0"/>
        <w:spacing w:before="240" w:after="0"/>
        <w:jc w:val="left"/>
        <w:rPr>
          <w:rFonts w:ascii="Times New Roman" w:hAnsi="Times New Roman"/>
          <w:sz w:val="20"/>
        </w:rPr>
      </w:pPr>
      <w:r>
        <w:rPr>
          <w:rFonts w:ascii="Times New Roman" w:hAnsi="Times New Roman"/>
          <w:sz w:val="20"/>
        </w:rPr>
        <w:t>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 See “</w:t>
      </w:r>
      <w:r>
        <w:rPr>
          <w:rFonts w:ascii="Times New Roman" w:hAnsi="Times New Roman"/>
          <w:i/>
          <w:sz w:val="20"/>
        </w:rPr>
        <w:t>Risk Factors – Risks Related to an Offering –</w:t>
      </w:r>
      <w:r>
        <w:rPr>
          <w:rFonts w:ascii="Times New Roman" w:hAnsi="Times New Roman"/>
          <w:sz w:val="20"/>
        </w:rPr>
        <w:t xml:space="preserve"> </w:t>
      </w:r>
      <w:r>
        <w:rPr>
          <w:rFonts w:ascii="Times New Roman" w:hAnsi="Times New Roman"/>
          <w:i/>
          <w:sz w:val="20"/>
        </w:rPr>
        <w:t>Potential Need for Additional Financing”.</w:t>
      </w:r>
    </w:p>
    <w:p>
      <w:pPr>
        <w:pStyle w:val="TextBody"/>
        <w:bidi w:val="0"/>
        <w:spacing w:before="360" w:after="0"/>
        <w:jc w:val="left"/>
        <w:rPr>
          <w:rFonts w:ascii="Times New Roman" w:hAnsi="Times New Roman"/>
          <w:i/>
          <w:sz w:val="20"/>
        </w:rPr>
      </w:pPr>
      <w:r>
        <w:rPr>
          <w:rFonts w:ascii="Times New Roman" w:hAnsi="Times New Roman"/>
          <w:i/>
          <w:sz w:val="20"/>
        </w:rPr>
        <w:t xml:space="preserve">Discretion over the Use of Proceeds </w:t>
      </w:r>
    </w:p>
    <w:p>
      <w:pPr>
        <w:pStyle w:val="TextBody"/>
        <w:bidi w:val="0"/>
        <w:spacing w:before="120" w:after="0"/>
        <w:jc w:val="left"/>
        <w:rPr>
          <w:rFonts w:ascii="Times New Roman" w:hAnsi="Times New Roman"/>
          <w:sz w:val="20"/>
        </w:rPr>
      </w:pPr>
      <w:r>
        <w:rPr>
          <w:rFonts w:ascii="Times New Roman" w:hAnsi="Times New Roman"/>
          <w:sz w:val="20"/>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pStyle w:val="TextBody"/>
        <w:bidi w:val="0"/>
        <w:spacing w:before="240" w:after="0"/>
        <w:jc w:val="left"/>
        <w:rPr>
          <w:rFonts w:ascii="Times New Roman" w:hAnsi="Times New Roman"/>
          <w:sz w:val="20"/>
        </w:rPr>
      </w:pPr>
      <w:r>
        <w:rPr>
          <w:rFonts w:ascii="Times New Roman" w:hAnsi="Times New Roman"/>
          <w:sz w:val="20"/>
        </w:rPr>
        <w:t>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34</w:t>
      </w:r>
    </w:p>
    <w:p>
      <w:pPr>
        <w:pStyle w:val="HorizontalLine"/>
        <w:pBdr>
          <w:bottom w:val="single" w:sz="30" w:space="0" w:color="000000"/>
        </w:pBdr>
        <w:bidi w:val="0"/>
        <w:jc w:val="left"/>
        <w:rPr/>
      </w:pPr>
      <w:r>
        <w:rPr/>
      </w:r>
    </w:p>
    <w:p>
      <w:pPr>
        <w:pStyle w:val="Heading5"/>
        <w:bidi w:val="0"/>
        <w:jc w:val="left"/>
        <w:rPr/>
      </w:pPr>
      <w:hyperlink w:anchor="toc">
        <w:bookmarkStart w:id="108" w:name="page_77"/>
        <w:bookmarkEnd w:id="108"/>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hAnsi="Times New Roman"/>
          <w:i/>
          <w:sz w:val="20"/>
        </w:rPr>
        <w:t>Use of Proceeds”</w:t>
      </w:r>
      <w:r>
        <w:rPr>
          <w:rFonts w:ascii="Times New Roman" w:hAnsi="Times New Roman"/>
          <w:sz w:val="20"/>
        </w:rPr>
        <w:t>.</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Need for Additional Financing </w:t>
      </w:r>
    </w:p>
    <w:p>
      <w:pPr>
        <w:pStyle w:val="TextBody"/>
        <w:bidi w:val="0"/>
        <w:spacing w:before="120" w:after="0"/>
        <w:jc w:val="left"/>
        <w:rPr>
          <w:rFonts w:ascii="Times New Roman" w:hAnsi="Times New Roman"/>
          <w:sz w:val="20"/>
        </w:rPr>
      </w:pPr>
      <w:r>
        <w:rPr>
          <w:rFonts w:ascii="Times New Roman" w:hAnsi="Times New Roman"/>
          <w:sz w:val="20"/>
        </w:rPr>
        <w:t>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hAnsi="Times New Roman"/>
          <w:i/>
          <w:sz w:val="20"/>
        </w:rPr>
        <w:t>Risk Factors – Risks Related to an Offering – Negative Operating Cash Flow and Going Concern” and “– Potential Dilution”.</w:t>
      </w:r>
    </w:p>
    <w:p>
      <w:pPr>
        <w:pStyle w:val="TextBody"/>
        <w:bidi w:val="0"/>
        <w:spacing w:before="360" w:after="0"/>
        <w:jc w:val="left"/>
        <w:rPr>
          <w:rFonts w:ascii="Times New Roman" w:hAnsi="Times New Roman"/>
          <w:i/>
          <w:sz w:val="20"/>
        </w:rPr>
      </w:pPr>
      <w:r>
        <w:rPr>
          <w:rFonts w:ascii="Times New Roman" w:hAnsi="Times New Roman"/>
          <w:i/>
          <w:sz w:val="20"/>
        </w:rPr>
        <w:t xml:space="preserve">Volatile Market Price of Corporation’s Common Shares </w:t>
      </w:r>
    </w:p>
    <w:p>
      <w:pPr>
        <w:pStyle w:val="TextBody"/>
        <w:bidi w:val="0"/>
        <w:spacing w:before="120" w:after="0"/>
        <w:jc w:val="left"/>
        <w:rPr>
          <w:rFonts w:ascii="Times New Roman" w:hAnsi="Times New Roman"/>
          <w:sz w:val="20"/>
        </w:rPr>
      </w:pPr>
      <w:r>
        <w:rPr>
          <w:rFonts w:ascii="Times New Roman" w:hAnsi="Times New Roman"/>
          <w:sz w:val="20"/>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pStyle w:val="TextBody"/>
        <w:bidi w:val="0"/>
        <w:spacing w:before="240" w:after="0"/>
        <w:jc w:val="left"/>
        <w:rPr>
          <w:rFonts w:ascii="Times New Roman" w:hAnsi="Times New Roman"/>
          <w:sz w:val="20"/>
        </w:rPr>
      </w:pPr>
      <w:r>
        <w:rPr>
          <w:rFonts w:ascii="Times New Roman" w:hAnsi="Times New Roman"/>
          <w:sz w:val="20"/>
        </w:rPr>
        <w:t>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hAnsi="Times New Roman"/>
          <w:i/>
          <w:sz w:val="20"/>
        </w:rPr>
        <w:t>Cautionary Note Regarding Forward-Looking Information”</w:t>
      </w:r>
      <w:r>
        <w:rPr>
          <w:rFonts w:ascii="Times New Roman" w:hAnsi="Times New Roman"/>
          <w:sz w:val="20"/>
        </w:rPr>
        <w:t>. In addition, the market price for securities on stock markets, including the Neo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pStyle w:val="TextBody"/>
        <w:bidi w:val="0"/>
        <w:spacing w:before="240" w:after="0"/>
        <w:jc w:val="left"/>
        <w:rPr>
          <w:rFonts w:ascii="Times New Roman" w:hAnsi="Times New Roman"/>
          <w:sz w:val="20"/>
        </w:rPr>
      </w:pPr>
      <w:r>
        <w:rPr>
          <w:rFonts w:ascii="Times New Roman" w:hAnsi="Times New Roman"/>
          <w:sz w:val="20"/>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Dilution </w:t>
      </w:r>
    </w:p>
    <w:p>
      <w:pPr>
        <w:pStyle w:val="TextBody"/>
        <w:bidi w:val="0"/>
        <w:spacing w:before="120" w:after="0"/>
        <w:jc w:val="left"/>
        <w:rPr>
          <w:rFonts w:ascii="Times New Roman" w:hAnsi="Times New Roman"/>
          <w:sz w:val="20"/>
        </w:rPr>
      </w:pPr>
      <w:r>
        <w:rPr>
          <w:rFonts w:ascii="Times New Roman" w:hAnsi="Times New Roman"/>
          <w:sz w:val="20"/>
        </w:rPr>
        <w:t>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our Securities. Issuances of 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35</w:t>
      </w:r>
    </w:p>
    <w:p>
      <w:pPr>
        <w:pStyle w:val="HorizontalLine"/>
        <w:pBdr>
          <w:bottom w:val="single" w:sz="30" w:space="0" w:color="000000"/>
        </w:pBdr>
        <w:bidi w:val="0"/>
        <w:jc w:val="left"/>
        <w:rPr/>
      </w:pPr>
      <w:r>
        <w:rPr/>
      </w:r>
    </w:p>
    <w:p>
      <w:pPr>
        <w:pStyle w:val="Heading5"/>
        <w:bidi w:val="0"/>
        <w:jc w:val="left"/>
        <w:rPr/>
      </w:pPr>
      <w:hyperlink w:anchor="toc">
        <w:bookmarkStart w:id="109" w:name="page_78"/>
        <w:bookmarkEnd w:id="109"/>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hAnsi="Times New Roman"/>
          <w:i/>
          <w:sz w:val="20"/>
        </w:rPr>
        <w:t>Risk Factors – Risks Related to an Offering – Potential Need for Additional Financing</w:t>
      </w:r>
      <w:r>
        <w:rPr>
          <w:rFonts w:ascii="Times New Roman" w:hAnsi="Times New Roman"/>
          <w:sz w:val="20"/>
        </w:rPr>
        <w:t>”.</w:t>
      </w:r>
    </w:p>
    <w:p>
      <w:pPr>
        <w:pStyle w:val="TextBody"/>
        <w:bidi w:val="0"/>
        <w:spacing w:before="360" w:after="0"/>
        <w:jc w:val="left"/>
        <w:rPr>
          <w:rFonts w:ascii="Times New Roman" w:hAnsi="Times New Roman"/>
          <w:i/>
          <w:sz w:val="20"/>
        </w:rPr>
      </w:pPr>
      <w:r>
        <w:rPr>
          <w:rFonts w:ascii="Times New Roman" w:hAnsi="Times New Roman"/>
          <w:i/>
          <w:sz w:val="20"/>
        </w:rPr>
        <w:t xml:space="preserve">Market for Securities </w:t>
      </w:r>
    </w:p>
    <w:p>
      <w:pPr>
        <w:pStyle w:val="TextBody"/>
        <w:bidi w:val="0"/>
        <w:spacing w:before="120" w:after="0"/>
        <w:jc w:val="left"/>
        <w:rPr>
          <w:rFonts w:ascii="Times New Roman" w:hAnsi="Times New Roman"/>
          <w:sz w:val="20"/>
        </w:rPr>
      </w:pPr>
      <w:r>
        <w:rPr>
          <w:rFonts w:ascii="Times New Roman" w:hAnsi="Times New Roman"/>
          <w:sz w:val="20"/>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our Securities, other than our Common Shares, in the secondary market, the transparency and availability of trading prices, the liquidity of these Securities and the extent of issuer regulation. There can be no assurance that an active trading market for our Securities, other than our Common Shares, will develop or, if developed, that any such market, including for our Common Shares, will be sustained.</w:t>
      </w:r>
    </w:p>
    <w:p>
      <w:pPr>
        <w:pStyle w:val="TextBody"/>
        <w:bidi w:val="0"/>
        <w:spacing w:before="360" w:after="0"/>
        <w:jc w:val="left"/>
        <w:rPr>
          <w:rFonts w:ascii="Times New Roman" w:hAnsi="Times New Roman"/>
          <w:i/>
          <w:sz w:val="20"/>
        </w:rPr>
      </w:pPr>
      <w:r>
        <w:rPr>
          <w:rFonts w:ascii="Times New Roman" w:hAnsi="Times New Roman"/>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Certain of our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pStyle w:val="TextBody"/>
        <w:bidi w:val="0"/>
        <w:spacing w:before="240" w:after="0"/>
        <w:jc w:val="left"/>
        <w:rPr>
          <w:rFonts w:ascii="Times New Roman" w:hAnsi="Times New Roman"/>
          <w:sz w:val="20"/>
        </w:rPr>
      </w:pPr>
      <w:r>
        <w:rPr>
          <w:rFonts w:ascii="Times New Roman" w:hAnsi="Times New Roman"/>
          <w:sz w:val="20"/>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spacing w:before="480" w:after="0"/>
        <w:jc w:val="center"/>
        <w:rPr>
          <w:rFonts w:ascii="Times New Roman" w:hAnsi="Times New Roman"/>
          <w:b/>
          <w:sz w:val="20"/>
        </w:rPr>
      </w:pPr>
      <w:bookmarkStart w:id="110" w:name="toc191613_17"/>
      <w:bookmarkEnd w:id="110"/>
      <w:r>
        <w:rPr>
          <w:rFonts w:ascii="Times New Roman" w:hAnsi="Times New Roman"/>
          <w:b/>
          <w:sz w:val="20"/>
        </w:rPr>
        <w:t xml:space="preserve">CERTAIN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The applicable Prospectus Supplement will include a general summary of certain Canadian federal income tax consequences which may be applicable to a purchaser of Securities offered thereunder. Investors should read the tax discussion in any Prospectus Supplement with respect to a particular offering and consult their own tax advisors with respect to their own particular circumstances.</w:t>
      </w:r>
    </w:p>
    <w:p>
      <w:pPr>
        <w:pStyle w:val="TextBody"/>
        <w:bidi w:val="0"/>
        <w:spacing w:before="480" w:after="0"/>
        <w:jc w:val="center"/>
        <w:rPr>
          <w:rFonts w:ascii="Times New Roman" w:hAnsi="Times New Roman"/>
          <w:b/>
          <w:sz w:val="20"/>
        </w:rPr>
      </w:pPr>
      <w:bookmarkStart w:id="111" w:name="toc191613_18"/>
      <w:bookmarkEnd w:id="1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36</w:t>
      </w:r>
    </w:p>
    <w:p>
      <w:pPr>
        <w:pStyle w:val="HorizontalLine"/>
        <w:pBdr>
          <w:bottom w:val="single" w:sz="30" w:space="0" w:color="000000"/>
        </w:pBdr>
        <w:bidi w:val="0"/>
        <w:jc w:val="left"/>
        <w:rPr/>
      </w:pPr>
      <w:r>
        <w:rPr/>
      </w:r>
    </w:p>
    <w:p>
      <w:pPr>
        <w:pStyle w:val="Heading5"/>
        <w:bidi w:val="0"/>
        <w:jc w:val="left"/>
        <w:rPr/>
      </w:pPr>
      <w:hyperlink w:anchor="toc">
        <w:bookmarkStart w:id="112" w:name="page_79"/>
        <w:bookmarkEnd w:id="112"/>
        <w:r>
          <w:rPr>
            <w:rStyle w:val="InternetLink"/>
          </w:rPr>
          <w:t>Table of Contents</w:t>
        </w:r>
      </w:hyperlink>
    </w:p>
    <w:p>
      <w:pPr>
        <w:pStyle w:val="TextBody"/>
        <w:bidi w:val="0"/>
        <w:spacing w:before="0" w:after="0"/>
        <w:jc w:val="center"/>
        <w:rPr>
          <w:rFonts w:ascii="Times New Roman" w:hAnsi="Times New Roman"/>
          <w:b/>
          <w:sz w:val="20"/>
        </w:rPr>
      </w:pPr>
      <w:bookmarkStart w:id="113" w:name="toc191613_19"/>
      <w:bookmarkEnd w:id="113"/>
      <w:r>
        <w:rPr>
          <w:rFonts w:ascii="Times New Roman" w:hAnsi="Times New Roman"/>
          <w:b/>
          <w:sz w:val="20"/>
        </w:rPr>
        <w:t xml:space="preserve">AUDITORS, TRANSFER AGENT AND REGISTRAR </w:t>
      </w:r>
    </w:p>
    <w:p>
      <w:pPr>
        <w:pStyle w:val="TextBody"/>
        <w:bidi w:val="0"/>
        <w:spacing w:before="240" w:after="0"/>
        <w:jc w:val="left"/>
        <w:rPr>
          <w:rFonts w:ascii="Times New Roman" w:hAnsi="Times New Roman"/>
          <w:sz w:val="20"/>
        </w:rPr>
      </w:pPr>
      <w:r>
        <w:rPr>
          <w:rFonts w:ascii="Times New Roman" w:hAnsi="Times New Roman"/>
          <w:sz w:val="20"/>
        </w:rPr>
        <w:t>Zeifmans LLP, Chartered Professional Accountants, are the auditors of the Corporation and have confirmed that they are independent of the Company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pStyle w:val="TextBody"/>
        <w:bidi w:val="0"/>
        <w:spacing w:before="240" w:after="0"/>
        <w:jc w:val="left"/>
        <w:rPr>
          <w:rFonts w:ascii="Times New Roman" w:hAnsi="Times New Roman"/>
          <w:sz w:val="20"/>
        </w:rPr>
      </w:pPr>
      <w:r>
        <w:rPr>
          <w:rFonts w:ascii="Times New Roman" w:hAnsi="Times New Roman"/>
          <w:sz w:val="20"/>
        </w:rPr>
        <w:t>The registrar and transfer agent of the Common Shares is Odyssey Trust Company at its principal office in Calgary, Alberta.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37</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0001833141/000119312521224423/d204508dex9999.htm" TargetMode="External"/><Relationship Id="rId6" Type="http://schemas.openxmlformats.org/officeDocument/2006/relationships/hyperlink" Target="http://www.sec.gov/Archives/edgar/data/0001833141/000119312521224423/d204508dex9999.htm" TargetMode="External"/><Relationship Id="rId7" Type="http://schemas.openxmlformats.org/officeDocument/2006/relationships/hyperlink" Target="http://www.sec.gov/Archives/edgar/data/0001833141/000119312521224423/d204508dex9999.htm" TargetMode="External"/><Relationship Id="rId8" Type="http://schemas.openxmlformats.org/officeDocument/2006/relationships/hyperlink" Target="http://www.sec.gov/Archives/edgar/data/0001833141/000119312521224423/d204508dex9997.htm" TargetMode="External"/><Relationship Id="rId9" Type="http://schemas.openxmlformats.org/officeDocument/2006/relationships/hyperlink" Target="http://www.sec.gov/Archives/edgar/data/0001833141/000119312521224423/d204508dex9997.htm" TargetMode="External"/><Relationship Id="rId10" Type="http://schemas.openxmlformats.org/officeDocument/2006/relationships/hyperlink" Target="http://www.sec.gov/Archives/edgar/data/0001833141/000119312521224423/d204508dex9997.htm" TargetMode="External"/><Relationship Id="rId11" Type="http://schemas.openxmlformats.org/officeDocument/2006/relationships/hyperlink" Target="http://www.sec.gov/Archives/edgar/data/0001833141/000119312521224423/d204508dex9998.htm" TargetMode="External"/><Relationship Id="rId12" Type="http://schemas.openxmlformats.org/officeDocument/2006/relationships/hyperlink" Target="http://www.sec.gov/Archives/edgar/data/0001833141/000119312521224423/d204508dex9998.htm" TargetMode="External"/><Relationship Id="rId13" Type="http://schemas.openxmlformats.org/officeDocument/2006/relationships/hyperlink" Target="http://www.sec.gov/Archives/edgar/data/0001833141/000119312521224423/d204508dex9998.htm" TargetMode="External"/><Relationship Id="rId14" Type="http://schemas.openxmlformats.org/officeDocument/2006/relationships/hyperlink" Target="http://www.sec.gov/Archives/edgar/data/0001833141/000119312521224423/d204508dex9979.htm" TargetMode="External"/><Relationship Id="rId15" Type="http://schemas.openxmlformats.org/officeDocument/2006/relationships/hyperlink" Target="http://www.sec.gov/Archives/edgar/data/0001833141/000119312521224423/d204508dex998.htm" TargetMode="External"/><Relationship Id="rId16" Type="http://schemas.openxmlformats.org/officeDocument/2006/relationships/hyperlink" Target="http://www.sec.gov/Archives/edgar/data/1833141/000119312521289913/d191613dex46.htm" TargetMode="External"/><Relationship Id="rId17" Type="http://schemas.openxmlformats.org/officeDocument/2006/relationships/hyperlink" Target="http://www.sec.gov/Archives/edgar/data/1833141/000119312521289913/d191613dex46.htm" TargetMode="External"/><Relationship Id="rId18" Type="http://schemas.openxmlformats.org/officeDocument/2006/relationships/hyperlink" Target="http://www.sec.gov/Archives/edgar/data/1833141/000119312521289913/d191613dex46.htm" TargetMode="External"/><Relationship Id="rId19" Type="http://schemas.openxmlformats.org/officeDocument/2006/relationships/hyperlink" Target="http://www.sec.gov/Archives/edgar/data/1833141/000119312521289913/d191613dex46.htm" TargetMode="External"/><Relationship Id="rId20" Type="http://schemas.openxmlformats.org/officeDocument/2006/relationships/hyperlink" Target="http://www.sec.gov/Archives/edgar/data/1833141/000119312521289913/d191613dex46.htm" TargetMode="External"/><Relationship Id="rId21" Type="http://schemas.openxmlformats.org/officeDocument/2006/relationships/image" Target="media/image4.jpeg"/><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48919</Words>
  <Characters>271692</Characters>
  <CharactersWithSpaces>320616</CharactersWithSpaces>
  <Paragraphs>3516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