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5.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4.png" ContentType="image/pn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p>
    <w:p>
      <w:pPr>
        <w:pStyle w:val="TextBody"/>
        <w:spacing w:before="0" w:after="0"/>
        <w:rPr/>
      </w:pPr>
      <w:r>
        <w:rPr/>
      </w:r>
    </w:p>
    <w:p>
      <w:pPr>
        <w:pStyle w:val="TextBody"/>
        <w:spacing w:before="0" w:after="0"/>
        <w:rPr/>
      </w:pPr>
      <w:r>
        <w:rPr/>
        <w:drawing>
          <wp:inline distT="0" distB="63500" distL="0" distR="0">
            <wp:extent cx="5943600"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9050"/>
                    </a:xfrm>
                    <a:prstGeom prst="rect">
                      <a:avLst/>
                    </a:prstGeom>
                  </pic:spPr>
                </pic:pic>
              </a:graphicData>
            </a:graphic>
          </wp:inline>
        </w:drawing>
      </w:r>
    </w:p>
    <w:p>
      <w:pPr>
        <w:pStyle w:val="TextBody"/>
        <w:spacing w:before="0" w:after="0"/>
        <w:rPr/>
      </w:pPr>
      <w:r>
        <w:rPr/>
      </w:r>
    </w:p>
    <w:p>
      <w:pPr>
        <w:pStyle w:val="TextBody"/>
        <w:spacing w:lineRule="auto" w:line="240" w:before="100" w:after="100"/>
        <w:jc w:val="center"/>
        <w:rPr/>
      </w:pPr>
      <w:r>
        <w:rPr>
          <w:rFonts w:ascii="Times New Roman;sans-serif" w:hAnsi="Times New Roman;sans-serif"/>
          <w:b/>
          <w:color w:val="000000"/>
          <w:sz w:val="36"/>
        </w:rPr>
        <w:t>UNITED STATES</w:t>
      </w:r>
      <w:r>
        <w:rPr>
          <w:rFonts w:ascii="Times New Roman;sans-serif" w:hAnsi="Times New Roman;sans-serif"/>
          <w:b/>
          <w:color w:val="000000"/>
          <w:sz w:val="20"/>
        </w:rPr>
        <w:br/>
      </w:r>
      <w:r>
        <w:rPr>
          <w:rFonts w:ascii="Times New Roman;sans-serif" w:hAnsi="Times New Roman;sans-serif"/>
          <w:b/>
          <w:color w:val="000000"/>
          <w:sz w:val="36"/>
        </w:rPr>
        <w:t>SECURITIES AND EXCHANGE COMMISSION</w:t>
      </w:r>
      <w:r>
        <w:rPr>
          <w:rFonts w:ascii="Times New Roman;sans-serif" w:hAnsi="Times New Roman;sans-serif"/>
          <w:b/>
          <w:color w:val="000000"/>
          <w:sz w:val="20"/>
        </w:rPr>
        <w:br/>
        <w:t>Washington, D.C. 20549</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____________________</w:t>
      </w:r>
    </w:p>
    <w:p>
      <w:pPr>
        <w:pStyle w:val="TextBody"/>
        <w:spacing w:before="100" w:after="100"/>
        <w:jc w:val="center"/>
        <w:rPr/>
      </w:pPr>
      <w:r>
        <w:rPr/>
      </w:r>
    </w:p>
    <w:p>
      <w:pPr>
        <w:pStyle w:val="TextBody"/>
        <w:spacing w:lineRule="auto" w:line="300" w:before="0" w:after="2"/>
        <w:jc w:val="center"/>
        <w:rPr>
          <w:rFonts w:ascii="Times New Roman;sans-serif" w:hAnsi="Times New Roman;sans-serif"/>
          <w:b/>
          <w:color w:val="000000"/>
          <w:sz w:val="36"/>
        </w:rPr>
      </w:pPr>
      <w:r>
        <w:rPr>
          <w:rFonts w:ascii="Times New Roman;sans-serif" w:hAnsi="Times New Roman;sans-serif"/>
          <w:b/>
          <w:color w:val="000000"/>
          <w:sz w:val="36"/>
        </w:rPr>
        <w:t>FORM 40-F</w:t>
      </w:r>
    </w:p>
    <w:tbl>
      <w:tblPr>
        <w:tblW w:w="7634" w:type="dxa"/>
        <w:jc w:val="left"/>
        <w:tblInd w:w="0" w:type="dxa"/>
        <w:tblCellMar>
          <w:top w:w="28" w:type="dxa"/>
          <w:left w:w="28" w:type="dxa"/>
          <w:bottom w:w="28" w:type="dxa"/>
          <w:right w:w="28" w:type="dxa"/>
        </w:tblCellMar>
      </w:tblPr>
      <w:tblGrid>
        <w:gridCol w:w="136"/>
        <w:gridCol w:w="119"/>
        <w:gridCol w:w="119"/>
        <w:gridCol w:w="2123"/>
        <w:gridCol w:w="2123"/>
        <w:gridCol w:w="3014"/>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3014" w:type="dxa"/>
            <w:tcBorders/>
            <w:shd w:fill="auto" w:val="clear"/>
            <w:vAlign w:val="center"/>
          </w:tcPr>
          <w:p>
            <w:pPr>
              <w:pStyle w:val="TableContents"/>
              <w:spacing w:before="0" w:after="283"/>
              <w:rPr>
                <w:sz w:val="4"/>
                <w:szCs w:val="4"/>
              </w:rPr>
            </w:pPr>
            <w:r>
              <w:rPr>
                <w:sz w:val="4"/>
                <w:szCs w:val="4"/>
              </w:rPr>
            </w:r>
          </w:p>
        </w:tc>
      </w:tr>
      <w:tr>
        <w:trPr/>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pursuant to Section 12 of the Securities Exchange Act of 1934</w:t>
            </w:r>
          </w:p>
        </w:tc>
      </w:tr>
      <w:tr>
        <w:trPr/>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726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c>
      </w:tr>
      <w:tr>
        <w:trPr/>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7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pursuant to Section 13(a) or 15(d) of the Securities Exchange Act of 1934</w:t>
            </w:r>
          </w:p>
        </w:tc>
      </w:tr>
    </w:tbl>
    <w:p>
      <w:pPr>
        <w:pStyle w:val="TextBody"/>
        <w:spacing w:before="0" w:after="0"/>
        <w:rPr/>
      </w:pPr>
      <w:r>
        <w:rPr/>
      </w:r>
    </w:p>
    <w:tbl>
      <w:tblPr>
        <w:tblW w:w="7343" w:type="dxa"/>
        <w:jc w:val="left"/>
        <w:tblInd w:w="0" w:type="dxa"/>
        <w:tblCellMar>
          <w:top w:w="28" w:type="dxa"/>
          <w:left w:w="28" w:type="dxa"/>
          <w:bottom w:w="28" w:type="dxa"/>
          <w:right w:w="28" w:type="dxa"/>
        </w:tblCellMar>
      </w:tblPr>
      <w:tblGrid>
        <w:gridCol w:w="798"/>
        <w:gridCol w:w="701"/>
        <w:gridCol w:w="705"/>
        <w:gridCol w:w="499"/>
        <w:gridCol w:w="499"/>
        <w:gridCol w:w="501"/>
        <w:gridCol w:w="109"/>
        <w:gridCol w:w="109"/>
        <w:gridCol w:w="109"/>
        <w:gridCol w:w="754"/>
        <w:gridCol w:w="754"/>
        <w:gridCol w:w="756"/>
        <w:gridCol w:w="307"/>
        <w:gridCol w:w="307"/>
        <w:gridCol w:w="435"/>
      </w:tblGrid>
      <w:tr>
        <w:trPr/>
        <w:tc>
          <w:tcPr>
            <w:tcW w:w="79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For the fiscal year ended</w:t>
            </w:r>
          </w:p>
        </w:tc>
        <w:tc>
          <w:tcPr>
            <w:tcW w:w="149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26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104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001-40673</w:t>
            </w:r>
          </w:p>
        </w:tc>
      </w:tr>
    </w:tbl>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____________________</w:t>
      </w:r>
    </w:p>
    <w:p>
      <w:pPr>
        <w:pStyle w:val="TextBody"/>
        <w:spacing w:lineRule="auto" w:line="240" w:before="100" w:after="100"/>
        <w:jc w:val="center"/>
        <w:rPr/>
      </w:pPr>
      <w:r>
        <w:rPr>
          <w:rFonts w:ascii="Times New Roman;sans-serif" w:hAnsi="Times New Roman;sans-serif"/>
          <w:b/>
          <w:color w:val="000000"/>
          <w:sz w:val="36"/>
          <w:u w:val="single"/>
        </w:rPr>
        <w:t>Cybin Inc.</w:t>
        <w:br/>
      </w:r>
      <w:r>
        <w:rPr>
          <w:rFonts w:ascii="Times New Roman;sans-serif" w:hAnsi="Times New Roman;sans-serif"/>
          <w:b w:val="false"/>
          <w:color w:val="000000"/>
          <w:sz w:val="20"/>
        </w:rPr>
        <w:t>(Exact name of Registrant as specified in its charter)</w:t>
      </w:r>
    </w:p>
    <w:tbl>
      <w:tblPr>
        <w:tblW w:w="10539" w:type="dxa"/>
        <w:jc w:val="left"/>
        <w:tblInd w:w="0" w:type="dxa"/>
        <w:tblCellMar>
          <w:top w:w="28" w:type="dxa"/>
          <w:left w:w="28" w:type="dxa"/>
          <w:bottom w:w="28" w:type="dxa"/>
          <w:right w:w="28" w:type="dxa"/>
        </w:tblCellMar>
      </w:tblPr>
      <w:tblGrid>
        <w:gridCol w:w="1846"/>
        <w:gridCol w:w="1621"/>
        <w:gridCol w:w="1638"/>
        <w:gridCol w:w="1147"/>
        <w:gridCol w:w="1147"/>
        <w:gridCol w:w="1159"/>
        <w:gridCol w:w="578"/>
        <w:gridCol w:w="578"/>
        <w:gridCol w:w="825"/>
      </w:tblGrid>
      <w:tr>
        <w:trPr/>
        <w:tc>
          <w:tcPr>
            <w:tcW w:w="1846"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r>
      <w:tr>
        <w:trPr/>
        <w:tc>
          <w:tcPr>
            <w:tcW w:w="510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Ontario</w:t>
            </w:r>
          </w:p>
        </w:tc>
        <w:tc>
          <w:tcPr>
            <w:tcW w:w="345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2834</w:t>
            </w:r>
          </w:p>
        </w:tc>
        <w:tc>
          <w:tcPr>
            <w:tcW w:w="198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510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(Province or other jurisdiction of incorporation or organization)</w:t>
            </w:r>
          </w:p>
        </w:tc>
        <w:tc>
          <w:tcPr>
            <w:tcW w:w="345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(Primary Standard Industrial Classification</w:t>
            </w:r>
          </w:p>
        </w:tc>
        <w:tc>
          <w:tcPr>
            <w:tcW w:w="19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r>
        <w:trPr/>
        <w:tc>
          <w:tcPr>
            <w:tcW w:w="5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Code Number)</w:t>
            </w:r>
          </w:p>
        </w:tc>
        <w:tc>
          <w:tcPr>
            <w:tcW w:w="1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00" w:after="100"/>
        <w:jc w:val="center"/>
        <w:rPr/>
      </w:pPr>
      <w:r>
        <w:rPr>
          <w:rFonts w:ascii="Times New Roman;sans-serif" w:hAnsi="Times New Roman;sans-serif"/>
          <w:b/>
          <w:color w:val="000000"/>
          <w:sz w:val="20"/>
        </w:rPr>
        <w:t>100 King Street West, Suite 5600</w:t>
        <w:br/>
        <w:t>Toronto, Ontario, Canada M5X 1C9</w:t>
      </w:r>
      <w:r>
        <w:rPr>
          <w:rFonts w:ascii="Times New Roman;sans-serif" w:hAnsi="Times New Roman;sans-serif"/>
          <w:b w:val="false"/>
          <w:color w:val="000000"/>
          <w:sz w:val="20"/>
        </w:rPr>
        <w:br/>
      </w:r>
      <w:r>
        <w:rPr>
          <w:rFonts w:ascii="Times New Roman;sans-serif" w:hAnsi="Times New Roman;sans-serif"/>
          <w:b/>
          <w:color w:val="000000"/>
          <w:sz w:val="20"/>
        </w:rPr>
        <w:t>(908) 764-8385</w:t>
      </w:r>
      <w:r>
        <w:rPr>
          <w:rFonts w:ascii="Times New Roman;sans-serif" w:hAnsi="Times New Roman;sans-serif"/>
          <w:b w:val="false"/>
          <w:color w:val="000000"/>
          <w:sz w:val="20"/>
        </w:rPr>
        <w:br/>
        <w:t>(Address and telephone number of Registrant’s principal executive offices)</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____________________</w:t>
      </w:r>
    </w:p>
    <w:p>
      <w:pPr>
        <w:pStyle w:val="TextBody"/>
        <w:spacing w:lineRule="auto" w:line="240" w:before="100" w:after="283"/>
        <w:jc w:val="center"/>
        <w:rPr>
          <w:rFonts w:ascii="Times New Roman;sans-serif" w:hAnsi="Times New Roman;sans-serif"/>
          <w:b/>
          <w:color w:val="000000"/>
          <w:sz w:val="20"/>
        </w:rPr>
      </w:pPr>
      <w:r>
        <w:rPr>
          <w:rFonts w:ascii="Times New Roman;sans-serif" w:hAnsi="Times New Roman;sans-serif"/>
          <w:b/>
          <w:color w:val="000000"/>
          <w:sz w:val="20"/>
        </w:rPr>
        <w:t>CT Corporation System</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1015 15th Street N.W., Suite 1000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20005</w:t>
      </w:r>
    </w:p>
    <w:p>
      <w:pPr>
        <w:pStyle w:val="TextBody"/>
        <w:spacing w:lineRule="auto" w:line="240" w:before="0" w:after="100"/>
        <w:jc w:val="center"/>
        <w:rPr/>
      </w:pPr>
      <w:r>
        <w:rPr>
          <w:rFonts w:ascii="Times New Roman;sans-serif" w:hAnsi="Times New Roman;sans-serif"/>
          <w:b/>
          <w:color w:val="000000"/>
          <w:sz w:val="20"/>
        </w:rPr>
        <w:t>(202) 572-3133</w:t>
      </w:r>
      <w:r>
        <w:rPr>
          <w:rFonts w:ascii="Times New Roman;sans-serif" w:hAnsi="Times New Roman;sans-serif"/>
          <w:b w:val="false"/>
          <w:color w:val="000000"/>
          <w:sz w:val="20"/>
        </w:rPr>
        <w:br/>
        <w:t>(Name, address (including zip code) and telephone number (including</w:t>
        <w:br/>
        <w:t>area code) of agent for service in the United States)</w:t>
      </w:r>
    </w:p>
    <w:p>
      <w:pPr>
        <w:pStyle w:val="TextBody"/>
        <w:spacing w:lineRule="auto" w:line="240" w:before="0" w:after="100"/>
        <w:jc w:val="center"/>
        <w:rPr>
          <w:rFonts w:ascii="Times New Roman;sans-serif" w:hAnsi="Times New Roman;sans-serif"/>
          <w:b/>
          <w:color w:val="000000"/>
          <w:sz w:val="20"/>
        </w:rPr>
      </w:pPr>
      <w:r>
        <w:rPr>
          <w:rFonts w:ascii="Times New Roman;sans-serif" w:hAnsi="Times New Roman;sans-serif"/>
          <w:b/>
          <w:color w:val="000000"/>
          <w:sz w:val="20"/>
        </w:rPr>
        <w:t>____________________</w:t>
      </w:r>
    </w:p>
    <w:p>
      <w:pPr>
        <w:pStyle w:val="TextBody"/>
        <w:spacing w:lineRule="auto" w:line="240" w:before="100" w:after="100"/>
        <w:rPr>
          <w:rFonts w:ascii="Times New Roman;sans-serif" w:hAnsi="Times New Roman;sans-serif"/>
          <w:b w:val="false"/>
          <w:color w:val="000000"/>
          <w:sz w:val="20"/>
        </w:rPr>
      </w:pPr>
      <w:r>
        <w:rPr>
          <w:rFonts w:ascii="Times New Roman;sans-serif" w:hAnsi="Times New Roman;sans-serif"/>
          <w:b w:val="false"/>
          <w:color w:val="000000"/>
          <w:sz w:val="20"/>
        </w:rPr>
        <w:t>Securities registered or to be registered pursuant to Section 12(b) of the Act:</w:t>
      </w:r>
    </w:p>
    <w:tbl>
      <w:tblPr>
        <w:tblW w:w="7993" w:type="dxa"/>
        <w:jc w:val="left"/>
        <w:tblInd w:w="0" w:type="dxa"/>
        <w:tblCellMar>
          <w:top w:w="28" w:type="dxa"/>
          <w:left w:w="28" w:type="dxa"/>
          <w:bottom w:w="28" w:type="dxa"/>
          <w:right w:w="28" w:type="dxa"/>
        </w:tblCellMar>
      </w:tblPr>
      <w:tblGrid>
        <w:gridCol w:w="967"/>
        <w:gridCol w:w="846"/>
        <w:gridCol w:w="856"/>
        <w:gridCol w:w="539"/>
        <w:gridCol w:w="539"/>
        <w:gridCol w:w="541"/>
        <w:gridCol w:w="1085"/>
        <w:gridCol w:w="1085"/>
        <w:gridCol w:w="1535"/>
      </w:tblGrid>
      <w:tr>
        <w:trPr/>
        <w:tc>
          <w:tcPr>
            <w:tcW w:w="96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6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Common Shares, no par value</w:t>
            </w:r>
          </w:p>
        </w:tc>
        <w:tc>
          <w:tcPr>
            <w:tcW w:w="16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CYBN</w:t>
            </w:r>
          </w:p>
        </w:tc>
        <w:tc>
          <w:tcPr>
            <w:tcW w:w="370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NYSE American LLC</w:t>
            </w:r>
          </w:p>
        </w:tc>
      </w:tr>
    </w:tbl>
    <w:p>
      <w:pPr>
        <w:pStyle w:val="TextBody"/>
        <w:spacing w:lineRule="auto" w:line="240" w:before="100" w:after="10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for which there is a reporting obligation pursuant to Section 15(d) of the Act: None</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For annual reports, indicate by check mark the information filed with this Form:</w:t>
      </w:r>
    </w:p>
    <w:tbl>
      <w:tblPr>
        <w:tblW w:w="5818" w:type="dxa"/>
        <w:jc w:val="left"/>
        <w:tblInd w:w="0" w:type="dxa"/>
        <w:tblCellMar>
          <w:top w:w="28" w:type="dxa"/>
          <w:left w:w="28" w:type="dxa"/>
          <w:bottom w:w="28" w:type="dxa"/>
          <w:right w:w="28" w:type="dxa"/>
        </w:tblCellMar>
      </w:tblPr>
      <w:tblGrid>
        <w:gridCol w:w="884"/>
        <w:gridCol w:w="778"/>
        <w:gridCol w:w="782"/>
        <w:gridCol w:w="986"/>
        <w:gridCol w:w="986"/>
        <w:gridCol w:w="1402"/>
      </w:tblGrid>
      <w:tr>
        <w:trPr/>
        <w:tc>
          <w:tcPr>
            <w:tcW w:w="884"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 Annual information form</w:t>
            </w:r>
          </w:p>
        </w:tc>
        <w:tc>
          <w:tcPr>
            <w:tcW w:w="337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 Audited annual financial statements</w:t>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2"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outstanding shares of each of the issuer’s classes of capital or common stock as of the close of the period covered by the annual report: As at March 31, 2023, the Cybin Inc. had 195,328,733 common shares outstanding. </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 X ] Yes [ ] No</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12b-2 of the Exchange Act.</w:t>
      </w:r>
    </w:p>
    <w:p>
      <w:pPr>
        <w:pStyle w:val="TextBody"/>
        <w:spacing w:lineRule="auto" w:line="240"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[X]</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spacing w:lineRule="auto" w:line="268" w:before="0" w:after="0"/>
        <w:rPr>
          <w:color w:val="000000"/>
        </w:rPr>
      </w:pPr>
      <w:r>
        <w:rPr>
          <w:color w:val="000000"/>
        </w:rPr>
        <w:t xml:space="preserve">† </w:t>
      </w:r>
      <w:r>
        <w:rPr>
          <w:rFonts w:ascii="Times New Roman;sans-serif" w:hAnsi="Times New Roman;sans-serif"/>
          <w:b w:val="false"/>
          <w:color w:val="000000"/>
          <w:sz w:val="20"/>
        </w:rPr>
        <w:t>The term “new or revised financial accounting standard” refers to any update issued by the Financial Accounting Standards Board to its Accounting Standards Codification after April 5, 2012.</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0" w:after="2"/>
        <w:jc w:val="both"/>
        <w:rPr/>
      </w:pPr>
      <w:r>
        <w:rPr/>
      </w:r>
    </w:p>
    <w:p>
      <w:pPr>
        <w:pStyle w:val="TextBody"/>
        <w:spacing w:lineRule="auto" w:line="268" w:before="0" w:after="0"/>
        <w:jc w:val="both"/>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sans-serif" w:hAnsi="Times New Roman;sans-serif"/>
          <w:b w:val="false"/>
          <w:color w:val="000000"/>
          <w:sz w:val="13"/>
        </w:rPr>
        <w:t>1</w:t>
      </w:r>
      <w:r>
        <w:rPr>
          <w:rFonts w:ascii="Times New Roman;sans-serif" w:hAnsi="Times New Roman;sans-serif"/>
          <w:b w:val="false"/>
          <w:color w:val="000000"/>
          <w:sz w:val="20"/>
        </w:rPr>
        <w:t>[ ]</w:t>
      </w:r>
    </w:p>
    <w:p>
      <w:pPr>
        <w:pStyle w:val="TextBody"/>
        <w:spacing w:lineRule="auto" w:line="268" w:before="0" w:after="0"/>
        <w:jc w:val="both"/>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§240.10D-(b).</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w:t>
      </w:r>
    </w:p>
    <w:p>
      <w:pPr>
        <w:pStyle w:val="TextBody"/>
        <w:spacing w:before="0" w:after="0"/>
        <w:rPr/>
      </w:pPr>
      <w:r>
        <w:rPr/>
      </w:r>
    </w:p>
    <w:p>
      <w:pPr>
        <w:pStyle w:val="TextBody"/>
        <w:spacing w:before="0" w:after="0"/>
        <w:rPr/>
      </w:pPr>
      <w:r>
        <w:rPr/>
        <w:drawing>
          <wp:inline distT="0" distB="63500" distL="0" distR="0">
            <wp:extent cx="5943600" cy="285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943600" cy="28575"/>
                    </a:xfrm>
                    <a:prstGeom prst="rect">
                      <a:avLst/>
                    </a:prstGeom>
                  </pic:spPr>
                </pic:pic>
              </a:graphicData>
            </a:graphic>
          </wp:inline>
        </w:drawing>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lineRule="auto" w:line="240" w:before="100" w:after="100"/>
        <w:jc w:val="both"/>
        <w:rPr/>
      </w:pPr>
      <w:r>
        <w:rPr>
          <w:rFonts w:ascii="Times New Roman;sans-serif" w:hAnsi="Times New Roman;sans-serif"/>
          <w:b w:val="false"/>
          <w:color w:val="000000"/>
          <w:sz w:val="20"/>
        </w:rPr>
        <w:t>Cybin Inc. (the “</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color w:val="000000"/>
          <w:sz w:val="20"/>
        </w:rPr>
        <w:t>Registrant</w:t>
      </w:r>
      <w:r>
        <w:rPr>
          <w:color w:val="000000"/>
        </w:rPr>
        <w:t>”</w:t>
      </w:r>
      <w:r>
        <w:rPr>
          <w:rFonts w:ascii="Times New Roman;sans-serif" w:hAnsi="Times New Roman;sans-serif"/>
          <w:b w:val="false"/>
          <w:color w:val="000000"/>
          <w:sz w:val="20"/>
        </w:rPr>
        <w:t>) is a Canadian issuer that is permitted, under the multijurisdictional disclosure system adopted in the United States, to prepare this Annual Report on Form 40-F (this “</w:t>
      </w:r>
      <w:r>
        <w:rPr>
          <w:rFonts w:ascii="Times New Roman;sans-serif" w:hAnsi="Times New Roman;sans-serif"/>
          <w:b/>
          <w:color w:val="000000"/>
          <w:sz w:val="20"/>
        </w:rPr>
        <w:t>Annual Report</w:t>
      </w:r>
      <w:r>
        <w:rPr>
          <w:color w:val="000000"/>
        </w:rPr>
        <w:t>”</w:t>
      </w:r>
      <w:r>
        <w:rPr>
          <w:rFonts w:ascii="Times New Roman;sans-serif" w:hAnsi="Times New Roman;sans-serif"/>
          <w:b w:val="false"/>
          <w:color w:val="000000"/>
          <w:sz w:val="20"/>
        </w:rPr>
        <w:t>) pursuant to Section 13 of the Securities Exchange Act of 1934, as amended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in accordance with Canadian disclosure requirements, which are different from those of the United States. The Company is a “foreign private issuer” as defined in Rule 3b-4 under the Exchange Act and Rule 405 under the Securities Act of 1933, as amended. Equity securities of the Company are accordingly exempt from Sections 14(a), 14(b), 14(c), 14(f) and 16 of the Exchange Act pursuant to Rule 3a12-3 thereunder.</w:t>
      </w:r>
    </w:p>
    <w:p>
      <w:pPr>
        <w:pStyle w:val="TextBody"/>
        <w:spacing w:before="100" w:after="100"/>
        <w:jc w:val="both"/>
        <w:rPr/>
      </w:pPr>
      <w:r>
        <w:rPr/>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spacing w:lineRule="auto" w:line="240" w:before="100" w:after="100"/>
        <w:jc w:val="both"/>
        <w:rPr/>
      </w:pPr>
      <w:r>
        <w:rPr>
          <w:rFonts w:ascii="Times New Roman;sans-serif" w:hAnsi="Times New Roman;sans-serif"/>
          <w:b w:val="false"/>
          <w:color w:val="000000"/>
          <w:sz w:val="20"/>
        </w:rPr>
        <w:t>This Annual Report, including the documents incorporated by reference herein, may contain “forward-looking information” or “forward-looking statements” within the meaning of applicable securities laws (collectively referred to herein as “</w:t>
      </w:r>
      <w:r>
        <w:rPr>
          <w:rFonts w:ascii="Times New Roman;sans-serif" w:hAnsi="Times New Roman;sans-serif"/>
          <w:b/>
          <w:color w:val="000000"/>
          <w:sz w:val="20"/>
        </w:rPr>
        <w:t>forward-looking statements</w:t>
      </w:r>
      <w:r>
        <w:rPr>
          <w:color w:val="000000"/>
        </w:rPr>
        <w:t>”</w:t>
      </w:r>
      <w:r>
        <w:rPr>
          <w:rFonts w:ascii="Times New Roman;sans-serif" w:hAnsi="Times New Roman;sans-serif"/>
          <w:b w:val="false"/>
          <w:color w:val="000000"/>
          <w:sz w:val="20"/>
        </w:rPr>
        <w:t xml:space="preserve">). All statements other than statements of historical fact, including, without limitation, those regarding the future financial position and results of operations, strategy, plans, objectives, goals, targets and future developments of the Registrant in the markets where the Registrant participates or is seeking to participate, and any statements preceded by, followed by or that include the words “considers”, “plans”, “expects” or “does not expect”, “is expected”, “budget”, “scheduled”, “estimates”, “forecasts”, “intends”, “anticipates” or “does not anticipate”, or “believes”, or variations of such words and phrases or statements that certain actions, events or results “may”, “could”, “would”, “might” or “will be taken”, “occur” or “be achieved” or the negative of these terms or comparable terminology, are forward-looking statements. These statements reflect management’s beliefs with respect to future events and are based on information available to management as of the respective dates of this Annual Report and the document incorporated by reference herein, including reasonable assumptions, estimates, internal and external analysis and opinions of management considering its experience, perception of trends, current conditions and expected developments as well as other factors that management </w:t>
      </w:r>
    </w:p>
    <w:p>
      <w:pPr>
        <w:pStyle w:val="TextBody"/>
        <w:spacing w:lineRule="auto" w:line="300" w:before="0" w:after="0"/>
        <w:rPr/>
      </w:pPr>
      <w:r>
        <w:rPr>
          <w:rFonts w:ascii="Calibri;sans-serif" w:hAnsi="Calibri;sans-serif"/>
          <w:b w:val="false"/>
          <w:color w:val="000000"/>
          <w:sz w:val="12"/>
        </w:rPr>
        <w:t>1</w:t>
      </w:r>
      <w:r>
        <w:rPr>
          <w:color w:val="000000"/>
        </w:rPr>
        <w:t xml:space="preserve"> </w:t>
      </w:r>
      <w:r>
        <w:rPr>
          <w:rFonts w:ascii="Times New Roman;sans-serif" w:hAnsi="Times New Roman;sans-serif"/>
          <w:b w:val="false"/>
          <w:color w:val="000000"/>
          <w:sz w:val="18"/>
        </w:rPr>
        <w:t>Check boxes are blank, pending adoption of the underlying rules.</w:t>
      </w:r>
    </w:p>
    <w:p>
      <w:pPr>
        <w:pStyle w:val="TextBody"/>
        <w:spacing w:lineRule="auto" w:line="300" w:before="0" w:after="0"/>
        <w:rPr/>
      </w:pPr>
      <w:r>
        <w:rPr>
          <w:rFonts w:ascii="Calibri;sans-serif" w:hAnsi="Calibri;sans-serif"/>
          <w:b w:val="false"/>
          <w:color w:val="000000"/>
          <w:sz w:val="14"/>
        </w:rPr>
        <w:t>2</w:t>
      </w:r>
      <w:r>
        <w:rPr>
          <w:color w:val="000000"/>
        </w:rPr>
        <w:t xml:space="preserve"> </w:t>
      </w:r>
      <w:r>
        <w:rPr>
          <w:rFonts w:ascii="Times New Roman;sans-serif" w:hAnsi="Times New Roman;sans-serif"/>
          <w:b w:val="false"/>
          <w:color w:val="000000"/>
          <w:sz w:val="18"/>
        </w:rPr>
        <w:t>Check boxes are blank, pending adoption of the underlying rules.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4"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40" w:before="100" w:after="100"/>
        <w:jc w:val="both"/>
        <w:rPr/>
      </w:pPr>
      <w:r>
        <w:rPr>
          <w:rFonts w:ascii="Times New Roman;sans-serif" w:hAnsi="Times New Roman;sans-serif"/>
          <w:b w:val="false"/>
          <w:color w:val="000000"/>
          <w:sz w:val="20"/>
        </w:rPr>
        <w:t>believed to be relevant as at the date such statements were made.</w:t>
      </w:r>
      <w:r>
        <w:rPr>
          <w:color w:val="000000"/>
        </w:rPr>
        <w:t xml:space="preserve"> </w:t>
      </w:r>
      <w:r>
        <w:rPr>
          <w:rFonts w:ascii="Times New Roman;sans-serif" w:hAnsi="Times New Roman;sans-serif"/>
          <w:b w:val="false"/>
          <w:color w:val="000000"/>
          <w:sz w:val="20"/>
        </w:rPr>
        <w:t xml:space="preserve">These statements involve known and unknown risks, uncertainties, and other factors that may cause actual results or events to differ materially from those anticipated or implied in such forward-looking statements, including, without limitation, those described in the Registrant’s Annual Information Form for the year ended March 31, 2023, attached hereto as </w:t>
      </w:r>
      <w:r>
        <w:rPr>
          <w:rFonts w:ascii="Times New Roman;sans-serif" w:hAnsi="Times New Roman;sans-serif"/>
          <w:b w:val="false"/>
          <w:color w:val="000000"/>
          <w:sz w:val="20"/>
          <w:u w:val="single"/>
        </w:rPr>
        <w:t>Exhibit 99.1</w:t>
      </w:r>
      <w:r>
        <w:rPr>
          <w:rFonts w:ascii="Times New Roman;sans-serif" w:hAnsi="Times New Roman;sans-serif"/>
          <w:b w:val="false"/>
          <w:color w:val="000000"/>
          <w:sz w:val="20"/>
        </w:rPr>
        <w:t>.</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and management caution readers not to place undue reliance on any forward-looking statements, which speak only as of the date made. Although the Registrant believes that the expectations reflected in the forward-looking statements were reasonable as of the time such forward-looking statements were made, it can give no assurance that such expectations will prove to have been correct. The Registrant and management assume no obligation to update or revise them to reflect new events or circumstances except as required by applicable securities laws.</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DIFFERENCES IN UNITED STATES AND CANADIAN REPORTING PRACTICES</w:t>
      </w:r>
    </w:p>
    <w:p>
      <w:pPr>
        <w:pStyle w:val="TextBody"/>
        <w:spacing w:lineRule="auto" w:line="240" w:before="100" w:after="100"/>
        <w:jc w:val="both"/>
        <w:rPr/>
      </w:pPr>
      <w:r>
        <w:rPr>
          <w:rFonts w:ascii="Times New Roman;sans-serif" w:hAnsi="Times New Roman;sans-serif"/>
          <w:b w:val="false"/>
          <w:color w:val="000000"/>
          <w:sz w:val="20"/>
        </w:rPr>
        <w:t>The Registrant is permitted, under a multijurisdictional disclosure system adopted by the United States Securities and Exchange Commission (the “</w:t>
      </w:r>
      <w:r>
        <w:rPr>
          <w:rFonts w:ascii="Times New Roman;sans-serif" w:hAnsi="Times New Roman;sans-serif"/>
          <w:b/>
          <w:color w:val="000000"/>
          <w:sz w:val="20"/>
        </w:rPr>
        <w:t>SEC</w:t>
      </w:r>
      <w:r>
        <w:rPr>
          <w:color w:val="000000"/>
        </w:rPr>
        <w:t>”</w:t>
      </w:r>
      <w:r>
        <w:rPr>
          <w:rFonts w:ascii="Times New Roman;sans-serif" w:hAnsi="Times New Roman;sans-serif"/>
          <w:b w:val="false"/>
          <w:color w:val="000000"/>
          <w:sz w:val="20"/>
        </w:rPr>
        <w:t xml:space="preserve">), to prepare this report in accordance with Canadian disclosure requirements, which are different from those of the United States. The Registrant prepares its consolidated financial statements, which are filed as </w:t>
      </w:r>
      <w:r>
        <w:rPr>
          <w:rFonts w:ascii="Times New Roman;sans-serif" w:hAnsi="Times New Roman;sans-serif"/>
          <w:b w:val="false"/>
          <w:color w:val="000000"/>
          <w:sz w:val="20"/>
          <w:u w:val="single"/>
        </w:rPr>
        <w:t>Exhibit 99.2</w:t>
      </w:r>
      <w:r>
        <w:rPr>
          <w:color w:val="000000"/>
        </w:rPr>
        <w:t xml:space="preserve"> </w:t>
      </w:r>
      <w:r>
        <w:rPr>
          <w:rFonts w:ascii="Times New Roman;sans-serif" w:hAnsi="Times New Roman;sans-serif"/>
          <w:b w:val="false"/>
          <w:color w:val="000000"/>
          <w:sz w:val="20"/>
        </w:rPr>
        <w:t>to this Annual Report, in accordance with International Financial Reporting Standards as issued by the International Accounting Standards Board and the audit is subject to Canadian auditing and auditor independence standards.</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CURRENCY</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all dollar amounts in this Annual Report are in Canadian dollars. The exchange rate of United States dollars into Canadian dollars, on March 31, 2023, based upon the daily exchange rate as quoted by the Bank of Canada was USD$1.00 = CAD$1.3533.</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PRINCIPAL DOCUMENTS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documents have been filed as part of this Annual Report:</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A. Annual Information Form</w:t>
      </w:r>
    </w:p>
    <w:p>
      <w:pPr>
        <w:pStyle w:val="TextBody"/>
        <w:spacing w:lineRule="auto" w:line="240" w:before="0" w:after="240"/>
        <w:rPr/>
      </w:pPr>
      <w:r>
        <w:rPr>
          <w:rFonts w:ascii="Times New Roman;sans-serif" w:hAnsi="Times New Roman;sans-serif"/>
          <w:b w:val="false"/>
          <w:color w:val="000000"/>
          <w:sz w:val="20"/>
          <w:highlight w:val="white"/>
        </w:rPr>
        <w:t>The Registrant’s Annual Information Form for the fiscal year ended March 31, 2023 (the “</w:t>
      </w:r>
      <w:r>
        <w:rPr>
          <w:rFonts w:ascii="Times New Roman;sans-serif" w:hAnsi="Times New Roman;sans-serif"/>
          <w:b/>
          <w:color w:val="000000"/>
          <w:sz w:val="20"/>
          <w:highlight w:val="white"/>
        </w:rPr>
        <w:t>AIF</w:t>
      </w:r>
      <w:r>
        <w:rPr>
          <w:color w:val="000000"/>
          <w:highlight w:val="white"/>
        </w:rPr>
        <w:t>”</w:t>
      </w:r>
      <w:r>
        <w:rPr>
          <w:rFonts w:ascii="Times New Roman;sans-serif" w:hAnsi="Times New Roman;sans-serif"/>
          <w:b w:val="false"/>
          <w:color w:val="000000"/>
          <w:sz w:val="20"/>
          <w:highlight w:val="white"/>
        </w:rPr>
        <w:t xml:space="preserve">) is attached as </w:t>
      </w:r>
      <w:r>
        <w:rPr>
          <w:rFonts w:ascii="Times New Roman;sans-serif" w:hAnsi="Times New Roman;sans-serif"/>
          <w:b w:val="false"/>
          <w:color w:val="000000"/>
          <w:sz w:val="20"/>
          <w:highlight w:val="white"/>
          <w:u w:val="single"/>
        </w:rPr>
        <w:t>Exhibit 99.1</w:t>
      </w:r>
      <w:r>
        <w:rPr>
          <w:color w:val="000000"/>
          <w:highlight w:val="white"/>
        </w:rPr>
        <w:t xml:space="preserve"> </w:t>
      </w:r>
      <w:r>
        <w:rPr>
          <w:rFonts w:ascii="Times New Roman;sans-serif" w:hAnsi="Times New Roman;sans-serif"/>
          <w:b w:val="false"/>
          <w:color w:val="000000"/>
          <w:sz w:val="20"/>
          <w:highlight w:val="white"/>
        </w:rPr>
        <w:t>to this Annual Report and is incorporated by reference herein.</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B. Audited Annual Financial Statements</w:t>
      </w:r>
    </w:p>
    <w:p>
      <w:pPr>
        <w:pStyle w:val="TextBody"/>
        <w:spacing w:lineRule="auto" w:line="240" w:before="0" w:after="240"/>
        <w:jc w:val="both"/>
        <w:rPr/>
      </w:pPr>
      <w:r>
        <w:rPr>
          <w:rFonts w:ascii="Times New Roman;sans-serif" w:hAnsi="Times New Roman;sans-serif"/>
          <w:b w:val="false"/>
          <w:color w:val="000000"/>
          <w:sz w:val="20"/>
          <w:highlight w:val="white"/>
        </w:rPr>
        <w:t xml:space="preserve">The Registrant’s consolidated audited annual financial statements for the fiscal year ended March 31, 2023, including the reports of the independent registered public accounting firm with respect thereto are attached as </w:t>
      </w:r>
      <w:r>
        <w:rPr>
          <w:rFonts w:ascii="Times New Roman;sans-serif" w:hAnsi="Times New Roman;sans-serif"/>
          <w:b w:val="false"/>
          <w:color w:val="000000"/>
          <w:sz w:val="20"/>
          <w:highlight w:val="white"/>
          <w:u w:val="single"/>
        </w:rPr>
        <w:t>Exhibit 99.2</w:t>
      </w:r>
      <w:r>
        <w:rPr>
          <w:color w:val="000000"/>
          <w:highlight w:val="white"/>
        </w:rPr>
        <w:t xml:space="preserve"> </w:t>
      </w:r>
      <w:r>
        <w:rPr>
          <w:rFonts w:ascii="Times New Roman;sans-serif" w:hAnsi="Times New Roman;sans-serif"/>
          <w:b w:val="false"/>
          <w:color w:val="000000"/>
          <w:sz w:val="20"/>
          <w:highlight w:val="white"/>
        </w:rPr>
        <w:t>to this Annual Report and are incorporated by reference herein.</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C. Management’s Discussion and Analysis</w:t>
      </w:r>
    </w:p>
    <w:p>
      <w:pPr>
        <w:pStyle w:val="TextBody"/>
        <w:spacing w:lineRule="auto" w:line="240" w:before="0" w:after="240"/>
        <w:jc w:val="both"/>
        <w:rPr/>
      </w:pPr>
      <w:r>
        <w:rPr>
          <w:rFonts w:ascii="Times New Roman;sans-serif" w:hAnsi="Times New Roman;sans-serif"/>
          <w:b w:val="false"/>
          <w:color w:val="000000"/>
          <w:sz w:val="20"/>
          <w:highlight w:val="white"/>
        </w:rPr>
        <w:t>The Registrant’s management’s discussion and analysis of financial condition and operating performance for the fiscal year ended March 31, 2023 (the “</w:t>
      </w:r>
      <w:r>
        <w:rPr>
          <w:rFonts w:ascii="Times New Roman;sans-serif" w:hAnsi="Times New Roman;sans-serif"/>
          <w:b/>
          <w:color w:val="000000"/>
          <w:sz w:val="20"/>
          <w:highlight w:val="white"/>
        </w:rPr>
        <w:t>MD&amp;A</w:t>
      </w:r>
      <w:r>
        <w:rPr>
          <w:color w:val="000000"/>
          <w:highlight w:val="white"/>
        </w:rPr>
        <w:t>”</w:t>
      </w:r>
      <w:r>
        <w:rPr>
          <w:rFonts w:ascii="Times New Roman;sans-serif" w:hAnsi="Times New Roman;sans-serif"/>
          <w:b w:val="false"/>
          <w:color w:val="000000"/>
          <w:sz w:val="20"/>
          <w:highlight w:val="white"/>
        </w:rPr>
        <w:t xml:space="preserve">) is attached as </w:t>
      </w:r>
      <w:r>
        <w:rPr>
          <w:rFonts w:ascii="Times New Roman;sans-serif" w:hAnsi="Times New Roman;sans-serif"/>
          <w:b w:val="false"/>
          <w:color w:val="000000"/>
          <w:sz w:val="20"/>
          <w:highlight w:val="white"/>
          <w:u w:val="single"/>
        </w:rPr>
        <w:t>Exhibit 99.3</w:t>
      </w:r>
      <w:r>
        <w:rPr>
          <w:color w:val="000000"/>
          <w:highlight w:val="white"/>
        </w:rPr>
        <w:t xml:space="preserve"> </w:t>
      </w:r>
      <w:r>
        <w:rPr>
          <w:rFonts w:ascii="Times New Roman;sans-serif" w:hAnsi="Times New Roman;sans-serif"/>
          <w:b w:val="false"/>
          <w:color w:val="000000"/>
          <w:sz w:val="20"/>
          <w:highlight w:val="white"/>
        </w:rPr>
        <w:t>to this Annual Report and is incorporated by reference herein.</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TAX MATTERS</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Purchasing, holding, or disposing of the Company’s securities may have tax consequences under the laws of the United States and Canada that are not described in this Annual Report.</w:t>
      </w:r>
    </w:p>
    <w:p>
      <w:pPr>
        <w:pStyle w:val="TextBody"/>
        <w:spacing w:before="0" w:after="2"/>
        <w:jc w:val="both"/>
        <w:rPr/>
      </w:pPr>
      <w:r>
        <w:rPr/>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lineRule="auto" w:line="240" w:before="100" w:after="240"/>
        <w:jc w:val="both"/>
        <w:rPr/>
      </w:pPr>
      <w:r>
        <w:rPr>
          <w:rFonts w:ascii="Times New Roman;sans-serif" w:hAnsi="Times New Roman;sans-serif"/>
          <w:b w:val="false"/>
          <w:color w:val="000000"/>
          <w:sz w:val="20"/>
          <w:highlight w:val="white"/>
        </w:rPr>
        <w:t>As of the end of the period covered by this Annual Report, the Company carried out an evaluation, under the supervision of the Company's Chief Executive Officer (the “</w:t>
      </w:r>
      <w:r>
        <w:rPr>
          <w:rFonts w:ascii="Times New Roman;sans-serif" w:hAnsi="Times New Roman;sans-serif"/>
          <w:b/>
          <w:color w:val="000000"/>
          <w:sz w:val="20"/>
          <w:highlight w:val="white"/>
        </w:rPr>
        <w:t>CEO</w:t>
      </w:r>
      <w:r>
        <w:rPr>
          <w:color w:val="000000"/>
          <w:highlight w:val="white"/>
        </w:rPr>
        <w:t>”</w:t>
      </w:r>
      <w:r>
        <w:rPr>
          <w:rFonts w:ascii="Times New Roman;sans-serif" w:hAnsi="Times New Roman;sans-serif"/>
          <w:b w:val="false"/>
          <w:color w:val="000000"/>
          <w:sz w:val="20"/>
          <w:highlight w:val="white"/>
        </w:rPr>
        <w:t>) and Chief Financial Officer (the “</w:t>
      </w:r>
      <w:r>
        <w:rPr>
          <w:rFonts w:ascii="Times New Roman;sans-serif" w:hAnsi="Times New Roman;sans-serif"/>
          <w:b/>
          <w:color w:val="000000"/>
          <w:sz w:val="20"/>
          <w:highlight w:val="white"/>
        </w:rPr>
        <w:t>CFO</w:t>
      </w:r>
      <w:r>
        <w:rPr>
          <w:color w:val="000000"/>
          <w:highlight w:val="white"/>
        </w:rPr>
        <w:t>”</w:t>
      </w:r>
      <w:r>
        <w:rPr>
          <w:rFonts w:ascii="Times New Roman;sans-serif" w:hAnsi="Times New Roman;sans-serif"/>
          <w:b w:val="false"/>
          <w:color w:val="000000"/>
          <w:sz w:val="20"/>
          <w:highlight w:val="white"/>
        </w:rPr>
        <w:t>), of the effectiveness of the Company’s disclosure controls and procedures (as defined in Rules 13a-15(e) and 15d-15(e) of the Exchange Act). Based upon that evaluation, the Company’s CEO and CFO have concluded that, as of the end of the period covered by this Annual Report, the Company’s disclosure controls and procedures are effective to ensure that information required to be disclosed by the Company in reports that it files or submits under the Exchange Act is (i) recorded, processed, summarized and reported within the time periods specified in SEC rules and forms, and (ii) accumulated and communicated to the Company’s management, including its principal executive officer and principal financial officer, to allow timely decisions regarding required disclosure.</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75260"/>
                <wp:effectExtent l="0" t="0" r="0" b="0"/>
                <wp:wrapNone/>
                <wp:docPr id="5"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40" w:before="0" w:after="2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While the Company’s principal executive officer and principal financial officer believe that the Company’s disclosure controls and procedures provide a reasonable level of assurance that they are effective, they do not expect that the Company’s disclosure controls and procedures or internal control over financial reporting will prevent all errors or fraud. A control system, no matter how well conceived or operated, can provide only reasonable, not absolute, assurance that the objectives of the control system are met.</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MANAGEMENT’S ANNUAL REPORT ON</w:t>
        <w:br/>
        <w:t>INTERNAL CONTROL OVER FINANCIAL REPORTING</w:t>
      </w:r>
    </w:p>
    <w:p>
      <w:pPr>
        <w:pStyle w:val="TextBody"/>
        <w:spacing w:lineRule="auto" w:line="240" w:before="1" w:after="1"/>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Management, including the CEO and CFO, is responsible for establishing and maintaining adequate internal control over financial reporting, as defined in Rule 13a-15(f) under the Exchange Act. The Company’s management has employed a framework consistent with Exchange Act Rule 13a-15(c), to evaluate the Company’s internal control over financial reporting described below.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 company’s internal control over financial reporting includes those policies and procedures that (i) pertain to the maintenance of records that, in reasonable detail, that accurately and fairly reflect the transactions and dispositions of the assets of the company; (ii) provide reasonable assurance that transactions are recorded as necessary to permit preparation of financial statements in accordance with applicable IFRS, and that receipts and expenditures of the company are only being made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It should be noted that a control system, no matter how well designed or operated, can provide only reasonable assurance,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Also, projections of any evaluation of effectiveness to future periods are subject to the risk that any design will not succeed in achieving its stated goals under all potential future conditions. Accordingly, because of the inherent limitations in a cost effective control system, misstatements due to error or fraud may occur and not be detected. </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Company’s management, including the CEO and CFO, is responsible for establishing and maintaining adequate internal control over financial reporting, and used the framework issued by the Committee of Sponsoring Organizations of the Treadway Commission (2013) (COSO) to evaluate the effectiveness of our controls. Based on this evaluation, management concluded that the Company’s internal controls over financial reporting were effective as of March 31, 2023.</w:t>
      </w:r>
    </w:p>
    <w:p>
      <w:pPr>
        <w:pStyle w:val="TextBody"/>
        <w:spacing w:before="1" w:after="1"/>
        <w:jc w:val="both"/>
        <w:rPr/>
      </w:pPr>
      <w:r>
        <w:rPr/>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ATTESTATION REPORT OF THE REGISTERED PUBLIC ACCOUNTING FIRM</w:t>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an "emerging growth company" under the Jumpstart our Business Startups Act, the Company is exempt from Section 404(b) of the Sarbanes-Oxley Act of 2002, which requires that a public company's registered public accounting firm provide an attestation report relating to management' assessment of internal control over financial reporting.</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2"/>
        <w:jc w:val="center"/>
        <w:rPr/>
      </w:pPr>
      <w:r>
        <w:rPr/>
      </w:r>
    </w:p>
    <w:p>
      <w:pPr>
        <w:pStyle w:val="TextBody"/>
        <w:spacing w:lineRule="auto" w:line="240" w:before="0" w:after="2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has been no change in the Registrant’s internal control over financial reporting during the fiscal year ended March 31, 2023, that has materially affected, or is reasonably likely to materially affect, the Registrant’s internal control over financial reporting.</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NOTICES PURSUANT TO REGULATION BTR</w:t>
      </w:r>
    </w:p>
    <w:p>
      <w:pPr>
        <w:pStyle w:val="TextBody"/>
        <w:spacing w:lineRule="auto" w:line="240" w:before="0" w:after="1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were no notices required by Rule 104 of Regulation BTR that the Company sent during the year ended March 31, 2023 concerning any equity security subject to a blackout period under Rule 101 of Regulation BTR.</w:t>
      </w:r>
    </w:p>
    <w:p>
      <w:pPr>
        <w:pStyle w:val="TextBody"/>
        <w:spacing w:before="1" w:after="1"/>
        <w:jc w:val="both"/>
        <w:rPr/>
      </w:pPr>
      <w:r>
        <w:rPr/>
      </w:r>
    </w:p>
    <w:p>
      <w:pPr>
        <w:pStyle w:val="TextBody"/>
        <w:spacing w:lineRule="auto" w:line="240" w:before="0" w:after="100"/>
        <w:ind w:left="0" w:right="0" w:hanging="1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CORPORATE GOVERNANCE</w:t>
      </w:r>
    </w:p>
    <w:p>
      <w:pPr>
        <w:pStyle w:val="TextBody"/>
        <w:spacing w:lineRule="auto" w:line="240" w:before="0" w:after="100"/>
        <w:ind w:left="0" w:right="0" w:hanging="10"/>
        <w:jc w:val="both"/>
        <w:rPr/>
      </w:pPr>
      <w:r>
        <w:rPr>
          <w:rFonts w:ascii="Times New Roman;sans-serif" w:hAnsi="Times New Roman;sans-serif"/>
          <w:b w:val="false"/>
          <w:color w:val="000000"/>
          <w:sz w:val="20"/>
          <w:highlight w:val="white"/>
        </w:rPr>
        <w:t>The Company's Board of Directors (the “</w:t>
      </w:r>
      <w:r>
        <w:rPr>
          <w:rFonts w:ascii="Times New Roman;sans-serif" w:hAnsi="Times New Roman;sans-serif"/>
          <w:b/>
          <w:color w:val="000000"/>
          <w:sz w:val="20"/>
          <w:highlight w:val="white"/>
        </w:rPr>
        <w:t>Board</w:t>
      </w:r>
      <w:r>
        <w:rPr>
          <w:color w:val="000000"/>
          <w:highlight w:val="white"/>
        </w:rPr>
        <w:t>”</w:t>
      </w:r>
      <w:r>
        <w:rPr>
          <w:rFonts w:ascii="Times New Roman;sans-serif" w:hAnsi="Times New Roman;sans-serif"/>
          <w:b w:val="false"/>
          <w:color w:val="000000"/>
          <w:sz w:val="20"/>
          <w:highlight w:val="white"/>
        </w:rPr>
        <w:t xml:space="preserve">) is responsible for the Company’s corporate governance and has the following independent designated standing committees: the Compensation Committee, the Governance and Nomination Committee and Audit Committee. The charters of each committee can be viewed on the Company's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75260"/>
                <wp:effectExtent l="0" t="0" r="0" b="0"/>
                <wp:wrapNone/>
                <wp:docPr id="6" name="Frame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40" w:before="0" w:after="100"/>
        <w:jc w:val="both"/>
        <w:rPr/>
      </w:pPr>
      <w:r>
        <w:rPr>
          <w:rFonts w:ascii="Times New Roman;sans-serif" w:hAnsi="Times New Roman;sans-serif"/>
          <w:b w:val="false"/>
          <w:color w:val="000000"/>
          <w:sz w:val="20"/>
          <w:highlight w:val="white"/>
        </w:rPr>
        <w:t>corporate website at </w:t>
      </w:r>
      <w:r>
        <w:rPr>
          <w:rFonts w:ascii="Times New Roman;sans-serif" w:hAnsi="Times New Roman;sans-serif"/>
          <w:b w:val="false"/>
          <w:color w:val="0563C1"/>
          <w:sz w:val="20"/>
          <w:highlight w:val="white"/>
          <w:u w:val="single"/>
        </w:rPr>
        <w:t>https://ir.cybin.com/investors/governance/governance-documents/</w:t>
      </w:r>
      <w:r>
        <w:rPr>
          <w:rFonts w:ascii="Times New Roman;sans-serif" w:hAnsi="Times New Roman;sans-serif"/>
          <w:b w:val="false"/>
          <w:color w:val="000000"/>
          <w:sz w:val="20"/>
          <w:highlight w:val="white"/>
        </w:rPr>
        <w:t xml:space="preserve">. In addition, the Company's Audit Committee Charter is attached as Exhibit "A" to the AIF, which is filed as </w:t>
      </w:r>
      <w:r>
        <w:rPr>
          <w:rFonts w:ascii="Times New Roman;sans-serif" w:hAnsi="Times New Roman;sans-serif"/>
          <w:b w:val="false"/>
          <w:color w:val="000000"/>
          <w:sz w:val="20"/>
          <w:highlight w:val="white"/>
          <w:u w:val="single"/>
        </w:rPr>
        <w:t>Exhibit 99.1</w:t>
      </w:r>
      <w:r>
        <w:rPr>
          <w:color w:val="000000"/>
          <w:highlight w:val="white"/>
        </w:rPr>
        <w:t xml:space="preserve"> </w:t>
      </w:r>
      <w:r>
        <w:rPr>
          <w:rFonts w:ascii="Times New Roman;sans-serif" w:hAnsi="Times New Roman;sans-serif"/>
          <w:b w:val="false"/>
          <w:color w:val="000000"/>
          <w:sz w:val="20"/>
          <w:highlight w:val="white"/>
        </w:rPr>
        <w:t>to this Annual Report.</w:t>
      </w:r>
    </w:p>
    <w:p>
      <w:pPr>
        <w:pStyle w:val="TextBody"/>
        <w:spacing w:before="1" w:after="1"/>
        <w:jc w:val="both"/>
        <w:rPr/>
      </w:pPr>
      <w:r>
        <w:rPr/>
      </w:r>
    </w:p>
    <w:p>
      <w:pPr>
        <w:pStyle w:val="TextBody"/>
        <w:spacing w:lineRule="auto" w:line="240" w:before="0" w:after="10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AUDIT COMMITTEE</w:t>
      </w:r>
    </w:p>
    <w:p>
      <w:pPr>
        <w:pStyle w:val="TextBody"/>
        <w:spacing w:lineRule="auto" w:line="300" w:before="0" w:after="2"/>
        <w:jc w:val="both"/>
        <w:rPr/>
      </w:pPr>
      <w:r>
        <w:rPr>
          <w:rFonts w:ascii="Times New Roman;sans-serif" w:hAnsi="Times New Roman;sans-serif"/>
          <w:b w:val="false"/>
          <w:color w:val="000000"/>
          <w:sz w:val="20"/>
          <w:highlight w:val="white"/>
        </w:rPr>
        <w:t>The Board has established an independent Audit Committee for the purpose of overseeing our accounting and financial reporting processes and the audit of our annual financial statements. The Audit Committee is composed entirely of independent directors who meet the independence and experience requirements of the NYSE American LLC (the “</w:t>
      </w:r>
      <w:r>
        <w:rPr>
          <w:rFonts w:ascii="Times New Roman;sans-serif" w:hAnsi="Times New Roman;sans-serif"/>
          <w:b/>
          <w:color w:val="000000"/>
          <w:sz w:val="20"/>
          <w:highlight w:val="white"/>
        </w:rPr>
        <w:t>NYSE American</w:t>
      </w:r>
      <w:r>
        <w:rPr>
          <w:color w:val="000000"/>
          <w:highlight w:val="white"/>
        </w:rPr>
        <w:t>”</w:t>
      </w:r>
      <w:r>
        <w:rPr>
          <w:rFonts w:ascii="Times New Roman;sans-serif" w:hAnsi="Times New Roman;sans-serif"/>
          <w:b w:val="false"/>
          <w:color w:val="000000"/>
          <w:sz w:val="20"/>
          <w:highlight w:val="white"/>
        </w:rPr>
        <w:t>), the Toronto Stock Exchange, SEC rules and National Instrument 52-110 adopted by Canadian securities regulators, as amended.</w:t>
      </w:r>
    </w:p>
    <w:p>
      <w:pPr>
        <w:pStyle w:val="TextBody"/>
        <w:spacing w:before="0" w:after="0"/>
        <w:jc w:val="both"/>
        <w:rPr/>
      </w:pPr>
      <w:r>
        <w:rPr/>
      </w:r>
    </w:p>
    <w:p>
      <w:pPr>
        <w:pStyle w:val="TextBody"/>
        <w:spacing w:lineRule="auto" w:line="240" w:before="0" w:after="2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Audit Committee is composed of Mark Lawson (Chair), Eric Hoskins, Theresa Firestone and Grant Froese.</w:t>
      </w:r>
    </w:p>
    <w:p>
      <w:pPr>
        <w:pStyle w:val="TextBody"/>
        <w:spacing w:lineRule="auto" w:line="240" w:before="0" w:after="0"/>
        <w:jc w:val="both"/>
        <w:rPr/>
      </w:pPr>
      <w:r>
        <w:rPr>
          <w:rFonts w:ascii="Times New Roman;sans-serif" w:hAnsi="Times New Roman;sans-serif"/>
          <w:b w:val="false"/>
          <w:i/>
          <w:color w:val="000000"/>
          <w:sz w:val="20"/>
          <w:highlight w:val="white"/>
        </w:rPr>
        <w:t>Audit Committee Financia</w:t>
      </w:r>
      <w:r>
        <w:rPr>
          <w:rFonts w:ascii="Times New Roman;sans-serif" w:hAnsi="Times New Roman;sans-serif"/>
          <w:b w:val="false"/>
          <w:i/>
          <w:color w:val="000000"/>
          <w:sz w:val="20"/>
        </w:rPr>
        <w:t>l Experts</w:t>
      </w:r>
    </w:p>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0"/>
        </w:rPr>
        <w:t>The Board has determined that all members of the audit committee qualify as a financial expert (as defined in Item 407(d)(5)(ii) of Regulation S-K under the Exchange Act) and that all members are independent (as d</w:t>
      </w:r>
      <w:r>
        <w:rPr>
          <w:rFonts w:ascii="Times New Roman;sans-serif" w:hAnsi="Times New Roman;sans-serif"/>
          <w:b w:val="false"/>
          <w:color w:val="000000"/>
          <w:sz w:val="20"/>
          <w:highlight w:val="white"/>
        </w:rPr>
        <w:t>etermined under Exchange Act Rule 10A-3 and Section 803.A(2) of the NYSE American Company Guide).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SEC has indicated that the designation or identification of a person as an audit committee financial expert does not make such person an “expert” for any purpose, 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pStyle w:val="TextBody"/>
        <w:spacing w:before="0" w:after="2"/>
        <w:jc w:val="both"/>
        <w:rPr/>
      </w:pPr>
      <w:r>
        <w:rPr/>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CODE OF ETHICS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highlight w:val="white"/>
        </w:rPr>
        <w:t>The Company has adopted a code of ethics (the “</w:t>
      </w:r>
      <w:r>
        <w:rPr>
          <w:rFonts w:ascii="Times New Roman;sans-serif" w:hAnsi="Times New Roman;sans-serif"/>
          <w:b/>
          <w:color w:val="000000"/>
          <w:sz w:val="20"/>
          <w:highlight w:val="white"/>
        </w:rPr>
        <w:t>Code of Business Conduct</w:t>
      </w:r>
      <w:r>
        <w:rPr>
          <w:color w:val="000000"/>
          <w:highlight w:val="white"/>
        </w:rPr>
        <w:t>”</w:t>
      </w:r>
      <w:r>
        <w:rPr>
          <w:rFonts w:ascii="Times New Roman;sans-serif" w:hAnsi="Times New Roman;sans-serif"/>
          <w:b w:val="false"/>
          <w:color w:val="000000"/>
          <w:sz w:val="20"/>
          <w:highlight w:val="white"/>
        </w:rPr>
        <w:t>) that applies to all employees and officers, and directors. The Code of Business Conduct is available on the Company's corporate website at </w:t>
      </w:r>
      <w:r>
        <w:rPr>
          <w:rFonts w:ascii="Times New Roman;sans-serif" w:hAnsi="Times New Roman;sans-serif"/>
          <w:b w:val="false"/>
          <w:color w:val="0563C1"/>
          <w:sz w:val="20"/>
          <w:highlight w:val="white"/>
          <w:u w:val="single"/>
        </w:rPr>
        <w:t>https://ir.cybin.com/investors/governance/governance-documents.</w:t>
      </w:r>
      <w:r>
        <w:rPr>
          <w:color w:val="000000"/>
          <w:highlight w:val="white"/>
        </w:rPr>
        <w:t xml:space="preserve"> </w:t>
      </w:r>
      <w:r>
        <w:rPr>
          <w:rFonts w:ascii="Times New Roman;sans-serif" w:hAnsi="Times New Roman;sans-serif"/>
          <w:b w:val="false"/>
          <w:color w:val="000000"/>
          <w:sz w:val="20"/>
          <w:highlight w:val="white"/>
        </w:rPr>
        <w:t>Any amendments to the Code of Business Conduct will be posted at the Company’s Internet website at the address listed above.</w:t>
      </w:r>
    </w:p>
    <w:p>
      <w:pPr>
        <w:pStyle w:val="TextBody"/>
        <w:spacing w:before="0" w:after="240"/>
        <w:jc w:val="both"/>
        <w:rPr/>
      </w:pPr>
      <w:r>
        <w:rPr/>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PRINCIPAL ACCOUNTANT FEES AND SERVICES</w:t>
      </w:r>
    </w:p>
    <w:p>
      <w:pPr>
        <w:pStyle w:val="TextBody"/>
        <w:spacing w:before="0" w:after="0"/>
        <w:jc w:val="center"/>
        <w:rPr/>
      </w:pPr>
      <w:r>
        <w:rPr/>
      </w:r>
    </w:p>
    <w:p>
      <w:pPr>
        <w:pStyle w:val="TextBody"/>
        <w:spacing w:lineRule="auto" w:line="240" w:before="0" w:after="240"/>
        <w:jc w:val="both"/>
        <w:rPr/>
      </w:pPr>
      <w:r>
        <w:rPr>
          <w:rFonts w:ascii="Times New Roman;sans-serif" w:hAnsi="Times New Roman;sans-serif"/>
          <w:b w:val="false"/>
          <w:color w:val="000000"/>
          <w:sz w:val="20"/>
          <w:highlight w:val="white"/>
        </w:rPr>
        <w:t>Tabular disclosure of the amounts billed to us by our independent auditors for each of our last two fiscal years ended March 31</w:t>
      </w:r>
      <w:r>
        <w:rPr>
          <w:rFonts w:ascii="Times New Roman;sans-serif" w:hAnsi="Times New Roman;sans-serif"/>
          <w:b w:val="false"/>
          <w:color w:val="000000"/>
          <w:sz w:val="13"/>
          <w:highlight w:val="white"/>
        </w:rPr>
        <w:t>st</w:t>
      </w:r>
      <w:r>
        <w:rPr>
          <w:rFonts w:ascii="Times New Roman;sans-serif" w:hAnsi="Times New Roman;sans-serif"/>
          <w:b w:val="false"/>
          <w:color w:val="000000"/>
          <w:sz w:val="20"/>
          <w:highlight w:val="white"/>
        </w:rPr>
        <w:t xml:space="preserve">, as Audit Fees, Audit-Related Fees, Tax Fees and All Other Fees, is made on page 90 of the AIF, filed as </w:t>
      </w:r>
      <w:r>
        <w:rPr>
          <w:rFonts w:ascii="Times New Roman;sans-serif" w:hAnsi="Times New Roman;sans-serif"/>
          <w:b w:val="false"/>
          <w:color w:val="000000"/>
          <w:sz w:val="20"/>
          <w:highlight w:val="white"/>
          <w:u w:val="single"/>
        </w:rPr>
        <w:t>Exhibit 99.1</w:t>
      </w:r>
      <w:r>
        <w:rPr>
          <w:color w:val="000000"/>
          <w:highlight w:val="white"/>
        </w:rPr>
        <w:t xml:space="preserve"> </w:t>
      </w:r>
      <w:r>
        <w:rPr>
          <w:rFonts w:ascii="Times New Roman;sans-serif" w:hAnsi="Times New Roman;sans-serif"/>
          <w:b w:val="false"/>
          <w:color w:val="000000"/>
          <w:sz w:val="20"/>
          <w:highlight w:val="white"/>
        </w:rPr>
        <w:t>to this Annual Report and is incorporated by reference herein.</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PRE-APPROVAL OF AUDIT AND NON-AUDIT SERVICES PROVIDED BY</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INDEPENDENT REGISTERED PUBLIC ACCOUNTING FIRM</w:t>
      </w:r>
    </w:p>
    <w:p>
      <w:pPr>
        <w:pStyle w:val="TextBody"/>
        <w:spacing w:before="0" w:after="0"/>
        <w:jc w:val="center"/>
        <w:rPr/>
      </w:pPr>
      <w:r>
        <w:rPr/>
      </w:r>
    </w:p>
    <w:p>
      <w:pPr>
        <w:pStyle w:val="TextBody"/>
        <w:spacing w:lineRule="auto" w:line="240" w:before="0" w:after="240"/>
        <w:jc w:val="both"/>
        <w:rPr/>
      </w:pPr>
      <w:r>
        <w:rPr>
          <w:rFonts w:ascii="Times New Roman;sans-serif" w:hAnsi="Times New Roman;sans-serif"/>
          <w:b w:val="false"/>
          <w:color w:val="000000"/>
          <w:sz w:val="20"/>
          <w:highlight w:val="white"/>
        </w:rPr>
        <w:t>The Audit Committee Charter sets out responsibilities regarding the provision of non-audit services by the Registrant’s external auditors and requires the Audit Committee to pre-approve all permitted non-audit services to be provided by the Registrant’s external auditors, in accordance with applicable law.</w:t>
      </w:r>
      <w:r>
        <w:rPr>
          <w:color w:val="000000"/>
          <w:highlight w:val="white"/>
        </w:rPr>
        <w:t xml:space="preserve"> </w:t>
      </w:r>
      <w:r>
        <w:rPr>
          <w:rFonts w:ascii="Times New Roman;sans-serif" w:hAnsi="Times New Roman;sans-serif"/>
          <w:b w:val="false"/>
          <w:color w:val="000000"/>
          <w:sz w:val="20"/>
          <w:highlight w:val="white"/>
        </w:rPr>
        <w:t xml:space="preserve">the Company’s Audit Committee Charter is attached as Exhibit "A" to the AIF, which is filed as </w:t>
      </w:r>
      <w:r>
        <w:rPr>
          <w:rFonts w:ascii="Times New Roman;sans-serif" w:hAnsi="Times New Roman;sans-serif"/>
          <w:b w:val="false"/>
          <w:color w:val="000000"/>
          <w:sz w:val="20"/>
          <w:highlight w:val="white"/>
          <w:u w:val="single"/>
        </w:rPr>
        <w:t>Exhibit 99.1</w:t>
      </w:r>
      <w:r>
        <w:rPr>
          <w:color w:val="000000"/>
          <w:highlight w:val="white"/>
        </w:rPr>
        <w:t xml:space="preserve"> </w:t>
      </w:r>
      <w:r>
        <w:rPr>
          <w:rFonts w:ascii="Times New Roman;sans-serif" w:hAnsi="Times New Roman;sans-serif"/>
          <w:b w:val="false"/>
          <w:color w:val="000000"/>
          <w:sz w:val="20"/>
          <w:highlight w:val="white"/>
        </w:rPr>
        <w:t>to this Annual Report and is incorporated by reference herein.</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40" w:before="0" w:after="240"/>
        <w:jc w:val="both"/>
        <w:rPr/>
      </w:pPr>
      <w:r>
        <w:rPr>
          <w:rFonts w:ascii="Times New Roman;sans-serif" w:hAnsi="Times New Roman;sans-serif"/>
          <w:b w:val="false"/>
          <w:color w:val="000000"/>
          <w:sz w:val="20"/>
        </w:rPr>
        <w:t xml:space="preserve">The Company's description of off-balance sheet arrangements is provided in the section entitled “Off-balance sheet arrangements" contained in the MD&amp;A filed as </w:t>
      </w:r>
      <w:r>
        <w:rPr>
          <w:rFonts w:ascii="Times New Roman;sans-serif" w:hAnsi="Times New Roman;sans-serif"/>
          <w:b w:val="false"/>
          <w:color w:val="000000"/>
          <w:sz w:val="20"/>
          <w:u w:val="single"/>
        </w:rPr>
        <w:t>Exhibit 99.3</w:t>
      </w:r>
      <w:r>
        <w:rPr>
          <w:color w:val="000000"/>
        </w:rPr>
        <w:t xml:space="preserve"> </w:t>
      </w:r>
      <w:r>
        <w:rPr>
          <w:rFonts w:ascii="Times New Roman;sans-serif" w:hAnsi="Times New Roman;sans-serif"/>
          <w:b w:val="false"/>
          <w:color w:val="000000"/>
          <w:sz w:val="20"/>
        </w:rPr>
        <w:t>to this Annual Report is incorporated by reference herein.</w:t>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40" w:before="100" w:after="100"/>
        <w:jc w:val="both"/>
        <w:rPr/>
      </w:pPr>
      <w:r>
        <w:rPr>
          <w:rFonts w:ascii="Times New Roman;sans-serif" w:hAnsi="Times New Roman;sans-serif"/>
          <w:b w:val="false"/>
          <w:color w:val="000000"/>
          <w:sz w:val="20"/>
        </w:rPr>
        <w:t xml:space="preserve">The Company's description of contractual and other obligations is provided in the section entitled “Contractual obligations and commitments" contained in the MD&amp;A filed as </w:t>
      </w:r>
      <w:r>
        <w:rPr>
          <w:rFonts w:ascii="Times New Roman;sans-serif" w:hAnsi="Times New Roman;sans-serif"/>
          <w:b w:val="false"/>
          <w:color w:val="000000"/>
          <w:sz w:val="20"/>
          <w:u w:val="single"/>
        </w:rPr>
        <w:t>Exhibit 99.3</w:t>
      </w:r>
      <w:r>
        <w:rPr>
          <w:color w:val="000000"/>
        </w:rPr>
        <w:t xml:space="preserve"> </w:t>
      </w:r>
      <w:r>
        <w:rPr>
          <w:rFonts w:ascii="Times New Roman;sans-serif" w:hAnsi="Times New Roman;sans-serif"/>
          <w:b w:val="false"/>
          <w:color w:val="000000"/>
          <w:sz w:val="20"/>
        </w:rPr>
        <w:t>to this Annual Report is incorporated by reference herein.</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75260"/>
                <wp:effectExtent l="0" t="0" r="0" b="0"/>
                <wp:wrapNone/>
                <wp:docPr id="7" name="Frame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NYSE AMERICAN CORPORATE GOVERNANCE</w:t>
      </w:r>
    </w:p>
    <w:p>
      <w:pPr>
        <w:pStyle w:val="TextBody"/>
        <w:spacing w:before="0" w:after="0"/>
        <w:jc w:val="center"/>
        <w:rPr/>
      </w:pPr>
      <w:r>
        <w:rPr/>
      </w:r>
    </w:p>
    <w:p>
      <w:pPr>
        <w:pStyle w:val="TextBody"/>
        <w:spacing w:lineRule="auto" w:line="240" w:before="0" w:after="0"/>
        <w:jc w:val="both"/>
        <w:rPr/>
      </w:pPr>
      <w:r>
        <w:rPr>
          <w:rFonts w:ascii="Times New Roman;sans-serif" w:hAnsi="Times New Roman;sans-serif"/>
          <w:b w:val="false"/>
          <w:color w:val="000000"/>
          <w:sz w:val="20"/>
          <w:highlight w:val="white"/>
        </w:rPr>
        <w:t>The Company’s common shares are listed on the NYSE American. Section 110 of the NYSE American Company Guide (the “</w:t>
      </w:r>
      <w:r>
        <w:rPr>
          <w:rFonts w:ascii="Times New Roman;sans-serif" w:hAnsi="Times New Roman;sans-serif"/>
          <w:b/>
          <w:color w:val="000000"/>
          <w:sz w:val="20"/>
          <w:highlight w:val="white"/>
        </w:rPr>
        <w:t>Company Guide</w:t>
      </w:r>
      <w:r>
        <w:rPr>
          <w:color w:val="000000"/>
          <w:highlight w:val="white"/>
        </w:rPr>
        <w:t>”</w:t>
      </w:r>
      <w:r>
        <w:rPr>
          <w:rFonts w:ascii="Times New Roman;sans-serif" w:hAnsi="Times New Roman;sans-serif"/>
          <w:b w:val="false"/>
          <w:color w:val="000000"/>
          <w:sz w:val="20"/>
          <w:highlight w:val="white"/>
        </w:rPr>
        <w:t>) permits the NYSE American to consider the laws, customs and practices of foreign issuers in permitting deviations from certain NYSE American listing criteria, and to grant exemptions from certain NYSE American listing criteria based on these considerations. A company seeking relief under these provisions is required to provide written certification from independent local counsel that the non-complying practice is not prohibited by home country law. A description of the significant ways in which the Company’s governance practices differ from those followed by United States domestic companies pursuant to the Company Guide is set forth below.</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highlight w:val="white"/>
          <w:u w:val="single"/>
        </w:rPr>
        <w:t>Quorum for Shareholders’ Meetings</w:t>
      </w:r>
      <w:r>
        <w:rPr>
          <w:rFonts w:ascii="Times New Roman;sans-serif" w:hAnsi="Times New Roman;sans-serif"/>
          <w:b w:val="false"/>
          <w:color w:val="000000"/>
          <w:sz w:val="20"/>
          <w:highlight w:val="white"/>
        </w:rPr>
        <w:t xml:space="preserve">. The Company Guide requires that a listed company’s bylaws provide for a quorum of not less than 33 1/3 percent of such company’s shares issued and outstanding and entitled to vote at a meeting of shareholders. The Company’s quorum requirements, as set forth in its by-laws, provide that the quorum for a shareholders’ meeting shall be two (2) individuals present in person, each of whom is either a shareholder entitled to attend and vote at such meeting or the proxyholder of such a shareholder appointed by means of a valid proxy, holding or representing by proxy not less than five percent (5%) of the total number of the issued shares of the Company for the time being enjoying voting rights at such meeting unless a greater number of shareholders and/or a greater number of shares are required by the </w:t>
      </w:r>
      <w:r>
        <w:rPr>
          <w:rFonts w:ascii="Times New Roman;sans-serif" w:hAnsi="Times New Roman;sans-serif"/>
          <w:b w:val="false"/>
          <w:i/>
          <w:color w:val="000000"/>
          <w:sz w:val="20"/>
          <w:highlight w:val="white"/>
        </w:rPr>
        <w:t xml:space="preserve">Business Corporations Act </w:t>
      </w:r>
      <w:r>
        <w:rPr>
          <w:rFonts w:ascii="Times New Roman;sans-serif" w:hAnsi="Times New Roman;sans-serif"/>
          <w:b w:val="false"/>
          <w:color w:val="000000"/>
          <w:sz w:val="20"/>
          <w:highlight w:val="white"/>
        </w:rPr>
        <w:t>(Ontario) or by the articles or the by-laws).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highlight w:val="white"/>
          <w:u w:val="single"/>
        </w:rPr>
        <w:t>Board Composition</w:t>
      </w:r>
      <w:r>
        <w:rPr>
          <w:rFonts w:ascii="Times New Roman;sans-serif" w:hAnsi="Times New Roman;sans-serif"/>
          <w:b w:val="false"/>
          <w:color w:val="000000"/>
          <w:sz w:val="20"/>
          <w:highlight w:val="white"/>
        </w:rPr>
        <w:t>. The Company Guide requires that a listed company have a board of directors consisting of at least a majority of members who satisfy applicable independence standards under the Company Guide. The Company’s Board is currently composed of 6 members, 4 of whom qualify as independent under applicable independence standards under the Company Guide.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highlight w:val="white"/>
          <w:u w:val="single"/>
        </w:rPr>
        <w:t>Governance and Nominating Committee.</w:t>
      </w:r>
      <w:r>
        <w:rPr>
          <w:color w:val="000000"/>
          <w:highlight w:val="white"/>
        </w:rPr>
        <w:t xml:space="preserve"> </w:t>
      </w:r>
      <w:r>
        <w:rPr>
          <w:rFonts w:ascii="Times New Roman;sans-serif" w:hAnsi="Times New Roman;sans-serif"/>
          <w:b w:val="false"/>
          <w:color w:val="000000"/>
          <w:sz w:val="20"/>
          <w:highlight w:val="white"/>
        </w:rPr>
        <w:t xml:space="preserve">The Company Guide requires board of director nominees to be selected or </w:t>
      </w:r>
      <w:r>
        <w:rPr>
          <w:rFonts w:ascii="Times New Roman;sans-serif" w:hAnsi="Times New Roman;sans-serif"/>
          <w:b w:val="false"/>
          <w:color w:val="000000"/>
          <w:sz w:val="20"/>
        </w:rPr>
        <w:t>recommended by either a Nominating Committee comprised solely of independent directors or by a majority of such company’s independent directors. The Company’s Governance and Nominating Committee is currently composed of 4 members, 3 of whom qualify as independent under applicable independence standards under the Company Guide.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highlight w:val="white"/>
          <w:u w:val="single"/>
        </w:rPr>
        <w:t xml:space="preserve">Compensation Committee. </w:t>
      </w:r>
      <w:r>
        <w:rPr>
          <w:rFonts w:ascii="Times New Roman;sans-serif" w:hAnsi="Times New Roman;sans-serif"/>
          <w:b w:val="false"/>
          <w:color w:val="000000"/>
          <w:sz w:val="20"/>
          <w:highlight w:val="white"/>
        </w:rPr>
        <w:t>The Company Guide requires the compensation of a listed company’s chief executive officer to be determined or recommended to the board of directors for determination, either by a Compensation Committee comprised of independent directors o</w:t>
      </w:r>
      <w:r>
        <w:rPr>
          <w:rFonts w:ascii="Times New Roman;sans-serif" w:hAnsi="Times New Roman;sans-serif"/>
          <w:b w:val="false"/>
          <w:color w:val="000000"/>
          <w:sz w:val="20"/>
        </w:rPr>
        <w:t>r by a majority of such company’s independent directors. The Company’s Compensation Committee consists of 3 directors, of which 2 are ind</w:t>
      </w:r>
      <w:r>
        <w:rPr>
          <w:rFonts w:ascii="Times New Roman;sans-serif" w:hAnsi="Times New Roman;sans-serif"/>
          <w:b w:val="false"/>
          <w:color w:val="000000"/>
          <w:sz w:val="20"/>
          <w:highlight w:val="white"/>
        </w:rPr>
        <w:t>ependent under applicable independence standards under the Company Guide.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highlight w:val="white"/>
          <w:u w:val="single"/>
        </w:rPr>
        <w:t xml:space="preserve">Shareholder Approval Requirements. </w:t>
      </w:r>
      <w:r>
        <w:rPr>
          <w:rFonts w:ascii="Times New Roman;sans-serif" w:hAnsi="Times New Roman;sans-serif"/>
          <w:b w:val="false"/>
          <w:color w:val="000000"/>
          <w:sz w:val="20"/>
          <w:highlight w:val="white"/>
        </w:rPr>
        <w:t>The Company Guide requires a listed company to obtain the approval of its shareholders for certain types of securities issuances, including private placements that may result in the issuance of common shares (or securities convertible into common shares) equal to 20 percent or more of presently outstanding shares for less than the greater of book or market value of the shares. The Company may seek a waiver from NYSE American’s shareholder approval requirements in circumstances where the securities issuance would not trigger such a requirement under Ontario law or under the rules of the Neo Exchange Inc. (the “</w:t>
      </w:r>
      <w:r>
        <w:rPr>
          <w:rFonts w:ascii="Times New Roman;sans-serif" w:hAnsi="Times New Roman;sans-serif"/>
          <w:b/>
          <w:color w:val="000000"/>
          <w:sz w:val="20"/>
          <w:highlight w:val="white"/>
        </w:rPr>
        <w:t>NEO</w:t>
      </w:r>
      <w:r>
        <w:rPr>
          <w:color w:val="000000"/>
          <w:highlight w:val="white"/>
        </w:rPr>
        <w:t>”</w:t>
      </w:r>
      <w:r>
        <w:rPr>
          <w:rFonts w:ascii="Times New Roman;sans-serif" w:hAnsi="Times New Roman;sans-serif"/>
          <w:b w:val="false"/>
          <w:color w:val="000000"/>
          <w:sz w:val="20"/>
          <w:highlight w:val="white"/>
        </w:rPr>
        <w:t>), on which the Company’s common shares are also listed.</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highlight w:val="white"/>
          <w:u w:val="single"/>
        </w:rPr>
        <w:t>Proxy Delivery.</w:t>
      </w:r>
      <w:r>
        <w:rPr>
          <w:color w:val="000000"/>
          <w:highlight w:val="white"/>
        </w:rPr>
        <w:t xml:space="preserve"> </w:t>
      </w:r>
      <w:r>
        <w:rPr>
          <w:rFonts w:ascii="Times New Roman;sans-serif" w:hAnsi="Times New Roman;sans-serif"/>
          <w:b w:val="false"/>
          <w:color w:val="000000"/>
          <w:sz w:val="20"/>
          <w:highlight w:val="white"/>
        </w:rPr>
        <w:t>The Company Guide requires the solicitation of proxies and delivery of proxy statements for all shareholder meetings of a listed company, and requires that these proxies be solicited pursuant to a proxy statement that conforms to SEC proxy rules. The Company is a “foreign private issuer” under Rule 3b-4 of the Exchange Act, and the equity securities of the Company are accordingly exempt from the proxy rules set forth in Sections 14(a), 14(b), 14(c) and 14(f) of the Exchange Act. The Company solicits proxies in accordance with applicable rules and regulations in Canada.</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foregoing is consistent with the laws, customs and practices in Canada and the rules of the NEO. In addition, the Company may from time-to-time seek relief from the NYSE American corporate governance requirements on specific transactions under Section 110 of the Company Guide by providing written certification from independent local counsel that the non-complying practice is not prohibited by its home country law, in which case, the Company shall make the disclosure of such transactions available on its website at www.cybin.com. Information contained on, or accessible through, our website is not part of this Annual Report.</w:t>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MINE SAFETY DISCLOSURE</w:t>
      </w:r>
    </w:p>
    <w:p>
      <w:pPr>
        <w:pStyle w:val="TextBody"/>
        <w:spacing w:lineRule="auto" w:line="240"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75260"/>
                <wp:effectExtent l="0" t="0" r="0" b="0"/>
                <wp:wrapNone/>
                <wp:docPr id="8" name="Frame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DISCLOSURE REGARDING FOREIGN JURISDICTIONS THAT PREVENT INSPECTIONS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pStyle w:val="TextBody"/>
        <w:spacing w:before="0" w:after="2"/>
        <w:rPr/>
      </w:pPr>
      <w:r>
        <w:rPr/>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RECOVERY OF ERRONEOUSLY AWARDED COMPENSATION</w:t>
      </w:r>
    </w:p>
    <w:p>
      <w:pPr>
        <w:pStyle w:val="TextBody"/>
        <w:spacing w:before="0" w:after="2"/>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pStyle w:val="TextBody"/>
        <w:spacing w:before="0" w:after="2"/>
        <w:jc w:val="center"/>
        <w:rPr/>
      </w:pPr>
      <w:r>
        <w:rPr/>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UNDERTAKING</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undertakes to make available, in person or by telephone, representatives to respond to inquiries made by the SEC staff, and to furnish promptly, when requested to do so by the SEC staff, information relating to: the securities registered pursuant to Form 40-F; the securities in relation to which the obligation to file an annual report on Form 40-F arises; or transactions in said securities.</w:t>
      </w:r>
    </w:p>
    <w:p>
      <w:pPr>
        <w:pStyle w:val="TextBody"/>
        <w:spacing w:before="0" w:after="2"/>
        <w:jc w:val="both"/>
        <w:rPr/>
      </w:pPr>
      <w:r>
        <w:rPr/>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CONSENT TO SERVICE OF PROCESS</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 previously filed with the SEC a written consent to service of process on Form F-X. Any change to the name or address of the Registrant’s agent for service shall be communicated promptly to the SEC by amendment to the Form F-X referencing the file number of the Registrant. </w:t>
      </w:r>
    </w:p>
    <w:p>
      <w:pPr>
        <w:pStyle w:val="TextBody"/>
        <w:spacing w:before="0" w:after="2"/>
        <w:jc w:val="both"/>
        <w:rPr/>
      </w:pPr>
      <w:r>
        <w:rPr/>
      </w:r>
    </w:p>
    <w:p>
      <w:pPr>
        <w:pStyle w:val="TextBody"/>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40"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Exchange Act, the Registrant certifies that it meets all of the requirements for filing on Form 40-F and has duly caused this Annual Report to be signed on its behalf by the undersigned, thereunto duly authorized.</w:t>
      </w:r>
    </w:p>
    <w:tbl>
      <w:tblPr>
        <w:tblW w:w="4707" w:type="dxa"/>
        <w:jc w:val="left"/>
        <w:tblInd w:w="0" w:type="dxa"/>
        <w:tblCellMar>
          <w:top w:w="28" w:type="dxa"/>
          <w:left w:w="28" w:type="dxa"/>
          <w:bottom w:w="28" w:type="dxa"/>
          <w:right w:w="28" w:type="dxa"/>
        </w:tblCellMar>
      </w:tblPr>
      <w:tblGrid>
        <w:gridCol w:w="651"/>
        <w:gridCol w:w="573"/>
        <w:gridCol w:w="575"/>
        <w:gridCol w:w="134"/>
        <w:gridCol w:w="134"/>
        <w:gridCol w:w="136"/>
        <w:gridCol w:w="731"/>
        <w:gridCol w:w="731"/>
        <w:gridCol w:w="1042"/>
      </w:tblGrid>
      <w:tr>
        <w:trPr/>
        <w:tc>
          <w:tcPr>
            <w:tcW w:w="65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Greg Cavers</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Greg Cavers</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100" w:after="100"/>
              <w:jc w:val="left"/>
              <w:rPr>
                <w:color w:val="000000"/>
              </w:rPr>
            </w:pPr>
            <w:r>
              <w:rPr>
                <w:color w:val="000000"/>
              </w:rPr>
              <w:t> </w:t>
            </w:r>
            <w:r>
              <w:rPr>
                <w:rFonts w:ascii="Times New Roman;sans-serif" w:hAnsi="Times New Roman;sans-serif"/>
                <w:b w:val="false"/>
                <w:color w:val="000000"/>
                <w:sz w:val="20"/>
              </w:rPr>
              <w:t>Date: June 27, 2023</w:t>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spacing w:before="0" w:after="240"/>
        <w:jc w:val="center"/>
        <w:rPr/>
      </w:pPr>
      <w:r>
        <w:rPr/>
      </w:r>
    </w:p>
    <w:p>
      <w:pPr>
        <w:pStyle w:val="TextBody"/>
        <w:spacing w:before="0" w:after="16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75260"/>
                <wp:effectExtent l="0" t="0" r="0" b="0"/>
                <wp:wrapNone/>
                <wp:docPr id="9" name="Frame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spacing w:lineRule="auto" w:line="268" w:before="0" w:after="0"/>
        <w:rPr/>
      </w:pPr>
      <w:r>
        <w:rPr>
          <w:rFonts w:ascii="Times New Roman;sans-serif" w:hAnsi="Times New Roman;sans-serif"/>
          <w:b w:val="false"/>
          <w:color w:val="000000"/>
          <w:sz w:val="20"/>
        </w:rPr>
        <w:t xml:space="preserve">The following documents are being filed with the SEC as Exhibits to this </w:t>
      </w:r>
      <w:r>
        <w:rPr>
          <w:rFonts w:ascii="Times New Roman;sans-serif" w:hAnsi="Times New Roman;sans-serif"/>
          <w:b w:val="false"/>
          <w:color w:val="000000"/>
          <w:sz w:val="20"/>
          <w:highlight w:val="white"/>
        </w:rPr>
        <w:t>Form 40-F</w:t>
      </w:r>
      <w:r>
        <w:rPr>
          <w:rFonts w:ascii="Times New Roman;sans-serif" w:hAnsi="Times New Roman;sans-serif"/>
          <w:b w:val="false"/>
          <w:color w:val="000000"/>
          <w:sz w:val="20"/>
        </w:rPr>
        <w:t xml:space="preserve">: </w:t>
      </w:r>
    </w:p>
    <w:p>
      <w:pPr>
        <w:pStyle w:val="TextBody"/>
        <w:spacing w:before="0" w:after="2"/>
        <w:rPr/>
      </w:pPr>
      <w:r>
        <w:rPr/>
      </w:r>
    </w:p>
    <w:tbl>
      <w:tblPr>
        <w:tblW w:w="10539" w:type="dxa"/>
        <w:jc w:val="left"/>
        <w:tblInd w:w="0" w:type="dxa"/>
        <w:tblCellMar>
          <w:top w:w="28" w:type="dxa"/>
          <w:left w:w="28" w:type="dxa"/>
          <w:bottom w:w="28" w:type="dxa"/>
          <w:right w:w="28" w:type="dxa"/>
        </w:tblCellMar>
      </w:tblPr>
      <w:tblGrid>
        <w:gridCol w:w="304"/>
        <w:gridCol w:w="267"/>
        <w:gridCol w:w="268"/>
        <w:gridCol w:w="2885"/>
        <w:gridCol w:w="2812"/>
        <w:gridCol w:w="4003"/>
      </w:tblGrid>
      <w:tr>
        <w:trPr/>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12" w:type="dxa"/>
            <w:tcBorders/>
            <w:shd w:fill="auto" w:val="clear"/>
            <w:vAlign w:val="center"/>
          </w:tcPr>
          <w:p>
            <w:pPr>
              <w:pStyle w:val="TableContents"/>
              <w:spacing w:before="0" w:after="283"/>
              <w:rPr>
                <w:sz w:val="4"/>
                <w:szCs w:val="4"/>
              </w:rPr>
            </w:pPr>
            <w:r>
              <w:rPr>
                <w:sz w:val="4"/>
                <w:szCs w:val="4"/>
              </w:rPr>
            </w:r>
          </w:p>
        </w:tc>
        <w:tc>
          <w:tcPr>
            <w:tcW w:w="4003" w:type="dxa"/>
            <w:tcBorders/>
            <w:shd w:fill="auto" w:val="clear"/>
            <w:vAlign w:val="center"/>
          </w:tcPr>
          <w:p>
            <w:pPr>
              <w:pStyle w:val="TableContents"/>
              <w:spacing w:before="0" w:after="283"/>
              <w:rPr>
                <w:sz w:val="4"/>
                <w:szCs w:val="4"/>
              </w:rPr>
            </w:pPr>
            <w:r>
              <w:rPr>
                <w:sz w:val="4"/>
                <w:szCs w:val="4"/>
              </w:rPr>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annualinformationformaif-c.htm">
              <w:r>
                <w:rPr>
                  <w:rStyle w:val="InternetLink"/>
                  <w:rFonts w:ascii="Times New Roman;sans-serif" w:hAnsi="Times New Roman;sans-serif"/>
                  <w:b w:val="false"/>
                  <w:color w:val="0000FF"/>
                  <w:sz w:val="20"/>
                  <w:u w:val="single"/>
                </w:rPr>
                <w:t>Annual Information Form for the fiscal year ended March 31, 2023</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cybn-20230331.htm">
              <w:r>
                <w:rPr>
                  <w:rStyle w:val="InternetLink"/>
                  <w:rFonts w:ascii="Times New Roman;sans-serif" w:hAnsi="Times New Roman;sans-serif"/>
                  <w:b w:val="false"/>
                  <w:color w:val="0000FF"/>
                  <w:sz w:val="20"/>
                  <w:u w:val="single"/>
                </w:rPr>
                <w:t>Audited Annual Consolidated Financial Statements for the fiscal years ended March 31, 2023 and March 31, 2022</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cybin-mdaxq4x23xmarch312023.htm">
              <w:r>
                <w:rPr>
                  <w:rStyle w:val="InternetLink"/>
                  <w:rFonts w:ascii="Times New Roman;sans-serif" w:hAnsi="Times New Roman;sans-serif"/>
                  <w:b w:val="false"/>
                  <w:color w:val="0000FF"/>
                  <w:sz w:val="20"/>
                  <w:u w:val="single"/>
                </w:rPr>
                <w:t>Management’s Discussion and Analysis of Financial Condition and Operating Performance for the fiscal year ended March 31, 2023</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120"/>
              <w:jc w:val="left"/>
              <w:rPr/>
            </w:pPr>
            <w:hyperlink w:anchor="exhibit994-ceo.htm">
              <w:r>
                <w:rPr>
                  <w:rStyle w:val="InternetLink"/>
                  <w:rFonts w:ascii="Times New Roman;sans-serif" w:hAnsi="Times New Roman;sans-serif"/>
                  <w:b w:val="false"/>
                  <w:color w:val="0000FF"/>
                  <w:sz w:val="20"/>
                  <w:u w:val="single"/>
                </w:rPr>
                <w:t>Certification of Chief Executive Officer pursuant to Rule 13a-14(a) or 15d-14 of the Securities Exchange Act of 1934, as amended</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120"/>
              <w:jc w:val="left"/>
              <w:rPr/>
            </w:pPr>
            <w:hyperlink w:anchor="exhibit995cfo.htm">
              <w:r>
                <w:rPr>
                  <w:rStyle w:val="InternetLink"/>
                  <w:rFonts w:ascii="Times New Roman;sans-serif" w:hAnsi="Times New Roman;sans-serif"/>
                  <w:b w:val="false"/>
                  <w:color w:val="0000FF"/>
                  <w:sz w:val="20"/>
                  <w:u w:val="single"/>
                </w:rPr>
                <w:t xml:space="preserve">Certification of Chief Financial Officer pursuant to Rule 13a-14(a) or 15d-14 of the Securities Exchange Act of 1934, as amended </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120"/>
              <w:jc w:val="left"/>
              <w:rPr/>
            </w:pPr>
            <w:hyperlink w:anchor="exhibit996-ceocert.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120"/>
              <w:jc w:val="left"/>
              <w:rPr/>
            </w:pPr>
            <w:hyperlink w:anchor="exhibit997-cfo.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pPr>
            <w:hyperlink w:anchor="zeifman40fconsent.htm">
              <w:r>
                <w:rPr>
                  <w:rStyle w:val="InternetLink"/>
                  <w:rFonts w:ascii="Times New Roman;sans-serif" w:hAnsi="Times New Roman;sans-serif"/>
                  <w:b w:val="false"/>
                  <w:color w:val="0000FF"/>
                  <w:sz w:val="20"/>
                  <w:u w:val="single"/>
                </w:rPr>
                <w:t>Consent of Zeifmans LLP and Laurence W. Zeifman</w:t>
              </w:r>
            </w:hyperlink>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 the instance document does not appear in the Interactive Data File as its XBRL tags are embedded within the Inline XBRL document</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rPr/>
      </w:pPr>
      <w:r>
        <w:rPr/>
      </w:r>
    </w:p>
    <w:p>
      <w:pPr>
        <w:pStyle w:val="TextBody"/>
        <w:spacing w:before="0" w:after="16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75260"/>
                <wp:effectExtent l="0" t="0" r="0" b="0"/>
                <wp:wrapNone/>
                <wp:docPr id="10" name="Frame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3480" w:after="360"/>
        <w:jc w:val="center"/>
        <w:rPr/>
      </w:pPr>
      <w:r>
        <w:rPr/>
      </w:r>
    </w:p>
    <w:p>
      <w:pPr>
        <w:pStyle w:val="TextBody"/>
        <w:spacing w:lineRule="auto" w:line="240" w:before="3480" w:after="360"/>
        <w:jc w:val="center"/>
        <w:rPr/>
      </w:pPr>
      <w:r>
        <w:rPr/>
        <w:drawing>
          <wp:inline distT="0" distB="63500" distL="0" distR="0">
            <wp:extent cx="1476375" cy="85725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476375" cy="857250"/>
                    </a:xfrm>
                    <a:prstGeom prst="rect">
                      <a:avLst/>
                    </a:prstGeom>
                  </pic:spPr>
                </pic:pic>
              </a:graphicData>
            </a:graphic>
          </wp:inline>
        </w:drawing>
      </w:r>
      <w:r>
        <w:rPr>
          <w:color w:val="000000"/>
        </w:rPr>
        <w:t xml:space="preserve">     </w:t>
      </w:r>
    </w:p>
    <w:p>
      <w:pPr>
        <w:pStyle w:val="TextBody"/>
        <w:spacing w:lineRule="auto" w:line="240" w:before="600" w:after="360"/>
        <w:jc w:val="center"/>
        <w:rPr>
          <w:rFonts w:ascii="Times New Roman;sans-serif" w:hAnsi="Times New Roman;sans-serif"/>
          <w:b/>
          <w:color w:val="000000"/>
          <w:sz w:val="22"/>
        </w:rPr>
      </w:pPr>
      <w:r>
        <w:rPr>
          <w:rFonts w:ascii="Times New Roman;sans-serif" w:hAnsi="Times New Roman;sans-serif"/>
          <w:b/>
          <w:color w:val="000000"/>
          <w:sz w:val="22"/>
        </w:rPr>
        <w:t xml:space="preserve">CYBIN INC. </w:t>
      </w:r>
    </w:p>
    <w:p>
      <w:pPr>
        <w:pStyle w:val="TextBody"/>
        <w:spacing w:lineRule="auto" w:line="240" w:before="0" w:after="360"/>
        <w:jc w:val="center"/>
        <w:rPr>
          <w:rFonts w:ascii="Times New Roman;sans-serif" w:hAnsi="Times New Roman;sans-serif"/>
          <w:b/>
          <w:color w:val="000000"/>
          <w:sz w:val="22"/>
        </w:rPr>
      </w:pPr>
      <w:r>
        <w:rPr>
          <w:rFonts w:ascii="Times New Roman;sans-serif" w:hAnsi="Times New Roman;sans-serif"/>
          <w:b/>
          <w:color w:val="000000"/>
          <w:sz w:val="22"/>
        </w:rPr>
        <w:t>ANNUAL INFORMATION FORM</w:t>
      </w:r>
    </w:p>
    <w:p>
      <w:pPr>
        <w:pStyle w:val="TextBody"/>
        <w:spacing w:lineRule="auto" w:line="240" w:before="0" w:after="3120"/>
        <w:jc w:val="center"/>
        <w:rPr>
          <w:rFonts w:ascii="Times New Roman;sans-serif" w:hAnsi="Times New Roman;sans-serif"/>
          <w:b/>
          <w:color w:val="000000"/>
          <w:sz w:val="22"/>
        </w:rPr>
      </w:pPr>
      <w:r>
        <w:rPr>
          <w:rFonts w:ascii="Times New Roman;sans-serif" w:hAnsi="Times New Roman;sans-serif"/>
          <w:b/>
          <w:color w:val="000000"/>
          <w:sz w:val="22"/>
        </w:rPr>
        <w:t xml:space="preserve">FOR THE YEAR ENDED MARCH 31, 2023 </w:t>
      </w:r>
    </w:p>
    <w:p>
      <w:pPr>
        <w:pStyle w:val="TextBody"/>
        <w:spacing w:lineRule="auto" w:line="240" w:before="0" w:after="360"/>
        <w:jc w:val="center"/>
        <w:rPr>
          <w:rFonts w:ascii="Times New Roman;sans-serif" w:hAnsi="Times New Roman;sans-serif"/>
          <w:b w:val="false"/>
          <w:color w:val="000000"/>
          <w:sz w:val="22"/>
        </w:rPr>
      </w:pPr>
      <w:r>
        <w:rPr>
          <w:rFonts w:ascii="Times New Roman;sans-serif" w:hAnsi="Times New Roman;sans-serif"/>
          <w:b w:val="false"/>
          <w:color w:val="000000"/>
          <w:sz w:val="22"/>
        </w:rPr>
        <w:t>JUNE 27,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w:t>
      </w:r>
      <w:r>
        <w:rPr>
          <w:rFonts w:ascii="Times New Roman;sans-serif" w:hAnsi="Times New Roman;sans-serif"/>
          <w:b/>
          <w:color w:val="000000"/>
          <w:sz w:val="22"/>
        </w:rPr>
        <w:t>ABLE OF CONTENTS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75260"/>
                <wp:effectExtent l="0" t="0" r="0" b="0"/>
                <wp:wrapNone/>
                <wp:docPr id="12" name="Frame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175.9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40"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spacing w:before="0" w:after="0"/>
        <w:rPr/>
      </w:pPr>
      <w:r>
        <w:rPr/>
      </w:r>
    </w:p>
    <w:tbl>
      <w:tblPr>
        <w:tblW w:w="8640" w:type="dxa"/>
        <w:jc w:val="left"/>
        <w:tblInd w:w="0" w:type="dxa"/>
        <w:tblCellMar>
          <w:top w:w="28" w:type="dxa"/>
          <w:left w:w="28" w:type="dxa"/>
          <w:bottom w:w="28" w:type="dxa"/>
          <w:right w:w="28" w:type="dxa"/>
        </w:tblCellMar>
      </w:tblPr>
      <w:tblGrid>
        <w:gridCol w:w="2965"/>
        <w:gridCol w:w="2608"/>
        <w:gridCol w:w="2617"/>
        <w:gridCol w:w="132"/>
        <w:gridCol w:w="132"/>
        <w:gridCol w:w="186"/>
      </w:tblGrid>
      <w:tr>
        <w:trPr/>
        <w:tc>
          <w:tcPr>
            <w:tcW w:w="2965" w:type="dxa"/>
            <w:tcBorders/>
            <w:shd w:fill="auto" w:val="clear"/>
            <w:vAlign w:val="center"/>
          </w:tcPr>
          <w:p>
            <w:pPr>
              <w:pStyle w:val="TableContents"/>
              <w:spacing w:before="0" w:after="283"/>
              <w:rPr>
                <w:sz w:val="4"/>
                <w:szCs w:val="4"/>
              </w:rPr>
            </w:pPr>
            <w:r>
              <w:rPr>
                <w:sz w:val="4"/>
                <w:szCs w:val="4"/>
              </w:rPr>
            </w:r>
          </w:p>
        </w:tc>
        <w:tc>
          <w:tcPr>
            <w:tcW w:w="2608"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7">
              <w:r>
                <w:rPr>
                  <w:rStyle w:val="InternetLink"/>
                  <w:rFonts w:ascii="Times New Roman;sans-serif" w:hAnsi="Times New Roman;sans-serif"/>
                  <w:b w:val="false"/>
                  <w:color w:val="0000FF"/>
                  <w:sz w:val="22"/>
                  <w:u w:val="single"/>
                </w:rPr>
                <w:t>GENERAL</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7">
              <w:r>
                <w:rPr>
                  <w:rStyle w:val="InternetLink"/>
                  <w:rFonts w:ascii="Times New Roman;sans-serif" w:hAnsi="Times New Roman;sans-serif"/>
                  <w:b w:val="false"/>
                  <w:color w:val="0000FF"/>
                  <w:sz w:val="20"/>
                  <w:u w:val="single"/>
                </w:rPr>
                <w:t>1</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107">
              <w:r>
                <w:rPr>
                  <w:rStyle w:val="InternetLink"/>
                  <w:rFonts w:ascii="Times New Roman;sans-serif" w:hAnsi="Times New Roman;sans-serif"/>
                  <w:b w:val="false"/>
                  <w:color w:val="0000FF"/>
                  <w:sz w:val="22"/>
                  <w:u w:val="single"/>
                </w:rPr>
                <w:t>CAUTIONARY NOTE REGARDING FORWARD-LOOKING STATEMENTS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107">
              <w:r>
                <w:rPr>
                  <w:rStyle w:val="InternetLink"/>
                  <w:rFonts w:ascii="Times New Roman;sans-serif" w:hAnsi="Times New Roman;sans-serif"/>
                  <w:b w:val="false"/>
                  <w:color w:val="0000FF"/>
                  <w:sz w:val="20"/>
                  <w:u w:val="single"/>
                </w:rPr>
                <w:t>1</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121">
              <w:r>
                <w:rPr>
                  <w:rStyle w:val="InternetLink"/>
                  <w:rFonts w:ascii="Times New Roman;sans-serif" w:hAnsi="Times New Roman;sans-serif"/>
                  <w:b w:val="false"/>
                  <w:color w:val="0000FF"/>
                  <w:sz w:val="22"/>
                  <w:u w:val="single"/>
                </w:rPr>
                <w:t>MARKET AND INDUSTRY DATA</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121">
              <w:r>
                <w:rPr>
                  <w:rStyle w:val="InternetLink"/>
                  <w:rFonts w:ascii="Times New Roman;sans-serif" w:hAnsi="Times New Roman;sans-serif"/>
                  <w:b w:val="false"/>
                  <w:color w:val="0000FF"/>
                  <w:sz w:val="20"/>
                  <w:u w:val="single"/>
                </w:rPr>
                <w:t>4</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133">
              <w:r>
                <w:rPr>
                  <w:rStyle w:val="InternetLink"/>
                  <w:rFonts w:ascii="Times New Roman;sans-serif" w:hAnsi="Times New Roman;sans-serif"/>
                  <w:b w:val="false"/>
                  <w:color w:val="0000FF"/>
                  <w:sz w:val="22"/>
                  <w:u w:val="single"/>
                </w:rPr>
                <w:t>REGULATORY</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133">
              <w:r>
                <w:rPr>
                  <w:rStyle w:val="InternetLink"/>
                  <w:rFonts w:ascii="Times New Roman;sans-serif" w:hAnsi="Times New Roman;sans-serif"/>
                  <w:b w:val="false"/>
                  <w:color w:val="0000FF"/>
                  <w:sz w:val="20"/>
                  <w:u w:val="single"/>
                </w:rPr>
                <w:t>4</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147">
              <w:r>
                <w:rPr>
                  <w:rStyle w:val="InternetLink"/>
                  <w:rFonts w:ascii="Times New Roman;sans-serif" w:hAnsi="Times New Roman;sans-serif"/>
                  <w:b w:val="false"/>
                  <w:color w:val="0000FF"/>
                  <w:sz w:val="22"/>
                  <w:u w:val="single"/>
                </w:rPr>
                <w:t>GLOSSARY OF TERMS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147">
              <w:r>
                <w:rPr>
                  <w:rStyle w:val="InternetLink"/>
                  <w:rFonts w:ascii="Times New Roman;sans-serif" w:hAnsi="Times New Roman;sans-serif"/>
                  <w:b w:val="false"/>
                  <w:color w:val="0000FF"/>
                  <w:sz w:val="20"/>
                  <w:u w:val="single"/>
                </w:rPr>
                <w:t>6</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171">
              <w:r>
                <w:rPr>
                  <w:rStyle w:val="InternetLink"/>
                  <w:rFonts w:ascii="Times New Roman;sans-serif" w:hAnsi="Times New Roman;sans-serif"/>
                  <w:b w:val="false"/>
                  <w:color w:val="0000FF"/>
                  <w:sz w:val="22"/>
                  <w:u w:val="single"/>
                </w:rPr>
                <w:t>CORPORATE STRUCTURE</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171">
              <w:r>
                <w:rPr>
                  <w:rStyle w:val="InternetLink"/>
                  <w:rFonts w:ascii="Times New Roman;sans-serif" w:hAnsi="Times New Roman;sans-serif"/>
                  <w:b w:val="false"/>
                  <w:color w:val="0000FF"/>
                  <w:sz w:val="20"/>
                  <w:u w:val="single"/>
                </w:rPr>
                <w:t>13</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187">
              <w:r>
                <w:rPr>
                  <w:rStyle w:val="InternetLink"/>
                  <w:rFonts w:ascii="Times New Roman;sans-serif" w:hAnsi="Times New Roman;sans-serif"/>
                  <w:b w:val="false"/>
                  <w:color w:val="0000FF"/>
                  <w:sz w:val="22"/>
                  <w:u w:val="single"/>
                </w:rPr>
                <w:t>GENERAL DEVELOPMENT OF THE BUSINESS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187">
              <w:r>
                <w:rPr>
                  <w:rStyle w:val="InternetLink"/>
                  <w:rFonts w:ascii="Times New Roman;sans-serif" w:hAnsi="Times New Roman;sans-serif"/>
                  <w:b w:val="false"/>
                  <w:color w:val="0000FF"/>
                  <w:sz w:val="20"/>
                  <w:u w:val="single"/>
                </w:rPr>
                <w:t>14</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200">
              <w:r>
                <w:rPr>
                  <w:rStyle w:val="InternetLink"/>
                  <w:rFonts w:ascii="Times New Roman;sans-serif" w:hAnsi="Times New Roman;sans-serif"/>
                  <w:b w:val="false"/>
                  <w:color w:val="0000FF"/>
                  <w:sz w:val="22"/>
                  <w:u w:val="single"/>
                </w:rPr>
                <w:t>DESCRIPTION OF THE BUSINESS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200">
              <w:r>
                <w:rPr>
                  <w:rStyle w:val="InternetLink"/>
                  <w:rFonts w:ascii="Times New Roman;sans-serif" w:hAnsi="Times New Roman;sans-serif"/>
                  <w:b w:val="false"/>
                  <w:color w:val="0000FF"/>
                  <w:sz w:val="20"/>
                  <w:u w:val="single"/>
                </w:rPr>
                <w:t>26</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213">
              <w:r>
                <w:rPr>
                  <w:rStyle w:val="InternetLink"/>
                  <w:rFonts w:ascii="Times New Roman;sans-serif" w:hAnsi="Times New Roman;sans-serif"/>
                  <w:b w:val="false"/>
                  <w:color w:val="0000FF"/>
                  <w:sz w:val="22"/>
                  <w:u w:val="single"/>
                </w:rPr>
                <w:t>RISK FACTORS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213">
              <w:r>
                <w:rPr>
                  <w:rStyle w:val="InternetLink"/>
                  <w:rFonts w:ascii="Times New Roman;sans-serif" w:hAnsi="Times New Roman;sans-serif"/>
                  <w:b w:val="false"/>
                  <w:color w:val="0000FF"/>
                  <w:sz w:val="20"/>
                  <w:u w:val="single"/>
                </w:rPr>
                <w:t>55</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7">
              <w:r>
                <w:rPr>
                  <w:rStyle w:val="InternetLink"/>
                  <w:rFonts w:ascii="Times New Roman;sans-serif" w:hAnsi="Times New Roman;sans-serif"/>
                  <w:b w:val="false"/>
                  <w:color w:val="0000FF"/>
                  <w:sz w:val="22"/>
                  <w:u w:val="single"/>
                </w:rPr>
                <w:t>DIVIDEND AND DISTRIBUTIONS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226">
              <w:r>
                <w:rPr>
                  <w:rStyle w:val="InternetLink"/>
                  <w:rFonts w:ascii="Times New Roman;sans-serif" w:hAnsi="Times New Roman;sans-serif"/>
                  <w:b w:val="false"/>
                  <w:color w:val="0000FF"/>
                  <w:sz w:val="20"/>
                  <w:u w:val="single"/>
                </w:rPr>
                <w:t>81</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239">
              <w:r>
                <w:rPr>
                  <w:rStyle w:val="InternetLink"/>
                  <w:rFonts w:ascii="Times New Roman;sans-serif" w:hAnsi="Times New Roman;sans-serif"/>
                  <w:b w:val="false"/>
                  <w:color w:val="0000FF"/>
                  <w:sz w:val="22"/>
                  <w:u w:val="single"/>
                </w:rPr>
                <w:t>DESCRIPTION OF CAPITAL STRUCTURE</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239">
              <w:r>
                <w:rPr>
                  <w:rStyle w:val="InternetLink"/>
                  <w:rFonts w:ascii="Times New Roman;sans-serif" w:hAnsi="Times New Roman;sans-serif"/>
                  <w:b w:val="false"/>
                  <w:color w:val="0000FF"/>
                  <w:sz w:val="20"/>
                  <w:u w:val="single"/>
                </w:rPr>
                <w:t>81</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252">
              <w:r>
                <w:rPr>
                  <w:rStyle w:val="InternetLink"/>
                  <w:rFonts w:ascii="Times New Roman;sans-serif" w:hAnsi="Times New Roman;sans-serif"/>
                  <w:b w:val="false"/>
                  <w:color w:val="0000FF"/>
                  <w:sz w:val="22"/>
                  <w:u w:val="single"/>
                </w:rPr>
                <w:t>MARKET FOR SECURITIES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252">
              <w:r>
                <w:rPr>
                  <w:rStyle w:val="InternetLink"/>
                  <w:rFonts w:ascii="Times New Roman;sans-serif" w:hAnsi="Times New Roman;sans-serif"/>
                  <w:b w:val="false"/>
                  <w:color w:val="0000FF"/>
                  <w:sz w:val="20"/>
                  <w:u w:val="single"/>
                </w:rPr>
                <w:t>81</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265">
              <w:r>
                <w:rPr>
                  <w:rStyle w:val="InternetLink"/>
                  <w:rFonts w:ascii="Times New Roman;sans-serif" w:hAnsi="Times New Roman;sans-serif"/>
                  <w:b w:val="false"/>
                  <w:color w:val="0000FF"/>
                  <w:sz w:val="22"/>
                  <w:u w:val="single"/>
                </w:rPr>
                <w:t>DIRECTORS AND EXECUTIVE OFFICERS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265">
              <w:r>
                <w:rPr>
                  <w:rStyle w:val="InternetLink"/>
                  <w:rFonts w:ascii="Times New Roman;sans-serif" w:hAnsi="Times New Roman;sans-serif"/>
                  <w:b w:val="false"/>
                  <w:color w:val="0000FF"/>
                  <w:sz w:val="20"/>
                  <w:u w:val="single"/>
                </w:rPr>
                <w:t>83</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278">
              <w:r>
                <w:rPr>
                  <w:rStyle w:val="InternetLink"/>
                  <w:rFonts w:ascii="Times New Roman;sans-serif" w:hAnsi="Times New Roman;sans-serif"/>
                  <w:b w:val="false"/>
                  <w:color w:val="0000FF"/>
                  <w:sz w:val="22"/>
                  <w:u w:val="single"/>
                </w:rPr>
                <w:t>CEASE TRADE ORDERS, BANKRUPTCIES, PENALTIES OR SANCTIONS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278">
              <w:r>
                <w:rPr>
                  <w:rStyle w:val="InternetLink"/>
                  <w:rFonts w:ascii="Times New Roman;sans-serif" w:hAnsi="Times New Roman;sans-serif"/>
                  <w:b w:val="false"/>
                  <w:color w:val="0000FF"/>
                  <w:sz w:val="20"/>
                  <w:u w:val="single"/>
                </w:rPr>
                <w:t>87</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291">
              <w:r>
                <w:rPr>
                  <w:rStyle w:val="InternetLink"/>
                  <w:rFonts w:ascii="Times New Roman;sans-serif" w:hAnsi="Times New Roman;sans-serif"/>
                  <w:b w:val="false"/>
                  <w:color w:val="0000FF"/>
                  <w:sz w:val="22"/>
                  <w:u w:val="single"/>
                </w:rPr>
                <w:t>CONFLICTS OF INTEREST</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291">
              <w:r>
                <w:rPr>
                  <w:rStyle w:val="InternetLink"/>
                  <w:rFonts w:ascii="Times New Roman;sans-serif" w:hAnsi="Times New Roman;sans-serif"/>
                  <w:b w:val="false"/>
                  <w:color w:val="0000FF"/>
                  <w:sz w:val="20"/>
                  <w:u w:val="single"/>
                </w:rPr>
                <w:t>88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304">
              <w:r>
                <w:rPr>
                  <w:rStyle w:val="InternetLink"/>
                  <w:rFonts w:ascii="Times New Roman;sans-serif" w:hAnsi="Times New Roman;sans-serif"/>
                  <w:b w:val="false"/>
                  <w:color w:val="0000FF"/>
                  <w:sz w:val="22"/>
                  <w:u w:val="single"/>
                </w:rPr>
                <w:t>LEGAL PROCEEDINGS AND REGULATORY ACTIONS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304">
              <w:r>
                <w:rPr>
                  <w:rStyle w:val="InternetLink"/>
                  <w:rFonts w:ascii="Times New Roman;sans-serif" w:hAnsi="Times New Roman;sans-serif"/>
                  <w:b w:val="false"/>
                  <w:color w:val="0000FF"/>
                  <w:sz w:val="20"/>
                  <w:u w:val="single"/>
                </w:rPr>
                <w:t>88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317">
              <w:r>
                <w:rPr>
                  <w:rStyle w:val="InternetLink"/>
                  <w:rFonts w:ascii="Times New Roman;sans-serif" w:hAnsi="Times New Roman;sans-serif"/>
                  <w:b w:val="false"/>
                  <w:color w:val="0000FF"/>
                  <w:sz w:val="22"/>
                  <w:u w:val="single"/>
                </w:rPr>
                <w:t>INTEREST OF MANAGEMENT AND OTHERS IN MATERIAL TRANSACTIONS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317">
              <w:r>
                <w:rPr>
                  <w:rStyle w:val="InternetLink"/>
                  <w:rFonts w:ascii="Times New Roman;sans-serif" w:hAnsi="Times New Roman;sans-serif"/>
                  <w:b w:val="false"/>
                  <w:color w:val="0000FF"/>
                  <w:sz w:val="20"/>
                  <w:u w:val="single"/>
                </w:rPr>
                <w:t>88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330">
              <w:r>
                <w:rPr>
                  <w:rStyle w:val="InternetLink"/>
                  <w:rFonts w:ascii="Times New Roman;sans-serif" w:hAnsi="Times New Roman;sans-serif"/>
                  <w:b w:val="false"/>
                  <w:color w:val="0000FF"/>
                  <w:sz w:val="22"/>
                  <w:u w:val="single"/>
                </w:rPr>
                <w:t>AUDITOR, TRANSFER AGENT AND REGISTRAR</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330">
              <w:r>
                <w:rPr>
                  <w:rStyle w:val="InternetLink"/>
                  <w:rFonts w:ascii="Times New Roman;sans-serif" w:hAnsi="Times New Roman;sans-serif"/>
                  <w:b w:val="false"/>
                  <w:color w:val="0000FF"/>
                  <w:sz w:val="20"/>
                  <w:u w:val="single"/>
                </w:rPr>
                <w:t>88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343">
              <w:r>
                <w:rPr>
                  <w:rStyle w:val="InternetLink"/>
                  <w:rFonts w:ascii="Times New Roman;sans-serif" w:hAnsi="Times New Roman;sans-serif"/>
                  <w:b w:val="false"/>
                  <w:color w:val="0000FF"/>
                  <w:sz w:val="22"/>
                  <w:u w:val="single"/>
                </w:rPr>
                <w:t>MATERIAL CONTRACTS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343">
              <w:r>
                <w:rPr>
                  <w:rStyle w:val="InternetLink"/>
                  <w:rFonts w:ascii="Times New Roman;sans-serif" w:hAnsi="Times New Roman;sans-serif"/>
                  <w:b w:val="false"/>
                  <w:color w:val="0000FF"/>
                  <w:sz w:val="20"/>
                  <w:u w:val="single"/>
                </w:rPr>
                <w:t>88</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356">
              <w:r>
                <w:rPr>
                  <w:rStyle w:val="InternetLink"/>
                  <w:rFonts w:ascii="Times New Roman;sans-serif" w:hAnsi="Times New Roman;sans-serif"/>
                  <w:b w:val="false"/>
                  <w:color w:val="0000FF"/>
                  <w:sz w:val="22"/>
                  <w:u w:val="single"/>
                </w:rPr>
                <w:t>INTERESTS OF EXPERTS</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356">
              <w:r>
                <w:rPr>
                  <w:rStyle w:val="InternetLink"/>
                  <w:rFonts w:ascii="Times New Roman;sans-serif" w:hAnsi="Times New Roman;sans-serif"/>
                  <w:b w:val="false"/>
                  <w:color w:val="0000FF"/>
                  <w:sz w:val="20"/>
                  <w:u w:val="single"/>
                </w:rPr>
                <w:t>89</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369">
              <w:r>
                <w:rPr>
                  <w:rStyle w:val="InternetLink"/>
                  <w:rFonts w:ascii="Times New Roman;sans-serif" w:hAnsi="Times New Roman;sans-serif"/>
                  <w:b w:val="false"/>
                  <w:color w:val="0000FF"/>
                  <w:sz w:val="22"/>
                  <w:u w:val="single"/>
                </w:rPr>
                <w:t>AUDIT COMMITTEE</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369">
              <w:r>
                <w:rPr>
                  <w:rStyle w:val="InternetLink"/>
                  <w:rFonts w:ascii="Times New Roman;sans-serif" w:hAnsi="Times New Roman;sans-serif"/>
                  <w:b w:val="false"/>
                  <w:color w:val="0000FF"/>
                  <w:sz w:val="20"/>
                  <w:u w:val="single"/>
                </w:rPr>
                <w:t>89</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382">
              <w:r>
                <w:rPr>
                  <w:rStyle w:val="InternetLink"/>
                  <w:rFonts w:ascii="Times New Roman;sans-serif" w:hAnsi="Times New Roman;sans-serif"/>
                  <w:b w:val="false"/>
                  <w:color w:val="0000FF"/>
                  <w:sz w:val="22"/>
                  <w:u w:val="single"/>
                </w:rPr>
                <w:t>COMPLIANCE PROGRAM</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382">
              <w:r>
                <w:rPr>
                  <w:rStyle w:val="InternetLink"/>
                  <w:rFonts w:ascii="Times New Roman;sans-serif" w:hAnsi="Times New Roman;sans-serif"/>
                  <w:b w:val="false"/>
                  <w:color w:val="0000FF"/>
                  <w:sz w:val="20"/>
                  <w:u w:val="single"/>
                </w:rPr>
                <w:t>90</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395">
              <w:r>
                <w:rPr>
                  <w:rStyle w:val="InternetLink"/>
                  <w:rFonts w:ascii="Times New Roman;sans-serif" w:hAnsi="Times New Roman;sans-serif"/>
                  <w:b w:val="false"/>
                  <w:color w:val="0000FF"/>
                  <w:sz w:val="22"/>
                  <w:u w:val="single"/>
                </w:rPr>
                <w:t>INSIDER TRADING POLICY AND CODE OF ETHICS AND BUSINESS CONDUCT</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395">
              <w:r>
                <w:rPr>
                  <w:rStyle w:val="InternetLink"/>
                  <w:rFonts w:ascii="Times New Roman;sans-serif" w:hAnsi="Times New Roman;sans-serif"/>
                  <w:b w:val="false"/>
                  <w:color w:val="0000FF"/>
                  <w:sz w:val="20"/>
                  <w:u w:val="single"/>
                </w:rPr>
                <w:t>91</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408">
              <w:r>
                <w:rPr>
                  <w:rStyle w:val="InternetLink"/>
                  <w:rFonts w:ascii="Times New Roman;sans-serif" w:hAnsi="Times New Roman;sans-serif"/>
                  <w:b w:val="false"/>
                  <w:color w:val="0000FF"/>
                  <w:sz w:val="22"/>
                  <w:u w:val="single"/>
                </w:rPr>
                <w:t>ADDITIONAL INFORMATION</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6ca8dca62154c0bba415e85488c61dc_408">
              <w:r>
                <w:rPr>
                  <w:rStyle w:val="InternetLink"/>
                  <w:rFonts w:ascii="Times New Roman;sans-serif" w:hAnsi="Times New Roman;sans-serif"/>
                  <w:b w:val="false"/>
                  <w:color w:val="0000FF"/>
                  <w:sz w:val="20"/>
                  <w:u w:val="single"/>
                </w:rPr>
                <w:t>92</w:t>
              </w:r>
            </w:hyperlink>
          </w:p>
        </w:tc>
      </w:tr>
      <w:tr>
        <w:trPr/>
        <w:tc>
          <w:tcPr>
            <w:tcW w:w="81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6ca8dca62154c0bba415e85488c61dc_10">
              <w:r>
                <w:rPr>
                  <w:rStyle w:val="InternetLink"/>
                  <w:rFonts w:ascii="Times New Roman;sans-serif" w:hAnsi="Times New Roman;sans-serif"/>
                  <w:b w:val="false"/>
                  <w:color w:val="0000FF"/>
                  <w:sz w:val="22"/>
                  <w:u w:val="single"/>
                </w:rPr>
                <w:t>EXHIBIT “A” AUDIT COMMITTEE CHARTER</w:t>
              </w:r>
            </w:hyperlink>
          </w:p>
        </w:tc>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3051F2"/>
                <w:sz w:val="20"/>
                <w:u w:val="single"/>
              </w:rPr>
              <w:t>A-</w:t>
            </w:r>
            <w:hyperlink w:anchor="i56ca8dca62154c0bba415e85488c61dc_10">
              <w:r>
                <w:rPr>
                  <w:rStyle w:val="InternetLink"/>
                  <w:rFonts w:ascii="Times New Roman;sans-serif" w:hAnsi="Times New Roman;sans-serif"/>
                  <w:b w:val="false"/>
                  <w:color w:val="0000FF"/>
                  <w:sz w:val="20"/>
                  <w:u w:val="single"/>
                </w:rPr>
                <w:t>1</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628650"/>
                <wp:effectExtent l="0" t="0" r="0" b="0"/>
                <wp:wrapNone/>
                <wp:docPr id="13" name="Frame10"/>
                <a:graphic xmlns:a="http://schemas.openxmlformats.org/drawingml/2006/main">
                  <a:graphicData uri="http://schemas.microsoft.com/office/word/2010/wordprocessingShape">
                    <wps:wsp>
                      <wps:cNvSpPr txBox="1"/>
                      <wps:spPr>
                        <a:xfrm>
                          <a:off x="0" y="0"/>
                          <a:ext cx="669226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GENERAL</w:t>
      </w:r>
    </w:p>
    <w:p>
      <w:pPr>
        <w:pStyle w:val="TextBody"/>
        <w:spacing w:lineRule="auto" w:line="240" w:before="0" w:after="240"/>
        <w:jc w:val="both"/>
        <w:rPr/>
      </w:pPr>
      <w:r>
        <w:rPr>
          <w:rFonts w:ascii="Times New Roman;sans-serif" w:hAnsi="Times New Roman;sans-serif"/>
          <w:b w:val="false"/>
          <w:color w:val="000000"/>
          <w:sz w:val="22"/>
        </w:rPr>
        <w:t>In this annual information form (this “</w:t>
      </w:r>
      <w:r>
        <w:rPr>
          <w:rFonts w:ascii="Times New Roman;sans-serif" w:hAnsi="Times New Roman;sans-serif"/>
          <w:b/>
          <w:color w:val="000000"/>
          <w:sz w:val="22"/>
        </w:rPr>
        <w:t>AIF</w:t>
      </w:r>
      <w:r>
        <w:rPr>
          <w:color w:val="000000"/>
        </w:rPr>
        <w:t>”</w:t>
      </w:r>
      <w:r>
        <w:rPr>
          <w:rFonts w:ascii="Times New Roman;sans-serif" w:hAnsi="Times New Roman;sans-serif"/>
          <w:b w:val="false"/>
          <w:color w:val="000000"/>
          <w:sz w:val="22"/>
        </w:rPr>
        <w:t>) unless otherwise noted or the context indicates otherwise, references to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we</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us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our</w:t>
      </w:r>
      <w:r>
        <w:rPr>
          <w:color w:val="000000"/>
        </w:rPr>
        <w:t xml:space="preserve">” </w:t>
      </w:r>
      <w:r>
        <w:rPr>
          <w:rFonts w:ascii="Times New Roman;sans-serif" w:hAnsi="Times New Roman;sans-serif"/>
          <w:b w:val="false"/>
          <w:color w:val="000000"/>
          <w:sz w:val="22"/>
        </w:rPr>
        <w:t>refer to Cybin Inc. and its subsidiaries.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financial information in this AIF is prepared in Canadian dollars and using International Financial Reporting Standards as issued by the International Accounting Standards Board. Unless otherwise noted herein, this AIF applies to the business activities and operations of the Company for the year ended March 31, 2023, as updated to June 27, 2023, unless otherwise indicated.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dollar amounts in this AIF are expressed in Canadian dollars, except as otherwise indicated. References to US$ or “U.S. dollars” are to United States dollars.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spacing w:lineRule="auto" w:line="240" w:before="0" w:after="240"/>
        <w:jc w:val="both"/>
        <w:rPr/>
      </w:pPr>
      <w:r>
        <w:rPr>
          <w:rFonts w:ascii="Times New Roman;sans-serif" w:hAnsi="Times New Roman;sans-serif"/>
          <w:b w:val="false"/>
          <w:color w:val="000000"/>
          <w:sz w:val="22"/>
        </w:rPr>
        <w:t>This AIF, and certain documents incorporated by reference in this AIF, contain</w:t>
      </w:r>
      <w:r>
        <w:rPr>
          <w:color w:val="000000"/>
        </w:rPr>
        <w:t xml:space="preserve"> </w:t>
      </w:r>
      <w:r>
        <w:rPr>
          <w:rFonts w:ascii="Times New Roman;sans-serif" w:hAnsi="Times New Roman;sans-serif"/>
          <w:b w:val="false"/>
          <w:color w:val="000000"/>
          <w:sz w:val="22"/>
        </w:rPr>
        <w:t>forward-looking information and forward-looking statements within the meaning of Canadian securities legislation (“</w:t>
      </w:r>
      <w:r>
        <w:rPr>
          <w:rFonts w:ascii="Times New Roman;sans-serif" w:hAnsi="Times New Roman;sans-serif"/>
          <w:b/>
          <w:color w:val="000000"/>
          <w:sz w:val="22"/>
        </w:rPr>
        <w:t>forward-looking statements</w:t>
      </w:r>
      <w:r>
        <w:rPr>
          <w:color w:val="000000"/>
        </w:rPr>
        <w:t>”</w:t>
      </w:r>
      <w:r>
        <w:rPr>
          <w:rFonts w:ascii="Times New Roman;sans-serif" w:hAnsi="Times New Roman;sans-serif"/>
          <w:b w:val="false"/>
          <w:color w:val="000000"/>
          <w:sz w:val="22"/>
        </w:rPr>
        <w:t xml:space="preserve">). All statements other than statements of historical fact contained in this AIF and in documents incorporated by reference in this AIF, including, without limitation, those regarding the Company’s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 </w:t>
      </w:r>
    </w:p>
    <w:p>
      <w:pPr>
        <w:pStyle w:val="TextBody"/>
        <w:spacing w:lineRule="auto" w:line="240" w:before="0" w:after="240"/>
        <w:jc w:val="both"/>
        <w:rPr/>
      </w:pPr>
      <w:r>
        <w:rPr>
          <w:rFonts w:ascii="Times New Roman;sans-serif" w:hAnsi="Times New Roman;sans-serif"/>
          <w:b w:val="false"/>
          <w:color w:val="000000"/>
          <w:sz w:val="22"/>
        </w:rPr>
        <w:t>Forward-looking statements and information include, without limitation, the information concerning possible or assumed future results of operations of the Company set out under “</w:t>
      </w:r>
      <w:r>
        <w:rPr>
          <w:rFonts w:ascii="Times New Roman;sans-serif" w:hAnsi="Times New Roman;sans-serif"/>
          <w:b w:val="false"/>
          <w:i/>
          <w:color w:val="000000"/>
          <w:sz w:val="22"/>
        </w:rPr>
        <w:t>General Development of the Business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i/>
          <w:color w:val="000000"/>
          <w:sz w:val="22"/>
        </w:rPr>
        <w:t>Description of the Business</w:t>
      </w:r>
      <w:r>
        <w:rPr>
          <w:color w:val="000000"/>
        </w:rPr>
        <w:t>”</w:t>
      </w:r>
      <w:r>
        <w:rPr>
          <w:rFonts w:ascii="Times New Roman;sans-serif" w:hAnsi="Times New Roman;sans-serif"/>
          <w:b w:val="false"/>
          <w:color w:val="000000"/>
          <w:sz w:val="22"/>
        </w:rPr>
        <w:t>, including statements regarding:</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assumptions and expectations described in the Company’s critical accounting policies and estimates;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Company’s expectations regarding the adoption and impact of certain accounting pronouncements;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 xml:space="preserve">the Company’s expectations regarding the market for psilocybin products; </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Company’s expectations regarding legislation, regulations and licensing related to the import, export, processing and sale of psilocybin products;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approval of regulatory bodies of psychedelic substances including psilocybin, for the treatment of various health conditions;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healthcare industry in Canada, the United States, Ireland and the United Kingdom;</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ability to enter and participate in international market opportunities;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ability to secure inventory through long-term supply contracts or otherwise;</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product diversification and future corporate development;</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anticipated results of research and development;</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production capacity expectations including discussions of plans or potential for expansion of capacity at existing or new facilities;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expectations with respect to future expenditures and capital activities; and</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statements about expected use of proceeds from fundraising activities.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These statements are not historical facts, but instead represent only the Company’s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AIF and in documents incorporated by reference in this AIF are qualified by these cautionary statements and other cautionary statements or factors contained herein, and there can be no </w:t>
      </w:r>
      <w:r>
        <w:br w:type="page"/>
      </w:r>
    </w:p>
    <w:p>
      <w:pPr>
        <w:pStyle w:val="TextBody"/>
        <w:spacing w:before="0" w:after="20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668020"/>
                <wp:effectExtent l="0" t="0" r="0" b="0"/>
                <wp:wrapNone/>
                <wp:docPr id="14" name="Frame1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assurance that the actual results or developments will be realized or, even if substantially realized, that they will have the expected consequences to, or effects on, the Company. These forward-looking statements are made as of the date of this AIF and the Company assumes no obligation to update or revise them to reflect subsequent information, events or circumstances or otherwise, except as required by law.</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forward-looking statements in this AIF and in documents incorporated by reference in this AIF are based on numerous assumptions regarding the Company’s present and future business strategies and the environment in which the Company will operate in the future, including assumptions regarding business and operating strategies, and the Company’s ability to operate on a profitable basis. The Company does not undertake any obligation to update or release any revisions to these forward-looking statements to reflect events or circumstances after the date of this report, except as may be required by law.</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Some of the risks which could affect future results and could cause results to differ materially from those expressed in the forward-looking statements contained herein include: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the Company’s Business and Industry: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novel coronavirus “COVID-19”;</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limited operating history;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achieving publicly announced milestones;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speculative nature of investment risk;</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early stage of the industry and product development;</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regulatory risks and uncertainties;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foreign private issuer” status under the U.S. securities laws;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plans for growth;</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risks of operating in European countries;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limited products;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limited marketing and sales capabilities;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no assurance of commercial success;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no profits or significant revenues;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reliance on third parties for clinical development activities;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risks related to third party relationships;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reliance on contract manufacturers;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safety and efficacy of products;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clinical testing and commercializing products;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completion of clinical trials;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commercial grade product manufacturing;</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nature of regulatory approvals;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unfavourable publicity or consumer perception;</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social media;</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biotechnology and pharmaceutical market competition;</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reliance on key executives and scientists;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employee misconduct;</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business expansion and growth;</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negative results of external clinical trials or studies;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product liability;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enforcing contracts;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product recalls;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distribution and supply chain interruption;</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difficulty to forecast;</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promoting the brand;</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product viability;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success of quality control systems;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reliance on key inputs;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liability arising from fraudulent or illegal activity;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operating risk and insurance coverage;</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costs of operating as public company;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management of growth;</w:t>
      </w:r>
    </w:p>
    <w:p>
      <w:pPr>
        <w:pStyle w:val="TextBody"/>
        <w:spacing w:lineRule="auto" w:line="240"/>
        <w:ind w:left="0" w:right="0" w:hanging="720"/>
        <w:jc w:val="both"/>
        <w:rPr/>
      </w:pPr>
      <w:r>
        <w:rPr>
          <w:color w:val="000000"/>
        </w:rPr>
        <w:t>•</w:t>
      </w:r>
      <w:r>
        <w:rPr>
          <w:rFonts w:ascii="Times New Roman;sans-serif" w:hAnsi="Times New Roman;sans-serif"/>
          <w:b w:val="false"/>
          <w:color w:val="000000"/>
          <w:sz w:val="22"/>
        </w:rPr>
        <w:t>conflicts of interest;</w:t>
      </w:r>
      <w:r>
        <w:br w:type="page"/>
      </w:r>
    </w:p>
    <w:p>
      <w:pPr>
        <w:pStyle w:val="TextBody"/>
        <w:spacing w:before="0" w:after="20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668020"/>
                <wp:effectExtent l="0" t="0" r="0" b="0"/>
                <wp:wrapNone/>
                <wp:docPr id="15" name="Frame1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before="0" w:after="0"/>
                        <w:jc w:val="center"/>
                        <w:rPr/>
                      </w:pPr>
                      <w:r>
                        <w:rPr/>
                      </w:r>
                    </w:p>
                  </w:txbxContent>
                </v:textbox>
              </v:rect>
            </w:pict>
          </mc:Fallback>
        </mc:AlternateConten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foreign operations;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cybersecurity and privacy risk;</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environmental regulation and risks;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 xml:space="preserve">decriminalisation of psychedelics; </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forward-looking statements may prove to be inaccurate;</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 xml:space="preserve">effects of inflation; </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political and economic conditions;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application and interpretation of tax laws;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enforcement of civil liabilities;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Intellectual Property: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trademark protection;</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trade secrets;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patent law reform;</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patent litigation and intellectual property;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protection of intellectual property;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third-party licenses;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Financial and Accounting Risks: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substantial number of authorized but unissued Common Shares (as defined herein);</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dilution;</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negative cash flow from operating activities and going concern;</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additional capital requirements;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lack of significant product revenue;</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estimates or judgments relating to critical accounting policies;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inadequate internal controls;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the Common Shares: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market for the Common Shares;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significant sales of Common Shares;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volatile market price for the Common Shares;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tax issues; and</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no dividends.</w:t>
      </w:r>
    </w:p>
    <w:p>
      <w:pPr>
        <w:pStyle w:val="TextBody"/>
        <w:spacing w:before="0" w:after="0"/>
        <w:jc w:val="both"/>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forward-looking statements contained in this AIF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substantial fluctuation of losses from quarter to quarter and year to year due to numerous external risk factors, and anticipation that we will continue to incur significant losses in the future;</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uncertainty as to the Company’s ability to raise additional funding to support operations;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Company’s ability to access additional funding;</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fluctuation of foreign exchange rates;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duration of COVID-19 and the extent of its economic and social impact;</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risks associated with the development of the Company’s product candidates which are at early stages of development;</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reliance upon industry publications as the Company’s primary sources for third-party industry data and forecasts;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reliance on third parties to plan, conduct and monitor the Company’s preclinical studies and clinical trials;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reliance on third party contract manufacturers to deliver quality clinical and preclinical materials;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Company’s product candidates may fail to demonstrate safety and efficacy to the satisfaction of regulatory authorities or may not otherwise produce positive results;</w:t>
      </w:r>
    </w:p>
    <w:p>
      <w:pPr>
        <w:pStyle w:val="TextBody"/>
        <w:spacing w:lineRule="auto" w:line="240"/>
        <w:ind w:left="0" w:right="0" w:hanging="720"/>
        <w:jc w:val="both"/>
        <w:rPr/>
      </w:pPr>
      <w:r>
        <w:rPr>
          <w:color w:val="000000"/>
        </w:rPr>
        <w:t>•</w:t>
      </w:r>
      <w:r>
        <w:rPr>
          <w:rFonts w:ascii="Times New Roman;sans-serif" w:hAnsi="Times New Roman;sans-serif"/>
          <w:b w:val="false"/>
          <w:color w:val="000000"/>
          <w:sz w:val="22"/>
        </w:rPr>
        <w:t>risks related to filing investigational new drug applications to commence clinical trials and to continue clinical trials if approved;</w:t>
      </w:r>
      <w:r>
        <w:br w:type="page"/>
      </w:r>
    </w:p>
    <w:p>
      <w:pPr>
        <w:pStyle w:val="TextBody"/>
        <w:spacing w:before="0" w:after="20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668020"/>
                <wp:effectExtent l="0" t="0" r="0" b="0"/>
                <wp:wrapNone/>
                <wp:docPr id="16" name="Frame1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spacing w:before="0" w:after="0"/>
                        <w:jc w:val="center"/>
                        <w:rPr/>
                      </w:pPr>
                      <w:r>
                        <w:rPr/>
                      </w:r>
                    </w:p>
                  </w:txbxContent>
                </v:textbox>
              </v:rect>
            </w:pict>
          </mc:Fallback>
        </mc:AlternateConten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risks of delays and inability to complete clinical trials due to difficulties enrolling patients;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competition from other biotechnology and pharmaceutical companies;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Company’s reliance on the capabilities and experience of the Company’s key executives and scientists and the resulting loss of any of these individuals;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Company’s ability to fully realize the benefits of acquisitions;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Company’s ability to adequately protect the Company’s intellectual property and trade secrets;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the risk of patent-related or other litigation; and</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the risk of unforeseen changes to the laws or regulations in the United States, the United Kingdom, Canada, the Netherlands, Ireland and other jurisdictions in which the Company operates.</w:t>
      </w:r>
    </w:p>
    <w:p>
      <w:pPr>
        <w:pStyle w:val="TextBody"/>
        <w:spacing w:before="0" w:after="0"/>
        <w:ind w:left="0" w:right="0" w:hanging="720"/>
        <w:jc w:val="both"/>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AIF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spacing w:lineRule="auto" w:line="240" w:before="0" w:after="240"/>
        <w:jc w:val="both"/>
        <w:rPr/>
      </w:pPr>
      <w:r>
        <w:rPr>
          <w:rFonts w:ascii="Times New Roman;sans-serif" w:hAnsi="Times New Roman;sans-serif"/>
          <w:b w:val="false"/>
          <w:color w:val="000000"/>
          <w:sz w:val="22"/>
        </w:rPr>
        <w:t>In addition to the factors set out above, and those identified in this AIF under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 other factors not currently viewed as material could cause actual results to differ materially from those described in the forward-looking statements. Although the Company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MARKET AND INDUSTRY DATA</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AIF includes market and industry data that has been obtained from third-party sources, including industry publications. The Company believes that the industry data is accurate and that its estimates and assumptions are reasonable, but there is no assurance as to the accuracy or completeness of this data. Third-party sources generally state that the information contained therein has been obtained from sources believed to be reliable, but there is no assurance as to the accuracy or completeness of included information. Although the data is believed to be reliable, the Company has not independently verified any of the data from third-party sources referred to in this AIF or ascertained the underlying economic assumptions relied upon by such sources. The Company does not intend, and undertakes no obligation, to update or revise any such information or data, whether as a result of new information, future events or otherwise, except as, and to the extent required by, applicable Canadian securities laws.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REGULATORY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current business focuses on conducting and sponsoring research and development on psychedelic molecules, including psilocybin, and is focused on developing and commercializing psychedelic-inspired regulated medicines. No product will be commercialized prior to applicable legal or regulatory approval.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Canadian and United States federal governments regulate drugs through the CDSA (as defined herein) and the CSA (as defined herein), respectively, which place controlled substances in a schedule. Under the CDSA, psilocybin is currently a Schedule III drug under CDSA and a Schedule I drug under the CSA. </w:t>
      </w:r>
      <w:r>
        <w:br w:type="page"/>
      </w:r>
    </w:p>
    <w:p>
      <w:pPr>
        <w:pStyle w:val="TextBody"/>
        <w:spacing w:before="0" w:after="20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668020"/>
                <wp:effectExtent l="0" t="0" r="0" b="0"/>
                <wp:wrapNone/>
                <wp:docPr id="17" name="Frame1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(as defined herein), have not approved psilocybin as a drug for any indication. The Company does not deal with psychedelic substances except indirectly within laboratory and clinical trial settings conducted within approved regulatory frameworks in order to identify and develop potential treatments for medical conditions and, further, does not have any direct or indirect involvement with illegal selling, production or distribution of any substances in jurisdictions in which it operates. </w:t>
      </w:r>
    </w:p>
    <w:p>
      <w:pPr>
        <w:pStyle w:val="TextBody"/>
        <w:spacing w:lineRule="auto" w:line="240" w:before="0" w:after="240"/>
        <w:jc w:val="both"/>
        <w:rPr/>
      </w:pPr>
      <w:r>
        <w:rPr>
          <w:rFonts w:ascii="Times New Roman;sans-serif" w:hAnsi="Times New Roman;sans-serif"/>
          <w:b w:val="false"/>
          <w:color w:val="000000"/>
          <w:sz w:val="22"/>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See “</w:t>
      </w:r>
      <w:r>
        <w:rPr>
          <w:rFonts w:ascii="Times New Roman;sans-serif" w:hAnsi="Times New Roman;sans-serif"/>
          <w:b w:val="false"/>
          <w:i/>
          <w:color w:val="000000"/>
          <w:sz w:val="22"/>
        </w:rPr>
        <w:t>Compliance Program</w:t>
      </w:r>
      <w:r>
        <w:rPr>
          <w:color w:val="000000"/>
        </w:rPr>
        <w:t>”</w:t>
      </w:r>
      <w:r>
        <w:rPr>
          <w:rFonts w:ascii="Times New Roman;sans-serif" w:hAnsi="Times New Roman;sans-serif"/>
          <w:b w:val="false"/>
          <w:color w:val="000000"/>
          <w:sz w:val="22"/>
        </w:rPr>
        <w:t xml:space="preserve">. Additionally, the Company has received legal opinions or advice in each jurisdiction where it currently operates regarding (a) compliance with applicable regulatory frameworks and (b) potential exposure and implications arising from applicable laws in jurisdictions where the Company has operations or intends to operate. </w:t>
      </w:r>
    </w:p>
    <w:p>
      <w:pPr>
        <w:pStyle w:val="TextBody"/>
        <w:spacing w:lineRule="auto" w:line="240" w:before="0" w:after="240"/>
        <w:jc w:val="both"/>
        <w:rPr/>
      </w:pPr>
      <w:r>
        <w:rPr>
          <w:rFonts w:ascii="Times New Roman;sans-serif" w:hAnsi="Times New Roman;sans-serif"/>
          <w:b w:val="false"/>
          <w:color w:val="000000"/>
          <w:sz w:val="22"/>
        </w:rPr>
        <w:t>For these reasons, the Company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Company. See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herein.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psilocybin, psychedelic tryptamines, tryptamine derivatives or other psychedelic compounds. The efficacy of such products have not been confirmed by approved research. There is no assurance that the use of psilocybin, psychedelic tryptamines, tryptamine derivatives or other psychedelic compounds can diagnose, treat, cure or prevent any disease or condition. Rigorous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r>
        <w:br w:type="page"/>
      </w:r>
    </w:p>
    <w:p>
      <w:pPr>
        <w:pStyle w:val="TextBody"/>
        <w:spacing w:before="0" w:after="20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668020"/>
                <wp:effectExtent l="0" t="0" r="0" b="0"/>
                <wp:wrapNone/>
                <wp:docPr id="18" name="Frame1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spacing w:before="0" w:after="0"/>
                        <w:jc w:val="center"/>
                        <w:rPr/>
                      </w:pPr>
                      <w:r>
                        <w:rPr/>
                      </w:r>
                    </w:p>
                  </w:txbxContent>
                </v:textbox>
              </v:rect>
            </w:pict>
          </mc:Fallback>
        </mc:AlternateContent>
      </w:r>
    </w:p>
    <w:p>
      <w:pPr>
        <w:pStyle w:val="TextBody"/>
        <w:spacing w:before="0" w:after="24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GLOSSARY OF TERMS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terms defined elsewhere in this AIF, the following terms, when used in this AIF, will have the following meanings (unless otherwise indicated):</w:t>
      </w:r>
    </w:p>
    <w:p>
      <w:pPr>
        <w:pStyle w:val="TextBody"/>
        <w:spacing w:lineRule="auto" w:line="240" w:before="0" w:after="240"/>
        <w:jc w:val="both"/>
        <w:rPr/>
      </w:pPr>
      <w:r>
        <w:rPr>
          <w:color w:val="000000"/>
        </w:rPr>
        <w:t>“</w:t>
      </w:r>
      <w:r>
        <w:rPr>
          <w:rFonts w:ascii="Times New Roman;sans-serif" w:hAnsi="Times New Roman;sans-serif"/>
          <w:b/>
          <w:color w:val="000000"/>
          <w:sz w:val="22"/>
        </w:rPr>
        <w:t>2021 Warrant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Adelia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spacing w:lineRule="auto" w:line="240" w:before="0" w:after="240"/>
        <w:jc w:val="both"/>
        <w:rPr/>
      </w:pPr>
      <w:r>
        <w:rPr>
          <w:color w:val="000000"/>
        </w:rPr>
        <w:t>“</w:t>
      </w:r>
      <w:r>
        <w:rPr>
          <w:rFonts w:ascii="Times New Roman;sans-serif" w:hAnsi="Times New Roman;sans-serif"/>
          <w:b/>
          <w:color w:val="000000"/>
          <w:sz w:val="22"/>
        </w:rPr>
        <w:t>Adelia Milestones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Significant Acquisitions and Dispositions.</w:t>
      </w:r>
    </w:p>
    <w:p>
      <w:pPr>
        <w:pStyle w:val="TextBody"/>
        <w:spacing w:lineRule="auto" w:line="240" w:before="0" w:after="240"/>
        <w:jc w:val="both"/>
        <w:rPr/>
      </w:pPr>
      <w:r>
        <w:rPr>
          <w:color w:val="000000"/>
        </w:rPr>
        <w:t>“</w:t>
      </w:r>
      <w:r>
        <w:rPr>
          <w:rFonts w:ascii="Times New Roman;sans-serif" w:hAnsi="Times New Roman;sans-serif"/>
          <w:b/>
          <w:color w:val="000000"/>
          <w:sz w:val="22"/>
        </w:rPr>
        <w:t>Adelia Shareholders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spacing w:lineRule="auto" w:line="240" w:before="0" w:after="240"/>
        <w:jc w:val="both"/>
        <w:rPr/>
      </w:pPr>
      <w:r>
        <w:rPr>
          <w:color w:val="000000"/>
        </w:rPr>
        <w:t>“</w:t>
      </w:r>
      <w:r>
        <w:rPr>
          <w:rFonts w:ascii="Times New Roman;sans-serif" w:hAnsi="Times New Roman;sans-serif"/>
          <w:b/>
          <w:color w:val="000000"/>
          <w:sz w:val="22"/>
        </w:rPr>
        <w:t>Adelia Transaction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spacing w:lineRule="auto" w:line="240" w:before="0" w:after="240"/>
        <w:jc w:val="both"/>
        <w:rPr/>
      </w:pPr>
      <w:r>
        <w:rPr>
          <w:color w:val="000000"/>
        </w:rPr>
        <w:t>“</w:t>
      </w:r>
      <w:r>
        <w:rPr>
          <w:rFonts w:ascii="Times New Roman;sans-serif" w:hAnsi="Times New Roman;sans-serif"/>
          <w:b/>
          <w:color w:val="000000"/>
          <w:sz w:val="22"/>
        </w:rPr>
        <w:t>ADME</w:t>
      </w:r>
      <w:r>
        <w:rPr>
          <w:color w:val="000000"/>
        </w:rPr>
        <w:t xml:space="preserve">” </w:t>
      </w:r>
      <w:r>
        <w:rPr>
          <w:rFonts w:ascii="Times New Roman;sans-serif" w:hAnsi="Times New Roman;sans-serif"/>
          <w:b w:val="false"/>
          <w:color w:val="000000"/>
          <w:sz w:val="22"/>
        </w:rPr>
        <w:t xml:space="preserve">means Absorption, Distribution, Metabolism, and Excretion. </w:t>
      </w:r>
    </w:p>
    <w:p>
      <w:pPr>
        <w:pStyle w:val="TextBody"/>
        <w:spacing w:lineRule="auto" w:line="240" w:before="0" w:after="24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means a company that is affiliated with another company as described below. A company is an “affiliate” of another company if:</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one of them is the subsidiary of the other, 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each of them is controlled by the same person.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company is “controlled” by a person if:</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voting securities of the company are held, other than by way of security only, by or for the benefit of that person, and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the voting securities, if voted, entitle the person to elect a majority of the directors of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person beneficially owns securities that are beneficially owned by:</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a company controlled by that person, 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an affiliate of that person or an affiliate of any company controlled by that person.</w:t>
      </w:r>
    </w:p>
    <w:p>
      <w:pPr>
        <w:pStyle w:val="TextBody"/>
        <w:spacing w:lineRule="auto" w:line="240" w:before="0" w:after="240"/>
        <w:jc w:val="both"/>
        <w:rPr/>
      </w:pPr>
      <w:r>
        <w:rPr>
          <w:color w:val="000000"/>
        </w:rPr>
        <w:t>“</w:t>
      </w:r>
      <w:r>
        <w:rPr>
          <w:rFonts w:ascii="Times New Roman;sans-serif" w:hAnsi="Times New Roman;sans-serif"/>
          <w:b/>
          <w:color w:val="000000"/>
          <w:sz w:val="22"/>
        </w:rPr>
        <w:t>Agents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Agents’ Fee</w:t>
      </w:r>
      <w:r>
        <w:rPr>
          <w:color w:val="000000"/>
        </w:rPr>
        <w:t xml:space="preserve">” </w:t>
      </w:r>
      <w:r>
        <w:rPr>
          <w:rFonts w:ascii="Times New Roman;sans-serif" w:hAnsi="Times New Roman;sans-serif"/>
          <w:b w:val="false"/>
          <w:color w:val="000000"/>
          <w:sz w:val="22"/>
        </w:rPr>
        <w:t xml:space="preserve">has the meaning ascribed thereto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Agents’ Cash Fee</w:t>
      </w:r>
      <w:r>
        <w:rPr>
          <w:color w:val="000000"/>
        </w:rPr>
        <w:t xml:space="preserve">” </w:t>
      </w:r>
      <w:r>
        <w:rPr>
          <w:rFonts w:ascii="Times New Roman;sans-serif" w:hAnsi="Times New Roman;sans-serif"/>
          <w:b w:val="false"/>
          <w:color w:val="000000"/>
          <w:sz w:val="22"/>
        </w:rPr>
        <w:t xml:space="preserve">has the meaning ascribed thereto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Amalco</w:t>
      </w:r>
      <w:r>
        <w:rPr>
          <w:color w:val="000000"/>
        </w:rPr>
        <w:t xml:space="preserve">” </w:t>
      </w:r>
      <w:r>
        <w:rPr>
          <w:rFonts w:ascii="Times New Roman;sans-serif" w:hAnsi="Times New Roman;sans-serif"/>
          <w:b w:val="false"/>
          <w:color w:val="000000"/>
          <w:sz w:val="22"/>
        </w:rPr>
        <w:t>means the company resulting from the amalgamation of Cybin and Subco pursuant to the Amalgamation.</w:t>
      </w:r>
      <w:r>
        <w:br w:type="page"/>
      </w:r>
    </w:p>
    <w:p>
      <w:pPr>
        <w:pStyle w:val="TextBody"/>
        <w:spacing w:before="0" w:after="20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668020"/>
                <wp:effectExtent l="0" t="0" r="0" b="0"/>
                <wp:wrapNone/>
                <wp:docPr id="19" name="Frame1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color w:val="000000"/>
          <w:sz w:val="22"/>
        </w:rPr>
        <w:t>Amalgamation</w:t>
      </w:r>
      <w:r>
        <w:rPr>
          <w:color w:val="000000"/>
        </w:rPr>
        <w:t xml:space="preserve">” </w:t>
      </w:r>
      <w:r>
        <w:rPr>
          <w:rFonts w:ascii="Times New Roman;sans-serif" w:hAnsi="Times New Roman;sans-serif"/>
          <w:b w:val="false"/>
          <w:color w:val="000000"/>
          <w:sz w:val="22"/>
        </w:rPr>
        <w:t>means the amalgamation of Subco and Cybin pursuant to Section 174 of the OBCA on the terms and subject to the conditions of the Amalgamation Agreement, which resulted in the reverse takeover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Amalgamation Agreement</w:t>
      </w:r>
      <w:r>
        <w:rPr>
          <w:color w:val="000000"/>
        </w:rPr>
        <w:t xml:space="preserve">” </w:t>
      </w:r>
      <w:r>
        <w:rPr>
          <w:rFonts w:ascii="Times New Roman;sans-serif" w:hAnsi="Times New Roman;sans-serif"/>
          <w:b w:val="false"/>
          <w:color w:val="000000"/>
          <w:sz w:val="22"/>
        </w:rPr>
        <w:t xml:space="preserve">means the Amalgamation Agreement dated as of June 26, 2020 among Cybin, Clarmin and Subco relating to the Amalgamation, as amended on October 21, 2020, a copy of which is available under the Company’s profile on the SEDAR website at </w:t>
      </w:r>
      <w:r>
        <w:rPr>
          <w:rFonts w:ascii="Times New Roman;sans-serif" w:hAnsi="Times New Roman;sans-serif"/>
          <w:b w:val="false"/>
          <w:color w:val="000000"/>
          <w:sz w:val="22"/>
          <w:u w:val="single"/>
        </w:rPr>
        <w:t>www.sedar.com</w:t>
      </w:r>
      <w:r>
        <w:rPr>
          <w:rFonts w:ascii="Times New Roman;sans-serif" w:hAnsi="Times New Roman;sans-serif"/>
          <w:b w:val="false"/>
          <w:color w:val="000000"/>
          <w:sz w:val="22"/>
        </w:rPr>
        <w:t>.</w:t>
      </w:r>
    </w:p>
    <w:p>
      <w:pPr>
        <w:pStyle w:val="TextBody"/>
        <w:spacing w:lineRule="auto" w:line="240" w:before="0" w:after="240"/>
        <w:jc w:val="both"/>
        <w:rPr/>
      </w:pPr>
      <w:r>
        <w:rPr>
          <w:color w:val="000000"/>
        </w:rPr>
        <w:t>“</w:t>
      </w:r>
      <w:r>
        <w:rPr>
          <w:rFonts w:ascii="Times New Roman;sans-serif" w:hAnsi="Times New Roman;sans-serif"/>
          <w:b/>
          <w:color w:val="000000"/>
          <w:sz w:val="22"/>
        </w:rPr>
        <w:t>API</w:t>
      </w:r>
      <w:r>
        <w:rPr>
          <w:color w:val="000000"/>
        </w:rPr>
        <w:t xml:space="preserve">” </w:t>
      </w:r>
      <w:r>
        <w:rPr>
          <w:rFonts w:ascii="Times New Roman;sans-serif" w:hAnsi="Times New Roman;sans-serif"/>
          <w:b w:val="false"/>
          <w:color w:val="000000"/>
          <w:sz w:val="22"/>
        </w:rPr>
        <w:t>means the pharmaceutically acceptable psychedelic agent psilocybin or psilocin or a combination thereof.</w:t>
      </w:r>
    </w:p>
    <w:p>
      <w:pPr>
        <w:pStyle w:val="TextBody"/>
        <w:spacing w:lineRule="auto" w:line="240" w:before="0" w:after="240"/>
        <w:jc w:val="both"/>
        <w:rPr/>
      </w:pPr>
      <w:r>
        <w:rPr>
          <w:color w:val="000000"/>
        </w:rPr>
        <w:t>“</w:t>
      </w:r>
      <w:r>
        <w:rPr>
          <w:rFonts w:ascii="Times New Roman;sans-serif" w:hAnsi="Times New Roman;sans-serif"/>
          <w:b/>
          <w:color w:val="000000"/>
          <w:sz w:val="22"/>
        </w:rPr>
        <w:t>Asset Acquisition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Associate</w:t>
      </w:r>
      <w:r>
        <w:rPr>
          <w:color w:val="000000"/>
        </w:rPr>
        <w:t xml:space="preserve">” </w:t>
      </w:r>
      <w:r>
        <w:rPr>
          <w:rFonts w:ascii="Times New Roman;sans-serif" w:hAnsi="Times New Roman;sans-serif"/>
          <w:b w:val="false"/>
          <w:color w:val="000000"/>
          <w:sz w:val="22"/>
        </w:rPr>
        <w:t xml:space="preserve">has the meaning set out in Section 1(1) of the </w:t>
      </w:r>
      <w:r>
        <w:rPr>
          <w:rFonts w:ascii="Times New Roman;sans-serif" w:hAnsi="Times New Roman;sans-serif"/>
          <w:b w:val="false"/>
          <w:i/>
          <w:color w:val="000000"/>
          <w:sz w:val="22"/>
        </w:rPr>
        <w:t xml:space="preserve">Securities Act </w:t>
      </w:r>
      <w:r>
        <w:rPr>
          <w:rFonts w:ascii="Times New Roman;sans-serif" w:hAnsi="Times New Roman;sans-serif"/>
          <w:b w:val="false"/>
          <w:color w:val="000000"/>
          <w:sz w:val="22"/>
        </w:rPr>
        <w:t>(Ontario), RSO 1990, c.S.5.</w:t>
      </w:r>
    </w:p>
    <w:p>
      <w:pPr>
        <w:pStyle w:val="TextBody"/>
        <w:spacing w:lineRule="auto" w:line="240" w:before="0" w:after="240"/>
        <w:jc w:val="both"/>
        <w:rPr/>
      </w:pPr>
      <w:r>
        <w:rPr>
          <w:color w:val="000000"/>
        </w:rPr>
        <w:t>“</w:t>
      </w:r>
      <w:r>
        <w:rPr>
          <w:rFonts w:ascii="Times New Roman;sans-serif" w:hAnsi="Times New Roman;sans-serif"/>
          <w:b/>
          <w:color w:val="000000"/>
          <w:sz w:val="22"/>
        </w:rPr>
        <w:t>ATM Program</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AUD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 xml:space="preserve">. </w:t>
      </w:r>
    </w:p>
    <w:p>
      <w:pPr>
        <w:pStyle w:val="TextBody"/>
        <w:spacing w:lineRule="auto" w:line="240" w:before="0" w:after="240"/>
        <w:jc w:val="both"/>
        <w:rPr/>
      </w:pPr>
      <w:r>
        <w:rPr>
          <w:color w:val="000000"/>
        </w:rPr>
        <w:t>“</w:t>
      </w:r>
      <w:r>
        <w:rPr>
          <w:rFonts w:ascii="Times New Roman;sans-serif" w:hAnsi="Times New Roman;sans-serif"/>
          <w:b/>
          <w:color w:val="000000"/>
          <w:sz w:val="22"/>
        </w:rPr>
        <w:t>BCBCA</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Business Corporations Act</w:t>
      </w:r>
      <w:r>
        <w:rPr>
          <w:color w:val="000000"/>
        </w:rPr>
        <w:t xml:space="preserve"> </w:t>
      </w:r>
      <w:r>
        <w:rPr>
          <w:rFonts w:ascii="Times New Roman;sans-serif" w:hAnsi="Times New Roman;sans-serif"/>
          <w:b w:val="false"/>
          <w:color w:val="000000"/>
          <w:sz w:val="22"/>
        </w:rPr>
        <w:t>(British Columbia), as amended.</w:t>
      </w:r>
    </w:p>
    <w:p>
      <w:pPr>
        <w:pStyle w:val="TextBody"/>
        <w:spacing w:lineRule="auto" w:line="240" w:before="0" w:after="240"/>
        <w:jc w:val="both"/>
        <w:rPr/>
      </w:pPr>
      <w:r>
        <w:rPr>
          <w:color w:val="000000"/>
        </w:rPr>
        <w:t>“</w:t>
      </w:r>
      <w:r>
        <w:rPr>
          <w:rFonts w:ascii="Times New Roman;sans-serif" w:hAnsi="Times New Roman;sans-serif"/>
          <w:b/>
          <w:color w:val="000000"/>
          <w:sz w:val="22"/>
        </w:rPr>
        <w:t>Benton Property</w:t>
      </w:r>
      <w:r>
        <w:rPr>
          <w:color w:val="000000"/>
        </w:rPr>
        <w:t xml:space="preserve">” </w:t>
      </w:r>
      <w:r>
        <w:rPr>
          <w:rFonts w:ascii="Times New Roman;sans-serif" w:hAnsi="Times New Roman;sans-serif"/>
          <w:b w:val="false"/>
          <w:color w:val="000000"/>
          <w:sz w:val="22"/>
        </w:rPr>
        <w:t xml:space="preserve">means Clarmin’s 100% interest in the three tenures totaling 1,285 hectares located in New Brunswick Canada. </w:t>
      </w:r>
    </w:p>
    <w:p>
      <w:pPr>
        <w:pStyle w:val="TextBody"/>
        <w:spacing w:lineRule="auto" w:line="240" w:before="0" w:after="240"/>
        <w:jc w:val="both"/>
        <w:rPr/>
      </w:pP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means the board of directors of Clarmin prior to the Transaction and the board of directors of the Company following the Transaction.</w:t>
      </w:r>
    </w:p>
    <w:p>
      <w:pPr>
        <w:pStyle w:val="TextBody"/>
        <w:spacing w:lineRule="auto" w:line="240" w:before="0" w:after="240"/>
        <w:jc w:val="both"/>
        <w:rPr/>
      </w:pPr>
      <w:r>
        <w:rPr>
          <w:color w:val="000000"/>
        </w:rPr>
        <w:t>“</w:t>
      </w:r>
      <w:r>
        <w:rPr>
          <w:rFonts w:ascii="Times New Roman;sans-serif" w:hAnsi="Times New Roman;sans-serif"/>
          <w:b/>
          <w:color w:val="000000"/>
          <w:sz w:val="22"/>
        </w:rPr>
        <w:t>Broker Warrants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Canadian FDA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Stage of Development of Principal Products.</w:t>
      </w:r>
    </w:p>
    <w:p>
      <w:pPr>
        <w:pStyle w:val="TextBody"/>
        <w:spacing w:lineRule="auto" w:line="240" w:before="0" w:after="240"/>
        <w:jc w:val="both"/>
        <w:rPr/>
      </w:pPr>
      <w:r>
        <w:rPr>
          <w:color w:val="000000"/>
        </w:rPr>
        <w:t>“</w:t>
      </w:r>
      <w:r>
        <w:rPr>
          <w:rFonts w:ascii="Times New Roman;sans-serif" w:hAnsi="Times New Roman;sans-serif"/>
          <w:b/>
          <w:color w:val="000000"/>
          <w:sz w:val="22"/>
        </w:rPr>
        <w:t>Catalent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Catalyst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CCMO</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Europe (Netherlands).</w:t>
      </w:r>
    </w:p>
    <w:p>
      <w:pPr>
        <w:pStyle w:val="TextBody"/>
        <w:spacing w:lineRule="auto" w:line="240" w:before="0" w:after="240"/>
        <w:jc w:val="both"/>
        <w:rPr/>
      </w:pPr>
      <w:r>
        <w:rPr>
          <w:color w:val="000000"/>
        </w:rPr>
        <w:t>“</w:t>
      </w:r>
      <w:r>
        <w:rPr>
          <w:rFonts w:ascii="Times New Roman;sans-serif" w:hAnsi="Times New Roman;sans-serif"/>
          <w:b/>
          <w:color w:val="000000"/>
          <w:sz w:val="22"/>
        </w:rPr>
        <w:t>CDSA</w:t>
      </w:r>
      <w:r>
        <w:rPr>
          <w:color w:val="000000"/>
        </w:rPr>
        <w:t xml:space="preserve">” </w:t>
      </w:r>
      <w:r>
        <w:rPr>
          <w:rFonts w:ascii="Times New Roman;sans-serif" w:hAnsi="Times New Roman;sans-serif"/>
          <w:b w:val="false"/>
          <w:color w:val="000000"/>
          <w:sz w:val="22"/>
        </w:rPr>
        <w:t>means the</w:t>
      </w:r>
      <w:r>
        <w:rPr>
          <w:color w:val="000000"/>
        </w:rPr>
        <w:t xml:space="preserve"> </w:t>
      </w:r>
      <w:r>
        <w:rPr>
          <w:rFonts w:ascii="Times New Roman;sans-serif" w:hAnsi="Times New Roman;sans-serif"/>
          <w:b w:val="false"/>
          <w:i/>
          <w:color w:val="000000"/>
          <w:sz w:val="22"/>
        </w:rPr>
        <w:t>Controlled Drugs and Substances Act</w:t>
      </w:r>
      <w:r>
        <w:rPr>
          <w:color w:val="000000"/>
        </w:rPr>
        <w:t xml:space="preserve"> </w:t>
      </w:r>
      <w:r>
        <w:rPr>
          <w:rFonts w:ascii="Times New Roman;sans-serif" w:hAnsi="Times New Roman;sans-serif"/>
          <w:b w:val="false"/>
          <w:color w:val="000000"/>
          <w:sz w:val="22"/>
        </w:rPr>
        <w:t>(Canada).</w:t>
      </w:r>
    </w:p>
    <w:p>
      <w:pPr>
        <w:pStyle w:val="TextBody"/>
        <w:spacing w:lineRule="auto" w:line="240" w:before="0" w:after="240"/>
        <w:jc w:val="both"/>
        <w:rPr/>
      </w:pPr>
      <w:r>
        <w:rPr>
          <w:color w:val="000000"/>
        </w:rPr>
        <w:t>“</w:t>
      </w:r>
      <w:r>
        <w:rPr>
          <w:rFonts w:ascii="Times New Roman;sans-serif" w:hAnsi="Times New Roman;sans-serif"/>
          <w:b/>
          <w:color w:val="000000"/>
          <w:sz w:val="22"/>
        </w:rPr>
        <w:t>cGMP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Clarmin</w:t>
      </w:r>
      <w:r>
        <w:rPr>
          <w:color w:val="000000"/>
        </w:rPr>
        <w:t xml:space="preserve">” </w:t>
      </w:r>
      <w:r>
        <w:rPr>
          <w:rFonts w:ascii="Times New Roman;sans-serif" w:hAnsi="Times New Roman;sans-serif"/>
          <w:b w:val="false"/>
          <w:color w:val="000000"/>
          <w:sz w:val="22"/>
        </w:rPr>
        <w:t>means Clarmin Explorations Inc., as a company existing, prior to the Transaction, under the BCBCA via articles of incorporation dated October 13, 2016, and continued under the OBCA on November 4, 2020 in connection with the Transaction.</w:t>
      </w:r>
    </w:p>
    <w:p>
      <w:pPr>
        <w:pStyle w:val="TextBody"/>
        <w:spacing w:lineRule="auto" w:line="240" w:before="0" w:after="240"/>
        <w:jc w:val="both"/>
        <w:rPr/>
      </w:pPr>
      <w:r>
        <w:rPr>
          <w:color w:val="000000"/>
        </w:rPr>
        <w:t>“</w:t>
      </w:r>
      <w:r>
        <w:rPr>
          <w:rFonts w:ascii="Times New Roman;sans-serif" w:hAnsi="Times New Roman;sans-serif"/>
          <w:b/>
          <w:color w:val="000000"/>
          <w:sz w:val="22"/>
        </w:rPr>
        <w:t>Clarmin Disposition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Clarmin Shares</w:t>
      </w:r>
      <w:r>
        <w:rPr>
          <w:color w:val="000000"/>
        </w:rPr>
        <w:t xml:space="preserve">” </w:t>
      </w:r>
      <w:r>
        <w:rPr>
          <w:rFonts w:ascii="Times New Roman;sans-serif" w:hAnsi="Times New Roman;sans-serif"/>
          <w:b w:val="false"/>
          <w:color w:val="000000"/>
          <w:sz w:val="22"/>
        </w:rPr>
        <w:t>means the authorized common shares in the capital of Clarmin, as constituted prior to the Consolidation.</w:t>
      </w:r>
      <w:r>
        <w:br w:type="page"/>
      </w:r>
    </w:p>
    <w:p>
      <w:pPr>
        <w:pStyle w:val="TextBody"/>
        <w:spacing w:before="0" w:after="20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668020"/>
                <wp:effectExtent l="0" t="0" r="0" b="0"/>
                <wp:wrapNone/>
                <wp:docPr id="20" name="Frame1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color w:val="000000"/>
          <w:sz w:val="22"/>
        </w:rPr>
        <w:t>Class B Share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Significant Acquisitions and Dispositions.</w:t>
      </w:r>
    </w:p>
    <w:p>
      <w:pPr>
        <w:pStyle w:val="TextBody"/>
        <w:spacing w:lineRule="auto" w:line="240" w:before="0" w:after="240"/>
        <w:jc w:val="both"/>
        <w:rPr/>
      </w:pPr>
      <w:r>
        <w:rPr>
          <w:color w:val="000000"/>
        </w:rPr>
        <w:t>“</w:t>
      </w:r>
      <w:r>
        <w:rPr>
          <w:rFonts w:ascii="Times New Roman;sans-serif" w:hAnsi="Times New Roman;sans-serif"/>
          <w:b/>
          <w:color w:val="000000"/>
          <w:sz w:val="22"/>
        </w:rPr>
        <w:t>Clinilabs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Closing</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CMC</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Stage of Development of Principal Products</w:t>
      </w:r>
      <w:r>
        <w:rPr>
          <w:rFonts w:ascii="Times New Roman;sans-serif" w:hAnsi="Times New Roman;sans-serif"/>
          <w:b w:val="false"/>
          <w:color w:val="000000"/>
          <w:sz w:val="22"/>
        </w:rPr>
        <w:t xml:space="preserve">. </w:t>
      </w:r>
    </w:p>
    <w:p>
      <w:pPr>
        <w:pStyle w:val="TextBody"/>
        <w:spacing w:lineRule="auto" w:line="240" w:before="0" w:after="240"/>
        <w:jc w:val="both"/>
        <w:rPr/>
      </w:pPr>
      <w:r>
        <w:rPr>
          <w:color w:val="000000"/>
        </w:rPr>
        <w:t>“</w:t>
      </w:r>
      <w:r>
        <w:rPr>
          <w:rFonts w:ascii="Times New Roman;sans-serif" w:hAnsi="Times New Roman;sans-serif"/>
          <w:b/>
          <w:color w:val="000000"/>
          <w:sz w:val="22"/>
        </w:rPr>
        <w:t>CMOs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Risk Factors - Reliance on Contract Manufacturers.</w:t>
      </w:r>
    </w:p>
    <w:p>
      <w:pPr>
        <w:pStyle w:val="TextBody"/>
        <w:spacing w:lineRule="auto" w:line="240" w:before="0" w:after="240"/>
        <w:jc w:val="both"/>
        <w:rPr/>
      </w:pPr>
      <w:r>
        <w:rPr>
          <w:color w:val="000000"/>
        </w:rPr>
        <w:t>“</w:t>
      </w:r>
      <w:r>
        <w:rPr>
          <w:rFonts w:ascii="Times New Roman;sans-serif" w:hAnsi="Times New Roman;sans-serif"/>
          <w:b/>
          <w:color w:val="000000"/>
          <w:sz w:val="22"/>
        </w:rPr>
        <w:t>CNS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p>
    <w:p>
      <w:pPr>
        <w:pStyle w:val="TextBody"/>
        <w:spacing w:lineRule="auto" w:line="240" w:before="0" w:after="240"/>
        <w:jc w:val="both"/>
        <w:rPr/>
      </w:pPr>
      <w:r>
        <w:rPr>
          <w:color w:val="000000"/>
        </w:rPr>
        <w:t>“</w:t>
      </w:r>
      <w:r>
        <w:rPr>
          <w:rFonts w:ascii="Times New Roman;sans-serif" w:hAnsi="Times New Roman;sans-serif"/>
          <w:b/>
          <w:color w:val="000000"/>
          <w:sz w:val="22"/>
        </w:rPr>
        <w:t>Co-Lead Agents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Collaboration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Common Shares</w:t>
      </w:r>
      <w:r>
        <w:rPr>
          <w:color w:val="000000"/>
        </w:rPr>
        <w:t xml:space="preserve">” </w:t>
      </w:r>
      <w:r>
        <w:rPr>
          <w:rFonts w:ascii="Times New Roman;sans-serif" w:hAnsi="Times New Roman;sans-serif"/>
          <w:b w:val="false"/>
          <w:color w:val="000000"/>
          <w:sz w:val="22"/>
        </w:rPr>
        <w:t>means the common shares in the capital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means Cybin Inc., a company existing under the OBCA, being Clarmin after the completion of the Transaction, on a consolidated basis which carries on the business and operations of Cybin, following the Transaction.</w:t>
      </w:r>
    </w:p>
    <w:p>
      <w:pPr>
        <w:pStyle w:val="TextBody"/>
        <w:spacing w:lineRule="auto" w:line="240" w:before="0" w:after="240"/>
        <w:jc w:val="both"/>
        <w:rPr/>
      </w:pPr>
      <w:r>
        <w:rPr>
          <w:color w:val="000000"/>
        </w:rPr>
        <w:t>“</w:t>
      </w:r>
      <w:r>
        <w:rPr>
          <w:rFonts w:ascii="Times New Roman;sans-serif" w:hAnsi="Times New Roman;sans-serif"/>
          <w:b/>
          <w:color w:val="000000"/>
          <w:sz w:val="22"/>
        </w:rPr>
        <w:t>Compensation Warrants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Consolidation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Structure – Name, Address and Incorporation</w:t>
      </w:r>
      <w:r>
        <w:rPr>
          <w:rFonts w:ascii="Times New Roman;sans-serif" w:hAnsi="Times New Roman;sans-serif"/>
          <w:b w:val="false"/>
          <w:color w:val="000000"/>
          <w:sz w:val="22"/>
        </w:rPr>
        <w:t>.</w:t>
      </w:r>
    </w:p>
    <w:p>
      <w:pPr>
        <w:pStyle w:val="TextBody"/>
        <w:spacing w:lineRule="auto" w:line="240" w:before="0" w:after="240"/>
        <w:jc w:val="both"/>
        <w:rPr/>
      </w:pPr>
      <w:r>
        <w:rPr>
          <w:color w:val="000000"/>
        </w:rPr>
        <w:t>“</w:t>
      </w:r>
      <w:r>
        <w:rPr>
          <w:rFonts w:ascii="Times New Roman;sans-serif" w:hAnsi="Times New Roman;sans-serif"/>
          <w:b/>
          <w:color w:val="000000"/>
          <w:sz w:val="22"/>
        </w:rPr>
        <w:t>Contribution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COVID-19</w:t>
      </w:r>
      <w:r>
        <w:rPr>
          <w:color w:val="000000"/>
        </w:rPr>
        <w:t xml:space="preserve">” </w:t>
      </w:r>
      <w:r>
        <w:rPr>
          <w:rFonts w:ascii="Times New Roman;sans-serif" w:hAnsi="Times New Roman;sans-serif"/>
          <w:b w:val="false"/>
          <w:color w:val="000000"/>
          <w:sz w:val="22"/>
        </w:rPr>
        <w:t>means the Coronavirus disease 2019, an infectious disease caused by severe acute respiratory syndrome coronavirus 2 (SARS-CoV-2).</w:t>
      </w:r>
    </w:p>
    <w:p>
      <w:pPr>
        <w:pStyle w:val="TextBody"/>
        <w:spacing w:lineRule="auto" w:line="240" w:before="0" w:after="240"/>
        <w:jc w:val="both"/>
        <w:rPr/>
      </w:pPr>
      <w:r>
        <w:rPr>
          <w:color w:val="000000"/>
        </w:rPr>
        <w:t>“</w:t>
      </w:r>
      <w:r>
        <w:rPr>
          <w:rFonts w:ascii="Times New Roman;sans-serif" w:hAnsi="Times New Roman;sans-serif"/>
          <w:b/>
          <w:color w:val="000000"/>
          <w:sz w:val="22"/>
        </w:rPr>
        <w:t>CSA</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 xml:space="preserve">Controlled Substances Act </w:t>
      </w:r>
      <w:r>
        <w:rPr>
          <w:rFonts w:ascii="Times New Roman;sans-serif" w:hAnsi="Times New Roman;sans-serif"/>
          <w:b w:val="false"/>
          <w:color w:val="000000"/>
          <w:sz w:val="22"/>
        </w:rPr>
        <w:t xml:space="preserve">(21 U.S.C. § 811). </w:t>
      </w:r>
    </w:p>
    <w:p>
      <w:pPr>
        <w:pStyle w:val="TextBody"/>
        <w:spacing w:lineRule="auto" w:line="240" w:before="0" w:after="240"/>
        <w:jc w:val="both"/>
        <w:rPr/>
      </w:pPr>
      <w:r>
        <w:rPr>
          <w:color w:val="000000"/>
        </w:rPr>
        <w:t>“</w:t>
      </w:r>
      <w:r>
        <w:rPr>
          <w:rFonts w:ascii="Times New Roman;sans-serif" w:hAnsi="Times New Roman;sans-serif"/>
          <w:b/>
          <w:color w:val="000000"/>
          <w:sz w:val="22"/>
        </w:rPr>
        <w:t>CSE</w:t>
      </w:r>
      <w:r>
        <w:rPr>
          <w:color w:val="000000"/>
        </w:rPr>
        <w:t xml:space="preserve">” </w:t>
      </w:r>
      <w:r>
        <w:rPr>
          <w:rFonts w:ascii="Times New Roman;sans-serif" w:hAnsi="Times New Roman;sans-serif"/>
          <w:b w:val="false"/>
          <w:color w:val="000000"/>
          <w:sz w:val="22"/>
        </w:rPr>
        <w:t>means the Canadian Securities Exchange.</w:t>
      </w:r>
    </w:p>
    <w:p>
      <w:pPr>
        <w:pStyle w:val="TextBody"/>
        <w:spacing w:lineRule="auto" w:line="240" w:before="0" w:after="240"/>
        <w:jc w:val="both"/>
        <w:rPr/>
      </w:pPr>
      <w:r>
        <w:rPr>
          <w:color w:val="000000"/>
        </w:rPr>
        <w:t>“</w:t>
      </w:r>
      <w:r>
        <w:rPr>
          <w:rFonts w:ascii="Times New Roman;sans-serif" w:hAnsi="Times New Roman;sans-serif"/>
          <w:b/>
          <w:color w:val="000000"/>
          <w:sz w:val="22"/>
        </w:rPr>
        <w:t>CTA</w:t>
      </w:r>
      <w:r>
        <w:rPr>
          <w:color w:val="000000"/>
        </w:rPr>
        <w:t xml:space="preserve">” </w:t>
      </w:r>
      <w:r>
        <w:rPr>
          <w:rFonts w:ascii="Times New Roman;sans-serif" w:hAnsi="Times New Roman;sans-serif"/>
          <w:b w:val="false"/>
          <w:color w:val="000000"/>
          <w:sz w:val="22"/>
        </w:rPr>
        <w:t>means a Clinical Trial Application.</w:t>
      </w:r>
    </w:p>
    <w:p>
      <w:pPr>
        <w:pStyle w:val="TextBody"/>
        <w:spacing w:lineRule="auto" w:line="240" w:before="0" w:after="240"/>
        <w:jc w:val="both"/>
        <w:rPr/>
      </w:pPr>
      <w:r>
        <w:rPr>
          <w:color w:val="000000"/>
        </w:rPr>
        <w:t>“</w:t>
      </w:r>
      <w:r>
        <w:rPr>
          <w:rFonts w:ascii="Times New Roman;sans-serif" w:hAnsi="Times New Roman;sans-serif"/>
          <w:b/>
          <w:color w:val="000000"/>
          <w:sz w:val="22"/>
        </w:rPr>
        <w:t>Cybin</w:t>
      </w:r>
      <w:r>
        <w:rPr>
          <w:color w:val="000000"/>
        </w:rPr>
        <w:t xml:space="preserve">” </w:t>
      </w:r>
      <w:r>
        <w:rPr>
          <w:rFonts w:ascii="Times New Roman;sans-serif" w:hAnsi="Times New Roman;sans-serif"/>
          <w:b w:val="false"/>
          <w:color w:val="000000"/>
          <w:sz w:val="22"/>
        </w:rPr>
        <w:t>means Cybin Corp., prior to giving effect to the Transaction, a corporation existing under the OBCA, which, pursuant to the Transaction, amalgamated with Subco to form Amalco under the name “Cybin Corp.” and became a wholly-owned subsidiary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Cybin Ireland</w:t>
      </w:r>
      <w:r>
        <w:rPr>
          <w:color w:val="000000"/>
        </w:rPr>
        <w:t xml:space="preserve">” </w:t>
      </w:r>
      <w:r>
        <w:rPr>
          <w:rFonts w:ascii="Times New Roman;sans-serif" w:hAnsi="Times New Roman;sans-serif"/>
          <w:b w:val="false"/>
          <w:color w:val="000000"/>
          <w:sz w:val="22"/>
        </w:rPr>
        <w:t xml:space="preserve">means Cybin IRL Limited, a corporation existing under the laws of Ireland and a wholly-owned subsidiary of the Company. </w:t>
      </w:r>
    </w:p>
    <w:p>
      <w:pPr>
        <w:pStyle w:val="TextBody"/>
        <w:spacing w:lineRule="auto" w:line="240" w:before="0" w:after="240"/>
        <w:jc w:val="both"/>
        <w:rPr/>
      </w:pPr>
      <w:r>
        <w:rPr>
          <w:color w:val="000000"/>
        </w:rPr>
        <w:t>“</w:t>
      </w:r>
      <w:r>
        <w:rPr>
          <w:rFonts w:ascii="Times New Roman;sans-serif" w:hAnsi="Times New Roman;sans-serif"/>
          <w:b/>
          <w:color w:val="000000"/>
          <w:sz w:val="22"/>
        </w:rPr>
        <w:t>Cybin Private Placement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Cybin Shares</w:t>
      </w:r>
      <w:r>
        <w:rPr>
          <w:color w:val="000000"/>
        </w:rPr>
        <w:t xml:space="preserve">” </w:t>
      </w:r>
      <w:r>
        <w:rPr>
          <w:rFonts w:ascii="Times New Roman;sans-serif" w:hAnsi="Times New Roman;sans-serif"/>
          <w:b w:val="false"/>
          <w:color w:val="000000"/>
          <w:sz w:val="22"/>
        </w:rPr>
        <w:t>means the common shares in the capital of Cybin.</w:t>
      </w:r>
    </w:p>
    <w:p>
      <w:pPr>
        <w:pStyle w:val="TextBody"/>
        <w:spacing w:lineRule="auto" w:line="240" w:before="0" w:after="240"/>
        <w:jc w:val="both"/>
        <w:rPr/>
      </w:pPr>
      <w:r>
        <w:rPr>
          <w:color w:val="000000"/>
        </w:rPr>
        <w:t>“</w:t>
      </w:r>
      <w:r>
        <w:rPr>
          <w:rFonts w:ascii="Times New Roman;sans-serif" w:hAnsi="Times New Roman;sans-serif"/>
          <w:b/>
          <w:color w:val="000000"/>
          <w:sz w:val="22"/>
        </w:rPr>
        <w:t>Cybin U.S.</w:t>
      </w:r>
      <w:r>
        <w:rPr>
          <w:color w:val="000000"/>
        </w:rPr>
        <w:t xml:space="preserve">” </w:t>
      </w:r>
      <w:r>
        <w:rPr>
          <w:rFonts w:ascii="Times New Roman;sans-serif" w:hAnsi="Times New Roman;sans-serif"/>
          <w:b w:val="false"/>
          <w:color w:val="000000"/>
          <w:sz w:val="22"/>
        </w:rPr>
        <w:t>means Cybin U.S. Holdings Inc.</w:t>
      </w:r>
      <w:r>
        <w:br w:type="page"/>
      </w:r>
    </w:p>
    <w:p>
      <w:pPr>
        <w:pStyle w:val="TextBody"/>
        <w:spacing w:before="0" w:after="20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668020"/>
                <wp:effectExtent l="0" t="0" r="0" b="0"/>
                <wp:wrapNone/>
                <wp:docPr id="21" name="Frame1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color w:val="000000"/>
          <w:sz w:val="22"/>
        </w:rPr>
        <w:t>DEA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Digital Platform</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 xml:space="preserve">Description of the Business – Stage of Development of Principal Products. </w:t>
      </w:r>
    </w:p>
    <w:p>
      <w:pPr>
        <w:pStyle w:val="TextBody"/>
        <w:spacing w:lineRule="auto" w:line="240" w:before="0" w:after="240"/>
        <w:jc w:val="both"/>
        <w:rPr/>
      </w:pPr>
      <w:r>
        <w:rPr>
          <w:color w:val="000000"/>
        </w:rPr>
        <w:t>“</w:t>
      </w:r>
      <w:r>
        <w:rPr>
          <w:rFonts w:ascii="Times New Roman;sans-serif" w:hAnsi="Times New Roman;sans-serif"/>
          <w:b/>
          <w:color w:val="000000"/>
          <w:sz w:val="22"/>
        </w:rPr>
        <w:t>Distribution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DMT</w:t>
      </w:r>
      <w:r>
        <w:rPr>
          <w:color w:val="000000"/>
        </w:rPr>
        <w:t xml:space="preserve">” </w:t>
      </w:r>
      <w:r>
        <w:rPr>
          <w:rFonts w:ascii="Times New Roman;sans-serif" w:hAnsi="Times New Roman;sans-serif"/>
          <w:b w:val="false"/>
          <w:color w:val="000000"/>
          <w:sz w:val="22"/>
        </w:rPr>
        <w:t xml:space="preserve">means N, N-dimethyltryptamine. </w:t>
      </w:r>
    </w:p>
    <w:p>
      <w:pPr>
        <w:pStyle w:val="TextBody"/>
        <w:spacing w:lineRule="auto" w:line="240" w:before="0" w:after="240"/>
        <w:jc w:val="both"/>
        <w:rPr/>
      </w:pPr>
      <w:r>
        <w:rPr>
          <w:color w:val="000000"/>
        </w:rPr>
        <w:t>“</w:t>
      </w:r>
      <w:r>
        <w:rPr>
          <w:rFonts w:ascii="Times New Roman;sans-serif" w:hAnsi="Times New Roman;sans-serif"/>
          <w:b/>
          <w:color w:val="000000"/>
          <w:sz w:val="22"/>
        </w:rPr>
        <w:t>Dutch Opium Act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Europe (Netherlands).</w:t>
      </w:r>
    </w:p>
    <w:p>
      <w:pPr>
        <w:pStyle w:val="TextBody"/>
        <w:spacing w:lineRule="auto" w:line="240" w:before="0" w:after="240"/>
        <w:jc w:val="both"/>
        <w:rPr/>
      </w:pPr>
      <w:r>
        <w:rPr>
          <w:color w:val="000000"/>
        </w:rPr>
        <w:t>“</w:t>
      </w:r>
      <w:r>
        <w:rPr>
          <w:rFonts w:ascii="Times New Roman;sans-serif" w:hAnsi="Times New Roman;sans-serif"/>
          <w:b/>
          <w:color w:val="000000"/>
          <w:sz w:val="22"/>
        </w:rPr>
        <w:t>Equity Incentive Plan</w:t>
      </w:r>
      <w:r>
        <w:rPr>
          <w:color w:val="000000"/>
        </w:rPr>
        <w:t xml:space="preserve">” </w:t>
      </w:r>
      <w:r>
        <w:rPr>
          <w:rFonts w:ascii="Times New Roman;sans-serif" w:hAnsi="Times New Roman;sans-serif"/>
          <w:b w:val="false"/>
          <w:color w:val="000000"/>
          <w:sz w:val="22"/>
        </w:rPr>
        <w:t>means the Company’s omnibus equity incentive plan adopted by the Board on November 5, 2020.</w:t>
      </w:r>
    </w:p>
    <w:p>
      <w:pPr>
        <w:pStyle w:val="TextBody"/>
        <w:spacing w:lineRule="auto" w:line="240" w:before="0" w:after="240"/>
        <w:jc w:val="both"/>
        <w:rPr/>
      </w:pPr>
      <w:r>
        <w:rPr>
          <w:color w:val="000000"/>
        </w:rPr>
        <w:t>“</w:t>
      </w:r>
      <w:r>
        <w:rPr>
          <w:rFonts w:ascii="Times New Roman;sans-serif" w:hAnsi="Times New Roman;sans-serif"/>
          <w:b/>
          <w:color w:val="000000"/>
          <w:sz w:val="22"/>
        </w:rPr>
        <w:t>Entheon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Exchange</w:t>
      </w:r>
      <w:r>
        <w:rPr>
          <w:color w:val="000000"/>
        </w:rPr>
        <w:t xml:space="preserve">” </w:t>
      </w:r>
      <w:r>
        <w:rPr>
          <w:rFonts w:ascii="Times New Roman;sans-serif" w:hAnsi="Times New Roman;sans-serif"/>
          <w:b w:val="false"/>
          <w:color w:val="000000"/>
          <w:sz w:val="22"/>
        </w:rPr>
        <w:t>means Neo Exchange Inc.</w:t>
      </w:r>
    </w:p>
    <w:p>
      <w:pPr>
        <w:pStyle w:val="TextBody"/>
        <w:spacing w:lineRule="auto" w:line="240" w:before="0" w:after="240"/>
        <w:jc w:val="both"/>
        <w:rPr/>
      </w:pPr>
      <w:r>
        <w:rPr>
          <w:color w:val="000000"/>
        </w:rPr>
        <w:t>“</w:t>
      </w:r>
      <w:r>
        <w:rPr>
          <w:rFonts w:ascii="Times New Roman;sans-serif" w:hAnsi="Times New Roman;sans-serif"/>
          <w:b/>
          <w:color w:val="000000"/>
          <w:sz w:val="22"/>
        </w:rPr>
        <w:t>February Offering</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February Underwriters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FDA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FFDCA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 xml:space="preserve">Description of the Business – Stage of Development of Principal Products. </w:t>
      </w:r>
    </w:p>
    <w:p>
      <w:pPr>
        <w:pStyle w:val="TextBody"/>
        <w:spacing w:lineRule="auto" w:line="240" w:before="0" w:after="240"/>
        <w:jc w:val="both"/>
        <w:rPr/>
      </w:pPr>
      <w:r>
        <w:rPr>
          <w:color w:val="000000"/>
        </w:rPr>
        <w:t>“</w:t>
      </w:r>
      <w:r>
        <w:rPr>
          <w:rFonts w:ascii="Times New Roman;sans-serif" w:hAnsi="Times New Roman;sans-serif"/>
          <w:b/>
          <w:color w:val="000000"/>
          <w:sz w:val="22"/>
        </w:rPr>
        <w:t>GAD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GLP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r>
        <w:rPr>
          <w:rFonts w:ascii="Times New Roman;sans-serif" w:hAnsi="Times New Roman;sans-serif"/>
          <w:b w:val="false"/>
          <w:color w:val="000000"/>
          <w:sz w:val="22"/>
        </w:rPr>
        <w:t xml:space="preserve">. </w:t>
      </w:r>
    </w:p>
    <w:p>
      <w:pPr>
        <w:pStyle w:val="TextBody"/>
        <w:spacing w:lineRule="auto" w:line="240" w:before="0" w:after="240"/>
        <w:jc w:val="both"/>
        <w:rPr/>
      </w:pPr>
      <w:r>
        <w:rPr>
          <w:color w:val="000000"/>
        </w:rPr>
        <w:t>“</w:t>
      </w:r>
      <w:r>
        <w:rPr>
          <w:rFonts w:ascii="Times New Roman;sans-serif" w:hAnsi="Times New Roman;sans-serif"/>
          <w:b/>
          <w:color w:val="000000"/>
          <w:sz w:val="22"/>
        </w:rPr>
        <w:t>GMP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spacing w:lineRule="auto" w:line="240" w:before="0" w:after="240"/>
        <w:jc w:val="both"/>
        <w:rPr/>
      </w:pPr>
      <w:r>
        <w:rPr>
          <w:color w:val="000000"/>
        </w:rPr>
        <w:t>“</w:t>
      </w:r>
      <w:r>
        <w:rPr>
          <w:rFonts w:ascii="Times New Roman;sans-serif" w:hAnsi="Times New Roman;sans-serif"/>
          <w:b/>
          <w:color w:val="000000"/>
          <w:sz w:val="22"/>
        </w:rPr>
        <w:t>HPFB</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Canada.</w:t>
      </w:r>
    </w:p>
    <w:p>
      <w:pPr>
        <w:pStyle w:val="TextBody"/>
        <w:spacing w:lineRule="auto" w:line="240" w:before="0" w:after="240"/>
        <w:jc w:val="both"/>
        <w:rPr/>
      </w:pPr>
      <w:r>
        <w:rPr>
          <w:color w:val="000000"/>
        </w:rPr>
        <w:t>“</w:t>
      </w:r>
      <w:r>
        <w:rPr>
          <w:rFonts w:ascii="Times New Roman;sans-serif" w:hAnsi="Times New Roman;sans-serif"/>
          <w:b/>
          <w:color w:val="000000"/>
          <w:sz w:val="22"/>
        </w:rPr>
        <w:t>IFRS</w:t>
      </w:r>
      <w:r>
        <w:rPr>
          <w:color w:val="000000"/>
        </w:rPr>
        <w:t xml:space="preserve">” </w:t>
      </w:r>
      <w:r>
        <w:rPr>
          <w:rFonts w:ascii="Times New Roman;sans-serif" w:hAnsi="Times New Roman;sans-serif"/>
          <w:b w:val="false"/>
          <w:color w:val="000000"/>
          <w:sz w:val="22"/>
        </w:rPr>
        <w:t>means International Financial Reporting Standards, as adopted by the International Accounting Standards Board, as amended from time to time.</w:t>
      </w:r>
    </w:p>
    <w:p>
      <w:pPr>
        <w:pStyle w:val="TextBody"/>
        <w:spacing w:lineRule="auto" w:line="240" w:before="0" w:after="240"/>
        <w:jc w:val="both"/>
        <w:rPr/>
      </w:pPr>
      <w:r>
        <w:rPr>
          <w:color w:val="000000"/>
        </w:rPr>
        <w:t>“</w:t>
      </w:r>
      <w:r>
        <w:rPr>
          <w:rFonts w:ascii="Times New Roman;sans-serif" w:hAnsi="Times New Roman;sans-serif"/>
          <w:b/>
          <w:color w:val="000000"/>
          <w:sz w:val="22"/>
        </w:rPr>
        <w:t>IMP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spacing w:lineRule="auto" w:line="240" w:before="0" w:after="240"/>
        <w:jc w:val="both"/>
        <w:rPr/>
      </w:pPr>
      <w:r>
        <w:rPr>
          <w:color w:val="000000"/>
        </w:rPr>
        <w:t>“</w:t>
      </w:r>
      <w:r>
        <w:rPr>
          <w:rFonts w:ascii="Times New Roman;sans-serif" w:hAnsi="Times New Roman;sans-serif"/>
          <w:b/>
          <w:color w:val="000000"/>
          <w:sz w:val="22"/>
        </w:rPr>
        <w:t>including</w:t>
      </w:r>
      <w:r>
        <w:rPr>
          <w:color w:val="000000"/>
        </w:rPr>
        <w:t xml:space="preserve">” </w:t>
      </w:r>
      <w:r>
        <w:rPr>
          <w:rFonts w:ascii="Times New Roman;sans-serif" w:hAnsi="Times New Roman;sans-serif"/>
          <w:b w:val="false"/>
          <w:color w:val="000000"/>
          <w:sz w:val="22"/>
        </w:rPr>
        <w:t>means including without limitation, and “</w:t>
      </w:r>
      <w:r>
        <w:rPr>
          <w:rFonts w:ascii="Times New Roman;sans-serif" w:hAnsi="Times New Roman;sans-serif"/>
          <w:b/>
          <w:color w:val="000000"/>
          <w:sz w:val="22"/>
        </w:rPr>
        <w:t>include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includes</w:t>
      </w:r>
      <w:r>
        <w:rPr>
          <w:color w:val="000000"/>
        </w:rPr>
        <w:t xml:space="preserve">” </w:t>
      </w:r>
      <w:r>
        <w:rPr>
          <w:rFonts w:ascii="Times New Roman;sans-serif" w:hAnsi="Times New Roman;sans-serif"/>
          <w:b w:val="false"/>
          <w:color w:val="000000"/>
          <w:sz w:val="22"/>
        </w:rPr>
        <w:t>each have a corresponding meaning.</w:t>
      </w:r>
    </w:p>
    <w:p>
      <w:pPr>
        <w:pStyle w:val="TextBody"/>
        <w:spacing w:lineRule="auto" w:line="240" w:before="0" w:after="240"/>
        <w:jc w:val="both"/>
        <w:rPr/>
      </w:pPr>
      <w:r>
        <w:rPr>
          <w:color w:val="000000"/>
        </w:rPr>
        <w:t>“</w:t>
      </w:r>
      <w:r>
        <w:rPr>
          <w:rFonts w:ascii="Times New Roman;sans-serif" w:hAnsi="Times New Roman;sans-serif"/>
          <w:b/>
          <w:color w:val="000000"/>
          <w:sz w:val="22"/>
        </w:rPr>
        <w:t>IND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r>
        <w:rPr>
          <w:color w:val="000000"/>
        </w:rPr>
        <w:t xml:space="preserve"> </w:t>
      </w:r>
    </w:p>
    <w:p>
      <w:pPr>
        <w:pStyle w:val="TextBody"/>
        <w:spacing w:lineRule="auto" w:line="240" w:before="0" w:after="240"/>
        <w:jc w:val="both"/>
        <w:rPr/>
      </w:pPr>
      <w:r>
        <w:rPr>
          <w:color w:val="000000"/>
        </w:rPr>
        <w:t>“</w:t>
      </w:r>
      <w:r>
        <w:rPr>
          <w:rFonts w:ascii="Times New Roman;sans-serif" w:hAnsi="Times New Roman;sans-serif"/>
          <w:b/>
          <w:color w:val="000000"/>
          <w:sz w:val="22"/>
        </w:rPr>
        <w:t>IntelGenx</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IntelGenx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IP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 xml:space="preserve">. </w:t>
      </w:r>
      <w:r>
        <w:br w:type="page"/>
      </w:r>
    </w:p>
    <w:p>
      <w:pPr>
        <w:pStyle w:val="TextBody"/>
        <w:spacing w:before="0" w:after="20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668020"/>
                <wp:effectExtent l="0" t="0" r="0" b="0"/>
                <wp:wrapNone/>
                <wp:docPr id="22" name="Frame1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color w:val="000000"/>
          <w:sz w:val="22"/>
        </w:rPr>
        <w:t>IRB</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Ireland MDA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Research and Development – Ireland.</w:t>
      </w:r>
    </w:p>
    <w:p>
      <w:pPr>
        <w:pStyle w:val="TextBody"/>
        <w:spacing w:lineRule="auto" w:line="240" w:before="0" w:after="240"/>
        <w:jc w:val="both"/>
        <w:rPr/>
      </w:pPr>
      <w:r>
        <w:rPr>
          <w:color w:val="000000"/>
        </w:rPr>
        <w:t>“</w:t>
      </w:r>
      <w:r>
        <w:rPr>
          <w:rFonts w:ascii="Times New Roman;sans-serif" w:hAnsi="Times New Roman;sans-serif"/>
          <w:b/>
          <w:color w:val="000000"/>
          <w:sz w:val="22"/>
        </w:rPr>
        <w:t>Ireland MDR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Research and Development – Ireland.</w:t>
      </w:r>
    </w:p>
    <w:p>
      <w:pPr>
        <w:pStyle w:val="TextBody"/>
        <w:spacing w:lineRule="auto" w:line="240" w:before="0" w:after="240"/>
        <w:jc w:val="both"/>
        <w:rPr/>
      </w:pPr>
      <w:r>
        <w:rPr>
          <w:color w:val="000000"/>
        </w:rPr>
        <w:t>“</w:t>
      </w:r>
      <w:r>
        <w:rPr>
          <w:rFonts w:ascii="Times New Roman;sans-serif" w:hAnsi="Times New Roman;sans-serif"/>
          <w:b/>
          <w:color w:val="000000"/>
          <w:sz w:val="22"/>
        </w:rPr>
        <w:t>Issue Price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IV</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July Base Shelf Prospectus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Kernel</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Kernel Flow</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Listing Statement</w:t>
      </w:r>
      <w:r>
        <w:rPr>
          <w:color w:val="000000"/>
        </w:rPr>
        <w:t xml:space="preserve">” </w:t>
      </w:r>
      <w:r>
        <w:rPr>
          <w:rFonts w:ascii="Times New Roman;sans-serif" w:hAnsi="Times New Roman;sans-serif"/>
          <w:b w:val="false"/>
          <w:color w:val="000000"/>
          <w:sz w:val="22"/>
        </w:rPr>
        <w:t>means the Exchange Form 1 Listing Statement dated November 9, 2020, as filed on SEDAR November 9, 2020, which has been filed as required in accordance with the policies of the Exchange.</w:t>
      </w:r>
    </w:p>
    <w:p>
      <w:pPr>
        <w:pStyle w:val="TextBody"/>
        <w:spacing w:lineRule="auto" w:line="240" w:before="0" w:after="240"/>
        <w:jc w:val="both"/>
        <w:rPr/>
      </w:pPr>
      <w:r>
        <w:rPr>
          <w:color w:val="000000"/>
        </w:rPr>
        <w:t>“</w:t>
      </w:r>
      <w:r>
        <w:rPr>
          <w:rFonts w:ascii="Times New Roman;sans-serif" w:hAnsi="Times New Roman;sans-serif"/>
          <w:b/>
          <w:color w:val="000000"/>
          <w:sz w:val="22"/>
        </w:rPr>
        <w:t>LottoGopher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Cease Trade Orders or Bankruptcies; Penalties or Sanctions; Personal Bankruptcies.</w:t>
      </w:r>
    </w:p>
    <w:p>
      <w:pPr>
        <w:pStyle w:val="TextBody"/>
        <w:spacing w:lineRule="auto" w:line="240" w:before="0" w:after="240"/>
        <w:jc w:val="both"/>
        <w:rPr/>
      </w:pPr>
      <w:r>
        <w:rPr>
          <w:color w:val="000000"/>
        </w:rPr>
        <w:t>“</w:t>
      </w:r>
      <w:r>
        <w:rPr>
          <w:rFonts w:ascii="Times New Roman;sans-serif" w:hAnsi="Times New Roman;sans-serif"/>
          <w:b/>
          <w:color w:val="000000"/>
          <w:sz w:val="22"/>
        </w:rPr>
        <w:t>LPC</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LPC Purchase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May 2023 Prospectus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MDA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spacing w:lineRule="auto" w:line="240" w:before="0" w:after="240"/>
        <w:jc w:val="both"/>
        <w:rPr/>
      </w:pPr>
      <w:r>
        <w:rPr>
          <w:color w:val="000000"/>
        </w:rPr>
        <w:t>“</w:t>
      </w:r>
      <w:r>
        <w:rPr>
          <w:rFonts w:ascii="Times New Roman;sans-serif" w:hAnsi="Times New Roman;sans-serif"/>
          <w:b/>
          <w:color w:val="000000"/>
          <w:sz w:val="22"/>
        </w:rPr>
        <w:t>MDD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MDR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spacing w:lineRule="auto" w:line="240" w:before="0" w:after="240"/>
        <w:jc w:val="both"/>
        <w:rPr/>
      </w:pPr>
      <w:r>
        <w:rPr>
          <w:color w:val="000000"/>
        </w:rPr>
        <w:t>“</w:t>
      </w:r>
      <w:r>
        <w:rPr>
          <w:rFonts w:ascii="Times New Roman;sans-serif" w:hAnsi="Times New Roman;sans-serif"/>
          <w:b/>
          <w:color w:val="000000"/>
          <w:sz w:val="22"/>
        </w:rPr>
        <w:t>MHRA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MIA(IMP)</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United Kingdom.</w:t>
      </w:r>
    </w:p>
    <w:p>
      <w:pPr>
        <w:pStyle w:val="TextBody"/>
        <w:spacing w:lineRule="auto" w:line="240" w:before="0" w:after="240"/>
        <w:jc w:val="both"/>
        <w:rPr/>
      </w:pPr>
      <w:r>
        <w:rPr>
          <w:color w:val="000000"/>
        </w:rPr>
        <w:t>“</w:t>
      </w:r>
      <w:r>
        <w:rPr>
          <w:rFonts w:ascii="Times New Roman;sans-serif" w:hAnsi="Times New Roman;sans-serif"/>
          <w:b/>
          <w:color w:val="000000"/>
          <w:sz w:val="22"/>
        </w:rPr>
        <w:t>Mindset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Natures Journey”</w:t>
      </w:r>
      <w:r>
        <w:rPr>
          <w:color w:val="000000"/>
        </w:rPr>
        <w:t xml:space="preserve"> </w:t>
      </w:r>
      <w:r>
        <w:rPr>
          <w:rFonts w:ascii="Times New Roman;sans-serif" w:hAnsi="Times New Roman;sans-serif"/>
          <w:b w:val="false"/>
          <w:color w:val="000000"/>
          <w:sz w:val="22"/>
        </w:rPr>
        <w:t>means Natures Journey Inc., an Ontario corporation incorporated as a wholly-owned subsidiary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NDA</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Research and Development – United States.</w:t>
      </w:r>
    </w:p>
    <w:p>
      <w:pPr>
        <w:pStyle w:val="TextBody"/>
        <w:spacing w:lineRule="auto" w:line="240" w:before="0" w:after="240"/>
        <w:jc w:val="both"/>
        <w:rPr/>
      </w:pPr>
      <w:r>
        <w:rPr>
          <w:color w:val="000000"/>
        </w:rPr>
        <w:t>“</w:t>
      </w:r>
      <w:r>
        <w:rPr>
          <w:rFonts w:ascii="Times New Roman;sans-serif" w:hAnsi="Times New Roman;sans-serif"/>
          <w:b/>
          <w:color w:val="000000"/>
          <w:sz w:val="22"/>
        </w:rPr>
        <w:t>NDS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Research and Development – Canada.</w:t>
      </w:r>
    </w:p>
    <w:p>
      <w:pPr>
        <w:pStyle w:val="TextBody"/>
        <w:spacing w:lineRule="auto" w:line="240" w:before="0" w:after="240"/>
        <w:jc w:val="both"/>
        <w:rPr/>
      </w:pPr>
      <w:r>
        <w:rPr>
          <w:color w:val="000000"/>
        </w:rPr>
        <w:t>“</w:t>
      </w:r>
      <w:r>
        <w:rPr>
          <w:rFonts w:ascii="Times New Roman;sans-serif" w:hAnsi="Times New Roman;sans-serif"/>
          <w:b/>
          <w:color w:val="000000"/>
          <w:sz w:val="22"/>
        </w:rPr>
        <w:t>NI 51-102</w:t>
      </w:r>
      <w:r>
        <w:rPr>
          <w:color w:val="000000"/>
        </w:rPr>
        <w:t xml:space="preserve">” </w:t>
      </w:r>
      <w:r>
        <w:rPr>
          <w:rFonts w:ascii="Times New Roman;sans-serif" w:hAnsi="Times New Roman;sans-serif"/>
          <w:b w:val="false"/>
          <w:color w:val="000000"/>
          <w:sz w:val="22"/>
        </w:rPr>
        <w:t xml:space="preserve">means National Instrument 51-102 </w:t>
      </w:r>
      <w:r>
        <w:rPr>
          <w:rFonts w:ascii="Times New Roman;sans-serif" w:hAnsi="Times New Roman;sans-serif"/>
          <w:b w:val="false"/>
          <w:i/>
          <w:color w:val="000000"/>
          <w:sz w:val="22"/>
        </w:rPr>
        <w:t>Continuous Disclosure Obligations</w:t>
      </w:r>
      <w:r>
        <w:rPr>
          <w:color w:val="000000"/>
        </w:rPr>
        <w:t xml:space="preserve"> </w:t>
      </w:r>
      <w:r>
        <w:rPr>
          <w:rFonts w:ascii="Times New Roman;sans-serif" w:hAnsi="Times New Roman;sans-serif"/>
          <w:b w:val="false"/>
          <w:color w:val="000000"/>
          <w:sz w:val="22"/>
        </w:rPr>
        <w:t>of the Canadian Securities Administrators.</w:t>
      </w:r>
      <w:r>
        <w:br w:type="page"/>
      </w:r>
    </w:p>
    <w:p>
      <w:pPr>
        <w:pStyle w:val="TextBody"/>
        <w:spacing w:before="0" w:after="20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668020"/>
                <wp:effectExtent l="0" t="0" r="0" b="0"/>
                <wp:wrapNone/>
                <wp:docPr id="23" name="Frame2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color w:val="000000"/>
          <w:sz w:val="22"/>
        </w:rPr>
        <w:t>NI 52-109</w:t>
      </w:r>
      <w:r>
        <w:rPr>
          <w:color w:val="000000"/>
        </w:rPr>
        <w:t xml:space="preserve">” </w:t>
      </w:r>
      <w:r>
        <w:rPr>
          <w:rFonts w:ascii="Times New Roman;sans-serif" w:hAnsi="Times New Roman;sans-serif"/>
          <w:b w:val="false"/>
          <w:color w:val="000000"/>
          <w:sz w:val="22"/>
        </w:rPr>
        <w:t xml:space="preserve">means National Instrument 52-109 – </w:t>
      </w:r>
      <w:r>
        <w:rPr>
          <w:rFonts w:ascii="Times New Roman;sans-serif" w:hAnsi="Times New Roman;sans-serif"/>
          <w:b w:val="false"/>
          <w:i/>
          <w:color w:val="000000"/>
          <w:sz w:val="22"/>
        </w:rPr>
        <w:t>Certification of Disclosure in Issuers’ Annual and Interim Filings</w:t>
      </w:r>
      <w:r>
        <w:rPr>
          <w:rFonts w:ascii="Times New Roman;sans-serif" w:hAnsi="Times New Roman;sans-serif"/>
          <w:b w:val="false"/>
          <w:color w:val="000000"/>
          <w:sz w:val="22"/>
        </w:rPr>
        <w:t>.</w:t>
      </w:r>
    </w:p>
    <w:p>
      <w:pPr>
        <w:pStyle w:val="TextBody"/>
        <w:spacing w:lineRule="auto" w:line="240" w:before="0" w:after="240"/>
        <w:jc w:val="both"/>
        <w:rPr/>
      </w:pPr>
      <w:r>
        <w:rPr>
          <w:color w:val="000000"/>
        </w:rPr>
        <w:t>“</w:t>
      </w:r>
      <w:r>
        <w:rPr>
          <w:rFonts w:ascii="Times New Roman;sans-serif" w:hAnsi="Times New Roman;sans-serif"/>
          <w:b/>
          <w:color w:val="000000"/>
          <w:sz w:val="22"/>
        </w:rPr>
        <w:t>NYSE American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OBCA</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 xml:space="preserve">Business Corporations Act </w:t>
      </w:r>
      <w:r>
        <w:rPr>
          <w:rFonts w:ascii="Times New Roman;sans-serif" w:hAnsi="Times New Roman;sans-serif"/>
          <w:b w:val="false"/>
          <w:color w:val="000000"/>
          <w:sz w:val="22"/>
        </w:rPr>
        <w:t>(Ontario), as amended.</w:t>
      </w:r>
    </w:p>
    <w:p>
      <w:pPr>
        <w:pStyle w:val="TextBody"/>
        <w:spacing w:lineRule="auto" w:line="240" w:before="0" w:after="240"/>
        <w:jc w:val="both"/>
        <w:rPr/>
      </w:pPr>
      <w:r>
        <w:rPr>
          <w:color w:val="000000"/>
        </w:rPr>
        <w:t>“</w:t>
      </w:r>
      <w:r>
        <w:rPr>
          <w:rFonts w:ascii="Times New Roman;sans-serif" w:hAnsi="Times New Roman;sans-serif"/>
          <w:b/>
          <w:color w:val="000000"/>
          <w:sz w:val="22"/>
        </w:rPr>
        <w:t>ODT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w:t>
      </w:r>
      <w:r>
        <w:rPr>
          <w:rFonts w:ascii="Times New Roman;sans-serif" w:hAnsi="Times New Roman;sans-serif"/>
          <w:b w:val="false"/>
          <w:color w:val="000000"/>
          <w:sz w:val="22"/>
        </w:rPr>
        <w:t xml:space="preserve">. </w:t>
      </w:r>
    </w:p>
    <w:p>
      <w:pPr>
        <w:pStyle w:val="TextBody"/>
        <w:spacing w:lineRule="auto" w:line="240" w:before="0" w:after="240"/>
        <w:jc w:val="both"/>
        <w:rPr/>
      </w:pPr>
      <w:r>
        <w:rPr>
          <w:color w:val="000000"/>
        </w:rPr>
        <w:t>“</w:t>
      </w:r>
      <w:r>
        <w:rPr>
          <w:rFonts w:ascii="Times New Roman;sans-serif" w:hAnsi="Times New Roman;sans-serif"/>
          <w:b/>
          <w:color w:val="000000"/>
          <w:sz w:val="22"/>
        </w:rPr>
        <w:t>OTCQB</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Option</w:t>
      </w:r>
      <w:r>
        <w:rPr>
          <w:color w:val="000000"/>
        </w:rPr>
        <w:t xml:space="preserve">” </w:t>
      </w:r>
      <w:r>
        <w:rPr>
          <w:rFonts w:ascii="Times New Roman;sans-serif" w:hAnsi="Times New Roman;sans-serif"/>
          <w:b w:val="false"/>
          <w:color w:val="000000"/>
          <w:sz w:val="22"/>
        </w:rPr>
        <w:t xml:space="preserve">means an option to purchase Common Shares granted pursuant to the Equity Incentive Plan. </w:t>
      </w:r>
    </w:p>
    <w:p>
      <w:pPr>
        <w:pStyle w:val="TextBody"/>
        <w:spacing w:lineRule="auto" w:line="240" w:before="0" w:after="240"/>
        <w:jc w:val="both"/>
        <w:rPr/>
      </w:pPr>
      <w:r>
        <w:rPr>
          <w:color w:val="000000"/>
        </w:rPr>
        <w:t>“</w:t>
      </w:r>
      <w:r>
        <w:rPr>
          <w:rFonts w:ascii="Times New Roman;sans-serif" w:hAnsi="Times New Roman;sans-serif"/>
          <w:b/>
          <w:color w:val="000000"/>
          <w:sz w:val="22"/>
        </w:rPr>
        <w:t>Order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Corporate Cease Trade Orders or Bankruptcies; Penalties or Sanctions; Personal Bankruptcies.</w:t>
      </w:r>
    </w:p>
    <w:p>
      <w:pPr>
        <w:pStyle w:val="TextBody"/>
        <w:spacing w:lineRule="auto" w:line="240" w:before="0" w:after="240"/>
        <w:jc w:val="both"/>
        <w:rPr/>
      </w:pPr>
      <w:r>
        <w:rPr>
          <w:color w:val="000000"/>
        </w:rPr>
        <w:t>“</w:t>
      </w:r>
      <w:r>
        <w:rPr>
          <w:rFonts w:ascii="Times New Roman;sans-serif" w:hAnsi="Times New Roman;sans-serif"/>
          <w:b/>
          <w:color w:val="000000"/>
          <w:sz w:val="22"/>
        </w:rPr>
        <w:t>PCT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Pharmaceutical Ingredient Provider</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PD</w:t>
      </w:r>
      <w:r>
        <w:rPr>
          <w:color w:val="000000"/>
        </w:rPr>
        <w:t xml:space="preserve">” </w:t>
      </w:r>
      <w:r>
        <w:rPr>
          <w:rFonts w:ascii="Times New Roman;sans-serif" w:hAnsi="Times New Roman;sans-serif"/>
          <w:b w:val="false"/>
          <w:color w:val="000000"/>
          <w:sz w:val="22"/>
        </w:rPr>
        <w:t xml:space="preserve">means pharmacodynamic. </w:t>
      </w:r>
    </w:p>
    <w:p>
      <w:pPr>
        <w:pStyle w:val="TextBody"/>
        <w:spacing w:lineRule="auto" w:line="240" w:before="0" w:after="240"/>
        <w:jc w:val="both"/>
        <w:rPr/>
      </w:pPr>
      <w:r>
        <w:rPr>
          <w:color w:val="000000"/>
        </w:rPr>
        <w:t>“</w:t>
      </w:r>
      <w:r>
        <w:rPr>
          <w:rFonts w:ascii="Times New Roman;sans-serif" w:hAnsi="Times New Roman;sans-serif"/>
          <w:b/>
          <w:color w:val="000000"/>
          <w:sz w:val="22"/>
        </w:rPr>
        <w:t>PK</w:t>
      </w:r>
      <w:r>
        <w:rPr>
          <w:color w:val="000000"/>
        </w:rPr>
        <w:t xml:space="preserve">” </w:t>
      </w:r>
      <w:r>
        <w:rPr>
          <w:rFonts w:ascii="Times New Roman;sans-serif" w:hAnsi="Times New Roman;sans-serif"/>
          <w:b w:val="false"/>
          <w:color w:val="000000"/>
          <w:sz w:val="22"/>
        </w:rPr>
        <w:t xml:space="preserve">means pharmacokinetic. </w:t>
      </w:r>
    </w:p>
    <w:p>
      <w:pPr>
        <w:pStyle w:val="TextBody"/>
        <w:spacing w:lineRule="auto" w:line="240" w:before="0" w:after="240"/>
        <w:jc w:val="both"/>
        <w:rPr/>
      </w:pPr>
      <w:r>
        <w:rPr>
          <w:color w:val="000000"/>
        </w:rPr>
        <w:t>“</w:t>
      </w:r>
      <w:r>
        <w:rPr>
          <w:rFonts w:ascii="Times New Roman;sans-serif" w:hAnsi="Times New Roman;sans-serif"/>
          <w:b/>
          <w:color w:val="000000"/>
          <w:sz w:val="22"/>
        </w:rPr>
        <w:t>Public Offering</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Release Conditions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Reverse Takeover</w:t>
      </w:r>
      <w:r>
        <w:rPr>
          <w:color w:val="000000"/>
        </w:rPr>
        <w:t xml:space="preserve">” </w:t>
      </w:r>
      <w:r>
        <w:rPr>
          <w:rFonts w:ascii="Times New Roman;sans-serif" w:hAnsi="Times New Roman;sans-serif"/>
          <w:b w:val="false"/>
          <w:color w:val="000000"/>
          <w:sz w:val="22"/>
        </w:rPr>
        <w:t>has the meaning set out in NI 51-102.</w:t>
      </w:r>
    </w:p>
    <w:p>
      <w:pPr>
        <w:pStyle w:val="TextBody"/>
        <w:spacing w:lineRule="auto" w:line="240" w:before="0" w:after="240"/>
        <w:jc w:val="both"/>
        <w:rPr/>
      </w:pPr>
      <w:r>
        <w:rPr>
          <w:color w:val="000000"/>
        </w:rPr>
        <w:t>“</w:t>
      </w:r>
      <w:r>
        <w:rPr>
          <w:rFonts w:ascii="Times New Roman;sans-serif" w:hAnsi="Times New Roman;sans-serif"/>
          <w:b/>
          <w:color w:val="000000"/>
          <w:sz w:val="22"/>
        </w:rPr>
        <w:t>RxLive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Rx Debentures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Section 56 Exemption</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Canada.</w:t>
      </w:r>
    </w:p>
    <w:p>
      <w:pPr>
        <w:pStyle w:val="TextBody"/>
        <w:spacing w:lineRule="auto" w:line="240" w:before="0" w:after="240"/>
        <w:jc w:val="both"/>
        <w:rPr/>
      </w:pPr>
      <w:r>
        <w:rPr>
          <w:color w:val="000000"/>
        </w:rPr>
        <w:t>“</w:t>
      </w:r>
      <w:r>
        <w:rPr>
          <w:rFonts w:ascii="Times New Roman;sans-serif" w:hAnsi="Times New Roman;sans-serif"/>
          <w:b/>
          <w:color w:val="000000"/>
          <w:sz w:val="22"/>
        </w:rPr>
        <w:t>Serenity Life</w:t>
      </w:r>
      <w:r>
        <w:rPr>
          <w:color w:val="000000"/>
        </w:rPr>
        <w:t xml:space="preserve">” </w:t>
      </w:r>
      <w:r>
        <w:rPr>
          <w:rFonts w:ascii="Times New Roman;sans-serif" w:hAnsi="Times New Roman;sans-serif"/>
          <w:b w:val="false"/>
          <w:color w:val="000000"/>
          <w:sz w:val="22"/>
        </w:rPr>
        <w:t>means Serenity Life Sciences Inc., an Ontario corporation incorporated as a wholly-owned subsidiary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Smart Medicines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Smart Medicines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Subco</w:t>
      </w:r>
      <w:r>
        <w:rPr>
          <w:color w:val="000000"/>
        </w:rPr>
        <w:t xml:space="preserve">” </w:t>
      </w:r>
      <w:r>
        <w:rPr>
          <w:rFonts w:ascii="Times New Roman;sans-serif" w:hAnsi="Times New Roman;sans-serif"/>
          <w:b w:val="false"/>
          <w:color w:val="000000"/>
          <w:sz w:val="22"/>
        </w:rPr>
        <w:t>means 2762898 Ontario Inc., a wholly-owned subsidiary of Clarmin, incorporated for the purposes of effecting the Amalgamation.</w:t>
      </w:r>
      <w:r>
        <w:br w:type="page"/>
      </w:r>
    </w:p>
    <w:p>
      <w:pPr>
        <w:pStyle w:val="TextBody"/>
        <w:spacing w:before="0" w:after="20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668020"/>
                <wp:effectExtent l="0" t="0" r="0" b="0"/>
                <wp:wrapNone/>
                <wp:docPr id="24" name="Frame2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color w:val="000000"/>
          <w:sz w:val="22"/>
        </w:rPr>
        <w:t>Sublingual Film</w:t>
      </w:r>
      <w:r>
        <w:rPr>
          <w:color w:val="000000"/>
        </w:rPr>
        <w:t xml:space="preserve">” </w:t>
      </w:r>
      <w:r>
        <w:rPr>
          <w:rFonts w:ascii="Times New Roman;sans-serif" w:hAnsi="Times New Roman;sans-serif"/>
          <w:b w:val="false"/>
          <w:color w:val="000000"/>
          <w:sz w:val="22"/>
        </w:rPr>
        <w:t>means the pharmaceutically acceptable sublingual film formulation using oral film drug delivery technology in respect of the API psilocybin for each of the four following strengths of such API: 1, 3, 5 and 7 mg.</w:t>
      </w:r>
    </w:p>
    <w:p>
      <w:pPr>
        <w:pStyle w:val="TextBody"/>
        <w:spacing w:lineRule="auto" w:line="240" w:before="0" w:after="240"/>
        <w:jc w:val="both"/>
        <w:rPr/>
      </w:pPr>
      <w:r>
        <w:rPr>
          <w:color w:val="000000"/>
        </w:rPr>
        <w:t>“</w:t>
      </w:r>
      <w:r>
        <w:rPr>
          <w:rFonts w:ascii="Times New Roman;sans-serif" w:hAnsi="Times New Roman;sans-serif"/>
          <w:b/>
          <w:color w:val="000000"/>
          <w:sz w:val="22"/>
        </w:rPr>
        <w:t>Subscription Receipts</w:t>
      </w:r>
      <w:r>
        <w:rPr>
          <w:color w:val="000000"/>
        </w:rPr>
        <w:t xml:space="preserve">” </w:t>
      </w:r>
      <w:r>
        <w:rPr>
          <w:rFonts w:ascii="Times New Roman;sans-serif" w:hAnsi="Times New Roman;sans-serif"/>
          <w:b w:val="false"/>
          <w:color w:val="000000"/>
          <w:sz w:val="22"/>
        </w:rPr>
        <w:t>means the subscription receipts of Cybin issued pursuant to the Cybin Private Placement.</w:t>
      </w:r>
    </w:p>
    <w:p>
      <w:pPr>
        <w:pStyle w:val="TextBody"/>
        <w:spacing w:lineRule="auto" w:line="240" w:before="0" w:after="240"/>
        <w:jc w:val="both"/>
        <w:rPr/>
      </w:pPr>
      <w:r>
        <w:rPr>
          <w:color w:val="000000"/>
        </w:rPr>
        <w:t>“</w:t>
      </w:r>
      <w:r>
        <w:rPr>
          <w:rFonts w:ascii="Times New Roman;sans-serif" w:hAnsi="Times New Roman;sans-serif"/>
          <w:b/>
          <w:color w:val="000000"/>
          <w:sz w:val="22"/>
        </w:rPr>
        <w:t>Supply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Support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TPD</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Description of the Business – Regulatory Environment – Canada.</w:t>
      </w:r>
    </w:p>
    <w:p>
      <w:pPr>
        <w:pStyle w:val="TextBody"/>
        <w:spacing w:lineRule="auto" w:line="240" w:before="0" w:after="240"/>
        <w:jc w:val="both"/>
        <w:rPr/>
      </w:pPr>
      <w:r>
        <w:rPr>
          <w:color w:val="000000"/>
        </w:rPr>
        <w:t>“</w:t>
      </w:r>
      <w:r>
        <w:rPr>
          <w:rFonts w:ascii="Times New Roman;sans-serif" w:hAnsi="Times New Roman;sans-serif"/>
          <w:b/>
          <w:color w:val="000000"/>
          <w:sz w:val="22"/>
        </w:rPr>
        <w:t>Transaction</w:t>
      </w:r>
      <w:r>
        <w:rPr>
          <w:color w:val="000000"/>
        </w:rPr>
        <w:t xml:space="preserve">” </w:t>
      </w:r>
      <w:r>
        <w:rPr>
          <w:rFonts w:ascii="Times New Roman;sans-serif" w:hAnsi="Times New Roman;sans-serif"/>
          <w:b w:val="false"/>
          <w:color w:val="000000"/>
          <w:sz w:val="22"/>
        </w:rPr>
        <w:t>means the three-cornered amalgamation among Clarmin, Cybin and Subco pursuant to the terms of the Amalgamation Agreement, which constituted a Reverse Takeover of Clarmin by Cybin.</w:t>
      </w:r>
    </w:p>
    <w:p>
      <w:pPr>
        <w:pStyle w:val="TextBody"/>
        <w:spacing w:lineRule="auto" w:line="240" w:before="0" w:after="240"/>
        <w:jc w:val="both"/>
        <w:rPr/>
      </w:pPr>
      <w:r>
        <w:rPr>
          <w:color w:val="000000"/>
        </w:rPr>
        <w:t>“</w:t>
      </w:r>
      <w:r>
        <w:rPr>
          <w:rFonts w:ascii="Times New Roman;sans-serif" w:hAnsi="Times New Roman;sans-serif"/>
          <w:b/>
          <w:color w:val="000000"/>
          <w:sz w:val="22"/>
        </w:rPr>
        <w:t>TSXV</w:t>
      </w:r>
      <w:r>
        <w:rPr>
          <w:color w:val="000000"/>
        </w:rPr>
        <w:t xml:space="preserve">” </w:t>
      </w:r>
      <w:r>
        <w:rPr>
          <w:rFonts w:ascii="Times New Roman;sans-serif" w:hAnsi="Times New Roman;sans-serif"/>
          <w:b w:val="false"/>
          <w:color w:val="000000"/>
          <w:sz w:val="22"/>
        </w:rPr>
        <w:t>means the TSX Venture Exchange.</w:t>
      </w:r>
    </w:p>
    <w:p>
      <w:pPr>
        <w:pStyle w:val="TextBody"/>
        <w:spacing w:lineRule="auto" w:line="240" w:before="0" w:after="240"/>
        <w:jc w:val="both"/>
        <w:rPr/>
      </w:pPr>
      <w:r>
        <w:rPr>
          <w:color w:val="000000"/>
        </w:rPr>
        <w:t>“</w:t>
      </w:r>
      <w:r>
        <w:rPr>
          <w:rFonts w:ascii="Times New Roman;sans-serif" w:hAnsi="Times New Roman;sans-serif"/>
          <w:b/>
          <w:color w:val="000000"/>
          <w:sz w:val="22"/>
        </w:rPr>
        <w:t>Underwriters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Underwriting Agreement</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Underwriters’ Warrants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Units</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United Kingdom</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UK</w:t>
      </w:r>
      <w:r>
        <w:rPr>
          <w:color w:val="000000"/>
        </w:rPr>
        <w:t xml:space="preserve">” </w:t>
      </w:r>
      <w:r>
        <w:rPr>
          <w:rFonts w:ascii="Times New Roman;sans-serif" w:hAnsi="Times New Roman;sans-serif"/>
          <w:b w:val="false"/>
          <w:color w:val="000000"/>
          <w:sz w:val="22"/>
        </w:rPr>
        <w:t>means the United Kingdom of Great Britain and Northern Ireland.</w:t>
      </w:r>
    </w:p>
    <w:p>
      <w:pPr>
        <w:pStyle w:val="TextBody"/>
        <w:spacing w:lineRule="auto" w:line="240" w:before="0" w:after="240"/>
        <w:jc w:val="both"/>
        <w:rPr/>
      </w:pPr>
      <w:r>
        <w:rPr>
          <w:color w:val="000000"/>
        </w:rPr>
        <w:t>“</w:t>
      </w:r>
      <w:r>
        <w:rPr>
          <w:rFonts w:ascii="Times New Roman;sans-serif" w:hAnsi="Times New Roman;sans-serif"/>
          <w:b/>
          <w:color w:val="000000"/>
          <w:sz w:val="22"/>
        </w:rPr>
        <w:t>United States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U.S.</w:t>
      </w:r>
      <w:r>
        <w:rPr>
          <w:color w:val="000000"/>
        </w:rPr>
        <w:t xml:space="preserve">” </w:t>
      </w:r>
      <w:r>
        <w:rPr>
          <w:rFonts w:ascii="Times New Roman;sans-serif" w:hAnsi="Times New Roman;sans-serif"/>
          <w:b w:val="false"/>
          <w:color w:val="000000"/>
          <w:sz w:val="22"/>
        </w:rPr>
        <w:t>means the United States of America, its territories and possessions, any state of the United States and the District of Columbia.</w:t>
      </w:r>
    </w:p>
    <w:p>
      <w:pPr>
        <w:pStyle w:val="TextBody"/>
        <w:spacing w:lineRule="auto" w:line="240" w:before="0" w:after="240"/>
        <w:jc w:val="both"/>
        <w:rPr/>
      </w:pPr>
      <w:r>
        <w:rPr>
          <w:color w:val="000000"/>
        </w:rPr>
        <w:t>“</w:t>
      </w:r>
      <w:r>
        <w:rPr>
          <w:rFonts w:ascii="Times New Roman;sans-serif" w:hAnsi="Times New Roman;sans-serif"/>
          <w:b/>
          <w:color w:val="000000"/>
          <w:sz w:val="22"/>
        </w:rPr>
        <w:t>Veristat</w:t>
      </w:r>
      <w:r>
        <w:rPr>
          <w:color w:val="000000"/>
        </w:rPr>
        <w:t xml:space="preserve">” </w:t>
      </w:r>
      <w:r>
        <w:rPr>
          <w:rFonts w:ascii="Times New Roman;sans-serif" w:hAnsi="Times New Roman;sans-serif"/>
          <w:b w:val="false"/>
          <w:color w:val="000000"/>
          <w:sz w:val="22"/>
        </w:rPr>
        <w:t xml:space="preserve">means Veristat LLC. </w:t>
      </w:r>
    </w:p>
    <w:p>
      <w:pPr>
        <w:pStyle w:val="TextBody"/>
        <w:spacing w:lineRule="auto" w:line="240" w:before="0" w:after="240"/>
        <w:jc w:val="both"/>
        <w:rPr/>
      </w:pPr>
      <w:r>
        <w:rPr>
          <w:color w:val="000000"/>
        </w:rPr>
        <w:t>“</w:t>
      </w:r>
      <w:r>
        <w:rPr>
          <w:rFonts w:ascii="Times New Roman;sans-serif" w:hAnsi="Times New Roman;sans-serif"/>
          <w:b/>
          <w:color w:val="000000"/>
          <w:sz w:val="22"/>
        </w:rPr>
        <w:t>Warrant Indenture</w:t>
      </w:r>
      <w:r>
        <w:rPr>
          <w:color w:val="000000"/>
        </w:rPr>
        <w:t xml:space="preserve">” </w:t>
      </w:r>
      <w:r>
        <w:rPr>
          <w:rFonts w:ascii="Times New Roman;sans-serif" w:hAnsi="Times New Roman;sans-serif"/>
          <w:b w:val="false"/>
          <w:color w:val="000000"/>
          <w:sz w:val="22"/>
        </w:rPr>
        <w:t xml:space="preserve">has the meaning set out in </w:t>
      </w:r>
      <w:r>
        <w:rPr>
          <w:rFonts w:ascii="Times New Roman;sans-serif" w:hAnsi="Times New Roman;sans-serif"/>
          <w:b w:val="false"/>
          <w:i/>
          <w:color w:val="000000"/>
          <w:sz w:val="22"/>
        </w:rPr>
        <w:t>General Development of the Business – History of the Company.</w:t>
      </w:r>
    </w:p>
    <w:p>
      <w:pPr>
        <w:pStyle w:val="TextBody"/>
        <w:spacing w:lineRule="auto" w:line="240" w:before="0" w:after="240"/>
        <w:jc w:val="both"/>
        <w:rPr/>
      </w:pPr>
      <w:r>
        <w:rPr>
          <w:color w:val="000000"/>
        </w:rPr>
        <w:t>“</w:t>
      </w:r>
      <w:r>
        <w:rPr>
          <w:rFonts w:ascii="Times New Roman;sans-serif" w:hAnsi="Times New Roman;sans-serif"/>
          <w:b/>
          <w:color w:val="000000"/>
          <w:sz w:val="22"/>
        </w:rPr>
        <w:t>Warrants</w:t>
      </w:r>
      <w:r>
        <w:rPr>
          <w:color w:val="000000"/>
        </w:rPr>
        <w:t xml:space="preserve">” </w:t>
      </w:r>
      <w:r>
        <w:rPr>
          <w:rFonts w:ascii="Times New Roman;sans-serif" w:hAnsi="Times New Roman;sans-serif"/>
          <w:b w:val="false"/>
          <w:color w:val="000000"/>
          <w:sz w:val="22"/>
        </w:rPr>
        <w:t xml:space="preserve">means warrants to purchase Common Shares. </w:t>
      </w:r>
    </w:p>
    <w:p>
      <w:pPr>
        <w:pStyle w:val="TextBody"/>
        <w:spacing w:before="0" w:after="240"/>
        <w:jc w:val="both"/>
        <w:rPr/>
      </w:pPr>
      <w:r>
        <w:rPr/>
      </w:r>
    </w:p>
    <w:p>
      <w:pPr>
        <w:pStyle w:val="TextBody"/>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668020"/>
                <wp:effectExtent l="0" t="0" r="0" b="0"/>
                <wp:wrapNone/>
                <wp:docPr id="25" name="Frame2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spacing w:before="0" w:after="0"/>
                        <w:jc w:val="center"/>
                        <w:rPr/>
                      </w:pPr>
                      <w:r>
                        <w:rPr/>
                      </w:r>
                    </w:p>
                  </w:txbxContent>
                </v:textbox>
              </v:rect>
            </w:pict>
          </mc:Fallback>
        </mc:AlternateConten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CORPORATE STRUCTURE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Name, Address and Incorporation</w:t>
      </w:r>
    </w:p>
    <w:p>
      <w:pPr>
        <w:pStyle w:val="TextBody"/>
        <w:spacing w:lineRule="auto" w:line="240" w:before="0" w:after="240"/>
        <w:jc w:val="both"/>
        <w:rPr/>
      </w:pPr>
      <w:r>
        <w:rPr>
          <w:rFonts w:ascii="Times New Roman;sans-serif" w:hAnsi="Times New Roman;sans-serif"/>
          <w:b w:val="false"/>
          <w:color w:val="000000"/>
          <w:sz w:val="22"/>
        </w:rPr>
        <w:t>Cybin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was incorporated under the BCBCA on October 13, 2016 under the name “Clarmin Explorations Inc.”. On January 8, 2018, the Company completed its initial public offering of Common Shares, pursuant to which the Company issued 3,500,000 Common Shares at a price of $0.10 per Common Share for gross proceeds of $350,000. The Common Shares were listed on the TSXV on January 8, 2018 under the symbol “CX”.</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Subco was incorporated under the OBCA on June 26, 2020 for the purposes of effecting the Amalgamation. </w:t>
      </w:r>
    </w:p>
    <w:p>
      <w:pPr>
        <w:pStyle w:val="TextBody"/>
        <w:spacing w:lineRule="auto" w:line="240" w:before="0" w:after="240"/>
        <w:jc w:val="both"/>
        <w:rPr/>
      </w:pPr>
      <w:r>
        <w:rPr>
          <w:rFonts w:ascii="Times New Roman;sans-serif" w:hAnsi="Times New Roman;sans-serif"/>
          <w:b w:val="false"/>
          <w:color w:val="000000"/>
          <w:sz w:val="22"/>
        </w:rPr>
        <w:t>On November 2, 2020, in connection with the Transaction, Clarmin consolidated its outstanding Clarmin Shares on a 6.672 old for one (1) new basis (the “</w:t>
      </w:r>
      <w:r>
        <w:rPr>
          <w:rFonts w:ascii="Times New Roman;sans-serif" w:hAnsi="Times New Roman;sans-serif"/>
          <w:b/>
          <w:color w:val="000000"/>
          <w:sz w:val="22"/>
        </w:rPr>
        <w:t>Consolidation</w:t>
      </w:r>
      <w:r>
        <w:rPr>
          <w:color w:val="000000"/>
        </w:rPr>
        <w:t>”</w:t>
      </w:r>
      <w:r>
        <w:rPr>
          <w:rFonts w:ascii="Times New Roman;sans-serif" w:hAnsi="Times New Roman;sans-serif"/>
          <w:b w:val="false"/>
          <w:color w:val="000000"/>
          <w:sz w:val="22"/>
        </w:rPr>
        <w: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Upon closing of the Transaction, on November 5, 2020: (i) the Company (then Clarmin) and Cybin completed a series of transactions resulting in a reorganization of Cybin and the Company and pursuant to which the Company became the direct parent and sole shareholder of Cybin; (ii) the Company changed its year end from July 31 to March 31; and (iii) the Company was continued under the OBCA by Certificate and Articles of Continuance and changed its name to “Cybin Inc.”</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Transaction constituted a Reverse Takeover of the Company by Cybin, with Cybin as the reverse takeover acquirer and the Company as the reverse takeover acquiree, under applicable securities laws and for accounting purposes under IFRS.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Clarmin Shares were listed on the TSXV until November 5, 2020 when they were delisted from the TSXV in connection with the completion of the Transaction. The Common Shares commenced trading on the Exchange on November 10, 2020, under the symbol “CYBN”.</w:t>
      </w:r>
    </w:p>
    <w:p>
      <w:pPr>
        <w:pStyle w:val="TextBody"/>
        <w:spacing w:lineRule="auto" w:line="240" w:before="0" w:after="240"/>
        <w:jc w:val="both"/>
        <w:rPr/>
      </w:pPr>
      <w:r>
        <w:rPr>
          <w:rFonts w:ascii="Times New Roman;sans-serif" w:hAnsi="Times New Roman;sans-serif"/>
          <w:b w:val="false"/>
          <w:color w:val="000000"/>
          <w:sz w:val="22"/>
        </w:rPr>
        <w:t>On December 4, 2020, the Company entered into a contribution agreement, as amended on September 24, 2021 (the “</w:t>
      </w:r>
      <w:r>
        <w:rPr>
          <w:rFonts w:ascii="Times New Roman;sans-serif" w:hAnsi="Times New Roman;sans-serif"/>
          <w:b/>
          <w:color w:val="000000"/>
          <w:sz w:val="22"/>
        </w:rPr>
        <w:t>Contribution Agreement</w:t>
      </w:r>
      <w:r>
        <w:rPr>
          <w:color w:val="000000"/>
        </w:rPr>
        <w:t>”</w:t>
      </w:r>
      <w:r>
        <w:rPr>
          <w:rFonts w:ascii="Times New Roman;sans-serif" w:hAnsi="Times New Roman;sans-serif"/>
          <w:b w:val="false"/>
          <w:color w:val="000000"/>
          <w:sz w:val="22"/>
        </w:rPr>
        <w:t>) with Cybin, Cybin U.S. and all of the shareholders (the “</w:t>
      </w:r>
      <w:r>
        <w:rPr>
          <w:rFonts w:ascii="Times New Roman;sans-serif" w:hAnsi="Times New Roman;sans-serif"/>
          <w:b/>
          <w:color w:val="000000"/>
          <w:sz w:val="22"/>
        </w:rPr>
        <w:t>Adelia Shareholders</w:t>
      </w:r>
      <w:r>
        <w:rPr>
          <w:color w:val="000000"/>
        </w:rPr>
        <w:t>”</w:t>
      </w:r>
      <w:r>
        <w:rPr>
          <w:rFonts w:ascii="Times New Roman;sans-serif" w:hAnsi="Times New Roman;sans-serif"/>
          <w:b w:val="false"/>
          <w:color w:val="000000"/>
          <w:sz w:val="22"/>
        </w:rPr>
        <w:t>) of Adelia Therapeutics Inc. (“</w:t>
      </w:r>
      <w:r>
        <w:rPr>
          <w:rFonts w:ascii="Times New Roman;sans-serif" w:hAnsi="Times New Roman;sans-serif"/>
          <w:b/>
          <w:color w:val="000000"/>
          <w:sz w:val="22"/>
        </w:rPr>
        <w:t>Adelia</w:t>
      </w:r>
      <w:r>
        <w:rPr>
          <w:color w:val="000000"/>
        </w:rPr>
        <w:t>”</w:t>
      </w:r>
      <w:r>
        <w:rPr>
          <w:rFonts w:ascii="Times New Roman;sans-serif" w:hAnsi="Times New Roman;sans-serif"/>
          <w:b w:val="false"/>
          <w:color w:val="000000"/>
          <w:sz w:val="22"/>
        </w:rPr>
        <w:t>) whereby Cybin U.S. agreed to purchase from the Adelia Shareholders all of the issued and outstanding Adelia shares in exchange for the Class B Shares (as defined herein) (the “</w:t>
      </w:r>
      <w:r>
        <w:rPr>
          <w:rFonts w:ascii="Times New Roman;sans-serif" w:hAnsi="Times New Roman;sans-serif"/>
          <w:b/>
          <w:color w:val="000000"/>
          <w:sz w:val="22"/>
        </w:rPr>
        <w:t>Adelia Transaction</w:t>
      </w:r>
      <w:r>
        <w:rPr>
          <w:color w:val="000000"/>
        </w:rPr>
        <w:t>”</w:t>
      </w:r>
      <w:r>
        <w:rPr>
          <w:rFonts w:ascii="Times New Roman;sans-serif" w:hAnsi="Times New Roman;sans-serif"/>
          <w:b w:val="false"/>
          <w:color w:val="000000"/>
          <w:sz w:val="22"/>
        </w:rPr>
        <w:t>). The Adelia Transaction closed on December 14, 2020. For further information see “</w:t>
      </w:r>
      <w:r>
        <w:rPr>
          <w:rFonts w:ascii="Times New Roman;sans-serif" w:hAnsi="Times New Roman;sans-serif"/>
          <w:b w:val="false"/>
          <w:i/>
          <w:color w:val="000000"/>
          <w:sz w:val="22"/>
        </w:rPr>
        <w:t>General Development of the Business – Significant Acquisitions and Dispositions</w:t>
      </w:r>
      <w:r>
        <w:rPr>
          <w:color w:val="000000"/>
        </w:rPr>
        <w:t>”</w:t>
      </w:r>
      <w:r>
        <w:rPr>
          <w:rFonts w:ascii="Times New Roman;sans-serif" w:hAnsi="Times New Roman;sans-serif"/>
          <w:b w:val="false"/>
          <w:color w:val="000000"/>
          <w:sz w:val="22"/>
        </w:rPr>
        <w: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registered office and head office is located at 100 King Street West, Suite 5600, Toronto, Ontario, M5X 1C9.</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Intercorporate Relationships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Cybin was incorporated under the OBCA on October 22, 2019. Pursuant to the Amalgamation, Cybin amalgamated with Subco to form Amalco under the name “Cybin Corp.”, which is a wholly-owned subsidiary of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Natures Journey, a wholly-owned, subsidiary of the Company, was formed under the OBCA on November 6, 2019.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Serenity Life, a wholly-owned, subsidiary of the Company, was formed under the OBCA on November 6, 2019.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Cybin U.S., a fully-controlled subsidiary of the Company, was formed under the law of the State of Nevada on December 4, 2020. Certain of the Company’s business operations pertaining to psilocybin research and development are conducted through Cybin U.S.</w:t>
      </w:r>
      <w:r>
        <w:br w:type="page"/>
      </w:r>
    </w:p>
    <w:p>
      <w:pPr>
        <w:pStyle w:val="TextBody"/>
        <w:spacing w:before="0" w:after="20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668020"/>
                <wp:effectExtent l="0" t="0" r="0" b="0"/>
                <wp:wrapNone/>
                <wp:docPr id="26" name="Frame2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Cybin Ireland, a wholly-owned subsidiary of the Company, was formed under the Companies Act of 2014 in the country of Ireland on May 6, 2021. In connection with the formation of Cybin Ireland, the Company transferred its intellectual property assets to this entity. In addition, certain of the Company’s business operations, including European operations and research activities with various academic and clinical research organizations, are conducted through Cybin Ireland.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chart sets out all the Company’s material subsidiaries as at the date hereof, their jurisdictions of incorporation and the Company’s direct and indirect voting interest in each of these subsidiaries.</w:t>
      </w:r>
    </w:p>
    <w:p>
      <w:pPr>
        <w:pStyle w:val="TextBody"/>
        <w:spacing w:before="0" w:after="240"/>
        <w:jc w:val="center"/>
        <w:rPr/>
      </w:pPr>
      <w:r>
        <w:rPr/>
        <w:drawing>
          <wp:inline distT="0" distB="63500" distL="0" distR="0">
            <wp:extent cx="3810000" cy="4038600"/>
            <wp:effectExtent l="0" t="0" r="0" b="0"/>
            <wp:docPr id="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4" descr=""/>
                    <pic:cNvPicPr>
                      <a:picLocks noChangeAspect="1" noChangeArrowheads="1"/>
                    </pic:cNvPicPr>
                  </pic:nvPicPr>
                  <pic:blipFill>
                    <a:blip r:embed="rId5"/>
                    <a:stretch>
                      <a:fillRect/>
                    </a:stretch>
                  </pic:blipFill>
                  <pic:spPr bwMode="auto">
                    <a:xfrm>
                      <a:off x="0" y="0"/>
                      <a:ext cx="3810000" cy="4038600"/>
                    </a:xfrm>
                    <a:prstGeom prst="rect">
                      <a:avLst/>
                    </a:prstGeom>
                  </pic:spPr>
                </pic:pic>
              </a:graphicData>
            </a:graphic>
          </wp:inline>
        </w:drawing>
      </w:r>
    </w:p>
    <w:p>
      <w:pPr>
        <w:pStyle w:val="TextBody"/>
        <w:spacing w:lineRule="auto" w:line="240" w:before="0" w:after="240"/>
        <w:rPr/>
      </w:pPr>
      <w:r>
        <w:rPr>
          <w:rFonts w:ascii="Times New Roman;sans-serif" w:hAnsi="Times New Roman;sans-serif"/>
          <w:b/>
          <w:color w:val="000000"/>
          <w:sz w:val="16"/>
        </w:rPr>
        <w:t>Note:</w:t>
      </w:r>
      <w:r>
        <w:rPr>
          <w:color w:val="000000"/>
        </w:rPr>
        <w:t xml:space="preserve"> </w:t>
      </w:r>
      <w:r>
        <w:rPr>
          <w:rFonts w:ascii="Times New Roman;sans-serif" w:hAnsi="Times New Roman;sans-serif"/>
          <w:b w:val="false"/>
          <w:color w:val="000000"/>
          <w:sz w:val="16"/>
        </w:rPr>
        <w:t>The Adelia Shareholders hold certain non-voting securities of Cybin U.S. For further information see “</w:t>
      </w:r>
      <w:r>
        <w:rPr>
          <w:rFonts w:ascii="Times New Roman;sans-serif" w:hAnsi="Times New Roman;sans-serif"/>
          <w:b w:val="false"/>
          <w:i/>
          <w:color w:val="000000"/>
          <w:sz w:val="16"/>
        </w:rPr>
        <w:t>General Development of the Business – Significant Acquisitions and Dispositions</w:t>
      </w:r>
      <w:r>
        <w:rPr>
          <w:color w:val="000000"/>
        </w:rPr>
        <w:t>”</w:t>
      </w:r>
      <w:r>
        <w:rPr>
          <w:rFonts w:ascii="Times New Roman;sans-serif" w:hAnsi="Times New Roman;sans-serif"/>
          <w:b w:val="false"/>
          <w:color w:val="000000"/>
          <w:sz w:val="16"/>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GENERAL DEVELOPMENT OF THE BUSINESS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5, 2020, Cybin completed its Reverse Takeover of Clarmin pursuant to the terms of the Amalgamation Agreement. The Transaction was completed by way of a “three-cornered” amalgamation pursuant to the provisions of the OBCA whereby Cybin amalgamated with Subco to form an amalgamated corporation and a wholly owned subsidiary of the Company. With the completion of the Transaction the Common Shares became listed for trading on the Exchange under the trading symbol “CYBN” and were delisted from the facilities of the TSXV. In connection with the completion of the Transaction:</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the Company acquired all of the common shares of Cybin from the holders thereof in exchange for the issuance of Common Shares (on a post-Consolidation basis) on a one-for-one basis, and all existing convertible securities of Cybin became convertible or exercisable into Common Shares rather than into Cybin Shares;</w:t>
      </w:r>
      <w:r>
        <w:br w:type="page"/>
      </w:r>
    </w:p>
    <w:p>
      <w:pPr>
        <w:pStyle w:val="TextBody"/>
        <w:spacing w:before="0" w:after="20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668020"/>
                <wp:effectExtent l="0" t="0" r="0" b="0"/>
                <wp:wrapNone/>
                <wp:docPr id="28" name="Frame2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p>
                      <w:pPr>
                        <w:pStyle w:val="TextBody"/>
                        <w:spacing w:before="0" w:after="0"/>
                        <w:jc w:val="center"/>
                        <w:rPr/>
                      </w:pPr>
                      <w:r>
                        <w:rPr/>
                      </w:r>
                    </w:p>
                  </w:txbxContent>
                </v:textbox>
              </v:rect>
            </w:pict>
          </mc:Fallback>
        </mc:AlternateConten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the Company continued to the OBCA from the BCBCA and changed its name to “Cybin Inc.”;</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the directors and officers of the Company resigned and were replaced with nominees of Cybin;</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the financial year end of the Company became March 31, being the financial year end of Cybin;</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Zeifmans LLP, being the auditor of Cybin, was appointed as the auditor of the Company; and</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Cybin became a wholly-owned subsidiary of the Company and the business of Cybin became the business of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Additional details regarding the Transaction and the business of the Company can be found in the Listing Statement as filed on SEDAR on November 9, 2020.</w:t>
      </w:r>
    </w:p>
    <w:p>
      <w:pPr>
        <w:pStyle w:val="TextBody"/>
        <w:spacing w:lineRule="auto" w:line="276" w:before="236" w:after="240"/>
        <w:rPr/>
      </w:pPr>
      <w:r>
        <w:rPr>
          <w:rFonts w:ascii="Times New Roman;sans-serif" w:hAnsi="Times New Roman;sans-serif"/>
          <w:b/>
          <w:color w:val="000000"/>
          <w:sz w:val="22"/>
          <w:u w:val="single"/>
        </w:rPr>
        <w:t>History of the Company</w:t>
      </w:r>
      <w:r>
        <w:rPr>
          <w:rFonts w:ascii="Times New Roman;sans-serif" w:hAnsi="Times New Roman;sans-serif"/>
          <w:b/>
          <w:color w:val="000000"/>
          <w:sz w:val="14"/>
          <w:u w:val="single"/>
        </w:rPr>
        <w:t>1</w:t>
      </w:r>
      <w:r>
        <w:rPr>
          <w:color w:val="000000"/>
          <w:u w:val="single"/>
        </w:rPr>
        <w:t xml:space="preserve"> </w:t>
      </w:r>
    </w:p>
    <w:p>
      <w:pPr>
        <w:pStyle w:val="TextBody"/>
        <w:spacing w:lineRule="auto" w:line="240" w:before="0" w:after="240"/>
        <w:jc w:val="both"/>
        <w:rPr/>
      </w:pPr>
      <w:r>
        <w:rPr>
          <w:rFonts w:ascii="Times New Roman;sans-serif" w:hAnsi="Times New Roman;sans-serif"/>
          <w:b w:val="false"/>
          <w:color w:val="000000"/>
          <w:sz w:val="22"/>
        </w:rPr>
        <w:t>The Company was incorporated under the BCBCA on October 13, 2016. Prior to the Transaction, the Company was engaged in the exploration and development of mineral properties in Canada. On January 8, 2018, the Company completed its initial public offering of the Common Shares. The Company issued 3,500,000 Common Shares at a price of $0.10 per share for gross proceeds of $350,000. The Common Shares were listed on the TSXV</w:t>
      </w:r>
      <w:r>
        <w:rPr>
          <w:color w:val="000000"/>
        </w:rPr>
        <w:t xml:space="preserve"> </w:t>
      </w:r>
      <w:r>
        <w:rPr>
          <w:rFonts w:ascii="Times New Roman;sans-serif" w:hAnsi="Times New Roman;sans-serif"/>
          <w:b w:val="false"/>
          <w:color w:val="000000"/>
          <w:sz w:val="22"/>
        </w:rPr>
        <w:t>on January 8, 2018 under the symbol “CX”.</w:t>
      </w:r>
    </w:p>
    <w:p>
      <w:pPr>
        <w:pStyle w:val="TextBody"/>
        <w:spacing w:lineRule="auto" w:line="240" w:before="0" w:after="240"/>
        <w:jc w:val="both"/>
        <w:rPr/>
      </w:pPr>
      <w:r>
        <w:rPr>
          <w:rFonts w:ascii="Times New Roman;sans-serif" w:hAnsi="Times New Roman;sans-serif"/>
          <w:b w:val="false"/>
          <w:color w:val="000000"/>
          <w:sz w:val="22"/>
        </w:rPr>
        <w:t>On May 15, 2020, Cybin entered into an agreement with Maypro Industries LLC (“</w:t>
      </w:r>
      <w:r>
        <w:rPr>
          <w:rFonts w:ascii="Times New Roman;sans-serif" w:hAnsi="Times New Roman;sans-serif"/>
          <w:b/>
          <w:color w:val="000000"/>
          <w:sz w:val="22"/>
        </w:rPr>
        <w:t>Maypro</w:t>
      </w:r>
      <w:r>
        <w:rPr>
          <w:color w:val="000000"/>
        </w:rPr>
        <w:t>”</w:t>
      </w:r>
      <w:r>
        <w:rPr>
          <w:rFonts w:ascii="Times New Roman;sans-serif" w:hAnsi="Times New Roman;sans-serif"/>
          <w:b w:val="false"/>
          <w:color w:val="000000"/>
          <w:sz w:val="22"/>
        </w:rPr>
        <w:t>) to acquire exclusive rights for formulations using Active Hexose Correlated Compound which is one of the world’s most researched specialty immune supplements supported by 20 human clinical studies, by over 30 papers published in PubMed-indexed journals and by more than 100 pre-clinical and in vitro studies.</w:t>
      </w: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22"/>
        </w:rPr>
        <w:t>On April 15, 2022, the Company provided notice of its decision to terminate its agreement with Maypro.</w:t>
      </w:r>
    </w:p>
    <w:p>
      <w:pPr>
        <w:pStyle w:val="TextBody"/>
        <w:spacing w:lineRule="auto" w:line="240" w:before="0" w:after="240"/>
        <w:jc w:val="both"/>
        <w:rPr/>
      </w:pPr>
      <w:r>
        <w:rPr>
          <w:rFonts w:ascii="Times New Roman;sans-serif" w:hAnsi="Times New Roman;sans-serif"/>
          <w:b w:val="false"/>
          <w:color w:val="000000"/>
          <w:sz w:val="22"/>
        </w:rPr>
        <w:t>On June 24, 2020, Cybin entered into a professional services agreement (the “</w:t>
      </w:r>
      <w:r>
        <w:rPr>
          <w:rFonts w:ascii="Times New Roman;sans-serif" w:hAnsi="Times New Roman;sans-serif"/>
          <w:b/>
          <w:color w:val="000000"/>
          <w:sz w:val="22"/>
        </w:rPr>
        <w:t>Smart Medicines Agreement</w:t>
      </w:r>
      <w:r>
        <w:rPr>
          <w:color w:val="000000"/>
        </w:rPr>
        <w:t>”</w:t>
      </w:r>
      <w:r>
        <w:rPr>
          <w:rFonts w:ascii="Times New Roman;sans-serif" w:hAnsi="Times New Roman;sans-serif"/>
          <w:b w:val="false"/>
          <w:color w:val="000000"/>
          <w:sz w:val="22"/>
        </w:rPr>
        <w:t>) with Smart Medicines GMP Inc. (“</w:t>
      </w:r>
      <w:r>
        <w:rPr>
          <w:rFonts w:ascii="Times New Roman;sans-serif" w:hAnsi="Times New Roman;sans-serif"/>
          <w:b/>
          <w:color w:val="000000"/>
          <w:sz w:val="22"/>
        </w:rPr>
        <w:t>Smart Medicines</w:t>
      </w:r>
      <w:r>
        <w:rPr>
          <w:color w:val="000000"/>
        </w:rPr>
        <w:t>”</w:t>
      </w:r>
      <w:r>
        <w:rPr>
          <w:rFonts w:ascii="Times New Roman;sans-serif" w:hAnsi="Times New Roman;sans-serif"/>
          <w:b w:val="false"/>
          <w:color w:val="000000"/>
          <w:sz w:val="22"/>
        </w:rPr>
        <w:t>) whereby Smart Medicines would provide research and development of proprietary drug formulations and natural health products. Smart Medicines was also engaged to create a drug master file of synthetic API and novel compounds for the Company (the “</w:t>
      </w:r>
      <w:r>
        <w:rPr>
          <w:rFonts w:ascii="Times New Roman;sans-serif" w:hAnsi="Times New Roman;sans-serif"/>
          <w:b/>
          <w:color w:val="000000"/>
          <w:sz w:val="22"/>
        </w:rPr>
        <w:t>Deliverables</w:t>
      </w:r>
      <w:r>
        <w:rPr>
          <w:color w:val="000000"/>
        </w:rPr>
        <w:t>”</w:t>
      </w:r>
      <w:r>
        <w:rPr>
          <w:rFonts w:ascii="Times New Roman;sans-serif" w:hAnsi="Times New Roman;sans-serif"/>
          <w:b w:val="false"/>
          <w:color w:val="000000"/>
          <w:sz w:val="22"/>
        </w:rPr>
        <w:t xml:space="preserve">). Pursuant to the Smart Medicines Agreement, any intellectual property developed is exclusively owned by the Company. Ongoing COVID-19 restrictions in the Province of Quebec resulted in the frustration of the contract with Smart Medicines being unable to provide the Deliverables to the Company. On January 11, 2021, the Company provided the requisite 30-days notice to Smart Medicines of its decision to terminate the Smart Medicines Agreement. With the acquisition of Adelia, the Company secured an alternative to the Deliverables and now has in-house ability to develop molecules which can be scaled to GMP quantities.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26, 2020, the Company entered into the Amalgamation Agreement with Cybin and Subco in connection with the Transaction.</w:t>
      </w:r>
    </w:p>
    <w:p>
      <w:pPr>
        <w:pStyle w:val="TextBody"/>
        <w:spacing w:lineRule="auto" w:line="240" w:before="0" w:after="240"/>
        <w:jc w:val="both"/>
        <w:rPr/>
      </w:pPr>
      <w:r>
        <w:rPr>
          <w:rFonts w:ascii="Times New Roman;sans-serif" w:hAnsi="Times New Roman;sans-serif"/>
          <w:b w:val="false"/>
          <w:color w:val="000000"/>
          <w:sz w:val="22"/>
        </w:rPr>
        <w:t>On June 30, 2020, Cybin entered into a supply agreement (the “</w:t>
      </w:r>
      <w:r>
        <w:rPr>
          <w:rFonts w:ascii="Times New Roman;sans-serif" w:hAnsi="Times New Roman;sans-serif"/>
          <w:b/>
          <w:color w:val="000000"/>
          <w:sz w:val="22"/>
        </w:rPr>
        <w:t>Supply Agreement</w:t>
      </w:r>
      <w:r>
        <w:rPr>
          <w:color w:val="000000"/>
        </w:rPr>
        <w:t>”</w:t>
      </w:r>
      <w:r>
        <w:rPr>
          <w:rFonts w:ascii="Times New Roman;sans-serif" w:hAnsi="Times New Roman;sans-serif"/>
          <w:b w:val="false"/>
          <w:color w:val="000000"/>
          <w:sz w:val="22"/>
        </w:rPr>
        <w:t>) with an active pharmaceutical ingredient provider in the United States (the “</w:t>
      </w:r>
      <w:r>
        <w:rPr>
          <w:rFonts w:ascii="Times New Roman;sans-serif" w:hAnsi="Times New Roman;sans-serif"/>
          <w:b/>
          <w:color w:val="000000"/>
          <w:sz w:val="22"/>
        </w:rPr>
        <w:t>Pharmaceutical Ingredient Provider</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Pursuant to the Supply Agreement, the Pharmaceutical Ingredient Provider agreed to supply to the Company pharmaceutical 25g API produced under current Good Manufacturing Practices (“</w:t>
      </w:r>
      <w:r>
        <w:rPr>
          <w:rFonts w:ascii="Times New Roman;sans-serif" w:hAnsi="Times New Roman;sans-serif"/>
          <w:b/>
          <w:color w:val="000000"/>
          <w:sz w:val="22"/>
        </w:rPr>
        <w:t>cGMP</w:t>
      </w:r>
      <w:r>
        <w:rPr>
          <w:color w:val="000000"/>
        </w:rPr>
        <w:t>”</w:t>
      </w:r>
      <w:r>
        <w:rPr>
          <w:rFonts w:ascii="Times New Roman;sans-serif" w:hAnsi="Times New Roman;sans-serif"/>
          <w:b w:val="false"/>
          <w:color w:val="000000"/>
          <w:sz w:val="22"/>
        </w:rPr>
        <w:t xml:space="preserve">) conditions. The Company will use such API for research and development purposes in connection with the Sublingual Film development pursuant to the IntelGenx Agreement (as defined below). Moreover, the API can be shipped to any academic or research facility with a drug establishment license, which is </w:t>
      </w:r>
    </w:p>
    <w:p>
      <w:pPr>
        <w:pStyle w:val="TextBody"/>
        <w:spacing w:lineRule="auto" w:line="240" w:before="0" w:after="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All quarter references in this section are based on calendar year-end.</w:t>
      </w:r>
    </w:p>
    <w:p>
      <w:pPr>
        <w:pStyle w:val="TextBody"/>
        <w:spacing w:lineRule="auto" w:line="240"/>
        <w:rPr/>
      </w:pP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18"/>
        </w:rPr>
        <w:t>https://www.ahcc.net/.</w:t>
      </w:r>
      <w:r>
        <w:br w:type="page"/>
      </w:r>
    </w:p>
    <w:p>
      <w:pPr>
        <w:pStyle w:val="TextBody"/>
        <w:spacing w:before="0" w:after="20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668020"/>
                <wp:effectExtent l="0" t="0" r="0" b="0"/>
                <wp:wrapNone/>
                <wp:docPr id="29" name="Frame2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receipt of all necessary approvals. The Pharmaceutical Ingredient Provider also has partnerships with several academic institutions.</w:t>
      </w:r>
    </w:p>
    <w:p>
      <w:pPr>
        <w:pStyle w:val="TextBody"/>
        <w:spacing w:lineRule="auto" w:line="240" w:before="0" w:after="240"/>
        <w:jc w:val="both"/>
        <w:rPr/>
      </w:pPr>
      <w:r>
        <w:rPr>
          <w:rFonts w:ascii="Times New Roman;sans-serif" w:hAnsi="Times New Roman;sans-serif"/>
          <w:b w:val="false"/>
          <w:color w:val="000000"/>
          <w:sz w:val="22"/>
        </w:rPr>
        <w:t>On July 3, 2020, Cybin entered into a feasibility agreement (the “</w:t>
      </w:r>
      <w:r>
        <w:rPr>
          <w:rFonts w:ascii="Times New Roman;sans-serif" w:hAnsi="Times New Roman;sans-serif"/>
          <w:b/>
          <w:color w:val="000000"/>
          <w:sz w:val="22"/>
        </w:rPr>
        <w:t>IntelGenx Agreement</w:t>
      </w:r>
      <w:r>
        <w:rPr>
          <w:color w:val="000000"/>
        </w:rPr>
        <w:t>”</w:t>
      </w:r>
      <w:r>
        <w:rPr>
          <w:rFonts w:ascii="Times New Roman;sans-serif" w:hAnsi="Times New Roman;sans-serif"/>
          <w:b w:val="false"/>
          <w:color w:val="000000"/>
          <w:sz w:val="22"/>
        </w:rPr>
        <w:t>) with IntelGenx Corp. (“</w:t>
      </w:r>
      <w:r>
        <w:rPr>
          <w:rFonts w:ascii="Times New Roman;sans-serif" w:hAnsi="Times New Roman;sans-serif"/>
          <w:b/>
          <w:color w:val="000000"/>
          <w:sz w:val="22"/>
        </w:rPr>
        <w:t>IntelGenx</w:t>
      </w:r>
      <w:r>
        <w:rPr>
          <w:color w:val="000000"/>
        </w:rPr>
        <w:t>”</w:t>
      </w:r>
      <w:r>
        <w:rPr>
          <w:rFonts w:ascii="Times New Roman;sans-serif" w:hAnsi="Times New Roman;sans-serif"/>
          <w:b w:val="false"/>
          <w:color w:val="000000"/>
          <w:sz w:val="22"/>
        </w:rPr>
        <w:t>). IntelGenx is a TSX listed drug delivery company that owns patented and trade secret proprietary technology related to film-based drug delivery systems, including orally soluble film strips containing active pharmaceutical ingredients. Pursuant to the IntelGenx Agreement, IntelGenx has the sole and exclusive right to manufacture the Sublingual Film. IntelGenx is equipped with state-of-the-art operating lines offering great flexibility to design customized-film products with volumes ranging from R&amp;D test quantities to millions of commercial film units. Pursuant to the IntelGenx Agreement, the Company has worldwide commercialization rights for the Sublingual Film.</w:t>
      </w:r>
    </w:p>
    <w:p>
      <w:pPr>
        <w:pStyle w:val="TextBody"/>
        <w:spacing w:lineRule="auto" w:line="240" w:before="0" w:after="240"/>
        <w:jc w:val="both"/>
        <w:rPr/>
      </w:pPr>
      <w:r>
        <w:rPr>
          <w:rFonts w:ascii="Times New Roman;sans-serif" w:hAnsi="Times New Roman;sans-serif"/>
          <w:b w:val="false"/>
          <w:color w:val="000000"/>
          <w:sz w:val="22"/>
        </w:rPr>
        <w:t>On July 15, 2020, the Company entered into an agreement with 1257172 B.C. LTD. to dispose of all of its mining assets and related liabilities (the “</w:t>
      </w:r>
      <w:r>
        <w:rPr>
          <w:rFonts w:ascii="Times New Roman;sans-serif" w:hAnsi="Times New Roman;sans-serif"/>
          <w:b/>
          <w:color w:val="000000"/>
          <w:sz w:val="22"/>
        </w:rPr>
        <w:t>Clarmin Disposition</w:t>
      </w:r>
      <w:r>
        <w:rPr>
          <w:color w:val="000000"/>
        </w:rPr>
        <w:t>”</w:t>
      </w:r>
      <w:r>
        <w:rPr>
          <w:rFonts w:ascii="Times New Roman;sans-serif" w:hAnsi="Times New Roman;sans-serif"/>
          <w:b w:val="false"/>
          <w:color w:val="000000"/>
          <w:sz w:val="22"/>
        </w:rPr>
        <w:t>). On August 13, 2020, at the annual and special shareholders meeting of the Company, the shareholders approved the Clarmin Disposition, including the disposition of the 100% interest in the Benton Property. The Clarmin Disposition closed on November 4, 2020.</w:t>
      </w:r>
    </w:p>
    <w:p>
      <w:pPr>
        <w:pStyle w:val="TextBody"/>
        <w:spacing w:lineRule="auto" w:line="240" w:before="0" w:after="240"/>
        <w:jc w:val="both"/>
        <w:rPr/>
      </w:pPr>
      <w:r>
        <w:rPr>
          <w:rFonts w:ascii="Times New Roman;sans-serif" w:hAnsi="Times New Roman;sans-serif"/>
          <w:b w:val="false"/>
          <w:color w:val="000000"/>
          <w:sz w:val="22"/>
        </w:rPr>
        <w:t>On October 19, 2020, Cybin completed a brokered private placement offering of an aggregate of 60,000,000 subscription receipts (the “</w:t>
      </w:r>
      <w:r>
        <w:rPr>
          <w:rFonts w:ascii="Times New Roman;sans-serif" w:hAnsi="Times New Roman;sans-serif"/>
          <w:b/>
          <w:color w:val="000000"/>
          <w:sz w:val="22"/>
        </w:rPr>
        <w:t>Subscription Receipts</w:t>
      </w:r>
      <w:r>
        <w:rPr>
          <w:color w:val="000000"/>
        </w:rPr>
        <w:t>”</w:t>
      </w:r>
      <w:r>
        <w:rPr>
          <w:rFonts w:ascii="Times New Roman;sans-serif" w:hAnsi="Times New Roman;sans-serif"/>
          <w:b w:val="false"/>
          <w:color w:val="000000"/>
          <w:sz w:val="22"/>
        </w:rPr>
        <w:t>) at a price of $0.75 per Subscription Receipt for aggregate gross proceeds of $45 million (the “</w:t>
      </w:r>
      <w:r>
        <w:rPr>
          <w:rFonts w:ascii="Times New Roman;sans-serif" w:hAnsi="Times New Roman;sans-serif"/>
          <w:b/>
          <w:color w:val="000000"/>
          <w:sz w:val="22"/>
        </w:rPr>
        <w:t>Cybin Private Placement</w:t>
      </w:r>
      <w:r>
        <w:rPr>
          <w:color w:val="000000"/>
        </w:rPr>
        <w:t>”</w:t>
      </w:r>
      <w:r>
        <w:rPr>
          <w:rFonts w:ascii="Times New Roman;sans-serif" w:hAnsi="Times New Roman;sans-serif"/>
          <w:b w:val="false"/>
          <w:color w:val="000000"/>
          <w:sz w:val="22"/>
        </w:rPr>
        <w:t>). The Cybin Private Placement was completed pursuant to an agency agreement among Cybin, Clarmin, Stifel Nicolaus Canada Inc. (“</w:t>
      </w:r>
      <w:r>
        <w:rPr>
          <w:rFonts w:ascii="Times New Roman;sans-serif" w:hAnsi="Times New Roman;sans-serif"/>
          <w:b/>
          <w:color w:val="000000"/>
          <w:sz w:val="22"/>
        </w:rPr>
        <w:t>Stifel GMP</w:t>
      </w:r>
      <w:r>
        <w:rPr>
          <w:color w:val="000000"/>
        </w:rPr>
        <w:t>”</w:t>
      </w:r>
      <w:r>
        <w:rPr>
          <w:rFonts w:ascii="Times New Roman;sans-serif" w:hAnsi="Times New Roman;sans-serif"/>
          <w:b w:val="false"/>
          <w:color w:val="000000"/>
          <w:sz w:val="22"/>
        </w:rPr>
        <w:t>) and Eight Capital (together with Stifel GMP, the “</w:t>
      </w:r>
      <w:r>
        <w:rPr>
          <w:rFonts w:ascii="Times New Roman;sans-serif" w:hAnsi="Times New Roman;sans-serif"/>
          <w:b/>
          <w:color w:val="000000"/>
          <w:sz w:val="22"/>
        </w:rPr>
        <w:t>Co-Lead Agents</w:t>
      </w:r>
      <w:r>
        <w:rPr>
          <w:color w:val="000000"/>
        </w:rPr>
        <w:t>”</w:t>
      </w:r>
      <w:r>
        <w:rPr>
          <w:rFonts w:ascii="Times New Roman;sans-serif" w:hAnsi="Times New Roman;sans-serif"/>
          <w:b w:val="false"/>
          <w:color w:val="000000"/>
          <w:sz w:val="22"/>
        </w:rPr>
        <w:t>) on behalf of a syndicate of agents (together with the Co-Lead Agents, the “</w:t>
      </w:r>
      <w:r>
        <w:rPr>
          <w:rFonts w:ascii="Times New Roman;sans-serif" w:hAnsi="Times New Roman;sans-serif"/>
          <w:b/>
          <w:color w:val="000000"/>
          <w:sz w:val="22"/>
        </w:rPr>
        <w:t>Agents</w:t>
      </w:r>
      <w:r>
        <w:rPr>
          <w:color w:val="000000"/>
        </w:rPr>
        <w:t>”</w:t>
      </w:r>
      <w:r>
        <w:rPr>
          <w:rFonts w:ascii="Times New Roman;sans-serif" w:hAnsi="Times New Roman;sans-serif"/>
          <w:b w:val="false"/>
          <w:color w:val="000000"/>
          <w:sz w:val="22"/>
        </w:rPr>
        <w:t>). The gross proceeds of the Cybin Private Placement, less 50% of the Agents’ Fees and certain expenses of the Agents were deposited in escrow until the satisfaction of certain release conditions (the “</w:t>
      </w:r>
      <w:r>
        <w:rPr>
          <w:rFonts w:ascii="Times New Roman;sans-serif" w:hAnsi="Times New Roman;sans-serif"/>
          <w:b/>
          <w:color w:val="000000"/>
          <w:sz w:val="22"/>
        </w:rPr>
        <w:t>Release Conditions</w:t>
      </w:r>
      <w:r>
        <w:rPr>
          <w:color w:val="000000"/>
        </w:rPr>
        <w:t>”</w:t>
      </w:r>
      <w:r>
        <w:rPr>
          <w:rFonts w:ascii="Times New Roman;sans-serif" w:hAnsi="Times New Roman;sans-serif"/>
          <w:b w:val="false"/>
          <w:color w:val="000000"/>
          <w:sz w:val="22"/>
        </w:rPr>
        <w:t xml:space="preserve">). The Release Conditions were satisfied on November 5, 2020, at which time each Subscription Receipt converted into one Cybin Share without payment of any additional consideration or further action on the part of the holder thereof. Upon completion of the Transaction, each Cybin Share was exchanged for one Common Share. </w:t>
      </w:r>
    </w:p>
    <w:p>
      <w:pPr>
        <w:pStyle w:val="TextBody"/>
        <w:spacing w:lineRule="auto" w:line="240" w:before="0" w:after="240"/>
        <w:jc w:val="both"/>
        <w:rPr/>
      </w:pPr>
      <w:r>
        <w:rPr>
          <w:rFonts w:ascii="Times New Roman;sans-serif" w:hAnsi="Times New Roman;sans-serif"/>
          <w:b w:val="false"/>
          <w:color w:val="000000"/>
          <w:sz w:val="22"/>
        </w:rPr>
        <w:t>In connection with the closing of the Cybin Private Placement, a cash fee equal to 6% of the aggregate gross proceeds of the Cybin Private Placement from non-U.S. resident investors was payable to the Agents, except for certain orders on a president’s list pursuant to which a cash fee of 1.5% was payable (the “</w:t>
      </w:r>
      <w:r>
        <w:rPr>
          <w:rFonts w:ascii="Times New Roman;sans-serif" w:hAnsi="Times New Roman;sans-serif"/>
          <w:b/>
          <w:color w:val="000000"/>
          <w:sz w:val="22"/>
        </w:rPr>
        <w:t>Agents’ Cash Fee</w:t>
      </w:r>
      <w:r>
        <w:rPr>
          <w:color w:val="000000"/>
        </w:rPr>
        <w:t>”</w:t>
      </w:r>
      <w:r>
        <w:rPr>
          <w:rFonts w:ascii="Times New Roman;sans-serif" w:hAnsi="Times New Roman;sans-serif"/>
          <w:b w:val="false"/>
          <w:color w:val="000000"/>
          <w:sz w:val="22"/>
        </w:rPr>
        <w:t>). The Agents also received an aggregate of 127,600 broker warrants (“</w:t>
      </w:r>
      <w:r>
        <w:rPr>
          <w:rFonts w:ascii="Times New Roman;sans-serif" w:hAnsi="Times New Roman;sans-serif"/>
          <w:b/>
          <w:color w:val="000000"/>
          <w:sz w:val="22"/>
        </w:rPr>
        <w:t>Broker Warrants</w:t>
      </w:r>
      <w:r>
        <w:rPr>
          <w:color w:val="000000"/>
        </w:rPr>
        <w:t>”</w:t>
      </w:r>
      <w:r>
        <w:rPr>
          <w:rFonts w:ascii="Times New Roman;sans-serif" w:hAnsi="Times New Roman;sans-serif"/>
          <w:b w:val="false"/>
          <w:color w:val="000000"/>
          <w:sz w:val="22"/>
        </w:rPr>
        <w:t>). Upon satisfaction of the Release Conditions, each Broker Warrant became exercisable into one Common Share (subject to customary adjustments) for a period of 24 months following the date that the Release Conditions are met at an exercise price of $0.75, subject to adjustment in certain customary circumstances. In exchange for certain advisory services provided by the Agents to Cybin, the Agents also received an advisory fee of $479,137 (together with the Agents’ Cash Fee, the “</w:t>
      </w:r>
      <w:r>
        <w:rPr>
          <w:rFonts w:ascii="Times New Roman;sans-serif" w:hAnsi="Times New Roman;sans-serif"/>
          <w:b/>
          <w:color w:val="000000"/>
          <w:sz w:val="22"/>
        </w:rPr>
        <w:t>Agents’ Fees</w:t>
      </w:r>
      <w:r>
        <w:rPr>
          <w:color w:val="000000"/>
        </w:rPr>
        <w:t>”</w:t>
      </w:r>
      <w:r>
        <w:rPr>
          <w:rFonts w:ascii="Times New Roman;sans-serif" w:hAnsi="Times New Roman;sans-serif"/>
          <w:b w:val="false"/>
          <w:color w:val="000000"/>
          <w:sz w:val="22"/>
        </w:rPr>
        <w:t xml:space="preserve">) and 16,000 warrants on the same terms as the Broker Warrants. Cybin also agreed to pay an additional cash fee of $1,180,000 and 2,590,000 warrants on the same terms as the Broker Warrants to certain finders and other advisors of Cybin. </w:t>
      </w:r>
    </w:p>
    <w:p>
      <w:pPr>
        <w:pStyle w:val="TextBody"/>
        <w:spacing w:lineRule="auto" w:line="240" w:before="0" w:after="240"/>
        <w:jc w:val="both"/>
        <w:rPr/>
      </w:pPr>
      <w:r>
        <w:rPr>
          <w:rFonts w:ascii="Times New Roman;sans-serif" w:hAnsi="Times New Roman;sans-serif"/>
          <w:b w:val="false"/>
          <w:color w:val="000000"/>
          <w:sz w:val="22"/>
        </w:rPr>
        <w:t>On December 2, 2020, the Company entered into a master service agreement with Veristat to provide clinical services for the phase II study for major depressive disorder (“</w:t>
      </w:r>
      <w:r>
        <w:rPr>
          <w:rFonts w:ascii="Times New Roman;sans-serif" w:hAnsi="Times New Roman;sans-serif"/>
          <w:b/>
          <w:color w:val="000000"/>
          <w:sz w:val="22"/>
        </w:rPr>
        <w:t>MDD</w:t>
      </w:r>
      <w:r>
        <w:rPr>
          <w:color w:val="000000"/>
        </w:rPr>
        <w:t>”</w:t>
      </w:r>
      <w:r>
        <w:rPr>
          <w:rFonts w:ascii="Times New Roman;sans-serif" w:hAnsi="Times New Roman;sans-serif"/>
          <w:b w:val="false"/>
          <w:color w:val="000000"/>
          <w:sz w:val="22"/>
        </w:rPr>
        <w:t>). The Company will be supported by Veristat in its investigational new drug (“</w:t>
      </w:r>
      <w:r>
        <w:rPr>
          <w:rFonts w:ascii="Times New Roman;sans-serif" w:hAnsi="Times New Roman;sans-serif"/>
          <w:b/>
          <w:color w:val="000000"/>
          <w:sz w:val="22"/>
        </w:rPr>
        <w:t>IND</w:t>
      </w:r>
      <w:r>
        <w:rPr>
          <w:color w:val="000000"/>
        </w:rPr>
        <w:t>”</w:t>
      </w:r>
      <w:r>
        <w:rPr>
          <w:rFonts w:ascii="Times New Roman;sans-serif" w:hAnsi="Times New Roman;sans-serif"/>
          <w:b w:val="false"/>
          <w:color w:val="000000"/>
          <w:sz w:val="22"/>
        </w:rPr>
        <w:t xml:space="preserve">) application and CTAs in the U.S. and Canada, respectively. Veristat will also assist the Company with study site recruitment.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6, 2021, the Company announced the intention to expand the development of its therapeutics program to include, in addition to psilocybin, psychedelic compounds such as DMT, psilocybin analogues and a range of tryptamines and phenethylamines which are expected to have improved PK profiles, while retaining the efficacy of the original molecules. In addition, the Company announced that it intends to </w:t>
      </w:r>
      <w:r>
        <w:br w:type="page"/>
      </w:r>
    </w:p>
    <w:p>
      <w:pPr>
        <w:pStyle w:val="TextBody"/>
        <w:spacing w:before="0" w:after="20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668020"/>
                <wp:effectExtent l="0" t="0" r="0" b="0"/>
                <wp:wrapNone/>
                <wp:docPr id="30" name="Frame2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build a database of molecules and their chemically synthesized pathways for use in pharmaceutical development.</w:t>
      </w:r>
      <w:r>
        <w:rPr>
          <w:rFonts w:ascii="Times New Roman;sans-serif" w:hAnsi="Times New Roman;sans-serif"/>
          <w:b w:val="false"/>
          <w:color w:val="000000"/>
          <w:sz w:val="14"/>
        </w:rPr>
        <w:t>3</w:t>
      </w:r>
      <w:r>
        <w:rPr>
          <w:color w:val="000000"/>
        </w:rPr>
        <w:t xml:space="preserve"> </w:t>
      </w:r>
    </w:p>
    <w:p>
      <w:pPr>
        <w:pStyle w:val="TextBody"/>
        <w:spacing w:lineRule="auto" w:line="240" w:before="0" w:after="240"/>
        <w:jc w:val="both"/>
        <w:rPr/>
      </w:pPr>
      <w:r>
        <w:rPr>
          <w:rFonts w:ascii="Times New Roman;sans-serif" w:hAnsi="Times New Roman;sans-serif"/>
          <w:b w:val="false"/>
          <w:color w:val="000000"/>
          <w:sz w:val="22"/>
        </w:rPr>
        <w:t>On January 11, 2021, the Company announced that it has entered into an agreement with HI, LLC dba Kernel (“</w:t>
      </w:r>
      <w:r>
        <w:rPr>
          <w:rFonts w:ascii="Times New Roman;sans-serif" w:hAnsi="Times New Roman;sans-serif"/>
          <w:b/>
          <w:color w:val="000000"/>
          <w:sz w:val="22"/>
        </w:rPr>
        <w:t>Kernel</w:t>
      </w:r>
      <w:r>
        <w:rPr>
          <w:color w:val="000000"/>
        </w:rPr>
        <w:t>”</w:t>
      </w:r>
      <w:r>
        <w:rPr>
          <w:rFonts w:ascii="Times New Roman;sans-serif" w:hAnsi="Times New Roman;sans-serif"/>
          <w:b w:val="false"/>
          <w:color w:val="000000"/>
          <w:sz w:val="22"/>
        </w:rPr>
        <w:t>) to leverage its technology, Kernel Flow (“</w:t>
      </w:r>
      <w:r>
        <w:rPr>
          <w:rFonts w:ascii="Times New Roman;sans-serif" w:hAnsi="Times New Roman;sans-serif"/>
          <w:b/>
          <w:color w:val="000000"/>
          <w:sz w:val="22"/>
        </w:rPr>
        <w:t>Kernel</w:t>
      </w:r>
      <w:r>
        <w:rPr>
          <w:color w:val="000000"/>
        </w:rPr>
        <w:t xml:space="preserve"> </w:t>
      </w:r>
      <w:r>
        <w:rPr>
          <w:rFonts w:ascii="Times New Roman;sans-serif" w:hAnsi="Times New Roman;sans-serif"/>
          <w:b/>
          <w:color w:val="000000"/>
          <w:sz w:val="22"/>
        </w:rPr>
        <w:t>Flow</w:t>
      </w:r>
      <w:r>
        <w:rPr>
          <w:color w:val="000000"/>
        </w:rPr>
        <w:t>”</w:t>
      </w:r>
      <w:r>
        <w:rPr>
          <w:rFonts w:ascii="Times New Roman;sans-serif" w:hAnsi="Times New Roman;sans-serif"/>
          <w:b w:val="false"/>
          <w:color w:val="000000"/>
          <w:sz w:val="22"/>
        </w:rPr>
        <w:t>), for the Company’s sponsored clinical work. Kernel Flow is a full-head coverage, time-domain functional near-infrared spectroscopy system designed to detect hemodynamic changes in the brain that pulses light through the skull and into the bloodstream in order to measure how much oxygen the blood is carrying at any given time. Kernel Flow measurements can be used as analogues of local neural activity during a psychedelic experience. The Company expects the quantitative measurements enabled by Kernel Flow may improve the development, delivery and scaling of its psychedelic therapeutics.</w:t>
      </w:r>
      <w:r>
        <w:rPr>
          <w:rFonts w:ascii="Times New Roman;sans-serif" w:hAnsi="Times New Roman;sans-serif"/>
          <w:b w:val="false"/>
          <w:color w:val="000000"/>
          <w:sz w:val="14"/>
        </w:rPr>
        <w:t>4</w:t>
      </w:r>
      <w:r>
        <w:rPr>
          <w:color w:val="000000"/>
        </w:rPr>
        <w:t xml:space="preserv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11, 2021, the Company announced the achievement of the first Adelia Milestone for the period commencing November 15, 2020, as contemplated by the terms of the Contribution Agreement. The achievement includes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51,163 Class B Shares were issued to the Adelia Shareholders, having an aggregate value of $1,018,143.70 due to them upon meeting such Adelia Milestone, at a price per Class B Share of $19.90. The Class B Shares are exchangeable for a total of 511,630 Common Shares, representing an effective issue price of $1.99 per Common Share.</w:t>
      </w:r>
    </w:p>
    <w:p>
      <w:pPr>
        <w:pStyle w:val="TextBody"/>
        <w:spacing w:lineRule="auto" w:line="240" w:before="0" w:after="240"/>
        <w:jc w:val="both"/>
        <w:rPr/>
      </w:pPr>
      <w:r>
        <w:rPr>
          <w:rFonts w:ascii="Times New Roman;sans-serif" w:hAnsi="Times New Roman;sans-serif"/>
          <w:b w:val="false"/>
          <w:color w:val="000000"/>
          <w:sz w:val="22"/>
        </w:rPr>
        <w:t>On February 4, 2021, the Company closed its bought deal short form prospectus offering of 15,246,000 units of the Company (the “</w:t>
      </w:r>
      <w:r>
        <w:rPr>
          <w:rFonts w:ascii="Times New Roman;sans-serif" w:hAnsi="Times New Roman;sans-serif"/>
          <w:b/>
          <w:color w:val="000000"/>
          <w:sz w:val="22"/>
        </w:rPr>
        <w:t>Units</w:t>
      </w:r>
      <w:r>
        <w:rPr>
          <w:color w:val="000000"/>
        </w:rPr>
        <w:t>”</w:t>
      </w:r>
      <w:r>
        <w:rPr>
          <w:rFonts w:ascii="Times New Roman;sans-serif" w:hAnsi="Times New Roman;sans-serif"/>
          <w:b w:val="false"/>
          <w:color w:val="000000"/>
          <w:sz w:val="22"/>
        </w:rPr>
        <w:t>) at a price of $2.25 per Unit (the “</w:t>
      </w:r>
      <w:r>
        <w:rPr>
          <w:rFonts w:ascii="Times New Roman;sans-serif" w:hAnsi="Times New Roman;sans-serif"/>
          <w:b/>
          <w:color w:val="000000"/>
          <w:sz w:val="22"/>
        </w:rPr>
        <w:t>Issue Price</w:t>
      </w:r>
      <w:r>
        <w:rPr>
          <w:color w:val="000000"/>
        </w:rPr>
        <w:t>”</w:t>
      </w:r>
      <w:r>
        <w:rPr>
          <w:rFonts w:ascii="Times New Roman;sans-serif" w:hAnsi="Times New Roman;sans-serif"/>
          <w:b w:val="false"/>
          <w:color w:val="000000"/>
          <w:sz w:val="22"/>
        </w:rPr>
        <w:t>) for aggregate gross proceeds of $34,303,500 (the “</w:t>
      </w:r>
      <w:r>
        <w:rPr>
          <w:rFonts w:ascii="Times New Roman;sans-serif" w:hAnsi="Times New Roman;sans-serif"/>
          <w:b/>
          <w:color w:val="000000"/>
          <w:sz w:val="22"/>
        </w:rPr>
        <w:t>February Offering</w:t>
      </w:r>
      <w:r>
        <w:rPr>
          <w:color w:val="000000"/>
        </w:rPr>
        <w:t>”</w:t>
      </w:r>
      <w:r>
        <w:rPr>
          <w:rFonts w:ascii="Times New Roman;sans-serif" w:hAnsi="Times New Roman;sans-serif"/>
          <w:b w:val="false"/>
          <w:color w:val="000000"/>
          <w:sz w:val="22"/>
        </w:rPr>
        <w:t>). The February Offering was conducted by Canaccord Genuity, as lead underwriter and sole bookrunner, with Stifel Nicolaus Canada Inc., Eight Capital and Bloom Burton Securities Inc. (the “</w:t>
      </w:r>
      <w:r>
        <w:rPr>
          <w:rFonts w:ascii="Times New Roman;sans-serif" w:hAnsi="Times New Roman;sans-serif"/>
          <w:b/>
          <w:color w:val="000000"/>
          <w:sz w:val="22"/>
        </w:rPr>
        <w:t>February Underwriters</w:t>
      </w:r>
      <w:r>
        <w:rPr>
          <w:color w:val="000000"/>
        </w:rPr>
        <w:t>”</w:t>
      </w:r>
      <w:r>
        <w:rPr>
          <w:rFonts w:ascii="Times New Roman;sans-serif" w:hAnsi="Times New Roman;sans-serif"/>
          <w:b w:val="false"/>
          <w:color w:val="000000"/>
          <w:sz w:val="22"/>
        </w:rPr>
        <w:t>). Each Unit was comprised of one Common Share and one-half of one Common Share purchase warrant (each whole warrant, a “</w:t>
      </w:r>
      <w:r>
        <w:rPr>
          <w:rFonts w:ascii="Times New Roman;sans-serif" w:hAnsi="Times New Roman;sans-serif"/>
          <w:b/>
          <w:color w:val="000000"/>
          <w:sz w:val="22"/>
        </w:rPr>
        <w:t>2021 Warrant</w:t>
      </w:r>
      <w:r>
        <w:rPr>
          <w:color w:val="000000"/>
        </w:rPr>
        <w:t>”</w:t>
      </w:r>
      <w:r>
        <w:rPr>
          <w:rFonts w:ascii="Times New Roman;sans-serif" w:hAnsi="Times New Roman;sans-serif"/>
          <w:b w:val="false"/>
          <w:color w:val="000000"/>
          <w:sz w:val="22"/>
        </w:rPr>
        <w:t>). Each 2021 Warrant entitles the holder thereof to acquire one Common Share at an exercise price of $3.25 per Common Share until February 4, 2024. The February Underwriters were paid a cash commission equal to $1,954,665 and issued 868,740 Unit purchase warrants of the Company (the “</w:t>
      </w:r>
      <w:r>
        <w:rPr>
          <w:rFonts w:ascii="Times New Roman;sans-serif" w:hAnsi="Times New Roman;sans-serif"/>
          <w:b/>
          <w:color w:val="000000"/>
          <w:sz w:val="22"/>
        </w:rPr>
        <w:t>Underwriters’ Warrants</w:t>
      </w:r>
      <w:r>
        <w:rPr>
          <w:color w:val="000000"/>
        </w:rPr>
        <w:t>”</w:t>
      </w:r>
      <w:r>
        <w:rPr>
          <w:rFonts w:ascii="Times New Roman;sans-serif" w:hAnsi="Times New Roman;sans-serif"/>
          <w:b w:val="false"/>
          <w:color w:val="000000"/>
          <w:sz w:val="22"/>
        </w:rPr>
        <w:t>), with each Underwriters’ Warrant being exercisable to acquire one Unit at the Issue Price until February 4, 2024. The 2021 Warrants and Underwriters’ Warrants are governed by a warrant indenture entered into with Odyssey Trust Company, as warrant agent (the “</w:t>
      </w:r>
      <w:r>
        <w:rPr>
          <w:rFonts w:ascii="Times New Roman;sans-serif" w:hAnsi="Times New Roman;sans-serif"/>
          <w:b/>
          <w:color w:val="000000"/>
          <w:sz w:val="22"/>
        </w:rPr>
        <w:t>Warrant Indenture</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jc w:val="both"/>
        <w:rPr/>
      </w:pPr>
      <w:r>
        <w:rPr>
          <w:rFonts w:ascii="Times New Roman;sans-serif" w:hAnsi="Times New Roman;sans-serif"/>
          <w:b w:val="false"/>
          <w:color w:val="000000"/>
          <w:sz w:val="22"/>
        </w:rPr>
        <w:t>On March 8, 2021, the Company announced that its Common Shares had commenced trading on the OTCQB® Venture Market (the “</w:t>
      </w:r>
      <w:r>
        <w:rPr>
          <w:rFonts w:ascii="Times New Roman;sans-serif" w:hAnsi="Times New Roman;sans-serif"/>
          <w:b/>
          <w:color w:val="000000"/>
          <w:sz w:val="22"/>
        </w:rPr>
        <w:t>OTCQB</w:t>
      </w:r>
      <w:r>
        <w:rPr>
          <w:color w:val="000000"/>
        </w:rPr>
        <w:t>”</w:t>
      </w:r>
      <w:r>
        <w:rPr>
          <w:rFonts w:ascii="Times New Roman;sans-serif" w:hAnsi="Times New Roman;sans-serif"/>
          <w:b w:val="false"/>
          <w:color w:val="000000"/>
          <w:sz w:val="22"/>
        </w:rPr>
        <w:t xml:space="preserve">) under the symbol “CLXPF”.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March 9, 2021, the Company announced the achievement of certain Adelia Milestones for the period commencing January 1, 2021, as contemplated by the terms of the Contribution Agreement. The achievement includes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42,247.3 Class B Shares were issued to the Adelia Shareholders, having an aggregate value of $686,406.26 due to them upon </w:t>
      </w:r>
    </w:p>
    <w:p>
      <w:pPr>
        <w:pStyle w:val="TextBody"/>
        <w:spacing w:lineRule="auto" w:line="240"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spacing w:lineRule="auto" w:line="240"/>
        <w:jc w:val="both"/>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The Company assumes timely delivery of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r>
        <w:br w:type="page"/>
      </w:r>
    </w:p>
    <w:p>
      <w:pPr>
        <w:pStyle w:val="TextBody"/>
        <w:spacing w:before="0" w:after="20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668020"/>
                <wp:effectExtent l="0" t="0" r="0" b="0"/>
                <wp:wrapNone/>
                <wp:docPr id="31" name="Frame2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meeting such Adelia Milestone at a price per Class B Share of $16.20. The Class B Shares are exchangeable for a total of 422,473 Common Shares, representing an effective issue price of $1.62 per Common Share.</w:t>
      </w:r>
    </w:p>
    <w:p>
      <w:pPr>
        <w:pStyle w:val="TextBody"/>
        <w:spacing w:lineRule="auto" w:line="240" w:before="0" w:after="240"/>
        <w:jc w:val="both"/>
        <w:rPr/>
      </w:pPr>
      <w:r>
        <w:rPr>
          <w:rFonts w:ascii="Times New Roman;sans-serif" w:hAnsi="Times New Roman;sans-serif"/>
          <w:b w:val="false"/>
          <w:color w:val="000000"/>
          <w:sz w:val="22"/>
        </w:rPr>
        <w:t>On March 22, 2021, the Company announced that it had entered into a drug development agreement with Catalent, Inc. (“</w:t>
      </w:r>
      <w:r>
        <w:rPr>
          <w:rFonts w:ascii="Times New Roman;sans-serif" w:hAnsi="Times New Roman;sans-serif"/>
          <w:b/>
          <w:color w:val="000000"/>
          <w:sz w:val="22"/>
        </w:rPr>
        <w:t>Catalent</w:t>
      </w:r>
      <w:r>
        <w:rPr>
          <w:color w:val="000000"/>
        </w:rPr>
        <w:t>”</w:t>
      </w:r>
      <w:r>
        <w:rPr>
          <w:rFonts w:ascii="Times New Roman;sans-serif" w:hAnsi="Times New Roman;sans-serif"/>
          <w:b w:val="false"/>
          <w:color w:val="000000"/>
          <w:sz w:val="22"/>
        </w:rPr>
        <w:t xml:space="preserve">), a global provider of advanced delivery technologies, development, and manufacturing solutions for drugs, biologics, cell and gene therapies, and consumer health products. The Company will be applying Catalent’s proprietary Zydis® orally disintegrating tablet technology for the delivery of its novel deuterated tryptamine (CYB003). Zydis technology creates a freeze-dried tablet that disperses in the mouth without water.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April 19, 2021, the Company announced the formation of its Clinical Advisory Board, with the additions of Maurizio Fava, MD, Psychiatrist-in-Chief in the Department of Psychiatry at Massachusetts General Hospital; Lynn Marie Morski, MD, Esq., President of the Psychedelic Medicine Association; and Anthony Back, MD, Professor in the Department of Medicine and Division of Oncology at the University of Washington. The Clinical Advisory Board will be chaired by Alex Belser, PhD, the Company’s Chief Clinical Officer. Subsequent to the initial announcement, the Company added Thomas Laughren, MD, to its Clinical Advisory Board.</w:t>
      </w:r>
    </w:p>
    <w:p>
      <w:pPr>
        <w:pStyle w:val="TextBody"/>
        <w:spacing w:lineRule="auto" w:line="240" w:before="0" w:after="240"/>
        <w:jc w:val="both"/>
        <w:rPr/>
      </w:pPr>
      <w:r>
        <w:rPr>
          <w:rFonts w:ascii="Times New Roman;sans-serif" w:hAnsi="Times New Roman;sans-serif"/>
          <w:b w:val="false"/>
          <w:color w:val="000000"/>
          <w:sz w:val="22"/>
        </w:rPr>
        <w:t>On April 20, 2021, the Company entered into an agreement with Catalyst Global LLC (“</w:t>
      </w:r>
      <w:r>
        <w:rPr>
          <w:rFonts w:ascii="Times New Roman;sans-serif" w:hAnsi="Times New Roman;sans-serif"/>
          <w:b/>
          <w:color w:val="000000"/>
          <w:sz w:val="22"/>
        </w:rPr>
        <w:t>Catalyst</w:t>
      </w:r>
      <w:r>
        <w:rPr>
          <w:color w:val="000000"/>
        </w:rPr>
        <w:t>”</w:t>
      </w:r>
      <w:r>
        <w:rPr>
          <w:rFonts w:ascii="Times New Roman;sans-serif" w:hAnsi="Times New Roman;sans-serif"/>
          <w:b w:val="false"/>
          <w:color w:val="000000"/>
          <w:sz w:val="22"/>
        </w:rPr>
        <w:t>), pursuant to which Catalyst will provide investor relations services to the Company. In consideration for the services, the Company agreed to pay Catalyst a monthly rate of US$8,000 and grant to Catalyst options to purchase up to 36,000 Common Shares for a period of two years at an exercise price to the determined by the Company at the date of grant. The agreement was for a term of six months. The Company terminated its contract with Catalyst in February 2022.</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May 13, 2021, the Company entered into a Psilocybin Zydis Feasibility study with Catalent. The study will evaluate the technical feasibility of developing the active pharmaceutical ingredient psilocybin using the proprietary Zydis Orally Disintegrating Tablet technology. Feasibility will be determined for the unit dose of 10mg and 20mg. The Company had committed to pay £114,000 for the study, which was fully paid as of the date of this AIF.</w:t>
      </w:r>
    </w:p>
    <w:p>
      <w:pPr>
        <w:pStyle w:val="TextBody"/>
        <w:spacing w:lineRule="auto" w:line="240" w:before="0" w:after="240"/>
        <w:jc w:val="both"/>
        <w:rPr/>
      </w:pPr>
      <w:r>
        <w:rPr>
          <w:rFonts w:ascii="Times New Roman;sans-serif" w:hAnsi="Times New Roman;sans-serif"/>
          <w:b w:val="false"/>
          <w:color w:val="000000"/>
          <w:sz w:val="22"/>
        </w:rPr>
        <w:t>On June 1, 2021, the Company announced its sponsorship of Kernel’s feasibility study of its Kernel Flow technology to measure ketamine’s psychedelic effect on cerebral cortex hemodynamics.</w:t>
      </w:r>
      <w:r>
        <w:rPr>
          <w:rFonts w:ascii="Times New Roman;sans-serif" w:hAnsi="Times New Roman;sans-serif"/>
          <w:b w:val="false"/>
          <w:color w:val="000000"/>
          <w:sz w:val="14"/>
        </w:rPr>
        <w:t>5</w:t>
      </w:r>
      <w:r>
        <w:rPr>
          <w:color w:val="000000"/>
        </w:rPr>
        <w:t xml:space="preserve"> </w:t>
      </w:r>
    </w:p>
    <w:p>
      <w:pPr>
        <w:pStyle w:val="TextBody"/>
        <w:spacing w:lineRule="auto" w:line="240" w:before="0" w:after="240"/>
        <w:jc w:val="both"/>
        <w:rPr/>
      </w:pPr>
      <w:r>
        <w:rPr>
          <w:rFonts w:ascii="Times New Roman;sans-serif" w:hAnsi="Times New Roman;sans-serif"/>
          <w:b w:val="false"/>
          <w:color w:val="000000"/>
          <w:sz w:val="22"/>
        </w:rPr>
        <w:t>On June 8, 2021, the Company entered into a subscription agreement with RxLive Limited (“</w:t>
      </w:r>
      <w:r>
        <w:rPr>
          <w:rFonts w:ascii="Times New Roman;sans-serif" w:hAnsi="Times New Roman;sans-serif"/>
          <w:b/>
          <w:color w:val="000000"/>
          <w:sz w:val="22"/>
        </w:rPr>
        <w:t>RxLive</w:t>
      </w:r>
      <w:r>
        <w:rPr>
          <w:color w:val="000000"/>
        </w:rPr>
        <w:t>”</w:t>
      </w:r>
      <w:r>
        <w:rPr>
          <w:rFonts w:ascii="Times New Roman;sans-serif" w:hAnsi="Times New Roman;sans-serif"/>
          <w:b w:val="false"/>
          <w:color w:val="000000"/>
          <w:sz w:val="22"/>
        </w:rPr>
        <w:t>) whereby the Company purchased $250,000 of 10.0% unsecured convertible redeemable debenture (the “</w:t>
      </w:r>
      <w:r>
        <w:rPr>
          <w:rFonts w:ascii="Times New Roman;sans-serif" w:hAnsi="Times New Roman;sans-serif"/>
          <w:b/>
          <w:color w:val="000000"/>
          <w:sz w:val="22"/>
        </w:rPr>
        <w:t>Rx Debentures</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RxLive is a UK based online platform that connects pharmacists and patients through a secure app that allows for pharmacist consultations, initial or renewal prescription fulfilment and delivery of the prescription medication. As of the date of this AIF, the Rx Debentures have not been repaid or converted into units.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28, 2021, Adelia completed certain Adelia Milestones for Year 1 Q2 (ii) and (v), as listed in the Contribution Agreement. Accordingly, 15,777.1 Class B Shares were issued to the Adelia Shareholders, having an aggregate value of $457,535.90 due to them upon meeting such Adelia Milestone, at a price per Class B Share of $29.00. The Class B Shares are exchangeable for a total of 157,771 Common Shares, representing an effective issue price of $2.90 per Common Share.</w:t>
      </w:r>
    </w:p>
    <w:p>
      <w:pPr>
        <w:pStyle w:val="TextBody"/>
        <w:spacing w:lineRule="auto" w:line="240" w:before="0" w:after="0"/>
        <w:jc w:val="both"/>
        <w:rPr/>
      </w:pPr>
      <w:r>
        <w:rPr>
          <w:rFonts w:ascii="Times New Roman;sans-serif" w:hAnsi="Times New Roman;sans-serif"/>
          <w:b w:val="false"/>
          <w:color w:val="000000"/>
          <w:sz w:val="22"/>
        </w:rPr>
        <w:t>On July 6, 2021, the Company entered into a research and development collaboration agreement with TMS NeuroHealth Centers Inc., a wholly-owned subsidiary of Greenbrook TMS Inc. (the “</w:t>
      </w:r>
      <w:r>
        <w:rPr>
          <w:rFonts w:ascii="Times New Roman;sans-serif" w:hAnsi="Times New Roman;sans-serif"/>
          <w:b/>
          <w:color w:val="000000"/>
          <w:sz w:val="22"/>
        </w:rPr>
        <w:t>Collaboration Agreement</w:t>
      </w:r>
      <w:r>
        <w:rPr>
          <w:color w:val="000000"/>
        </w:rPr>
        <w:t>”</w:t>
      </w:r>
      <w:r>
        <w:rPr>
          <w:rFonts w:ascii="Times New Roman;sans-serif" w:hAnsi="Times New Roman;sans-serif"/>
          <w:b w:val="false"/>
          <w:color w:val="000000"/>
          <w:sz w:val="22"/>
        </w:rPr>
        <w:t xml:space="preserve">) to establish Mental Health Centers of Excellence for the purpose of facilitating research and </w:t>
      </w:r>
    </w:p>
    <w:p>
      <w:pPr>
        <w:pStyle w:val="TextBody"/>
        <w:spacing w:lineRule="auto" w:line="240"/>
        <w:jc w:val="both"/>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The Company assumes timely delivery of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r>
        <w:br w:type="page"/>
      </w:r>
    </w:p>
    <w:p>
      <w:pPr>
        <w:pStyle w:val="TextBody"/>
        <w:spacing w:before="0" w:after="20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668020"/>
                <wp:effectExtent l="0" t="0" r="0" b="0"/>
                <wp:wrapNone/>
                <wp:docPr id="32" name="Frame2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development of innovative psychedelic compound-based therapeutics for patients suffering from depression. </w:t>
      </w:r>
    </w:p>
    <w:p>
      <w:pPr>
        <w:pStyle w:val="TextBody"/>
        <w:spacing w:before="0" w:after="0"/>
        <w:jc w:val="both"/>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July 8, 2021, the Company announced the scaling up of its European operations and research activities with various academic and clinical research organizations, including the transfer of its intellectual property assets to its wholly owned Ireland subsidiary, Cybin IRL Limited.</w:t>
      </w:r>
    </w:p>
    <w:p>
      <w:pPr>
        <w:pStyle w:val="TextBody"/>
        <w:spacing w:lineRule="auto" w:line="240" w:before="0" w:after="240"/>
        <w:jc w:val="both"/>
        <w:rPr/>
      </w:pPr>
      <w:r>
        <w:rPr>
          <w:rFonts w:ascii="Times New Roman;sans-serif" w:hAnsi="Times New Roman;sans-serif"/>
          <w:b w:val="false"/>
          <w:color w:val="000000"/>
          <w:sz w:val="22"/>
        </w:rPr>
        <w:t>On July 13, 2021, the Company announced that it has commenced the next phase of the Company’s digital therapeutics platform which will better enable the evaluation of patient outcomes through a highly secure, patient entered data analytics platform for better pre- and post-psychedelic treatments11. The digital therapeutics platform, which is proprietary to Cybin and the subject of the Company’s 13</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patent application, adds another dimension to the Company’s development programs.</w:t>
      </w:r>
      <w:r>
        <w:rPr>
          <w:rFonts w:ascii="Times New Roman;sans-serif" w:hAnsi="Times New Roman;sans-serif"/>
          <w:b w:val="false"/>
          <w:color w:val="000000"/>
          <w:sz w:val="14"/>
        </w:rPr>
        <w:t>6</w:t>
      </w:r>
    </w:p>
    <w:p>
      <w:pPr>
        <w:pStyle w:val="TextBody"/>
        <w:spacing w:lineRule="auto" w:line="240" w:before="0" w:after="240"/>
        <w:jc w:val="both"/>
        <w:rPr/>
      </w:pPr>
      <w:r>
        <w:rPr>
          <w:rFonts w:ascii="Times New Roman;sans-serif" w:hAnsi="Times New Roman;sans-serif"/>
          <w:b w:val="false"/>
          <w:color w:val="000000"/>
          <w:sz w:val="22"/>
        </w:rPr>
        <w:t>On August 3, 2021, the Company closed its overnight marketed offering of 10,147,600 Common Shares at a price of $3.40 per Common Share for aggregate gross proceeds of $34,501,840 (the “</w:t>
      </w:r>
      <w:r>
        <w:rPr>
          <w:rFonts w:ascii="Times New Roman;sans-serif" w:hAnsi="Times New Roman;sans-serif"/>
          <w:b/>
          <w:color w:val="000000"/>
          <w:sz w:val="22"/>
        </w:rPr>
        <w:t>Public Offering</w:t>
      </w:r>
      <w:r>
        <w:rPr>
          <w:color w:val="000000"/>
        </w:rPr>
        <w:t>”</w:t>
      </w:r>
      <w:r>
        <w:rPr>
          <w:rFonts w:ascii="Times New Roman;sans-serif" w:hAnsi="Times New Roman;sans-serif"/>
          <w:b w:val="false"/>
          <w:color w:val="000000"/>
          <w:sz w:val="22"/>
        </w:rPr>
        <w:t>) pursuant to a prospectus supplement, dated July 28, 2021, to the Company’s short form base shelf prospectus dated July 5, 2021 (the “</w:t>
      </w:r>
      <w:r>
        <w:rPr>
          <w:rFonts w:ascii="Times New Roman;sans-serif" w:hAnsi="Times New Roman;sans-serif"/>
          <w:b/>
          <w:color w:val="000000"/>
          <w:sz w:val="22"/>
        </w:rPr>
        <w:t>July Base Shelf Prospectus</w:t>
      </w:r>
      <w:r>
        <w:rPr>
          <w:color w:val="000000"/>
        </w:rPr>
        <w:t>”</w:t>
      </w:r>
      <w:r>
        <w:rPr>
          <w:rFonts w:ascii="Times New Roman;sans-serif" w:hAnsi="Times New Roman;sans-serif"/>
          <w:b w:val="false"/>
          <w:color w:val="000000"/>
          <w:sz w:val="22"/>
        </w:rPr>
        <w:t>). The Public Offering was completed pursuant to an underwriting agreement (the “</w:t>
      </w:r>
      <w:r>
        <w:rPr>
          <w:rFonts w:ascii="Times New Roman;sans-serif" w:hAnsi="Times New Roman;sans-serif"/>
          <w:b/>
          <w:color w:val="000000"/>
          <w:sz w:val="22"/>
        </w:rPr>
        <w:t>Underwriting Agreement</w:t>
      </w:r>
      <w:r>
        <w:rPr>
          <w:color w:val="000000"/>
        </w:rPr>
        <w:t>”</w:t>
      </w:r>
      <w:r>
        <w:rPr>
          <w:rFonts w:ascii="Times New Roman;sans-serif" w:hAnsi="Times New Roman;sans-serif"/>
          <w:b w:val="false"/>
          <w:color w:val="000000"/>
          <w:sz w:val="22"/>
        </w:rPr>
        <w:t>) between the Company and a syndicate of underwriters co-led by Cantor Fitzgerald Canada Corporation and Canaccord Genuity Corp., as joint bookrunners, as well as H.C. Wainwright &amp; Co., LLC, Roth Canada, ULC, and Stifel Nicolaus Canada Inc. (collectively, the “</w:t>
      </w:r>
      <w:r>
        <w:rPr>
          <w:rFonts w:ascii="Times New Roman;sans-serif" w:hAnsi="Times New Roman;sans-serif"/>
          <w:b/>
          <w:color w:val="000000"/>
          <w:sz w:val="22"/>
        </w:rPr>
        <w:t>Underwriters</w:t>
      </w:r>
      <w:r>
        <w:rPr>
          <w:color w:val="000000"/>
        </w:rPr>
        <w:t>”</w:t>
      </w:r>
      <w:r>
        <w:rPr>
          <w:rFonts w:ascii="Times New Roman;sans-serif" w:hAnsi="Times New Roman;sans-serif"/>
          <w:b w:val="false"/>
          <w:color w:val="000000"/>
          <w:sz w:val="22"/>
        </w:rPr>
        <w:t>). In consideration for their services, the Company paid to the Underwriters a cash commission equal to $2,240,129 and issued 658,860 compensation warrants of the Company (the “</w:t>
      </w:r>
      <w:r>
        <w:rPr>
          <w:rFonts w:ascii="Times New Roman;sans-serif" w:hAnsi="Times New Roman;sans-serif"/>
          <w:b/>
          <w:color w:val="000000"/>
          <w:sz w:val="22"/>
        </w:rPr>
        <w:t>Compensation Warrants</w:t>
      </w:r>
      <w:r>
        <w:rPr>
          <w:color w:val="000000"/>
        </w:rPr>
        <w:t>”</w:t>
      </w:r>
      <w:r>
        <w:rPr>
          <w:rFonts w:ascii="Times New Roman;sans-serif" w:hAnsi="Times New Roman;sans-serif"/>
          <w:b w:val="false"/>
          <w:color w:val="000000"/>
          <w:sz w:val="22"/>
        </w:rPr>
        <w:t xml:space="preserve">), with each Compensation Warrant being exercisable to acquire one Common Share at the Issue Price for a period of 24 months from the closing date of the Public Offering. </w:t>
      </w:r>
    </w:p>
    <w:p>
      <w:pPr>
        <w:pStyle w:val="TextBody"/>
        <w:spacing w:lineRule="auto" w:line="240" w:before="0" w:after="240"/>
        <w:jc w:val="both"/>
        <w:rPr/>
      </w:pPr>
      <w:r>
        <w:rPr>
          <w:rFonts w:ascii="Times New Roman;sans-serif" w:hAnsi="Times New Roman;sans-serif"/>
          <w:b w:val="false"/>
          <w:color w:val="000000"/>
          <w:sz w:val="22"/>
        </w:rPr>
        <w:t>On August 5, 2021, the Common Shares commenced trading on the NYSE American LLC stock exchange (the “</w:t>
      </w:r>
      <w:r>
        <w:rPr>
          <w:rFonts w:ascii="Times New Roman;sans-serif" w:hAnsi="Times New Roman;sans-serif"/>
          <w:b/>
          <w:color w:val="000000"/>
          <w:sz w:val="22"/>
        </w:rPr>
        <w:t>NYSE American</w:t>
      </w:r>
      <w:r>
        <w:rPr>
          <w:color w:val="000000"/>
        </w:rPr>
        <w:t>”</w:t>
      </w:r>
      <w:r>
        <w:rPr>
          <w:rFonts w:ascii="Times New Roman;sans-serif" w:hAnsi="Times New Roman;sans-serif"/>
          <w:b w:val="false"/>
          <w:color w:val="000000"/>
          <w:sz w:val="22"/>
        </w:rPr>
        <w:t>) under the symbol “CYBN”. Concurrent with the commencement of trading on the NYSE American, the Common Shares ceased to be quoted on the OTCQB.</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August 17, 2021, Adelia completed certain Adelia Milestones for Year 1 Q3 (i)-(iii) and Year 1 Q4 (i) and (iii), as contemplated by the terms of the Contribution Agreement. Accordingly, 18,788.5 Class B Shares were issued to the Adelia Shareholders, in satisfaction of $633,110.45 due to them upon meeting such Adelia Milestone, at a price per Class B Share of $33.70. The Class B Shares are exchangeable for a total of 187,885 Common Shares, representing an effective issue price of $3.37 per Common Share.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31, 2021, Adelia achieved certain Adelia Milestones for Year 1 Q3 (iv) (v) (vi) as contemplated by the terms of the Contribution Agreement. Accordingly, 9,392.6 Class B Shares having an aggregate value of $317,469.88 were issued to the Adelia Shareholders, at a price per Class B Share of $33.80. The Class B Shares are exchangeable for a total of 93,926 Common Shares, representing an effective issue price of $3.38 per Common Share.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October 1, 2021, the Company announced the appointment of Dr. Amir Inamdar as Chief Medical Officer for European Operations and Dr. Geoff Varty as the Head of Research and Development. </w:t>
      </w:r>
    </w:p>
    <w:p>
      <w:pPr>
        <w:pStyle w:val="TextBody"/>
        <w:spacing w:lineRule="auto" w:line="240" w:before="0" w:after="240"/>
        <w:jc w:val="both"/>
        <w:rPr/>
      </w:pPr>
      <w:r>
        <w:rPr>
          <w:rFonts w:ascii="Times New Roman;sans-serif" w:hAnsi="Times New Roman;sans-serif"/>
          <w:b w:val="false"/>
          <w:color w:val="000000"/>
          <w:sz w:val="22"/>
        </w:rPr>
        <w:t>On October 26, 2021, the Company announced that the United States Food and Drug Administration (the “</w:t>
      </w:r>
      <w:r>
        <w:rPr>
          <w:rFonts w:ascii="Times New Roman;sans-serif" w:hAnsi="Times New Roman;sans-serif"/>
          <w:b/>
          <w:color w:val="000000"/>
          <w:sz w:val="22"/>
        </w:rPr>
        <w:t>FDA</w:t>
      </w:r>
      <w:r>
        <w:rPr>
          <w:color w:val="000000"/>
        </w:rPr>
        <w:t>”</w:t>
      </w:r>
      <w:r>
        <w:rPr>
          <w:rFonts w:ascii="Times New Roman;sans-serif" w:hAnsi="Times New Roman;sans-serif"/>
          <w:b w:val="false"/>
          <w:color w:val="000000"/>
          <w:sz w:val="22"/>
        </w:rPr>
        <w:t>) has authorized an IND application to proceed with the Company’s sponsored feasibility study using the Kernel Flow technology to measure ketamine’s psychedelic effect on cerebral cortex hemodynamics.</w:t>
      </w:r>
    </w:p>
    <w:p>
      <w:pPr>
        <w:pStyle w:val="TextBody"/>
        <w:spacing w:lineRule="auto" w:line="240"/>
        <w:jc w:val="both"/>
        <w:rPr/>
      </w:pPr>
      <w:r>
        <w:rPr>
          <w:rFonts w:ascii="Times New Roman;sans-serif" w:hAnsi="Times New Roman;sans-serif"/>
          <w:b w:val="false"/>
          <w:color w:val="000000"/>
          <w:sz w:val="12"/>
        </w:rPr>
        <w:t>6</w:t>
      </w:r>
      <w:r>
        <w:rPr>
          <w:color w:val="000000"/>
        </w:rPr>
        <w:t xml:space="preserve"> </w:t>
      </w:r>
      <w:r>
        <w:rPr>
          <w:rFonts w:ascii="Times New Roman;sans-serif" w:hAnsi="Times New Roman;sans-serif"/>
          <w:b w:val="false"/>
          <w:color w:val="000000"/>
          <w:sz w:val="18"/>
        </w:rPr>
        <w:t>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r>
        <w:br w:type="page"/>
      </w:r>
    </w:p>
    <w:p>
      <w:pPr>
        <w:pStyle w:val="TextBody"/>
        <w:spacing w:before="0" w:after="20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668020"/>
                <wp:effectExtent l="0" t="0" r="0" b="0"/>
                <wp:wrapNone/>
                <wp:docPr id="33" name="Frame2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On November 4, 2021, the Company announced that it has been granted a Schedule I manufacturing license from the U.S. Drug Enforcement Administration (“</w:t>
      </w:r>
      <w:r>
        <w:rPr>
          <w:rFonts w:ascii="Times New Roman;sans-serif" w:hAnsi="Times New Roman;sans-serif"/>
          <w:b/>
          <w:color w:val="000000"/>
          <w:sz w:val="22"/>
        </w:rPr>
        <w:t>DEA</w:t>
      </w:r>
      <w:r>
        <w:rPr>
          <w:color w:val="000000"/>
        </w:rPr>
        <w:t>”</w:t>
      </w:r>
      <w:r>
        <w:rPr>
          <w:rFonts w:ascii="Times New Roman;sans-serif" w:hAnsi="Times New Roman;sans-serif"/>
          <w:b w:val="false"/>
          <w:color w:val="000000"/>
          <w:sz w:val="22"/>
        </w:rPr>
        <w:t>). The DEA license is for the Company’s research lab in the Boston area. The license will allow the Company to further become a hub for innovation and drug discovery. Previously, the Company conducted much of its research and development work through globally licensed research organizations in the U.S., Canada, and the UK, and through certain in-house capabilities. With the DEA license, the Company expects to be able to expand its internal R&amp;D capabilities to support innovative drug discovery and delivery involving Schedule I compounds.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8, 2021, the Company announced positive CYB003 pre-clinical findings that demonstrate multiple potential advantages for its novel deuterated psilocybin analog over oral psilocybin for the potential treatment of mental health, including less patient variability, faster onset of action, shorter duration of effect and improved brain penetration. As a result of the positive CYB003 pre-clinical data, the Company will be prioritizing the development of this molecule, while leveraging the work that has been done to date on both the Psilocybin Program and the CYB003 Deuterated Psilocybin Analog Program.</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18, 2021, an additional 28,903 Class B Shares were issued to the Adelia Shareholders due to the achievement of certain Adelia Milestones for Year 2 Q1 (i)-(iii), as contemplated by the terms of the Contribution Agreement, amounting to $706,585.86 at a price per Class B Share of $24.45. These Class B Shares are exchangeable for a total of 289,030 Common Shares, representing an effective issue price of $2.44 per Common Share.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23, 2021, the Company announced it awarded a grant for the first psychedelic treatment clinic at Lenox Hill Hospital, part of Northwell Health, to serve marginalized and underserved communities on the Upper East Side of Manhattan, New York. The program aims to become one of the first hospital-based clinical sites to offer psychedelic medicine in the United States.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26, 2021, the Company announced the achievement of certain Adelia Milestones for Year 1 Q4 (ii), Year 2 Q1 (iv) and Year 2 Q1 (vii) as contemplated by the terms of the Contribution Agreement. Accordingly, on November 29, 2021, 31,721.5 Class B Shares having an aggregate value of $628,878.74 became due to be issued to the Adelia Shareholders, at a price per Class B Share of $19.83. These Class B Shares are exchangeable for a total of 317,215 Common Shares, representing an effective issue price of $1.98 per Common Share.</w:t>
      </w:r>
    </w:p>
    <w:p>
      <w:pPr>
        <w:pStyle w:val="TextBody"/>
        <w:spacing w:lineRule="auto" w:line="240" w:before="0" w:after="240"/>
        <w:jc w:val="both"/>
        <w:rPr/>
      </w:pPr>
      <w:r>
        <w:rPr>
          <w:rFonts w:ascii="Times New Roman;sans-serif" w:hAnsi="Times New Roman;sans-serif"/>
          <w:b w:val="false"/>
          <w:color w:val="000000"/>
          <w:sz w:val="22"/>
        </w:rPr>
        <w:t>On December 8, 2021, the Company announced that it confirmed a scientific advice meeting with the UK Medical and Healthcare Products Regulatory Agency (“</w:t>
      </w:r>
      <w:r>
        <w:rPr>
          <w:rFonts w:ascii="Times New Roman;sans-serif" w:hAnsi="Times New Roman;sans-serif"/>
          <w:b/>
          <w:color w:val="000000"/>
          <w:sz w:val="22"/>
        </w:rPr>
        <w:t>MHRA</w:t>
      </w:r>
      <w:r>
        <w:rPr>
          <w:color w:val="000000"/>
        </w:rPr>
        <w:t>”</w:t>
      </w:r>
      <w:r>
        <w:rPr>
          <w:rFonts w:ascii="Times New Roman;sans-serif" w:hAnsi="Times New Roman;sans-serif"/>
          <w:b w:val="false"/>
          <w:color w:val="000000"/>
          <w:sz w:val="22"/>
        </w:rPr>
        <w:t>). The meeting was held in Q1 2022. This program milestone brings the Company closer toward advancing into clinical development for the treatment of MDD and AUD.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6, 2022, the Company announced the achievement of certain Adelia Milestones for Year 2 Q1 (v), as contemplated by the terms of the Contribution Agreement. Accordingly, 15,611.4 Class B Shares having an aggregate value of $235,576.03 were issued to the Adelia Shareholders, at a price per Class B Share of $15.09. These Class B Shares are exchangeable for a total of 156,114 Common Shares, representing an effective issue price of $1.51 per Common Share.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11, 2022, the Company announced that it had received IRB approval for a Cybin-sponsored feasibility study using the Kernel Flow technology to measure psychedelic effects on the brain.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27, 2022, the Company announced the achievement of certain Adelia Milestones for Y1, Q4 (iv), Y1, Q4 (v) and Y2, Q1 (vi), as contemplated by the terms of the Contribution Agreement. Accordingly, on February 14, 2022, 41,028.2 Class B Shares having an aggregate value of $551,006.04 were issued to the Adelia Shareholders at a price per Class B Share of $13.43. These Class B Shares are exchangeable for a total of 410,282 Common Shares, representing an effective issue price of $1.34 per Common Share.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9, 2022, the Company announced that the U.S. Patent and Trademark Office has granted U.S. patent number 11,242,318 to the Company’s investigational deuterated DMT compound CYB004. </w:t>
      </w:r>
      <w:r>
        <w:br w:type="page"/>
      </w:r>
    </w:p>
    <w:p>
      <w:pPr>
        <w:pStyle w:val="TextBody"/>
        <w:spacing w:before="0" w:after="20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668020"/>
                <wp:effectExtent l="0" t="0" r="0" b="0"/>
                <wp:wrapNone/>
                <wp:docPr id="34" name="Frame3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allowed claims include a range of deuterated forms of DMT and 5-MeO-DMT. The patent, which is expected to expire in 2041 before consideration of any patent term extensions, covers composition of matter and protects the CYB004 drug substance, a putative new chemical entity.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18, 2022, the Company announced the achievement of certain Adelia Milestones for Year 2 Q2 (iii), as contemplated by the terms of the Contribution Agreement. Accordingly, 17,239.5 Class B Shares having an aggregate value of $233,422.83 were issued to the Adelia Shareholders, at a price per Class B Share of $13.54. These Class B Shares are exchangeable for a total of 172,395 Common Shares, representing an effective issue price of $1.35 per Common Share.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March 25, 2022, the Company announced the achievement of certain Adelia Milestones for Year 1 Q4 (vi); Year 2 Q2 (ii); Year 2 Q2 (v) and Year 2, Q3 (iii), as contemplated by the terms of the Contribution Agreement. Accordingly, 90,546 Class B Shares having an aggregate value of $904,554.54 were issued to the Adelia Shareholders, at a price per Class B Share of $9.994. These Class B Shares are exchangeable for a total of 905,460 Common Shares, representing an effective issue price of $1.00 per Common Share.</w:t>
      </w:r>
    </w:p>
    <w:p>
      <w:pPr>
        <w:pStyle w:val="TextBody"/>
        <w:spacing w:lineRule="auto" w:line="240" w:before="0" w:after="240"/>
        <w:jc w:val="both"/>
        <w:rPr/>
      </w:pPr>
      <w:r>
        <w:rPr>
          <w:rFonts w:ascii="Times New Roman;sans-serif" w:hAnsi="Times New Roman;sans-serif"/>
          <w:b w:val="false"/>
          <w:color w:val="000000"/>
          <w:sz w:val="22"/>
        </w:rPr>
        <w:t>On March 29, 2022, the Company announced the completion of in vivo preclinical studies evaluating its deuterated psilocybin analog CYB003 for the potential treatment of MDD. Data from in vivo preclinical studies demonstrate that CYB003 is well-tolerated following several doses in multiple species and support the advancement toward an IND filing with the FDA for a Phase 1/2a first-in-human clinical trial in patients with MDD. The preclinical in vivo studies followed FDA protocol and were completed under Good Laboratory Practice (“</w:t>
      </w:r>
      <w:r>
        <w:rPr>
          <w:rFonts w:ascii="Times New Roman;sans-serif" w:hAnsi="Times New Roman;sans-serif"/>
          <w:b/>
          <w:color w:val="000000"/>
          <w:sz w:val="22"/>
        </w:rPr>
        <w:t>GLP</w:t>
      </w:r>
      <w:r>
        <w:rPr>
          <w:color w:val="000000"/>
        </w:rPr>
        <w:t>”</w:t>
      </w:r>
      <w:r>
        <w:rPr>
          <w:rFonts w:ascii="Times New Roman;sans-serif" w:hAnsi="Times New Roman;sans-serif"/>
          <w:b w:val="false"/>
          <w:color w:val="000000"/>
          <w:sz w:val="22"/>
        </w:rPr>
        <w:t xml:space="preserve">) guidelines.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1, 2022, Adelia achieved the milestone identified as Year 2, Q2 (iv), as contemplated by the terms of the Contribution Agreement. Accordingly, 22,428.3 Class B Shares having an aggregate value of $228,768.66 were issued to the Adelia Shareholders, at a price per Class B Share of $10.20. These Class B Shares are exchangeable for a total of 224,283 Common Shares, representing an effective issue price of $1.02 per Common Share. In consideration for the milestone achieved an additional amount of $4,655.29 is issuable at a price per share to be determined in accordance with the terms of the Contribution Agreement and applicable securities laws. </w:t>
      </w:r>
    </w:p>
    <w:p>
      <w:pPr>
        <w:pStyle w:val="TextBody"/>
        <w:spacing w:lineRule="auto" w:line="240" w:before="0" w:after="240"/>
        <w:jc w:val="both"/>
        <w:rPr/>
      </w:pPr>
      <w:r>
        <w:rPr>
          <w:rFonts w:ascii="Times New Roman;sans-serif" w:hAnsi="Times New Roman;sans-serif"/>
          <w:b w:val="false"/>
          <w:color w:val="000000"/>
          <w:sz w:val="22"/>
        </w:rPr>
        <w:t>On April 8, 2022, the Company announced that the World Intellectual Property Organization published an international patent application covering a range of inhalation delivery methods across multiple psychedelic molecules (Patent Cooperation Treaty (“</w:t>
      </w:r>
      <w:r>
        <w:rPr>
          <w:rFonts w:ascii="Times New Roman;sans-serif" w:hAnsi="Times New Roman;sans-serif"/>
          <w:b/>
          <w:color w:val="000000"/>
          <w:sz w:val="22"/>
        </w:rPr>
        <w:t>PCT</w:t>
      </w:r>
      <w:r>
        <w:rPr>
          <w:color w:val="000000"/>
        </w:rPr>
        <w:t>”</w:t>
      </w:r>
      <w:r>
        <w:rPr>
          <w:rFonts w:ascii="Times New Roman;sans-serif" w:hAnsi="Times New Roman;sans-serif"/>
          <w:b w:val="false"/>
          <w:color w:val="000000"/>
          <w:sz w:val="22"/>
        </w:rPr>
        <w:t>) patent application no. PCT/EP2021/077057). The PCT application titled “Methods For Delivery Of Psychedelic Medications By Inhalation And Systems For Performing The Methods” allows the Company to pursue patent applications and seek protection for multiple inhaled forms of psychedelic molecules that are currently being researched and developed, or may be developed by the Company in the future.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13, 2022, the Company announced positive preclinical data from a PK study evaluating its proprietary deuterated DMT molecule, CYB004, delivered via inhalation.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 </w:t>
      </w:r>
    </w:p>
    <w:p>
      <w:pPr>
        <w:pStyle w:val="TextBody"/>
        <w:spacing w:lineRule="auto" w:line="240" w:before="0" w:after="240"/>
        <w:jc w:val="both"/>
        <w:rPr/>
      </w:pPr>
      <w:r>
        <w:rPr>
          <w:rFonts w:ascii="Times New Roman;sans-serif" w:hAnsi="Times New Roman;sans-serif"/>
          <w:b w:val="false"/>
          <w:color w:val="000000"/>
          <w:sz w:val="22"/>
        </w:rPr>
        <w:t>On April 21, 2022, the Company announced that it has partnered with Clinilabs Drug Development Corporation (“</w:t>
      </w:r>
      <w:r>
        <w:rPr>
          <w:rFonts w:ascii="Times New Roman;sans-serif" w:hAnsi="Times New Roman;sans-serif"/>
          <w:b/>
          <w:color w:val="000000"/>
          <w:sz w:val="22"/>
        </w:rPr>
        <w:t>Clinilabs</w:t>
      </w:r>
      <w:r>
        <w:rPr>
          <w:color w:val="000000"/>
        </w:rPr>
        <w:t>”</w:t>
      </w:r>
      <w:r>
        <w:rPr>
          <w:rFonts w:ascii="Times New Roman;sans-serif" w:hAnsi="Times New Roman;sans-serif"/>
          <w:b w:val="false"/>
          <w:color w:val="000000"/>
          <w:sz w:val="22"/>
        </w:rPr>
        <w:t xml:space="preserve">), a global, full-service contract research organization with expertise in central nervous system drug development, to carry out the Company’s Phase 1/2a clinical trial of CYB003, its proprietary deuterated psilocybin analog. CYB003 will be the first psilocybin analog to be evaluated in Phase 1/2a development for the treatment of MDD.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9, 2022, the Company and Kernel announced results from the piloting of the Kernel Flow feasibility study measuring ketamine’s effects on the brain. The preliminary data confirmed Kernel </w:t>
      </w:r>
      <w:r>
        <w:br w:type="page"/>
      </w:r>
    </w:p>
    <w:p>
      <w:pPr>
        <w:pStyle w:val="TextBody"/>
        <w:spacing w:before="0" w:after="20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668020"/>
                <wp:effectExtent l="0" t="0" r="0" b="0"/>
                <wp:wrapNone/>
                <wp:docPr id="35" name="Frame3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Flow’s ability to successfully measure neuro-effect of ketamine over 10 days.</w:t>
      </w:r>
      <w:r>
        <w:rPr>
          <w:rFonts w:ascii="Times New Roman;sans-serif" w:hAnsi="Times New Roman;sans-serif"/>
          <w:b w:val="false"/>
          <w:color w:val="000000"/>
          <w:sz w:val="14"/>
        </w:rPr>
        <w:t>7</w:t>
      </w:r>
      <w:r>
        <w:rPr>
          <w:color w:val="000000"/>
        </w:rPr>
        <w:t xml:space="preserve"> </w:t>
      </w:r>
      <w:r>
        <w:rPr>
          <w:rFonts w:ascii="Times New Roman;sans-serif" w:hAnsi="Times New Roman;sans-serif"/>
          <w:b w:val="false"/>
          <w:color w:val="000000"/>
          <w:sz w:val="22"/>
        </w:rPr>
        <w:t>The Company completed its feasibility study sponsorship utilizing Kernel Flow in Q3 2022.</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May 31, 2022, the Company announced the submission of an IND application to the FDA for its Phase 1/2a first-in-human clinical trial evaluating CYB003, a proprietary deuterated psilocybin analog, for the treatment of MDD.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3, 2022, the Company announced that Adelia achieved the Milestones identified as identified as Y2, Q2 (i), (vi), Y2, Q3 (ii), Year 2 Q4 (i) and Year 3 Q1 (i), (ii), (iii), as contemplated by the terms of the Contribution Agreement. Accordingly, Class B Shares having an aggregate value of $2,033,309.79 became due to be issued to the Adelia Shareholders, at a price per share to be determined in accordance with the terms of the Contribution Agreement and applicable securities laws.</w:t>
      </w:r>
    </w:p>
    <w:p>
      <w:pPr>
        <w:pStyle w:val="TextBody"/>
        <w:spacing w:lineRule="auto" w:line="240" w:before="0" w:after="240"/>
        <w:jc w:val="both"/>
        <w:rPr/>
      </w:pPr>
      <w:r>
        <w:rPr>
          <w:rFonts w:ascii="Times New Roman;sans-serif" w:hAnsi="Times New Roman;sans-serif"/>
          <w:b w:val="false"/>
          <w:color w:val="000000"/>
          <w:sz w:val="22"/>
        </w:rPr>
        <w:t>On June 7, 2022, the Company announced that, through its wholly-owned subsidiary, Cybin Ireland, it entered into an agreement to acquire a Phase 1 DMT study from Entheon Biomedical Corp. (“</w:t>
      </w:r>
      <w:r>
        <w:rPr>
          <w:rFonts w:ascii="Times New Roman;sans-serif" w:hAnsi="Times New Roman;sans-serif"/>
          <w:b/>
          <w:color w:val="000000"/>
          <w:sz w:val="22"/>
        </w:rPr>
        <w:t>Entheon</w:t>
      </w:r>
      <w:r>
        <w:rPr>
          <w:color w:val="000000"/>
        </w:rPr>
        <w:t>”</w:t>
      </w:r>
      <w:r>
        <w:rPr>
          <w:rFonts w:ascii="Times New Roman;sans-serif" w:hAnsi="Times New Roman;sans-serif"/>
          <w:b w:val="false"/>
          <w:color w:val="000000"/>
          <w:sz w:val="22"/>
        </w:rPr>
        <w:t>) to accelerate the clinical development path for CYB004, the Company’s proprietary deuterated DMT molecule for the potential treatment of anxiety disorders (the “</w:t>
      </w:r>
      <w:r>
        <w:rPr>
          <w:rFonts w:ascii="Times New Roman;sans-serif" w:hAnsi="Times New Roman;sans-serif"/>
          <w:b/>
          <w:color w:val="000000"/>
          <w:sz w:val="22"/>
        </w:rPr>
        <w:t>Asset Acquisition</w:t>
      </w:r>
      <w:r>
        <w:rPr>
          <w:color w:val="000000"/>
        </w:rPr>
        <w:t>”</w:t>
      </w:r>
      <w:r>
        <w:rPr>
          <w:rFonts w:ascii="Times New Roman;sans-serif" w:hAnsi="Times New Roman;sans-serif"/>
          <w:b w:val="false"/>
          <w:color w:val="000000"/>
          <w:sz w:val="22"/>
        </w:rPr>
        <w:t>). The purchase price of the Asset Acquisition is $1,000,000, a portion of which will be a deposit with the balance payable on closing of the Asset Acquisition (“</w:t>
      </w:r>
      <w:r>
        <w:rPr>
          <w:rFonts w:ascii="Times New Roman;sans-serif" w:hAnsi="Times New Roman;sans-serif"/>
          <w:b/>
          <w:color w:val="000000"/>
          <w:sz w:val="22"/>
        </w:rPr>
        <w:t>Closing</w:t>
      </w:r>
      <w:r>
        <w:rPr>
          <w:color w:val="000000"/>
        </w:rPr>
        <w:t>”</w:t>
      </w:r>
      <w:r>
        <w:rPr>
          <w:rFonts w:ascii="Times New Roman;sans-serif" w:hAnsi="Times New Roman;sans-serif"/>
          <w:b w:val="false"/>
          <w:color w:val="000000"/>
          <w:sz w:val="22"/>
        </w:rPr>
        <w:t>). In addition, the Company may pay up to $480,000 for consulting services to be provided from Entheon over a period of up to twelve months following Closing. The Company expects the Asset Acquisition to close within 30 days, subject to the completion of certain conditions and obtaining all necessary approvals.</w:t>
      </w:r>
    </w:p>
    <w:p>
      <w:pPr>
        <w:pStyle w:val="TextBody"/>
        <w:spacing w:lineRule="auto" w:line="240" w:before="0" w:after="240"/>
        <w:jc w:val="both"/>
        <w:rPr/>
      </w:pPr>
      <w:r>
        <w:rPr>
          <w:rFonts w:ascii="Times New Roman;sans-serif" w:hAnsi="Times New Roman;sans-serif"/>
          <w:b w:val="false"/>
          <w:color w:val="000000"/>
          <w:sz w:val="22"/>
        </w:rPr>
        <w:t>On June 9, 2022, the Company announced that it has received Institutional Review Board (the “</w:t>
      </w:r>
      <w:r>
        <w:rPr>
          <w:rFonts w:ascii="Times New Roman;sans-serif" w:hAnsi="Times New Roman;sans-serif"/>
          <w:b/>
          <w:color w:val="000000"/>
          <w:sz w:val="22"/>
        </w:rPr>
        <w:t>IRB</w:t>
      </w:r>
      <w:r>
        <w:rPr>
          <w:color w:val="000000"/>
        </w:rPr>
        <w:t>”</w:t>
      </w:r>
      <w:r>
        <w:rPr>
          <w:rFonts w:ascii="Times New Roman;sans-serif" w:hAnsi="Times New Roman;sans-serif"/>
          <w:b w:val="false"/>
          <w:color w:val="000000"/>
          <w:sz w:val="22"/>
        </w:rPr>
        <w:t>) approval to begin the first-in-human Phase 1/2a clinical trial evaluating CYB003, its proprietary deuterated psilocybin analog, for the treatment of MDD.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27, 2022, the Company announced that it has received a “may proceed letter” and IND application clearance from the FDA for its Phase 1/2a first-in-human clinical trial evaluating CYB003. This milestone marks the industry’s first ever novel psilocybin analog to enter clinical development.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June 27, 2022, the Company announced that Adelia achieved the Milestone identified as Y2, Q3 (i), as contemplated by the terms of the Adelia Contribution Agreement. Accordingly, 37,366.2 Class B Shares having an aggregate value of $280,247.14 were issued to the Adelia Shareholders, at a price per Class B Share of $7.50. These Class B Shares are exchangeable for a total of 373,662 Common Shares, representing an effective issue price of $0.75 per Common Share.</w:t>
      </w:r>
    </w:p>
    <w:p>
      <w:pPr>
        <w:pStyle w:val="TextBody"/>
        <w:spacing w:lineRule="auto" w:line="240" w:before="0" w:after="240"/>
        <w:jc w:val="both"/>
        <w:rPr/>
      </w:pPr>
      <w:r>
        <w:rPr>
          <w:rFonts w:ascii="Times New Roman;sans-serif" w:hAnsi="Times New Roman;sans-serif"/>
          <w:b w:val="false"/>
          <w:color w:val="000000"/>
          <w:sz w:val="22"/>
        </w:rPr>
        <w:t>On July 11, 2022, the Company announced that the Asset Acquisition was completed. The Phase 1 study, previously identified as EBRX-101 and now named CYB004-E. Entheon acted as external consultants to the Company for approximately 10 months after the Asset Acquisition.</w:t>
      </w:r>
      <w:r>
        <w:rPr>
          <w:color w:val="000000"/>
        </w:rPr>
        <w:t xml:space="preserv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July 12, 2022, the Company announced that its partner, Clinilabs, had begun enrollment in a Phase 1/2a clinical trial of CYB003, the first novel psilocybin analog to be evaluated in Phase 1/2a development for the treatment of MDD. </w:t>
      </w:r>
    </w:p>
    <w:p>
      <w:pPr>
        <w:pStyle w:val="TextBody"/>
        <w:spacing w:lineRule="auto" w:line="240" w:before="0" w:after="240"/>
        <w:jc w:val="both"/>
        <w:rPr/>
      </w:pPr>
      <w:r>
        <w:rPr>
          <w:rFonts w:ascii="Times New Roman;sans-serif" w:hAnsi="Times New Roman;sans-serif"/>
          <w:b w:val="false"/>
          <w:color w:val="000000"/>
          <w:sz w:val="22"/>
        </w:rPr>
        <w:t>On August 8, 2022, the Company announced that it has established an at-the-market equity program (the “</w:t>
      </w:r>
      <w:r>
        <w:rPr>
          <w:rFonts w:ascii="Times New Roman;sans-serif" w:hAnsi="Times New Roman;sans-serif"/>
          <w:b/>
          <w:color w:val="000000"/>
          <w:sz w:val="22"/>
        </w:rPr>
        <w:t>ATM Program</w:t>
      </w:r>
      <w:r>
        <w:rPr>
          <w:color w:val="000000"/>
        </w:rPr>
        <w:t>”</w:t>
      </w:r>
      <w:r>
        <w:rPr>
          <w:rFonts w:ascii="Times New Roman;sans-serif" w:hAnsi="Times New Roman;sans-serif"/>
          <w:b w:val="false"/>
          <w:color w:val="000000"/>
          <w:sz w:val="22"/>
        </w:rPr>
        <w:t>) that allows the Company to issue and sell up to US$35,000,000 of Common Shares, from time to time. Distributions of Common Shares under the ATM Program, will be made pursuant to the terms and conditions of an “at-the-market equity” distribution agreement (the “</w:t>
      </w:r>
      <w:r>
        <w:rPr>
          <w:rFonts w:ascii="Times New Roman;sans-serif" w:hAnsi="Times New Roman;sans-serif"/>
          <w:b/>
          <w:color w:val="000000"/>
          <w:sz w:val="22"/>
        </w:rPr>
        <w:t>Distribution Agreement</w:t>
      </w:r>
      <w:r>
        <w:rPr>
          <w:color w:val="000000"/>
        </w:rPr>
        <w:t>”</w:t>
      </w:r>
      <w:r>
        <w:rPr>
          <w:rFonts w:ascii="Times New Roman;sans-serif" w:hAnsi="Times New Roman;sans-serif"/>
          <w:b w:val="false"/>
          <w:color w:val="000000"/>
          <w:sz w:val="22"/>
        </w:rPr>
        <w:t xml:space="preserve">) dated August 8, 2022, entered into by and among the Company, Cantor Fitzgerald Canada Corporation and Cantor Fitzgerald &amp; Co. The ATM Program will be effective until the earlier of the </w:t>
      </w:r>
    </w:p>
    <w:p>
      <w:pPr>
        <w:pStyle w:val="TextBody"/>
        <w:spacing w:lineRule="auto" w:line="240"/>
        <w:jc w:val="both"/>
        <w:rPr/>
      </w:pPr>
      <w:r>
        <w:rPr>
          <w:rFonts w:ascii="Times New Roman;sans-serif" w:hAnsi="Times New Roman;sans-serif"/>
          <w:b w:val="false"/>
          <w:color w:val="000000"/>
          <w:sz w:val="12"/>
        </w:rPr>
        <w:t>7</w:t>
      </w:r>
      <w:r>
        <w:rPr>
          <w:color w:val="000000"/>
        </w:rPr>
        <w:t xml:space="preserve"> </w:t>
      </w:r>
      <w:r>
        <w:rPr>
          <w:rFonts w:ascii="Times New Roman;sans-serif" w:hAnsi="Times New Roman;sans-serif"/>
          <w:b w:val="false"/>
          <w:color w:val="000000"/>
          <w:sz w:val="18"/>
        </w:rPr>
        <w:t>Preliminary data from the piloting suggested that ketamine-induced changes in functional connectivity persisted for several days after administration. Kernel Flow successfully measured the neuro-effect of ketamine over 11 days (baseline at Days 1-5, dosing at Day 6, follow-up at Days 7-11), and confirmed changes in functional connectivity that are consistent with current scientific research (</w:t>
      </w:r>
      <w:r>
        <w:rPr>
          <w:rFonts w:ascii="Times New Roman;sans-serif" w:hAnsi="Times New Roman;sans-serif"/>
          <w:b w:val="false"/>
          <w:i/>
          <w:color w:val="000000"/>
          <w:sz w:val="18"/>
        </w:rPr>
        <w:t>Scheidegger et al 2012; Zacharias et al 2019; Li et al 2022</w:t>
      </w:r>
      <w:r>
        <w:rPr>
          <w:rFonts w:ascii="Times New Roman;sans-serif" w:hAnsi="Times New Roman;sans-serif"/>
          <w:b w:val="false"/>
          <w:color w:val="000000"/>
          <w:sz w:val="18"/>
        </w:rPr>
        <w:t>). The piloting was conducted to ensure the efficiency of the feasibility study design. Participants in the pilot received either a low dose of ketamine and/or a placebo while wearing the Kernel Flow headset.</w:t>
      </w:r>
      <w:r>
        <w:br w:type="page"/>
      </w:r>
    </w:p>
    <w:p>
      <w:pPr>
        <w:pStyle w:val="TextBody"/>
        <w:spacing w:before="0" w:after="20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668020"/>
                <wp:effectExtent l="0" t="0" r="0" b="0"/>
                <wp:wrapNone/>
                <wp:docPr id="36" name="Frame3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issuance and sale of all of the Common Shares issuable pursuant to the ATM Program and August 5, 2023, unless earlier terminated in accordance with the terms of the Distribution Agreement.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August 17, 2022, the Company, and its partner Clinilabs, announced that the DEA has granted a Schedule I license to support the first-in-human Phase 1/2a clinical trial of CYB003, a proprietary deuterated psilocybin analog that is being developed for the treatment MDD.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August 30, 2022, the Company announced that the first two participants have been dosed in its Phase 1/2a trial evaluating CYB003 for the treatment of MDD.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31, 2022, the Company announced that Adelia has achieved the final milestone identified as Y2, Q4(ii) as contemplated by the terms of the Adelia Contribution Agreement. Accordingly, 33,190.1 Class B Shares having an aggregate value of $467,982.21 were issued to the Adelia Shareholders, at a price per Class B Share of $14.10. These Class B Shares are exchangeable for a total of 331,901 Common Shares, representing an effective issue price of $1.41 per Common Share. </w:t>
      </w:r>
    </w:p>
    <w:p>
      <w:pPr>
        <w:pStyle w:val="TextBody"/>
        <w:spacing w:lineRule="auto" w:line="240" w:before="0" w:after="240"/>
        <w:jc w:val="both"/>
        <w:rPr/>
      </w:pPr>
      <w:r>
        <w:rPr>
          <w:rFonts w:ascii="Times New Roman;sans-serif" w:hAnsi="Times New Roman;sans-serif"/>
          <w:b w:val="false"/>
          <w:color w:val="000000"/>
          <w:sz w:val="22"/>
        </w:rPr>
        <w:t>On September 27, 2022, the Company entered into an agreement, as amended, with Mindset Pharma Inc. (“</w:t>
      </w:r>
      <w:r>
        <w:rPr>
          <w:rFonts w:ascii="Times New Roman;sans-serif" w:hAnsi="Times New Roman;sans-serif"/>
          <w:b/>
          <w:color w:val="000000"/>
          <w:sz w:val="22"/>
        </w:rPr>
        <w:t>Mindset</w:t>
      </w:r>
      <w:r>
        <w:rPr>
          <w:color w:val="000000"/>
        </w:rPr>
        <w:t>”</w:t>
      </w:r>
      <w:r>
        <w:rPr>
          <w:rFonts w:ascii="Times New Roman;sans-serif" w:hAnsi="Times New Roman;sans-serif"/>
          <w:b w:val="false"/>
          <w:color w:val="000000"/>
          <w:sz w:val="22"/>
        </w:rPr>
        <w:t>) to acquire an exclusive license to an extensive targeted class of tryptamine-based molecules. The agreement includes an initial license fee payment by Cybin to Mindset of US$500,000 as well as additional clinical development milestone payments of up to US$9,500,000, with the first milestone payment, in the amount of US$500,000,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pStyle w:val="TextBody"/>
        <w:spacing w:lineRule="auto" w:line="240" w:before="0" w:after="240"/>
        <w:jc w:val="both"/>
        <w:rPr/>
      </w:pPr>
      <w:r>
        <w:rPr>
          <w:rFonts w:ascii="Times New Roman;sans-serif" w:hAnsi="Times New Roman;sans-serif"/>
          <w:b w:val="false"/>
          <w:color w:val="000000"/>
          <w:sz w:val="22"/>
        </w:rPr>
        <w:t>On November 10, 2022, the Company announced that its CYB004-E Phase 1 trial evaluating intravenous (“</w:t>
      </w:r>
      <w:r>
        <w:rPr>
          <w:rFonts w:ascii="Times New Roman;sans-serif" w:hAnsi="Times New Roman;sans-serif"/>
          <w:b/>
          <w:color w:val="000000"/>
          <w:sz w:val="22"/>
        </w:rPr>
        <w:t>IV</w:t>
      </w:r>
      <w:r>
        <w:rPr>
          <w:color w:val="000000"/>
        </w:rPr>
        <w:t>”</w:t>
      </w:r>
      <w:r>
        <w:rPr>
          <w:rFonts w:ascii="Times New Roman;sans-serif" w:hAnsi="Times New Roman;sans-serif"/>
          <w:b w:val="false"/>
          <w:color w:val="000000"/>
          <w:sz w:val="22"/>
        </w:rPr>
        <w:t>) DMT has completed dosing for four out of five participant cohorts and that the Safety Review Committee has confirmed no clinically significant safety or toxicity issues. The CYB004-E Phase 1 trial was acquired from Entheon in July 2022.</w:t>
      </w:r>
    </w:p>
    <w:p>
      <w:pPr>
        <w:pStyle w:val="TextBody"/>
        <w:spacing w:lineRule="auto" w:line="240" w:before="0" w:after="240"/>
        <w:jc w:val="both"/>
        <w:rPr/>
      </w:pPr>
      <w:r>
        <w:rPr>
          <w:rFonts w:ascii="Times New Roman;sans-serif" w:hAnsi="Times New Roman;sans-serif"/>
          <w:b w:val="false"/>
          <w:color w:val="000000"/>
          <w:sz w:val="22"/>
        </w:rPr>
        <w:t>On January 12, 2023, the Company announced that it has selected Generalized Anxiety Disorder (“</w:t>
      </w:r>
      <w:r>
        <w:rPr>
          <w:rFonts w:ascii="Times New Roman;sans-serif" w:hAnsi="Times New Roman;sans-serif"/>
          <w:b/>
          <w:color w:val="000000"/>
          <w:sz w:val="22"/>
        </w:rPr>
        <w:t>GAD</w:t>
      </w:r>
      <w:r>
        <w:rPr>
          <w:color w:val="000000"/>
        </w:rPr>
        <w:t>”</w:t>
      </w:r>
      <w:r>
        <w:rPr>
          <w:rFonts w:ascii="Times New Roman;sans-serif" w:hAnsi="Times New Roman;sans-serif"/>
          <w:b w:val="false"/>
          <w:color w:val="000000"/>
          <w:sz w:val="22"/>
        </w:rPr>
        <w:t>) with or without MDD as the target indication for its proprietary deuterated DMT molecule, CYB004.</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18, 2023, the Company announced key highlights from the completed feasibility study conducted by its partner Kernel, evaluating Kernel Flow’s wearable technology to measure ketamine’s psychedelic effect on cerebral cortex hemodynamics. Results from this Company-sponsored study are intended to inform the future pathway for this program.</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1, 2023, the Company announced that it has received approval from an independent ethics committee in the Netherlands to initiate first-in-human dosing of its proprietary deuterated DMT molecule CYB004 through a protocol amendment to its ongoing CYB004-E Phase 1 trial. This clinical advancement marks the first time a deuterated DMT molecule will be evaluated in humans and further reduces Cybin’s time-to-clinic with CYB004.</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28, 2023, the Company provided interim findings from the Company’s ongoing Phase 1/2a clinical trial evaluating CYB003. The findings demonstrated positive observations, including a rapid and short-acting psychedelic response in participants. Participants received single oral doses of CYB003 at 1 milligram (“mg”), 3mg, 8mg, and 10mg, respectively, and all doses were well-tolerated with no serious adverse events reported. Most notably, participants reported meaningful and robust psychedelic effects at the 8mg and 10mg doses, confirming a complete mystical experience was achieved. These interim </w:t>
      </w:r>
      <w:r>
        <w:br w:type="page"/>
      </w:r>
    </w:p>
    <w:p>
      <w:pPr>
        <w:pStyle w:val="TextBody"/>
        <w:spacing w:before="0" w:after="20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668020"/>
                <wp:effectExtent l="0" t="0" r="0" b="0"/>
                <wp:wrapNone/>
                <wp:docPr id="37" name="Frame3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findings demonstrate that CYB003 was rapid and short acting, had low variability in plasma levels, and reached a psychedelic effect at low doses, while maintaining a safe and well-tolerated therapeutic profile. As of the date of this AIF, Phase 1 dosing has been completed and the Phase 2a portion of the trial has commenced. The Company expects to report top-line results from the completed Phase 1/2a clinical trial in late third quarter of calendar year 2023.</w:t>
      </w:r>
      <w:r>
        <w:rPr>
          <w:rFonts w:ascii="Times New Roman;sans-serif" w:hAnsi="Times New Roman;sans-serif"/>
          <w:b w:val="false"/>
          <w:color w:val="000000"/>
          <w:sz w:val="14"/>
        </w:rPr>
        <w:t>8</w:t>
      </w:r>
    </w:p>
    <w:p>
      <w:pPr>
        <w:pStyle w:val="TextBody"/>
        <w:spacing w:lineRule="auto" w:line="240" w:before="0" w:after="240"/>
        <w:jc w:val="both"/>
        <w:rPr/>
      </w:pPr>
      <w:r>
        <w:rPr>
          <w:rFonts w:ascii="Times New Roman;sans-serif" w:hAnsi="Times New Roman;sans-serif"/>
          <w:b w:val="false"/>
          <w:color w:val="000000"/>
          <w:sz w:val="22"/>
        </w:rPr>
        <w:t>On February 28, 2023, the Company provided an update on its Phase 1 CYB004-E trial evaluating IV DMT in healthy volunteers. Per a protocol amendment to the initial trial design, the Company has established a three-part study to include Part A (IV DMT infusion), Part B (IV DMT bolus + infusion) and Part C (CYB004) in healthy volunteers, which will allow the Company to initiate first-in-human dosing of CYB004 sooner than initially planned. Data from the new Parts B and C of the trial will serve to build a more robust PK and PD model to optimize dose selection and formulation development for future clinical studies. As of February 28, 2023, Part A of the trial evaluating IV DMT in participants was complete, and IV DMT at the evaluated dose ranges was demonstrated to be safe and well-tolerated. The Phase 1 CYB004-E trial has dosed 40 participants in Part A and dosing has commenced in Part B. On May 9, 2023, the Company announced the completion of dosing the last subject in Part B of the Phase 1 CYB004-E trial. With the completion of Part B, the Company announced on May 24, 2023 that it initiated dosing of CYB004 in Part C which will evaluate IV bolus + infusion regimens of CYB004 in a crossover design. Results from Parts B and C are expected to provide a more robust PK and PD model to optimize dose selection and formulation development for future clinical studies. The Company expects to report top-line results from the completed Phase 1 CYB004-E clinical trial in the third quarter of calendar year 2023.</w:t>
      </w:r>
      <w:r>
        <w:rPr>
          <w:rFonts w:ascii="Times New Roman;sans-serif" w:hAnsi="Times New Roman;sans-serif"/>
          <w:b w:val="false"/>
          <w:color w:val="000000"/>
          <w:sz w:val="14"/>
        </w:rPr>
        <w:t>9 10</w: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Subsequent to Period End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April 12, 2023, the Company announced the launch of EMBARK Open Access, an online foundational training course that offers psychedelic facilitation training for healthcare professionals and people interested in offering psychological support.</w:t>
      </w:r>
    </w:p>
    <w:p>
      <w:pPr>
        <w:pStyle w:val="TextBody"/>
        <w:spacing w:lineRule="auto" w:line="240" w:before="0" w:after="240"/>
        <w:jc w:val="both"/>
        <w:rPr/>
      </w:pPr>
      <w:r>
        <w:rPr>
          <w:rFonts w:ascii="Times New Roman;sans-serif" w:hAnsi="Times New Roman;sans-serif"/>
          <w:b w:val="false"/>
          <w:color w:val="000000"/>
          <w:sz w:val="22"/>
        </w:rPr>
        <w:t>On May 30, 2023, the Company announced that it has entered into a common share purchase agreement (the “</w:t>
      </w:r>
      <w:r>
        <w:rPr>
          <w:rFonts w:ascii="Times New Roman;sans-serif" w:hAnsi="Times New Roman;sans-serif"/>
          <w:b/>
          <w:color w:val="000000"/>
          <w:sz w:val="22"/>
        </w:rPr>
        <w:t>LPC Purchase Agreement</w:t>
      </w:r>
      <w:r>
        <w:rPr>
          <w:color w:val="000000"/>
        </w:rPr>
        <w:t>”</w:t>
      </w:r>
      <w:r>
        <w:rPr>
          <w:rFonts w:ascii="Times New Roman;sans-serif" w:hAnsi="Times New Roman;sans-serif"/>
          <w:b w:val="false"/>
          <w:color w:val="000000"/>
          <w:sz w:val="22"/>
        </w:rPr>
        <w:t>) with Lincoln Park Capital Fund, LLC (“</w:t>
      </w:r>
      <w:r>
        <w:rPr>
          <w:rFonts w:ascii="Times New Roman;sans-serif" w:hAnsi="Times New Roman;sans-serif"/>
          <w:b/>
          <w:color w:val="000000"/>
          <w:sz w:val="22"/>
        </w:rPr>
        <w:t>LPC</w:t>
      </w:r>
      <w:r>
        <w:rPr>
          <w:color w:val="000000"/>
        </w:rPr>
        <w:t>”</w:t>
      </w:r>
      <w:r>
        <w:rPr>
          <w:rFonts w:ascii="Times New Roman;sans-serif" w:hAnsi="Times New Roman;sans-serif"/>
          <w:b w:val="false"/>
          <w:color w:val="000000"/>
          <w:sz w:val="22"/>
        </w:rPr>
        <w:t>). Subject to the terms and conditions of the LPC Purchase Agreement, the Company has the right to sell, and LPC is obligated to purchase, up to US$30 million (approximately C$41 million) of Common Shares over a 36-month period at prices that are based on the market price at the time of each sale to LPC. The Company, in its sole discretion, controls the timing and amount of all sales of Common Shares under the LPC Purchase Agreement. The sale of Common Shares under the LPC Purchase Agreement will be made pursuant to and qualified by way of a prospectus supplement dated May 30, 2023 (the “</w:t>
      </w:r>
      <w:r>
        <w:rPr>
          <w:rFonts w:ascii="Times New Roman;sans-serif" w:hAnsi="Times New Roman;sans-serif"/>
          <w:b/>
          <w:color w:val="000000"/>
          <w:sz w:val="22"/>
        </w:rPr>
        <w:t>May 2023 Prospectus</w:t>
      </w:r>
      <w:r>
        <w:rPr>
          <w:color w:val="000000"/>
        </w:rPr>
        <w:t>”</w:t>
      </w:r>
      <w:r>
        <w:rPr>
          <w:rFonts w:ascii="Times New Roman;sans-serif" w:hAnsi="Times New Roman;sans-serif"/>
          <w:b w:val="false"/>
          <w:color w:val="000000"/>
          <w:sz w:val="22"/>
        </w:rPr>
        <w:t>), to the Company’s short form base shelf prospectus dated July 5, 2021 filed with the securities commissions in each of the provinces and territories of Canada. The May 2023 Prospectus was also filed with the Securities and Exchange Commission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xml:space="preserve">) as part of a registration statement on Form F-10, which was declared effective by the SEC on October 8, 2021, in accordance with the Multijurisdictional Disclosure System established between Canada and the United States.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the Company issued 2,538,844 Common Shares to LPC as a commitment fee. The Purchase Agreement provides that the Company may not issue or sell any Common </w:t>
      </w:r>
    </w:p>
    <w:p>
      <w:pPr>
        <w:pStyle w:val="TextBody"/>
        <w:spacing w:lineRule="auto" w:line="240" w:before="0" w:after="0"/>
        <w:jc w:val="both"/>
        <w:rPr/>
      </w:pPr>
      <w:r>
        <w:rPr>
          <w:rFonts w:ascii="Times New Roman;sans-serif" w:hAnsi="Times New Roman;sans-serif"/>
          <w:b w:val="false"/>
          <w:color w:val="000000"/>
          <w:sz w:val="12"/>
        </w:rPr>
        <w:t xml:space="preserve">8 </w:t>
      </w:r>
      <w:r>
        <w:rPr>
          <w:rFonts w:ascii="Times New Roman;sans-serif" w:hAnsi="Times New Roman;sans-serif"/>
          <w:b w:val="false"/>
          <w:color w:val="000000"/>
          <w:sz w:val="18"/>
        </w:rPr>
        <w:t xml:space="preserve">The material factors and assumption underlying this forward-looking statement are based on anticipated timelines regarding drug development which are in turn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p>
    <w:p>
      <w:pPr>
        <w:pStyle w:val="TextBody"/>
        <w:spacing w:lineRule="auto" w:line="240" w:before="0" w:after="0"/>
        <w:jc w:val="both"/>
        <w:rPr/>
      </w:pPr>
      <w:r>
        <w:rPr>
          <w:rFonts w:ascii="Times New Roman;sans-serif" w:hAnsi="Times New Roman;sans-serif"/>
          <w:b w:val="false"/>
          <w:color w:val="000000"/>
          <w:sz w:val="12"/>
        </w:rPr>
        <w:t xml:space="preserve">9 </w:t>
      </w:r>
      <w:r>
        <w:rPr>
          <w:rFonts w:ascii="Times New Roman;sans-serif" w:hAnsi="Times New Roman;sans-serif"/>
          <w:b w:val="false"/>
          <w:color w:val="000000"/>
          <w:sz w:val="18"/>
        </w:rPr>
        <w:t xml:space="preserve">See footnote 8. </w:t>
      </w:r>
    </w:p>
    <w:p>
      <w:pPr>
        <w:pStyle w:val="TextBody"/>
        <w:spacing w:lineRule="auto" w:line="240"/>
        <w:jc w:val="both"/>
        <w:rPr/>
      </w:pPr>
      <w:r>
        <w:rPr>
          <w:rFonts w:ascii="Times New Roman;sans-serif" w:hAnsi="Times New Roman;sans-serif"/>
          <w:b w:val="false"/>
          <w:color w:val="000000"/>
          <w:sz w:val="12"/>
        </w:rPr>
        <w:t>10</w:t>
      </w:r>
      <w:r>
        <w:rPr>
          <w:color w:val="000000"/>
        </w:rPr>
        <w:t xml:space="preserve"> </w:t>
      </w:r>
      <w:r>
        <w:rPr>
          <w:rFonts w:ascii="Times New Roman;sans-serif" w:hAnsi="Times New Roman;sans-serif"/>
          <w:b w:val="false"/>
          <w:color w:val="000000"/>
          <w:sz w:val="18"/>
        </w:rPr>
        <w:t>The Company is prioritizing the progression of its Deuterated Psilocybin Analog Program (CYB003). The advancement of the Company’s other programs is contingent on the Company’s ability to continue raising capital under its current and future financing arrangements. No assurances can be given that the Company will be able to raise the additional capital that it will require for its anticipated future development. See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for further information.</w:t>
      </w:r>
      <w:r>
        <w:br w:type="page"/>
      </w:r>
    </w:p>
    <w:p>
      <w:pPr>
        <w:pStyle w:val="TextBody"/>
        <w:spacing w:before="0" w:after="20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668020"/>
                <wp:effectExtent l="0" t="0" r="0" b="0"/>
                <wp:wrapNone/>
                <wp:docPr id="38" name="Frame3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Shares to LPC under the Purchase Agreement which, when aggregated with all other Common Shares then beneficially owned by LPC and its affiliates (as calculated pursuant to Section 13(d) of the U.S. Securities Exchange Act of 1934, as amended (the "</w:t>
      </w:r>
      <w:r>
        <w:rPr>
          <w:rFonts w:ascii="Times New Roman;sans-serif" w:hAnsi="Times New Roman;sans-serif"/>
          <w:b/>
          <w:color w:val="000000"/>
          <w:sz w:val="22"/>
        </w:rPr>
        <w:t>Exchange Act</w:t>
      </w:r>
      <w:r>
        <w:rPr>
          <w:rFonts w:ascii="Times New Roman;sans-serif" w:hAnsi="Times New Roman;sans-serif"/>
          <w:b w:val="false"/>
          <w:color w:val="000000"/>
          <w:sz w:val="22"/>
        </w:rPr>
        <w:t>"), and Rule 13d-3 thereunder), would result in LPC beneficially owning more than 9.99% of the outstanding Common Shares.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June 5, 2023, the Company announced changes to its scientific management team. Following the achievement of the final milestones as contemplated by the terms of the Contribution Agreement, Michael Palfreyman Ph.D. and Brett Greene, who joined the Company following the Adelia Transaction, will leave their roles as Chief R&amp;D Officer and Chief Innovations Officer, respectively, and transition into advisory roles at the Company. Alex Nivorozhkin Ph.D., one of Adelia’s founders, will continue in his role as Chief Scientific Officer of the Company. </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Significant Acquisitions and Dispositions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December 4, 2020, the Company entered into the Contribution Agreement with Cybin, Cybin U.S. and the Adelia Shareholders whereby Cybin U.S. agreed to purchase from the Adelia Shareholders all of the issued and outstanding Adelia shares in exchange for the Class B Shares (as defined below). The Adelia Transaction closed on December 14, 2020. </w:t>
      </w:r>
    </w:p>
    <w:p>
      <w:pPr>
        <w:pStyle w:val="TextBody"/>
        <w:spacing w:lineRule="auto" w:line="240" w:before="0" w:after="240"/>
        <w:jc w:val="both"/>
        <w:rPr/>
      </w:pPr>
      <w:r>
        <w:rPr>
          <w:rFonts w:ascii="Times New Roman;sans-serif" w:hAnsi="Times New Roman;sans-serif"/>
          <w:b w:val="false"/>
          <w:color w:val="000000"/>
          <w:sz w:val="22"/>
        </w:rPr>
        <w:t>Pursuant to the Contribution Agreement and the support agreement entered into among Cybin U.S. and the Adelia Shareholders (the “</w:t>
      </w:r>
      <w:r>
        <w:rPr>
          <w:rFonts w:ascii="Times New Roman;sans-serif" w:hAnsi="Times New Roman;sans-serif"/>
          <w:b/>
          <w:color w:val="000000"/>
          <w:sz w:val="22"/>
        </w:rPr>
        <w:t>Support Agreement</w:t>
      </w:r>
      <w:r>
        <w:rPr>
          <w:color w:val="000000"/>
        </w:rPr>
        <w:t>”</w:t>
      </w:r>
      <w:r>
        <w:rPr>
          <w:rFonts w:ascii="Times New Roman;sans-serif" w:hAnsi="Times New Roman;sans-serif"/>
          <w:b w:val="false"/>
          <w:color w:val="000000"/>
          <w:sz w:val="22"/>
        </w:rPr>
        <w:t>), the Adelia Shareholders received 868,833</w:t>
      </w:r>
      <w:r>
        <w:rPr>
          <w:color w:val="000000"/>
        </w:rPr>
        <w:t xml:space="preserve"> </w:t>
      </w:r>
      <w:r>
        <w:rPr>
          <w:rFonts w:ascii="Times New Roman;sans-serif" w:hAnsi="Times New Roman;sans-serif"/>
          <w:b w:val="false"/>
          <w:color w:val="000000"/>
          <w:sz w:val="22"/>
        </w:rPr>
        <w:t>non-voting Class B common shares in the capital of Cybin U.S. (each a “</w:t>
      </w:r>
      <w:r>
        <w:rPr>
          <w:rFonts w:ascii="Times New Roman;sans-serif" w:hAnsi="Times New Roman;sans-serif"/>
          <w:b/>
          <w:color w:val="000000"/>
          <w:sz w:val="22"/>
        </w:rPr>
        <w:t>Class B Share</w:t>
      </w:r>
      <w:r>
        <w:rPr>
          <w:color w:val="000000"/>
        </w:rPr>
        <w:t>”</w:t>
      </w:r>
      <w:r>
        <w:rPr>
          <w:rFonts w:ascii="Times New Roman;sans-serif" w:hAnsi="Times New Roman;sans-serif"/>
          <w:b w:val="false"/>
          <w:color w:val="000000"/>
          <w:sz w:val="22"/>
        </w:rPr>
        <w:t>), which are exchangeable for Common Shares, on a 10 Common Shares for 1 Class B Share basis, at the option of the holder thereof, subject to customary adjustments. The Class B Shares issued to the Adelia Shareholders on the closing of the Adelia Transaction are exchangeable for a total of 8,688,330 Common Shares. The aggregate value of the Class B Shares to be issued to the Adelia Shareholders on the closing of the Adelia Transaction was $19,548,743.</w:t>
      </w:r>
    </w:p>
    <w:p>
      <w:pPr>
        <w:pStyle w:val="TextBody"/>
        <w:spacing w:lineRule="auto" w:line="240" w:before="0" w:after="240"/>
        <w:jc w:val="both"/>
        <w:rPr/>
      </w:pPr>
      <w:r>
        <w:rPr>
          <w:rFonts w:ascii="Times New Roman;sans-serif" w:hAnsi="Times New Roman;sans-serif"/>
          <w:b w:val="false"/>
          <w:color w:val="000000"/>
          <w:sz w:val="22"/>
        </w:rPr>
        <w:t>Under the Contribution Agreement, the Adelia Shareholders are also entitled to Class B Shares upon the occurrence of certain milestones (the “</w:t>
      </w:r>
      <w:r>
        <w:rPr>
          <w:rFonts w:ascii="Times New Roman;sans-serif" w:hAnsi="Times New Roman;sans-serif"/>
          <w:b/>
          <w:color w:val="000000"/>
          <w:sz w:val="22"/>
        </w:rPr>
        <w:t>Adelia Milestones</w:t>
      </w:r>
      <w:r>
        <w:rPr>
          <w:color w:val="000000"/>
        </w:rPr>
        <w:t>”</w:t>
      </w:r>
      <w:r>
        <w:rPr>
          <w:rFonts w:ascii="Times New Roman;sans-serif" w:hAnsi="Times New Roman;sans-serif"/>
          <w:b w:val="false"/>
          <w:color w:val="000000"/>
          <w:sz w:val="22"/>
        </w:rPr>
        <w:t>), as set out in the Contribution Agreement, which are also exchangeable for Common Shares on a 10 Common Shares for 1 Class B Share basis. The total value of the Class B Shares issuable pursuant to the Adelia Milestones is up to $9,388,045.50, assuming all Adelia Milestones are met prior to the applicable deadlines.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 Class B Shares were exchangeable prior to the first anniversary of closing of the Adelia Transaction, and not more than: (i) 33 1/3% of the Class B Shares were exchangeable prior to the second anniversary of the Adelia Transaction; (ii) 66 2/3% of the Class B Shares were exchangeable prior to the third anniversary of the Adelia Transaction; and (iii) thereafter, 100% of the Class B Shares will be exchangeable. </w:t>
      </w:r>
    </w:p>
    <w:p>
      <w:pPr>
        <w:pStyle w:val="TextBody"/>
        <w:spacing w:lineRule="auto" w:line="240" w:before="0" w:after="240"/>
        <w:jc w:val="both"/>
        <w:rPr/>
      </w:pPr>
      <w:r>
        <w:rPr>
          <w:rFonts w:ascii="Times New Roman;sans-serif" w:hAnsi="Times New Roman;sans-serif"/>
          <w:b w:val="false"/>
          <w:color w:val="000000"/>
          <w:sz w:val="22"/>
        </w:rPr>
        <w:t>As at March 31, 2023, 530,542.1 Class B Shares were outstanding, and will be exchangeable for a total of 5,305,421, Common Shares as of December 14, 2023. As of the date of this AIF, all of the milestones have been completed and 1,591,625.3</w:t>
      </w:r>
      <w:r>
        <w:rPr>
          <w:color w:val="000000"/>
        </w:rPr>
        <w:t xml:space="preserve"> </w:t>
      </w:r>
      <w:r>
        <w:rPr>
          <w:rFonts w:ascii="Times New Roman;sans-serif" w:hAnsi="Times New Roman;sans-serif"/>
          <w:b w:val="false"/>
          <w:color w:val="000000"/>
          <w:sz w:val="22"/>
        </w:rPr>
        <w:t xml:space="preserve">Class B Shares, have been issued to Adelia Shareholders, with 1,061,083.2 of the Class B Shares having been exchanged into Common Shares. For further information on the Class B Share issuances see </w:t>
      </w:r>
      <w:r>
        <w:rPr>
          <w:color w:val="000000"/>
        </w:rPr>
        <w:t>“</w:t>
      </w:r>
      <w:r>
        <w:rPr>
          <w:rFonts w:ascii="Times New Roman;sans-serif" w:hAnsi="Times New Roman;sans-serif"/>
          <w:b w:val="false"/>
          <w:i/>
          <w:color w:val="000000"/>
          <w:sz w:val="22"/>
        </w:rPr>
        <w:t>General Development of the Business – History of the Company</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jc w:val="both"/>
        <w:rPr/>
      </w:pPr>
      <w:r>
        <w:rPr>
          <w:rFonts w:ascii="Times New Roman;sans-serif" w:hAnsi="Times New Roman;sans-serif"/>
          <w:b w:val="false"/>
          <w:color w:val="000000"/>
          <w:sz w:val="22"/>
        </w:rPr>
        <w:t xml:space="preserve">The Company has filed a Form 51-102F4 - </w:t>
      </w:r>
      <w:r>
        <w:rPr>
          <w:rFonts w:ascii="Times New Roman;sans-serif" w:hAnsi="Times New Roman;sans-serif"/>
          <w:b w:val="false"/>
          <w:i/>
          <w:color w:val="000000"/>
          <w:sz w:val="22"/>
        </w:rPr>
        <w:t>Business Acquisition Report</w:t>
      </w:r>
      <w:r>
        <w:rPr>
          <w:color w:val="000000"/>
        </w:rPr>
        <w:t xml:space="preserve"> </w:t>
      </w:r>
      <w:r>
        <w:rPr>
          <w:rFonts w:ascii="Times New Roman;sans-serif" w:hAnsi="Times New Roman;sans-serif"/>
          <w:b w:val="false"/>
          <w:color w:val="000000"/>
          <w:sz w:val="22"/>
        </w:rPr>
        <w:t>in respect of the Adelia Transaction.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than the Adelia Transaction, the Company has not completed any significant acquisitions or dispositions during the fiscal year ended March 31, 2023 for which disclosure is required under Part 8 of NI 51-102.</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COVID-19 Pandemic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March 11, 2020, the World Health Organization declared the outbreak of COVID-19 a pandemic. Since the outbreak of COVID-19, the Company has focused its efforts on safeguarding the health and well-being of its employees, consultants and community members. To help slow the spread of </w:t>
      </w:r>
      <w:r>
        <w:br w:type="page"/>
      </w:r>
    </w:p>
    <w:p>
      <w:pPr>
        <w:pStyle w:val="TextBody"/>
        <w:spacing w:before="0" w:after="20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668020"/>
                <wp:effectExtent l="0" t="0" r="0" b="0"/>
                <wp:wrapNone/>
                <wp:docPr id="39" name="Frame3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COVID-19, the Company’s employees have been working remotely, where possible, and abiding by local and national guidance put in place in Canada, the United States, and Ireland related to social distancing and restrictions on travel outside of the home. The Company has and will continue to abide by the protocols within Canada, the United States, and Ireland regarding the performance of work activities. The duration and the immediate and eventual impact of the COVID-19 pandemic remains unknown. In particular, it is not possible to reliably estimate the length and severity of these developments and the impact on the financial results and condition of the Company.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Company are suspended or scaled back, or if the Company’s supply chains are disrupted, such events may have a material adverse effect on the Company. The breadth of the impact of the COVID-19 pandemic on investors, businesses, the global economy and financial and commodity markets may also have a material adverse effect on the Company. </w:t>
      </w:r>
    </w:p>
    <w:p>
      <w:pPr>
        <w:pStyle w:val="TextBody"/>
        <w:spacing w:lineRule="auto" w:line="240" w:before="0" w:after="240"/>
        <w:jc w:val="both"/>
        <w:rPr/>
      </w:pPr>
      <w:r>
        <w:rPr>
          <w:rFonts w:ascii="Times New Roman;sans-serif" w:hAnsi="Times New Roman;sans-serif"/>
          <w:b w:val="false"/>
          <w:color w:val="000000"/>
          <w:sz w:val="22"/>
        </w:rPr>
        <w:t>For additional information see “</w:t>
      </w:r>
      <w:r>
        <w:rPr>
          <w:rFonts w:ascii="Times New Roman;sans-serif" w:hAnsi="Times New Roman;sans-serif"/>
          <w:b w:val="false"/>
          <w:i/>
          <w:color w:val="000000"/>
          <w:sz w:val="22"/>
        </w:rPr>
        <w:t>Risk Factors – Risks Related to the Business of the Company - Novel Coronavirus COVID-19”</w:t>
      </w:r>
      <w:r>
        <w:rPr>
          <w:rFonts w:ascii="Times New Roman;sans-serif" w:hAnsi="Times New Roman;sans-serif"/>
          <w:b w:val="false"/>
          <w:color w:val="000000"/>
          <w:sz w:val="22"/>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DESCRIPTION OF THE BUSINESS</w:t>
      </w:r>
    </w:p>
    <w:p>
      <w:pPr>
        <w:pStyle w:val="TextBody"/>
        <w:spacing w:lineRule="auto" w:line="240" w:before="0" w:after="0"/>
        <w:jc w:val="both"/>
        <w:rPr/>
      </w:pPr>
      <w:r>
        <w:rPr>
          <w:rFonts w:ascii="Times New Roman;sans-serif" w:hAnsi="Times New Roman;sans-serif"/>
          <w:b w:val="false"/>
          <w:color w:val="000000"/>
          <w:sz w:val="22"/>
        </w:rPr>
        <w:t>The Company is a clinical-stage biopharmaceutical company on a mission to create safe and effective psychedelic-based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sans-serif" w:hAnsi="Times New Roman;sans-serif"/>
          <w:b w:val="false"/>
          <w:color w:val="000000"/>
          <w:sz w:val="14"/>
        </w:rPr>
        <w:t>11</w:t>
      </w:r>
      <w:r>
        <w:rPr>
          <w:color w:val="000000"/>
        </w:rPr>
        <w:t xml:space="preserve">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2"/>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sans-serif" w:hAnsi="Times New Roman;sans-serif"/>
          <w:b/>
          <w:color w:val="000000"/>
          <w:sz w:val="22"/>
        </w:rPr>
        <w:t>IP</w:t>
      </w:r>
      <w:r>
        <w:rPr>
          <w:color w:val="000000"/>
        </w:rPr>
        <w:t>”</w:t>
      </w:r>
      <w:r>
        <w:rPr>
          <w:rFonts w:ascii="Times New Roman;sans-serif" w:hAnsi="Times New Roman;sans-serif"/>
          <w:b w:val="false"/>
          <w:color w:val="000000"/>
          <w:sz w:val="22"/>
        </w:rPr>
        <w:t>) focused on developing the Company’s platform technology, the progression of clinical development programs including CYB003, a deuterated psilocybin analog, CYB004, a deuterated version of DMT, CYB005, phenethylamine derivatives, and an expansive list of preclinical molecules to facilitate future drug development opportunities.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historically had two business segments (a) Serenity Life Sciences Inc. and Cybin U.S. that focus on the research and development of psychedelic pharmaceutical products; and (b) Natures Journey that focused on consumer mental wellness, including non-psychedelic nutraceutical products and consumer mental wellness. In November 2021, the Company decided to not proceed with the Natures Journey business segment in order to prioritize its research and development of psychedelic pharmaceutical products. </w:t>
      </w:r>
    </w:p>
    <w:p>
      <w:pPr>
        <w:pStyle w:val="TextBody"/>
        <w:spacing w:before="0" w:after="0"/>
        <w:jc w:val="both"/>
        <w:rPr/>
      </w:pPr>
      <w:r>
        <w:rPr/>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Advancement of Mental Healthcare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PK properties while maintaining their respective pharmacology. </w:t>
      </w:r>
    </w:p>
    <w:p>
      <w:pPr>
        <w:pStyle w:val="TextBody"/>
        <w:spacing w:lineRule="auto" w:line="240"/>
        <w:jc w:val="both"/>
        <w:rPr/>
      </w:pPr>
      <w:r>
        <w:rPr>
          <w:rFonts w:ascii="Times New Roman;sans-serif" w:hAnsi="Times New Roman;sans-serif"/>
          <w:b w:val="false"/>
          <w:color w:val="000000"/>
          <w:sz w:val="12"/>
        </w:rPr>
        <w:t>11</w:t>
      </w:r>
      <w:r>
        <w:rPr>
          <w:color w:val="000000"/>
        </w:rPr>
        <w:t xml:space="preserve"> </w:t>
      </w:r>
      <w:r>
        <w:rPr>
          <w:rFonts w:ascii="Times New Roman;sans-serif" w:hAnsi="Times New Roman;sans-serif"/>
          <w:b w:val="false"/>
          <w:color w:val="000000"/>
          <w:sz w:val="18"/>
        </w:rPr>
        <w:t xml:space="preserve">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r>
        <w:br w:type="page"/>
      </w:r>
    </w:p>
    <w:p>
      <w:pPr>
        <w:pStyle w:val="TextBody"/>
        <w:spacing w:before="0" w:after="20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668020"/>
                <wp:effectExtent l="0" t="0" r="0" b="0"/>
                <wp:wrapNone/>
                <wp:docPr id="40" name="Frame3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Across its extensive research and development programs, Cybin is evaluating a wide array of novel, synthetic psychedelic API’s intended to be delivered through innovative drug delivery systems including orally disintegrating tablets (“</w:t>
      </w:r>
      <w:r>
        <w:rPr>
          <w:rFonts w:ascii="Times New Roman;sans-serif" w:hAnsi="Times New Roman;sans-serif"/>
          <w:b/>
          <w:color w:val="000000"/>
          <w:sz w:val="22"/>
        </w:rPr>
        <w:t>ODT</w:t>
      </w:r>
      <w:r>
        <w:rPr>
          <w:color w:val="000000"/>
        </w:rPr>
        <w:t>”</w:t>
      </w:r>
      <w:r>
        <w:rPr>
          <w:rFonts w:ascii="Times New Roman;sans-serif" w:hAnsi="Times New Roman;sans-serif"/>
          <w:b w:val="false"/>
          <w:color w:val="000000"/>
          <w:sz w:val="22"/>
        </w:rPr>
        <w:t>),</w:t>
      </w:r>
      <w:r>
        <w:rPr>
          <w:rFonts w:ascii="Times New Roman;sans-serif" w:hAnsi="Times New Roman;sans-serif"/>
          <w:b w:val="false"/>
          <w:color w:val="000000"/>
          <w:sz w:val="14"/>
        </w:rPr>
        <w:t>12</w:t>
      </w:r>
      <w:r>
        <w:rPr>
          <w:color w:val="000000"/>
        </w:rPr>
        <w:t xml:space="preserve"> </w:t>
      </w:r>
      <w:r>
        <w:rPr>
          <w:rFonts w:ascii="Times New Roman;sans-serif" w:hAnsi="Times New Roman;sans-serif"/>
          <w:b w:val="false"/>
          <w:color w:val="000000"/>
          <w:sz w:val="22"/>
        </w:rPr>
        <w:t xml:space="preserve">via inhalation, via IV, and intramuscular, or subcutaneous administration. </w:t>
      </w:r>
    </w:p>
    <w:p>
      <w:pPr>
        <w:pStyle w:val="TextBody"/>
        <w:spacing w:lineRule="auto" w:line="240" w:before="0" w:after="240"/>
        <w:jc w:val="both"/>
        <w:rPr/>
      </w:pPr>
      <w:r>
        <w:rPr>
          <w:rFonts w:ascii="Times New Roman;sans-serif" w:hAnsi="Times New Roman;sans-serif"/>
          <w:b w:val="false"/>
          <w:color w:val="000000"/>
          <w:sz w:val="22"/>
        </w:rPr>
        <w:t>The Company intends to apply for regulatory approval for therapies targeting indications such as MDD, alcohol use disorder (“</w:t>
      </w:r>
      <w:r>
        <w:rPr>
          <w:rFonts w:ascii="Times New Roman;sans-serif" w:hAnsi="Times New Roman;sans-serif"/>
          <w:b/>
          <w:color w:val="000000"/>
          <w:sz w:val="22"/>
        </w:rPr>
        <w:t>AUD</w:t>
      </w:r>
      <w:r>
        <w:rPr>
          <w:color w:val="000000"/>
        </w:rPr>
        <w:t>”</w:t>
      </w:r>
      <w:r>
        <w:rPr>
          <w:rFonts w:ascii="Times New Roman;sans-serif" w:hAnsi="Times New Roman;sans-serif"/>
          <w:b w:val="false"/>
          <w:color w:val="000000"/>
          <w:sz w:val="22"/>
        </w:rPr>
        <w:t>), GAD and potentially other various mental health conditions.</w:t>
      </w:r>
      <w:r>
        <w:rPr>
          <w:rFonts w:ascii="Times New Roman;sans-serif" w:hAnsi="Times New Roman;sans-serif"/>
          <w:b w:val="false"/>
          <w:color w:val="000000"/>
          <w:sz w:val="14"/>
        </w:rPr>
        <w:t>13</w:t>
      </w:r>
      <w:r>
        <w:rPr>
          <w:color w:val="000000"/>
        </w:rPr>
        <w:t xml:space="preserve"> </w:t>
      </w:r>
      <w:r>
        <w:rPr>
          <w:rFonts w:ascii="Times New Roman;sans-serif" w:hAnsi="Times New Roman;sans-serif"/>
          <w:b w:val="false"/>
          <w:color w:val="000000"/>
          <w:sz w:val="22"/>
        </w:rPr>
        <w:t>The Company is also developing compounds that may have the potential to address neuroinflammation,</w:t>
      </w:r>
      <w:r>
        <w:rPr>
          <w:rFonts w:ascii="Times New Roman;sans-serif" w:hAnsi="Times New Roman;sans-serif"/>
          <w:b w:val="false"/>
          <w:color w:val="000000"/>
          <w:sz w:val="14"/>
        </w:rPr>
        <w:t>14</w:t>
      </w:r>
      <w:r>
        <w:rPr>
          <w:color w:val="000000"/>
        </w:rPr>
        <w:t xml:space="preserve"> </w:t>
      </w:r>
      <w:r>
        <w:rPr>
          <w:rFonts w:ascii="Times New Roman;sans-serif" w:hAnsi="Times New Roman;sans-serif"/>
          <w:b w:val="false"/>
          <w:color w:val="000000"/>
          <w:sz w:val="22"/>
        </w:rPr>
        <w:t>central nervous system (“</w:t>
      </w:r>
      <w:r>
        <w:rPr>
          <w:rFonts w:ascii="Times New Roman;sans-serif" w:hAnsi="Times New Roman;sans-serif"/>
          <w:b/>
          <w:color w:val="000000"/>
          <w:sz w:val="22"/>
        </w:rPr>
        <w:t>CNS</w:t>
      </w:r>
      <w:r>
        <w:rPr>
          <w:color w:val="000000"/>
        </w:rPr>
        <w:t>”</w:t>
      </w:r>
      <w:r>
        <w:rPr>
          <w:rFonts w:ascii="Times New Roman;sans-serif" w:hAnsi="Times New Roman;sans-serif"/>
          <w:b w:val="false"/>
          <w:color w:val="000000"/>
          <w:sz w:val="22"/>
        </w:rPr>
        <w:t>) disorders, and psychiatric disorders.</w:t>
      </w:r>
      <w:r>
        <w:rPr>
          <w:rFonts w:ascii="Times New Roman;sans-serif" w:hAnsi="Times New Roman;sans-serif"/>
          <w:b w:val="false"/>
          <w:color w:val="000000"/>
          <w:sz w:val="14"/>
        </w:rPr>
        <w:t>15</w:t>
      </w:r>
    </w:p>
    <w:p>
      <w:pPr>
        <w:pStyle w:val="TextBody"/>
        <w:spacing w:lineRule="auto" w:line="240" w:before="0" w:after="240"/>
        <w:jc w:val="both"/>
        <w:rPr/>
      </w:pPr>
      <w:r>
        <w:rPr>
          <w:rFonts w:ascii="Times New Roman;sans-serif" w:hAnsi="Times New Roman;sans-serif"/>
          <w:b w:val="false"/>
          <w:color w:val="000000"/>
          <w:sz w:val="22"/>
        </w:rPr>
        <w:t>Further, over the next 12-month period, the Company will continue to seek to establish strategic partnerships that advance the Company’s scientific research and IP for new psychedelic-based compounds and novel delivery mechanisms.</w:t>
      </w:r>
      <w:r>
        <w:rPr>
          <w:rFonts w:ascii="Times New Roman;sans-serif" w:hAnsi="Times New Roman;sans-serif"/>
          <w:b w:val="false"/>
          <w:color w:val="000000"/>
          <w:sz w:val="14"/>
        </w:rPr>
        <w:t>16</w:t>
      </w:r>
      <w:r>
        <w:rPr>
          <w:color w:val="000000"/>
        </w:rPr>
        <w:t xml:space="preserve"> </w:t>
      </w:r>
      <w:r>
        <w:rPr>
          <w:rFonts w:ascii="Times New Roman;sans-serif" w:hAnsi="Times New Roman;sans-serif"/>
          <w:b w:val="false"/>
          <w:color w:val="000000"/>
          <w:sz w:val="22"/>
        </w:rPr>
        <w:t>The Company will also continue to sponsor select internal and partner-related clinical trials that advance the understanding of safety and efficacy for various psychedelic agents that target mental health conditions.</w:t>
      </w:r>
      <w:r>
        <w:rPr>
          <w:rFonts w:ascii="Times New Roman;sans-serif" w:hAnsi="Times New Roman;sans-serif"/>
          <w:b w:val="false"/>
          <w:color w:val="000000"/>
          <w:sz w:val="14"/>
        </w:rPr>
        <w:t>17</w:t>
      </w:r>
      <w:r>
        <w:rPr>
          <w:color w:val="000000"/>
        </w:rPr>
        <w:t xml:space="preserve"> </w: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Business Objectives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Over the next 12 months, the Company expects to: </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work with third parties to chemically synthesize psychedelic APIs for potential use in clinical trials;</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retain contract research organizations (“</w:t>
      </w:r>
      <w:r>
        <w:rPr>
          <w:rFonts w:ascii="Times New Roman;sans-serif" w:hAnsi="Times New Roman;sans-serif"/>
          <w:b/>
          <w:color w:val="000000"/>
          <w:sz w:val="22"/>
        </w:rPr>
        <w:t>CROs</w:t>
      </w:r>
      <w:r>
        <w:rPr>
          <w:color w:val="000000"/>
        </w:rPr>
        <w:t>”</w:t>
      </w:r>
      <w:r>
        <w:rPr>
          <w:rFonts w:ascii="Times New Roman;sans-serif" w:hAnsi="Times New Roman;sans-serif"/>
          <w:b w:val="false"/>
          <w:color w:val="000000"/>
          <w:sz w:val="22"/>
        </w:rPr>
        <w:t>) to support development of intellectual property of which the Company will be the owner;</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commence clinical trials regarding the safety and efficacy surrounding the delivery of its proprietary deuterated psilocybin analog with an in-house psycho-assisted therapy;</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expand its intellectual property portfolio through internal development of novel psychedelic tryptamine and phenethylamine molecules and through acquisition strategies;</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continue an M&amp;A strategy to acquire biotech and pharmaceutical technologies with a core focus on intellectual property and psychedelic research; and</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prioritizing clinical research of the deuterated psilocybin analog and deuterated dimethyltryptamine programs.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Stage of Development of Principal Products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 approvals. As of the date of this AIF, the Company has generated revenue from non-core, nutraceutical formulation which was purchased and formulated into finished goods and sold in the United States to one purchaser. The products will not be re-generated in the future and do not represent core sales of the Company and/or core products of the Company. The Company has discontinued its sales of such products as it is not in line with the Company’s core sales model.</w:t>
      </w:r>
    </w:p>
    <w:p>
      <w:pPr>
        <w:pStyle w:val="TextBody"/>
        <w:spacing w:lineRule="auto" w:line="240" w:before="0" w:after="0"/>
        <w:jc w:val="both"/>
        <w:rPr/>
      </w:pPr>
      <w:r>
        <w:rPr>
          <w:rFonts w:ascii="Times New Roman;sans-serif" w:hAnsi="Times New Roman;sans-serif"/>
          <w:b w:val="false"/>
          <w:color w:val="000000"/>
          <w:sz w:val="12"/>
        </w:rPr>
        <w:t>12</w:t>
      </w:r>
      <w:r>
        <w:rPr>
          <w:color w:val="000000"/>
        </w:rPr>
        <w:t xml:space="preserve"> </w:t>
      </w:r>
      <w:r>
        <w:rPr>
          <w:rFonts w:ascii="Times New Roman;sans-serif" w:hAnsi="Times New Roman;sans-serif"/>
          <w:b w:val="false"/>
          <w:color w:val="000000"/>
          <w:sz w:val="18"/>
        </w:rPr>
        <w:t>See footnote 11.</w:t>
      </w:r>
    </w:p>
    <w:p>
      <w:pPr>
        <w:pStyle w:val="TextBody"/>
        <w:spacing w:lineRule="auto" w:line="240" w:before="0" w:after="0"/>
        <w:rPr/>
      </w:pPr>
      <w:r>
        <w:rPr>
          <w:rFonts w:ascii="Times New Roman;sans-serif" w:hAnsi="Times New Roman;sans-serif"/>
          <w:b w:val="false"/>
          <w:color w:val="000000"/>
          <w:sz w:val="12"/>
        </w:rPr>
        <w:t>13</w:t>
      </w:r>
      <w:r>
        <w:rPr>
          <w:color w:val="000000"/>
        </w:rPr>
        <w:t xml:space="preserve"> </w:t>
      </w:r>
      <w:r>
        <w:rPr>
          <w:rFonts w:ascii="Times New Roman;sans-serif" w:hAnsi="Times New Roman;sans-serif"/>
          <w:b w:val="false"/>
          <w:color w:val="000000"/>
          <w:sz w:val="18"/>
        </w:rPr>
        <w:t>See footnote 11.</w:t>
      </w:r>
    </w:p>
    <w:p>
      <w:pPr>
        <w:pStyle w:val="TextBody"/>
        <w:spacing w:lineRule="auto" w:line="240" w:before="0" w:after="0"/>
        <w:rPr/>
      </w:pPr>
      <w:r>
        <w:rPr>
          <w:rFonts w:ascii="Times New Roman;sans-serif" w:hAnsi="Times New Roman;sans-serif"/>
          <w:b w:val="false"/>
          <w:color w:val="000000"/>
          <w:sz w:val="12"/>
        </w:rPr>
        <w:t>14</w:t>
      </w:r>
      <w:r>
        <w:rPr>
          <w:color w:val="000000"/>
        </w:rPr>
        <w:t xml:space="preserve"> </w:t>
      </w:r>
      <w:r>
        <w:rPr>
          <w:rFonts w:ascii="Times New Roman;sans-serif" w:hAnsi="Times New Roman;sans-serif"/>
          <w:b w:val="false"/>
          <w:color w:val="000000"/>
          <w:sz w:val="18"/>
        </w:rPr>
        <w:t>See footnote 11.</w:t>
      </w:r>
    </w:p>
    <w:p>
      <w:pPr>
        <w:pStyle w:val="TextBody"/>
        <w:spacing w:lineRule="auto" w:line="240" w:before="0" w:after="0"/>
        <w:rPr/>
      </w:pPr>
      <w:r>
        <w:rPr>
          <w:rFonts w:ascii="Times New Roman;sans-serif" w:hAnsi="Times New Roman;sans-serif"/>
          <w:b w:val="false"/>
          <w:color w:val="000000"/>
          <w:sz w:val="12"/>
        </w:rPr>
        <w:t>15</w:t>
      </w:r>
      <w:r>
        <w:rPr>
          <w:color w:val="000000"/>
        </w:rPr>
        <w:t xml:space="preserve"> </w:t>
      </w:r>
      <w:r>
        <w:rPr>
          <w:rFonts w:ascii="Times New Roman;sans-serif" w:hAnsi="Times New Roman;sans-serif"/>
          <w:b w:val="false"/>
          <w:color w:val="000000"/>
          <w:sz w:val="18"/>
        </w:rPr>
        <w:t>See footnote 11.</w:t>
      </w:r>
    </w:p>
    <w:p>
      <w:pPr>
        <w:pStyle w:val="TextBody"/>
        <w:spacing w:lineRule="auto" w:line="240" w:before="0" w:after="0"/>
        <w:jc w:val="both"/>
        <w:rPr/>
      </w:pPr>
      <w:r>
        <w:rPr>
          <w:rFonts w:ascii="Times New Roman;sans-serif" w:hAnsi="Times New Roman;sans-serif"/>
          <w:b w:val="false"/>
          <w:color w:val="000000"/>
          <w:sz w:val="12"/>
        </w:rPr>
        <w:t xml:space="preserve">16 </w:t>
      </w:r>
      <w:r>
        <w:rPr>
          <w:rFonts w:ascii="Times New Roman;sans-serif" w:hAnsi="Times New Roman;sans-serif"/>
          <w:b w:val="false"/>
          <w:color w:val="000000"/>
          <w:sz w:val="18"/>
        </w:rPr>
        <w:t>A material factor and assumption underlying this forward-looking statement is that the Company will be able to successfully negotiate strategic partnerships.</w:t>
      </w:r>
    </w:p>
    <w:p>
      <w:pPr>
        <w:pStyle w:val="TextBody"/>
        <w:spacing w:lineRule="auto" w:line="240"/>
        <w:jc w:val="both"/>
        <w:rPr/>
      </w:pPr>
      <w:r>
        <w:rPr>
          <w:rFonts w:ascii="Times New Roman;sans-serif" w:hAnsi="Times New Roman;sans-serif"/>
          <w:b w:val="false"/>
          <w:color w:val="000000"/>
          <w:sz w:val="12"/>
        </w:rPr>
        <w:t xml:space="preserve">17 </w:t>
      </w:r>
      <w:r>
        <w:rPr>
          <w:rFonts w:ascii="Times New Roman;sans-serif" w:hAnsi="Times New Roman;sans-serif"/>
          <w:b w:val="false"/>
          <w:color w:val="000000"/>
          <w:sz w:val="18"/>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r>
        <w:rPr>
          <w:color w:val="000000"/>
        </w:rPr>
        <w:t xml:space="preserve"> </w:t>
      </w:r>
      <w:r>
        <w:br w:type="page"/>
      </w:r>
    </w:p>
    <w:p>
      <w:pPr>
        <w:pStyle w:val="TextBody"/>
        <w:spacing w:before="0" w:after="20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668020"/>
                <wp:effectExtent l="0" t="0" r="0" b="0"/>
                <wp:wrapNone/>
                <wp:docPr id="41" name="Frame3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In order to establish its business operations, the Company intends to leverage the extensive professional network of its management to build working partnerships with (i) existing producers of psychedelic products based in Canada, the United States, the European Union and the United Kingdom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Times New Roman;sans-serif" w:hAnsi="Times New Roman;sans-serif"/>
          <w:b w:val="false"/>
          <w:color w:val="000000"/>
          <w:sz w:val="14"/>
        </w:rPr>
        <w:t>18</w:t>
      </w:r>
    </w:p>
    <w:p>
      <w:pPr>
        <w:pStyle w:val="TextBody"/>
        <w:spacing w:lineRule="auto" w:line="240" w:before="0" w:after="240"/>
        <w:jc w:val="both"/>
        <w:rPr/>
      </w:pPr>
      <w:r>
        <w:rPr>
          <w:rFonts w:ascii="Times New Roman;sans-serif" w:hAnsi="Times New Roman;sans-serif"/>
          <w:b w:val="false"/>
          <w:color w:val="000000"/>
          <w:sz w:val="22"/>
        </w:rPr>
        <w:t xml:space="preserve">Prescription drugs are classified and regulated under the federal </w:t>
      </w:r>
      <w:r>
        <w:rPr>
          <w:rFonts w:ascii="Times New Roman;sans-serif" w:hAnsi="Times New Roman;sans-serif"/>
          <w:b w:val="false"/>
          <w:i/>
          <w:color w:val="000000"/>
          <w:sz w:val="22"/>
        </w:rPr>
        <w:t>Food and Drugs Act</w:t>
      </w:r>
      <w:r>
        <w:rPr>
          <w:color w:val="000000"/>
        </w:rPr>
        <w:t xml:space="preserve"> </w:t>
      </w:r>
      <w:r>
        <w:rPr>
          <w:rFonts w:ascii="Times New Roman;sans-serif" w:hAnsi="Times New Roman;sans-serif"/>
          <w:b w:val="false"/>
          <w:color w:val="000000"/>
          <w:sz w:val="22"/>
        </w:rPr>
        <w:t>(Canada) (the “</w:t>
      </w:r>
      <w:r>
        <w:rPr>
          <w:rFonts w:ascii="Times New Roman;sans-serif" w:hAnsi="Times New Roman;sans-serif"/>
          <w:b/>
          <w:color w:val="000000"/>
          <w:sz w:val="22"/>
        </w:rPr>
        <w:t>Canadian FDA</w:t>
      </w:r>
      <w:r>
        <w:rPr>
          <w:color w:val="000000"/>
        </w:rPr>
        <w:t>”</w:t>
      </w:r>
      <w:r>
        <w:rPr>
          <w:rFonts w:ascii="Times New Roman;sans-serif" w:hAnsi="Times New Roman;sans-serif"/>
          <w:b w:val="false"/>
          <w:color w:val="000000"/>
          <w:sz w:val="22"/>
        </w:rPr>
        <w:t>). Labelling, marketing and selling of any prescription drug must comply with the Canadian FDA, including by ensuring that the Company’s products are not packaged or marketed in a manner that is misleading or deceptive to a consumer. See “</w:t>
      </w:r>
      <w:r>
        <w:rPr>
          <w:rFonts w:ascii="Times New Roman;sans-serif" w:hAnsi="Times New Roman;sans-serif"/>
          <w:b w:val="false"/>
          <w:i/>
          <w:color w:val="000000"/>
          <w:sz w:val="22"/>
        </w:rPr>
        <w:t>Regulatory Environment – Canada”</w:t>
      </w:r>
      <w:r>
        <w:rPr>
          <w:rFonts w:ascii="Times New Roman;sans-serif" w:hAnsi="Times New Roman;sans-serif"/>
          <w:b w:val="false"/>
          <w:color w:val="000000"/>
          <w:sz w:val="22"/>
        </w:rPr>
        <w:t xml:space="preserve">. </w:t>
      </w:r>
    </w:p>
    <w:p>
      <w:pPr>
        <w:pStyle w:val="TextBody"/>
        <w:spacing w:lineRule="auto" w:line="240" w:before="0" w:after="240"/>
        <w:jc w:val="both"/>
        <w:rPr/>
      </w:pPr>
      <w:r>
        <w:rPr>
          <w:rFonts w:ascii="Times New Roman;sans-serif" w:hAnsi="Times New Roman;sans-serif"/>
          <w:b w:val="false"/>
          <w:color w:val="000000"/>
          <w:sz w:val="22"/>
        </w:rPr>
        <w:t xml:space="preserve">In the United States, foods, drugs and dietary supplements are subject to extensive regulation. The </w:t>
      </w:r>
      <w:r>
        <w:rPr>
          <w:rFonts w:ascii="Times New Roman;sans-serif" w:hAnsi="Times New Roman;sans-serif"/>
          <w:b w:val="false"/>
          <w:i/>
          <w:color w:val="000000"/>
          <w:sz w:val="22"/>
        </w:rPr>
        <w:t xml:space="preserve">Federal Food, Drug, and Cosmetic Act </w:t>
      </w:r>
      <w:r>
        <w:rPr>
          <w:rFonts w:ascii="Times New Roman;sans-serif" w:hAnsi="Times New Roman;sans-serif"/>
          <w:b w:val="false"/>
          <w:color w:val="000000"/>
          <w:sz w:val="22"/>
        </w:rPr>
        <w:t>(“</w:t>
      </w:r>
      <w:r>
        <w:rPr>
          <w:rFonts w:ascii="Times New Roman;sans-serif" w:hAnsi="Times New Roman;sans-serif"/>
          <w:b/>
          <w:color w:val="000000"/>
          <w:sz w:val="22"/>
        </w:rPr>
        <w:t>FFDCA</w:t>
      </w:r>
      <w:r>
        <w:rPr>
          <w:color w:val="000000"/>
        </w:rPr>
        <w:t>”</w:t>
      </w:r>
      <w:r>
        <w:rPr>
          <w:rFonts w:ascii="Times New Roman;sans-serif" w:hAnsi="Times New Roman;sans-serif"/>
          <w:b w:val="false"/>
          <w:color w:val="000000"/>
          <w:sz w:val="22"/>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FDA. See “</w:t>
      </w:r>
      <w:r>
        <w:rPr>
          <w:rFonts w:ascii="Times New Roman;sans-serif" w:hAnsi="Times New Roman;sans-serif"/>
          <w:b w:val="false"/>
          <w:i/>
          <w:color w:val="000000"/>
          <w:sz w:val="22"/>
        </w:rPr>
        <w:t>Regulatory Environment – United States</w:t>
      </w:r>
      <w:r>
        <w:rPr>
          <w:color w:val="000000"/>
        </w:rPr>
        <w:t>”</w:t>
      </w:r>
      <w:r>
        <w:rPr>
          <w:rFonts w:ascii="Times New Roman;sans-serif" w:hAnsi="Times New Roman;sans-serif"/>
          <w:b w:val="false"/>
          <w:color w:val="000000"/>
          <w:sz w:val="22"/>
        </w:rPr>
        <w: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4, 2021, the Company announced that it has been granted a Schedule I manufacturing license from the DEA. The DEA license is for the Company’s research lab in the Boston area. The license will allow the Company to further become a hub for innovation and drug discovery. Previously, the Company conducted much of its research and development work through globally licensed research organizations in the U.S., Canada, and the UK, and through certain in-house capabilities. With the DEA license, the Company expects to be able to expand its internal R&amp;D capabilities to support innovative drug discovery and delivery involving Schedule I compounds.</w:t>
      </w:r>
    </w:p>
    <w:p>
      <w:pPr>
        <w:pStyle w:val="TextBody"/>
        <w:spacing w:lineRule="auto" w:line="240" w:before="0" w:after="240"/>
        <w:jc w:val="both"/>
        <w:rPr/>
      </w:pPr>
      <w:r>
        <w:rPr>
          <w:rFonts w:ascii="Times New Roman;sans-serif" w:hAnsi="Times New Roman;sans-serif"/>
          <w:b w:val="false"/>
          <w:i/>
          <w:color w:val="000000"/>
          <w:sz w:val="22"/>
        </w:rPr>
        <w:t>Non-Revenue Generating Projects</w:t>
      </w:r>
      <w:r>
        <w:rPr>
          <w:rFonts w:ascii="Times New Roman;sans-serif" w:hAnsi="Times New Roman;sans-serif"/>
          <w:b w:val="false"/>
          <w:i/>
          <w:color w:val="000000"/>
          <w:sz w:val="14"/>
        </w:rPr>
        <w:t>19</w:t>
      </w:r>
      <w:r>
        <w:rPr>
          <w:color w:val="000000"/>
        </w:rPr>
        <w:t xml:space="preserv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currently has four significant projects, which have not yet generated revenue:</w:t>
      </w:r>
    </w:p>
    <w:p>
      <w:pPr>
        <w:pStyle w:val="TextBody"/>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a.Deuterated Psilocybin Analog Program (CYB003)</w:t>
      </w:r>
    </w:p>
    <w:p>
      <w:pPr>
        <w:pStyle w:val="TextBody"/>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b.Deuterated Dimethyltryptamine Program (CYB004)</w:t>
      </w:r>
    </w:p>
    <w:p>
      <w:pPr>
        <w:pStyle w:val="TextBody"/>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c.Phenethylamine Derivatives Program (CYB005)</w:t>
      </w:r>
    </w:p>
    <w:p>
      <w:pPr>
        <w:pStyle w:val="TextBody"/>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d.Technology Programs </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val="false"/>
          <w:color w:val="000000"/>
          <w:sz w:val="22"/>
        </w:rPr>
        <w:t>The Company has developed EMBARK, a psychological support model that integrates leading clinical approaches to promote supportive healing with psychedelic medicine. EMBARK’s six clinical domains (</w:t>
      </w:r>
      <w:r>
        <w:rPr>
          <w:rFonts w:ascii="Times New Roman;sans-serif" w:hAnsi="Times New Roman;sans-serif"/>
          <w:b/>
          <w:color w:val="000000"/>
          <w:sz w:val="22"/>
        </w:rPr>
        <w:t>E</w:t>
      </w:r>
      <w:r>
        <w:rPr>
          <w:rFonts w:ascii="Times New Roman;sans-serif" w:hAnsi="Times New Roman;sans-serif"/>
          <w:b w:val="false"/>
          <w:color w:val="000000"/>
          <w:sz w:val="22"/>
        </w:rPr>
        <w:t xml:space="preserve">xistential-Spiritual, </w:t>
      </w:r>
      <w:r>
        <w:rPr>
          <w:rFonts w:ascii="Times New Roman;sans-serif" w:hAnsi="Times New Roman;sans-serif"/>
          <w:b/>
          <w:color w:val="000000"/>
          <w:sz w:val="22"/>
        </w:rPr>
        <w:t>M</w:t>
      </w:r>
      <w:r>
        <w:rPr>
          <w:rFonts w:ascii="Times New Roman;sans-serif" w:hAnsi="Times New Roman;sans-serif"/>
          <w:b w:val="false"/>
          <w:color w:val="000000"/>
          <w:sz w:val="22"/>
        </w:rPr>
        <w:t xml:space="preserve">indfulness, </w:t>
      </w:r>
      <w:r>
        <w:rPr>
          <w:rFonts w:ascii="Times New Roman;sans-serif" w:hAnsi="Times New Roman;sans-serif"/>
          <w:b/>
          <w:color w:val="000000"/>
          <w:sz w:val="22"/>
        </w:rPr>
        <w:t>B</w:t>
      </w:r>
      <w:r>
        <w:rPr>
          <w:rFonts w:ascii="Times New Roman;sans-serif" w:hAnsi="Times New Roman;sans-serif"/>
          <w:b w:val="false"/>
          <w:color w:val="000000"/>
          <w:sz w:val="22"/>
        </w:rPr>
        <w:t xml:space="preserve">ody Aware, </w:t>
      </w:r>
      <w:r>
        <w:rPr>
          <w:rFonts w:ascii="Times New Roman;sans-serif" w:hAnsi="Times New Roman;sans-serif"/>
          <w:b/>
          <w:color w:val="000000"/>
          <w:sz w:val="22"/>
        </w:rPr>
        <w:t>A</w:t>
      </w:r>
      <w:r>
        <w:rPr>
          <w:rFonts w:ascii="Times New Roman;sans-serif" w:hAnsi="Times New Roman;sans-serif"/>
          <w:b w:val="false"/>
          <w:color w:val="000000"/>
          <w:sz w:val="22"/>
        </w:rPr>
        <w:t xml:space="preserve">ffective-Cognitive, </w:t>
      </w:r>
      <w:r>
        <w:rPr>
          <w:rFonts w:ascii="Times New Roman;sans-serif" w:hAnsi="Times New Roman;sans-serif"/>
          <w:b/>
          <w:color w:val="000000"/>
          <w:sz w:val="22"/>
        </w:rPr>
        <w:t>R</w:t>
      </w:r>
      <w:r>
        <w:rPr>
          <w:rFonts w:ascii="Times New Roman;sans-serif" w:hAnsi="Times New Roman;sans-serif"/>
          <w:b w:val="false"/>
          <w:color w:val="000000"/>
          <w:sz w:val="22"/>
        </w:rPr>
        <w:t xml:space="preserve">elational, </w:t>
      </w:r>
      <w:r>
        <w:rPr>
          <w:rFonts w:ascii="Times New Roman;sans-serif" w:hAnsi="Times New Roman;sans-serif"/>
          <w:b/>
          <w:color w:val="000000"/>
          <w:sz w:val="22"/>
        </w:rPr>
        <w:t>K</w:t>
      </w:r>
      <w:r>
        <w:rPr>
          <w:rFonts w:ascii="Times New Roman;sans-serif" w:hAnsi="Times New Roman;sans-serif"/>
          <w:b w:val="false"/>
          <w:color w:val="000000"/>
          <w:sz w:val="22"/>
        </w:rPr>
        <w:t>eeping Momentum) represent the broad spectrum of ways in which therapeutic benefits may arise in psychedelic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a free online foundational training course for psychedelic facilitation. EMBARK Open Access is the first and only free massive open online course that offers psychedelic facilitation training for healthcare professionals and people interested in offering psychological support.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description of each program, including a description of the Company’s plan for such programs, the status of the objectives related to the Company’s plan for such program and anticipated expenditures to advance the program to the next stage of pipeline development.</w:t>
      </w:r>
    </w:p>
    <w:p>
      <w:pPr>
        <w:pStyle w:val="TextBody"/>
        <w:spacing w:lineRule="auto" w:line="240" w:before="0" w:after="0"/>
        <w:jc w:val="both"/>
        <w:rPr/>
      </w:pPr>
      <w:r>
        <w:rPr>
          <w:rFonts w:ascii="Times New Roman;sans-serif" w:hAnsi="Times New Roman;sans-serif"/>
          <w:b w:val="false"/>
          <w:color w:val="000000"/>
          <w:sz w:val="12"/>
        </w:rPr>
        <w:t>18</w:t>
      </w:r>
      <w:r>
        <w:rPr>
          <w:color w:val="000000"/>
        </w:rPr>
        <w:t xml:space="preserve"> </w:t>
      </w:r>
      <w:r>
        <w:rPr>
          <w:rFonts w:ascii="Times New Roman;sans-serif" w:hAnsi="Times New Roman;sans-serif"/>
          <w:b w:val="false"/>
          <w:color w:val="000000"/>
          <w:sz w:val="18"/>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pStyle w:val="TextBody"/>
        <w:spacing w:lineRule="auto" w:line="240"/>
        <w:rPr/>
      </w:pPr>
      <w:r>
        <w:rPr>
          <w:rFonts w:ascii="Times New Roman;sans-serif" w:hAnsi="Times New Roman;sans-serif"/>
          <w:b w:val="false"/>
          <w:color w:val="000000"/>
          <w:sz w:val="12"/>
        </w:rPr>
        <w:t>19</w:t>
      </w:r>
      <w:r>
        <w:rPr>
          <w:color w:val="000000"/>
        </w:rPr>
        <w:t xml:space="preserve"> </w:t>
      </w:r>
      <w:r>
        <w:rPr>
          <w:rFonts w:ascii="Times New Roman;sans-serif" w:hAnsi="Times New Roman;sans-serif"/>
          <w:b w:val="false"/>
          <w:color w:val="000000"/>
          <w:sz w:val="18"/>
        </w:rPr>
        <w:t>All quarter references in this section are based on calendar year-end.</w:t>
      </w:r>
      <w:r>
        <w:br w:type="page"/>
      </w:r>
    </w:p>
    <w:p>
      <w:pPr>
        <w:pStyle w:val="TextBody"/>
        <w:spacing w:before="0" w:after="20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668020"/>
                <wp:effectExtent l="0" t="0" r="0" b="0"/>
                <wp:wrapNone/>
                <wp:docPr id="42" name="Frame3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estimates reflected in this AIF will prove to be accurate, as actual results and future events could differ materially from those anticipated. Accordingly, investors are cautioned not to put undue reliance on the estimates reflected in this AIF.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pStyle w:val="TextBody"/>
        <w:spacing w:lineRule="auto" w:line="240"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Deuterated Psilocybin Analog Program (CYB003)</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lead program, CYB003, is an orally delivered deuterated psilocybin analog that aims to address the limitations of oral psilocybin, including side effects, scalability and accessibility of treatment.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preclinical studies, CYB003 demonstrated several advantages compared to oral psilocybin, including faster onset of action, shorter duration of effect, less variability in plasma levels, and improved brain penetration. These preclinical results could potentially translate into therapeutic benefits, such as shorter treatment duration, more predictable dosing, lower doses to achieve efficacy, and fewer side effects for patients.</w:t>
      </w:r>
    </w:p>
    <w:p>
      <w:pPr>
        <w:pStyle w:val="TextBody"/>
        <w:spacing w:lineRule="auto" w:line="240" w:before="0" w:after="240"/>
        <w:jc w:val="both"/>
        <w:rPr/>
      </w:pPr>
      <w:r>
        <w:rPr>
          <w:rFonts w:ascii="Times New Roman;sans-serif" w:hAnsi="Times New Roman;sans-serif"/>
          <w:b w:val="false"/>
          <w:color w:val="000000"/>
          <w:sz w:val="22"/>
        </w:rPr>
        <w:t>The Company completed its CYB003 IND-enabling preclinical studies and Chemistry, Manufacturing and Control (“</w:t>
      </w:r>
      <w:r>
        <w:rPr>
          <w:rFonts w:ascii="Times New Roman;sans-serif" w:hAnsi="Times New Roman;sans-serif"/>
          <w:b/>
          <w:color w:val="000000"/>
          <w:sz w:val="22"/>
        </w:rPr>
        <w:t>CMC</w:t>
      </w:r>
      <w:r>
        <w:rPr>
          <w:color w:val="000000"/>
        </w:rPr>
        <w:t>”</w:t>
      </w:r>
      <w:r>
        <w:rPr>
          <w:rFonts w:ascii="Times New Roman;sans-serif" w:hAnsi="Times New Roman;sans-serif"/>
          <w:b w:val="false"/>
          <w:color w:val="000000"/>
          <w:sz w:val="22"/>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IRB approval in the United States to commence its first-in-human Phase 1/2a study of CYB003 in participants with moderate to severe MDD. The Company has engaged Clinilabs, a full-service CRO with deep expertise in central nervous system drug development, to carry out the Phase 1/2a clinical trial of CYB003. On August 30, 2022, the Company announced that the first two participants have been dosed in the Phase 1/2a study.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28, 2023, the Company announced positive interim safety and PK and PD data from the Phase 1/2a study of CYB003. Interim findings showed that CYB003 exhibited rapid, short-acting effects, low variability in plasma levels, and achieved a psychedelic effect at low doses. At the 8mg and 10mg dose levels, participants reported robust and meaningful psychedelic effects, confirming a complete mystical experience was achieved. All doses evaluated (single oral doses of CYB003 up to 10mg) were well-tolerated with no serious adverse events reported. As of February 28, 2023, dosing in the Phase 1 portion of the study has been completed and dosing is ongoing in the Phase 2a portion.</w:t>
      </w:r>
      <w:r>
        <w:br w:type="page"/>
      </w:r>
    </w:p>
    <w:p>
      <w:pPr>
        <w:pStyle w:val="TextBody"/>
        <w:spacing w:before="0" w:after="20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668020"/>
                <wp:effectExtent l="0" t="0" r="0" b="0"/>
                <wp:wrapNone/>
                <wp:docPr id="43" name="Frame3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About the CYB003 Phase 1/2a Clinical Trial</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Phase 1/2a trial is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and food effect cohort to facilitate the transition to pivotal studies. Healthy volunteers received two administrations (placebo/active and active/active) one week apart, and measures of psychedelic effect are assessed after each dose. Participants with MDD receive two administrations (placebo/active and active/active) three weeks apart and response/remission (are three weeks after each dose). MDD participants in the trial that are currently being treated with antidepressants will be allowed to remain on their antidepressant medication.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study will investigate the safety, tolerability, PK and PD, and psychedelic effect of ascending oral doses of CYB003. In participants with MDD, the trial will also assess rapid onset of antidepressant effect on the day of dosing, using the Montgomery-Asberg Depression Rating Scale, and evaluate the incremental benefit of a second dose of CYB003 when administered at Week 3. An optional period of assessment will help determine the durability of treatment effect out to 12 weeks. The study is listed on ClinicalTrials.gov under Identifier: NCT05385783.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spent approximately $8,445,000 on the Deuterated Psilocybin Analog Program during the financial year ended March 31, 2023. The Company additionally spent $1,410,000 related to licensing agreements for this program (see “Intellectual Property”). As the Company continues to progress through the CYB003 program, additional milestones related to the Phase 1/2a clinical trial have been identified. The Company intends to:</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provide topline data readout from the Phase 1/2a study in Q3/Q4 2023.</w:t>
      </w:r>
      <w:r>
        <w:rPr>
          <w:rFonts w:ascii="Times New Roman;sans-serif" w:hAnsi="Times New Roman;sans-serif"/>
          <w:b w:val="false"/>
          <w:color w:val="000000"/>
          <w:sz w:val="14"/>
        </w:rPr>
        <w:t>20,21</w:t>
      </w:r>
      <w:r>
        <w:rPr>
          <w:color w:val="000000"/>
        </w:rPr>
        <w:t xml:space="preserve"> </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complete FDA submission of CYB003 Phase 1/2a data for end of phase 2 meeting in Q4 2023.</w:t>
      </w:r>
      <w:r>
        <w:rPr>
          <w:rFonts w:ascii="Times New Roman;sans-serif" w:hAnsi="Times New Roman;sans-serif"/>
          <w:b w:val="false"/>
          <w:color w:val="000000"/>
          <w:sz w:val="14"/>
        </w:rPr>
        <w:t>22</w:t>
      </w:r>
    </w:p>
    <w:p>
      <w:pPr>
        <w:pStyle w:val="TextBody"/>
        <w:spacing w:lineRule="auto" w:line="240" w:before="0" w:after="240"/>
        <w:jc w:val="both"/>
        <w:rPr/>
      </w:pPr>
      <w:r>
        <w:rPr>
          <w:rFonts w:ascii="Times New Roman;sans-serif" w:hAnsi="Times New Roman;sans-serif"/>
          <w:b w:val="false"/>
          <w:color w:val="000000"/>
          <w:sz w:val="22"/>
        </w:rPr>
        <w:t>The Company spent approximately $2,527,000</w:t>
      </w:r>
      <w:r>
        <w:rPr>
          <w:rFonts w:ascii="Times New Roman;sans-serif" w:hAnsi="Times New Roman;sans-serif"/>
          <w:b w:val="false"/>
          <w:color w:val="000000"/>
          <w:sz w:val="14"/>
        </w:rPr>
        <w:t>23</w:t>
      </w:r>
      <w:r>
        <w:rPr>
          <w:color w:val="000000"/>
        </w:rPr>
        <w:t xml:space="preserve"> </w:t>
      </w:r>
      <w:r>
        <w:rPr>
          <w:rFonts w:ascii="Times New Roman;sans-serif" w:hAnsi="Times New Roman;sans-serif"/>
          <w:b w:val="false"/>
          <w:color w:val="000000"/>
          <w:sz w:val="22"/>
        </w:rPr>
        <w:t>to receive its initial PK and safety readout in February 2023. The Company expects to spend approximately $6,226,000</w:t>
      </w:r>
      <w:r>
        <w:rPr>
          <w:rFonts w:ascii="Times New Roman;sans-serif" w:hAnsi="Times New Roman;sans-serif"/>
          <w:b w:val="false"/>
          <w:color w:val="000000"/>
          <w:sz w:val="14"/>
        </w:rPr>
        <w:t>24</w:t>
      </w:r>
      <w:r>
        <w:rPr>
          <w:color w:val="000000"/>
        </w:rPr>
        <w:t xml:space="preserve"> </w:t>
      </w:r>
      <w:r>
        <w:rPr>
          <w:rFonts w:ascii="Times New Roman;sans-serif" w:hAnsi="Times New Roman;sans-serif"/>
          <w:b w:val="false"/>
          <w:color w:val="000000"/>
          <w:sz w:val="22"/>
        </w:rPr>
        <w:t>to provide topline data readout from the Phase 1/2a study by late Q3 2023,</w:t>
      </w:r>
      <w:r>
        <w:rPr>
          <w:rFonts w:ascii="Times New Roman;sans-serif" w:hAnsi="Times New Roman;sans-serif"/>
          <w:b w:val="false"/>
          <w:color w:val="000000"/>
          <w:sz w:val="14"/>
        </w:rPr>
        <w:t>25</w:t>
      </w:r>
      <w:r>
        <w:rPr>
          <w:color w:val="000000"/>
        </w:rPr>
        <w:t xml:space="preserve"> </w:t>
      </w:r>
      <w:r>
        <w:rPr>
          <w:rFonts w:ascii="Times New Roman;sans-serif" w:hAnsi="Times New Roman;sans-serif"/>
          <w:b w:val="false"/>
          <w:color w:val="000000"/>
          <w:sz w:val="22"/>
        </w:rPr>
        <w:t>of which approximately $1,392,000 was spent during the financial year ended March 31, 2023. The Company intends to continue funding the Deuterated Psilocybin Analog (CYB003) Program.</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complete future clinical trials for this program in the United States, Canada, and/or Europe.</w:t>
      </w:r>
    </w:p>
    <w:p>
      <w:pPr>
        <w:pStyle w:val="TextBody"/>
        <w:spacing w:lineRule="auto" w:line="252" w:before="0" w:after="0"/>
        <w:jc w:val="both"/>
        <w:rPr/>
      </w:pPr>
      <w:r>
        <w:rPr>
          <w:rFonts w:ascii="Times New Roman;sans-serif" w:hAnsi="Times New Roman;sans-serif"/>
          <w:b w:val="false"/>
          <w:color w:val="000000"/>
          <w:sz w:val="12"/>
        </w:rPr>
        <w:t>20</w:t>
      </w:r>
      <w:r>
        <w:rPr>
          <w:color w:val="000000"/>
        </w:rPr>
        <w:t xml:space="preserve"> </w:t>
      </w:r>
      <w:r>
        <w:rPr>
          <w:rFonts w:ascii="Times New Roman;sans-serif" w:hAnsi="Times New Roman;sans-serif"/>
          <w:b w:val="false"/>
          <w:color w:val="000000"/>
          <w:sz w:val="18"/>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spacing w:lineRule="auto" w:line="252" w:before="0" w:after="0"/>
        <w:jc w:val="both"/>
        <w:rPr/>
      </w:pPr>
      <w:r>
        <w:rPr>
          <w:rFonts w:ascii="Times New Roman;sans-serif" w:hAnsi="Times New Roman;sans-serif"/>
          <w:b w:val="false"/>
          <w:color w:val="000000"/>
          <w:sz w:val="12"/>
        </w:rPr>
        <w:t>21</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this milestone in late Q3 2023. The Company now expects to receive the initial topline data readout in late Q3 2023, with the balance of the data being available in Q4 2023 based upon the current progress to date. Anticipated spending and timelines regarding drug development are based on reasonable assumptions informed by current knowledge and information available to the Company.</w:t>
      </w:r>
    </w:p>
    <w:p>
      <w:pPr>
        <w:pStyle w:val="TextBody"/>
        <w:spacing w:lineRule="auto" w:line="240" w:before="0" w:after="0"/>
        <w:jc w:val="both"/>
        <w:rPr/>
      </w:pPr>
      <w:r>
        <w:rPr>
          <w:rFonts w:ascii="Times New Roman;sans-serif" w:hAnsi="Times New Roman;sans-serif"/>
          <w:b w:val="false"/>
          <w:color w:val="000000"/>
          <w:sz w:val="12"/>
        </w:rPr>
        <w:t>22</w:t>
      </w:r>
      <w:r>
        <w:rPr>
          <w:color w:val="000000"/>
        </w:rPr>
        <w:t xml:space="preserve"> </w:t>
      </w:r>
      <w:r>
        <w:rPr>
          <w:rFonts w:ascii="Times New Roman;sans-serif" w:hAnsi="Times New Roman;sans-serif"/>
          <w:b w:val="false"/>
          <w:color w:val="000000"/>
          <w:sz w:val="18"/>
        </w:rPr>
        <w:t>See footnotes 10 and 20.</w:t>
      </w:r>
    </w:p>
    <w:p>
      <w:pPr>
        <w:pStyle w:val="TextBody"/>
        <w:spacing w:lineRule="auto" w:line="252" w:before="0" w:after="2"/>
        <w:jc w:val="both"/>
        <w:rPr/>
      </w:pPr>
      <w:r>
        <w:rPr>
          <w:rFonts w:ascii="Times New Roman;sans-serif" w:hAnsi="Times New Roman;sans-serif"/>
          <w:b w:val="false"/>
          <w:color w:val="000000"/>
          <w:sz w:val="12"/>
        </w:rPr>
        <w:t>23</w:t>
      </w:r>
      <w:r>
        <w:rPr>
          <w:color w:val="000000"/>
        </w:rPr>
        <w:t xml:space="preserve"> </w:t>
      </w:r>
      <w:r>
        <w:rPr>
          <w:rFonts w:ascii="Times New Roman;sans-serif" w:hAnsi="Times New Roman;sans-serif"/>
          <w:b w:val="false"/>
          <w:color w:val="000000"/>
          <w:sz w:val="18"/>
        </w:rPr>
        <w:t xml:space="preserve">Reflects spending during the financial year ended March 31, 2023. The Company had previously estimated that its actual and expected spend up to February 2023 for this program would be $3,192,000. Anticipated spending and timelines regarding drug development are based on reasonable assumptions informed by current knowledge and information available to the Company. </w:t>
      </w:r>
    </w:p>
    <w:p>
      <w:pPr>
        <w:pStyle w:val="TextBody"/>
        <w:spacing w:lineRule="auto" w:line="252" w:before="0" w:after="0"/>
        <w:jc w:val="both"/>
        <w:rPr/>
      </w:pPr>
      <w:r>
        <w:rPr>
          <w:rFonts w:ascii="Times New Roman;sans-serif" w:hAnsi="Times New Roman;sans-serif"/>
          <w:b w:val="false"/>
          <w:color w:val="000000"/>
          <w:sz w:val="12"/>
        </w:rPr>
        <w:t>24</w:t>
      </w:r>
      <w:r>
        <w:rPr>
          <w:color w:val="000000"/>
        </w:rPr>
        <w:t xml:space="preserve"> </w:t>
      </w:r>
      <w:r>
        <w:rPr>
          <w:rFonts w:ascii="Times New Roman;sans-serif" w:hAnsi="Times New Roman;sans-serif"/>
          <w:b w:val="false"/>
          <w:color w:val="000000"/>
          <w:sz w:val="18"/>
        </w:rPr>
        <w:t>Reflects actual spend during the period from March 1, 2023 to March 31, 2023 and expected spend during the period from April 1, 2023 until the achievement of topline data readout from the Phase 1/2a study in Q3/Q4 2023. The expected spend assumes the advancement of the Company’s CYB003 program beyond providing a topline data readout from the Phase 1/2a study in late Q3 2023, which advancement is contingent on the Company’s ability to continue raising capital under its current and future financing arrangements.</w:t>
      </w:r>
    </w:p>
    <w:p>
      <w:pPr>
        <w:pStyle w:val="TextBody"/>
        <w:spacing w:lineRule="auto" w:line="240"/>
        <w:jc w:val="both"/>
        <w:rPr/>
      </w:pPr>
      <w:r>
        <w:rPr>
          <w:rFonts w:ascii="Times New Roman;sans-serif" w:hAnsi="Times New Roman;sans-serif"/>
          <w:b w:val="false"/>
          <w:color w:val="000000"/>
          <w:sz w:val="12"/>
        </w:rPr>
        <w:t>25</w:t>
      </w:r>
      <w:r>
        <w:rPr>
          <w:color w:val="000000"/>
        </w:rPr>
        <w:t xml:space="preserve"> </w:t>
      </w:r>
      <w:r>
        <w:rPr>
          <w:rFonts w:ascii="Times New Roman;sans-serif" w:hAnsi="Times New Roman;sans-serif"/>
          <w:b w:val="false"/>
          <w:color w:val="000000"/>
          <w:sz w:val="18"/>
        </w:rPr>
        <w:t>See footnote 20.</w:t>
      </w:r>
      <w:r>
        <w:br w:type="page"/>
      </w:r>
    </w:p>
    <w:p>
      <w:pPr>
        <w:pStyle w:val="TextBody"/>
        <w:spacing w:before="0" w:after="20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668020"/>
                <wp:effectExtent l="0" t="0" r="0" b="0"/>
                <wp:wrapNone/>
                <wp:docPr id="44" name="Frame4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Deuterated Dimethyltryptamine Program (CYB004) </w:t>
      </w:r>
    </w:p>
    <w:p>
      <w:pPr>
        <w:pStyle w:val="TextBody"/>
        <w:spacing w:before="0" w:after="0"/>
        <w:jc w:val="both"/>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Deuterated Dimethyltryptamine Program is focused on the development of CYB004, a deuterated version of DMT. DMT has been shown to exert its psychedelic effects by activating the 5-HT2A receptor. In its regular form, DMT is an unstable molecule rapidly metabolized in the body, which significantly reduces its bioavailability. By maximizing CYB004 as a deuterated molecule and improving upon the bioavailability of DMT, CYB004 has the potential to overcome existing limitations of DMT and may offer less invasive and more convenient dosing methods compared to IV DMT. Cybin is currently developing CYB004 for the potential treatment of GAD, with or without MDD. CYB004 is secured by a U.S. composition of matter patent with protection through 2041. The patent covers a range of deuteration forms of DMT and protects CYB004 as a putative new chemical entity.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preclinical studies,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psychedelic-based therapeutics.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June 7, 2022, the Company announced it had entered into an agreement related to the Asset Acquisition, whereby the Company would acquire a Phase 1 DMT study from Entheon to accelerate the clinical development path for CYB004. On July 11, 2022, the Company announced that the Asset Acquisition was completed. The Phase 1 study, previously identified as EBRX-101 and now named CYB004-E, is being conducted in the Netherlands. Entheon acted as external consultants to the Company for approximately 10 months after the Asset Acquisition.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12, 2023, the Company announced that it has selected GAD with or without MDD as the target indication for its proprietary deuterated DMT molecule, CYB004. </w: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About the Phase 1 CYB004-E DMT Study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Phase 1 trial is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is expected to provide essential safety and dosing optimization data to inform the clinical path forward for CYB004. The CYB004-E study is being conducted at the Centre for Human Drug Research in the Netherlands and is one of the largest Phase 1 DMT clinical trials to date.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10, 2022, the Company announced that its CYB004-E Phase 1 trial evaluating IV DMT completed dosing for four out of five participant cohorts and that the Safety Review Committee had confirmed no safety or toxicity issues.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1, 2023, the Company announced that it had received approval from an independent ethics committee in the Netherlands to initiate first-in-human dosing of CYB004 through a protocol amendment to its ongoing Phase 1 CYB004-E study.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 </w:t>
      </w:r>
      <w:r>
        <w:br w:type="page"/>
      </w:r>
    </w:p>
    <w:p>
      <w:pPr>
        <w:pStyle w:val="TextBody"/>
        <w:spacing w:before="0" w:after="20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668020"/>
                <wp:effectExtent l="0" t="0" r="0" b="0"/>
                <wp:wrapNone/>
                <wp:docPr id="45" name="Frame4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May 9, 2023, the Company announced that it had completed dosing for the last subject in Part B of the Phase 1 CYB004-E trial.</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2023, the Company announced that it had initiated first-in-human dosing of CYB004 in Part C of the Phase 1 CYB004-E trial. </w:t>
      </w:r>
    </w:p>
    <w:p>
      <w:pPr>
        <w:pStyle w:val="TextBody"/>
        <w:spacing w:lineRule="auto" w:line="240" w:before="0" w:after="240"/>
        <w:jc w:val="both"/>
        <w:rPr/>
      </w:pPr>
      <w:r>
        <w:rPr>
          <w:rFonts w:ascii="Times New Roman;sans-serif" w:hAnsi="Times New Roman;sans-serif"/>
          <w:b w:val="false"/>
          <w:color w:val="000000"/>
          <w:sz w:val="22"/>
        </w:rPr>
        <w:t>The Company spent approximately $7,770,000 on its Deuterated Dimethyltryptamine Program during the financial year ended March 31, 2023. As the Company continues to progress its Deuterated Dimethyltryptamine Program, additional milestones related to its clinical development have been identified</w:t>
      </w:r>
      <w:r>
        <w:rPr>
          <w:rFonts w:ascii="Times New Roman;sans-serif" w:hAnsi="Times New Roman;sans-serif"/>
          <w:b w:val="false"/>
          <w:color w:val="000000"/>
          <w:sz w:val="14"/>
        </w:rPr>
        <w:t>26</w:t>
      </w:r>
      <w:r>
        <w:rPr>
          <w:rFonts w:ascii="Times New Roman;sans-serif" w:hAnsi="Times New Roman;sans-serif"/>
          <w:b w:val="false"/>
          <w:color w:val="000000"/>
          <w:sz w:val="22"/>
        </w:rPr>
        <w:t>. The Company intends to:</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provide topline data from the Phase 1 CYB004-E trial in Q3/Q4 2023</w:t>
      </w:r>
      <w:r>
        <w:rPr>
          <w:rFonts w:ascii="Times New Roman;sans-serif" w:hAnsi="Times New Roman;sans-serif"/>
          <w:b w:val="false"/>
          <w:color w:val="000000"/>
          <w:sz w:val="14"/>
        </w:rPr>
        <w:t>27</w:t>
      </w:r>
      <w:r>
        <w:rPr>
          <w:rFonts w:ascii="Times New Roman;sans-serif" w:hAnsi="Times New Roman;sans-serif"/>
          <w:b w:val="false"/>
          <w:color w:val="000000"/>
          <w:sz w:val="22"/>
        </w:rPr>
        <w:t>; and</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complete FDA IND submission in Q1 2024.</w:t>
      </w:r>
      <w:r>
        <w:rPr>
          <w:rFonts w:ascii="Times New Roman;sans-serif" w:hAnsi="Times New Roman;sans-serif"/>
          <w:b w:val="false"/>
          <w:color w:val="000000"/>
          <w:sz w:val="14"/>
        </w:rPr>
        <w:t>28</w:t>
      </w:r>
      <w:r>
        <w:rPr>
          <w:color w:val="000000"/>
        </w:rPr>
        <w:t xml:space="preserve"> </w:t>
      </w:r>
      <w:r>
        <w:rPr>
          <w:rFonts w:ascii="Times New Roman;sans-serif" w:hAnsi="Times New Roman;sans-serif"/>
          <w:b w:val="false"/>
          <w:color w:val="000000"/>
          <w:sz w:val="14"/>
        </w:rPr>
        <w:t>29</w:t>
      </w:r>
    </w:p>
    <w:p>
      <w:pPr>
        <w:pStyle w:val="TextBody"/>
        <w:spacing w:lineRule="auto" w:line="240" w:before="0" w:after="240"/>
        <w:jc w:val="both"/>
        <w:rPr/>
      </w:pPr>
      <w:r>
        <w:rPr>
          <w:rFonts w:ascii="Times New Roman;sans-serif" w:hAnsi="Times New Roman;sans-serif"/>
          <w:b w:val="false"/>
          <w:color w:val="000000"/>
          <w:sz w:val="22"/>
        </w:rPr>
        <w:t>The Company expects to spend approximately $10,906,000 to complete FDA IND submission for CYB004 by Q1 2024 and $4,278,000</w:t>
      </w:r>
      <w:r>
        <w:rPr>
          <w:rFonts w:ascii="Times New Roman;sans-serif" w:hAnsi="Times New Roman;sans-serif"/>
          <w:b w:val="false"/>
          <w:color w:val="000000"/>
          <w:sz w:val="14"/>
        </w:rPr>
        <w:t>30</w:t>
      </w:r>
      <w:r>
        <w:rPr>
          <w:color w:val="000000"/>
        </w:rPr>
        <w:t xml:space="preserve"> </w:t>
      </w:r>
      <w:r>
        <w:rPr>
          <w:rFonts w:ascii="Times New Roman;sans-serif" w:hAnsi="Times New Roman;sans-serif"/>
          <w:b w:val="false"/>
          <w:color w:val="000000"/>
          <w:sz w:val="22"/>
        </w:rPr>
        <w:t>to provide topline data from the Phase 1 CYB004-E trial in Q3 2023. The Company intends to continue funding the Deuterated Dimethyltryptamine (CYB004) Program.</w:t>
      </w:r>
      <w:r>
        <w:rPr>
          <w:rFonts w:ascii="Times New Roman;sans-serif" w:hAnsi="Times New Roman;sans-serif"/>
          <w:b w:val="false"/>
          <w:color w:val="000000"/>
          <w:sz w:val="14"/>
        </w:rPr>
        <w:t>31</w:t>
      </w:r>
      <w:r>
        <w:rPr>
          <w:color w:val="000000"/>
        </w:rPr>
        <w:t xml:space="preserve"> </w:t>
      </w:r>
    </w:p>
    <w:p>
      <w:pPr>
        <w:pStyle w:val="TextBody"/>
        <w:spacing w:lineRule="auto" w:line="333"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Phenethylamine Derivatives Program (CYB005)</w:t>
      </w:r>
    </w:p>
    <w:p>
      <w:pPr>
        <w:pStyle w:val="TextBody"/>
        <w:spacing w:lineRule="auto" w:line="240"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w:t>
      </w:r>
    </w:p>
    <w:p>
      <w:pPr>
        <w:pStyle w:val="TextBody"/>
        <w:spacing w:lineRule="auto" w:line="240" w:before="0" w:after="0"/>
        <w:rPr/>
      </w:pPr>
      <w:r>
        <w:rPr>
          <w:rFonts w:ascii="Times New Roman;sans-serif" w:hAnsi="Times New Roman;sans-serif"/>
          <w:b w:val="false"/>
          <w:color w:val="000000"/>
          <w:sz w:val="12"/>
        </w:rPr>
        <w:t>26</w:t>
      </w:r>
      <w:r>
        <w:rPr>
          <w:color w:val="000000"/>
        </w:rPr>
        <w:t xml:space="preserve"> </w:t>
      </w:r>
      <w:r>
        <w:rPr>
          <w:rFonts w:ascii="Times New Roman;sans-serif" w:hAnsi="Times New Roman;sans-serif"/>
          <w:b w:val="false"/>
          <w:color w:val="000000"/>
          <w:sz w:val="18"/>
        </w:rPr>
        <w:t>See footnotes 10 and 20.</w:t>
      </w:r>
    </w:p>
    <w:p>
      <w:pPr>
        <w:pStyle w:val="TextBody"/>
        <w:spacing w:lineRule="auto" w:line="252" w:before="0" w:after="0"/>
        <w:jc w:val="both"/>
        <w:rPr/>
      </w:pPr>
      <w:r>
        <w:rPr>
          <w:rFonts w:ascii="Times New Roman;sans-serif" w:hAnsi="Times New Roman;sans-serif"/>
          <w:b w:val="false"/>
          <w:color w:val="000000"/>
          <w:sz w:val="14"/>
        </w:rPr>
        <w:t>27</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this milestone in late Q3 2023. The Company now expects to receive the initial topline data readout in late Q3 2023, with the balance of the data being available in Q4 2023 based upon the current progress to date. Anticipated spending and timelines regarding drug development are based on reasonable assumptions informed by current knowledge and information available to the Company. See footnote 20.</w:t>
      </w:r>
    </w:p>
    <w:p>
      <w:pPr>
        <w:pStyle w:val="TextBody"/>
        <w:spacing w:lineRule="auto" w:line="252" w:before="0" w:after="2"/>
        <w:jc w:val="both"/>
        <w:rPr/>
      </w:pPr>
      <w:r>
        <w:rPr>
          <w:rFonts w:ascii="Times New Roman;sans-serif" w:hAnsi="Times New Roman;sans-serif"/>
          <w:b w:val="false"/>
          <w:color w:val="000000"/>
          <w:sz w:val="12"/>
        </w:rPr>
        <w:t>28</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the IND-enabling preclinical studies of CYB004 by December 31, 2023. As noted in the press release on February 28, 2023 this milestone is no longer required to advance the program. The Company has updated the milestone to submit clinical data for regulatory submission in Q1 2024. The Company previously disclosed expected spending up to December 31, 2023 for this milestone would be $9,518,000.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spacing w:lineRule="auto" w:line="240" w:before="0" w:after="0"/>
        <w:jc w:val="both"/>
        <w:rPr/>
      </w:pPr>
      <w:r>
        <w:rPr>
          <w:rFonts w:ascii="Times New Roman;sans-serif" w:hAnsi="Times New Roman;sans-serif"/>
          <w:b w:val="false"/>
          <w:color w:val="000000"/>
          <w:sz w:val="12"/>
        </w:rPr>
        <w:t>29</w:t>
      </w:r>
      <w:r>
        <w:rPr>
          <w:color w:val="000000"/>
        </w:rPr>
        <w:t xml:space="preserve"> </w:t>
      </w:r>
      <w:r>
        <w:rPr>
          <w:rFonts w:ascii="Times New Roman;sans-serif" w:hAnsi="Times New Roman;sans-serif"/>
          <w:b w:val="false"/>
          <w:color w:val="000000"/>
          <w:sz w:val="18"/>
        </w:rPr>
        <w:t>See footnote 10.</w:t>
      </w:r>
    </w:p>
    <w:p>
      <w:pPr>
        <w:pStyle w:val="TextBody"/>
        <w:spacing w:lineRule="auto" w:line="252" w:before="0" w:after="2"/>
        <w:jc w:val="both"/>
        <w:rPr/>
      </w:pPr>
      <w:r>
        <w:rPr>
          <w:rFonts w:ascii="Times New Roman;sans-serif" w:hAnsi="Times New Roman;sans-serif"/>
          <w:b w:val="false"/>
          <w:color w:val="000000"/>
          <w:sz w:val="12"/>
        </w:rPr>
        <w:t>30</w:t>
      </w:r>
      <w:r>
        <w:rPr>
          <w:color w:val="000000"/>
        </w:rPr>
        <w:t xml:space="preserve"> </w:t>
      </w:r>
      <w:r>
        <w:rPr>
          <w:rFonts w:ascii="Times New Roman;sans-serif" w:hAnsi="Times New Roman;sans-serif"/>
          <w:b w:val="false"/>
          <w:color w:val="000000"/>
          <w:sz w:val="18"/>
        </w:rPr>
        <w:t>The Company has updated this milestone. The Company had previously estimated that its spending up to the first half of 2023 to advance the Phase I CYB004-E trial would be $3,366,000. The Company expects to provide topline data from the Phase I CYB004-E trial in Q3 2023.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spacing w:lineRule="auto" w:line="240"/>
        <w:rPr/>
      </w:pPr>
      <w:r>
        <w:rPr>
          <w:rFonts w:ascii="Times New Roman;sans-serif" w:hAnsi="Times New Roman;sans-serif"/>
          <w:b w:val="false"/>
          <w:color w:val="000000"/>
          <w:sz w:val="12"/>
        </w:rPr>
        <w:t>31</w:t>
      </w:r>
      <w:r>
        <w:rPr>
          <w:color w:val="000000"/>
        </w:rPr>
        <w:t xml:space="preserve"> </w:t>
      </w:r>
      <w:r>
        <w:rPr>
          <w:rFonts w:ascii="Times New Roman;sans-serif" w:hAnsi="Times New Roman;sans-serif"/>
          <w:b w:val="false"/>
          <w:color w:val="000000"/>
          <w:sz w:val="18"/>
        </w:rPr>
        <w:t>See footnotes 10 and 20.</w:t>
      </w:r>
      <w:r>
        <w:br w:type="page"/>
      </w:r>
    </w:p>
    <w:p>
      <w:pPr>
        <w:pStyle w:val="TextBody"/>
        <w:spacing w:before="0" w:after="20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668020"/>
                <wp:effectExtent l="0" t="0" r="0" b="0"/>
                <wp:wrapNone/>
                <wp:docPr id="46" name="Frame4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p>
                      <w:pPr>
                        <w:pStyle w:val="TextBody"/>
                        <w:spacing w:before="0" w:after="0"/>
                        <w:jc w:val="center"/>
                        <w:rPr/>
                      </w:pPr>
                      <w:r>
                        <w:rPr/>
                      </w:r>
                    </w:p>
                  </w:txbxContent>
                </v:textbox>
              </v:rect>
            </w:pict>
          </mc:Fallback>
        </mc:AlternateContent>
      </w:r>
    </w:p>
    <w:p>
      <w:pPr>
        <w:pStyle w:val="TextBody"/>
        <w:spacing w:lineRule="auto" w:line="240" w:before="0" w:after="2"/>
        <w:jc w:val="both"/>
        <w:rPr/>
      </w:pPr>
      <w:r>
        <w:rPr>
          <w:rFonts w:ascii="Times New Roman;sans-serif" w:hAnsi="Times New Roman;sans-serif"/>
          <w:b w:val="false"/>
          <w:color w:val="000000"/>
          <w:sz w:val="22"/>
        </w:rPr>
        <w:t>potential treatment of psychiatric disorders, neuroinflammation and other neurological conditions.</w:t>
      </w:r>
      <w:r>
        <w:rPr>
          <w:rFonts w:ascii="Times New Roman;sans-serif" w:hAnsi="Times New Roman;sans-serif"/>
          <w:b w:val="false"/>
          <w:color w:val="000000"/>
          <w:sz w:val="14"/>
        </w:rPr>
        <w:t>32</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utilizing the expertise of selected third parties, the Company intends to oversee the study of the PK profiles of its formulations in a number of animal models and the completion of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complete these studies, and collect further relevant safety and toxicity data, prior to the filing for any IND application with the FDA, a CTA with Health Canada, or other similar application with regulatory bodies in other jurisdictions.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spent approximately $782,000 on its preclinical Phenethylamine Derivatives Program during the financial year ended March 31, 2023.</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2"/>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2023.</w:t>
      </w:r>
      <w:r>
        <w:rPr>
          <w:rFonts w:ascii="Times New Roman;sans-serif" w:hAnsi="Times New Roman;sans-serif"/>
          <w:b w:val="false"/>
          <w:color w:val="000000"/>
          <w:sz w:val="14"/>
        </w:rPr>
        <w:t>33</w:t>
      </w:r>
      <w:r>
        <w:rPr>
          <w:color w:val="000000"/>
        </w:rPr>
        <w:t xml:space="preserve"> </w:t>
      </w:r>
    </w:p>
    <w:p>
      <w:pPr>
        <w:pStyle w:val="TextBody"/>
        <w:spacing w:before="0" w:after="0"/>
        <w:jc w:val="both"/>
        <w:rPr/>
      </w:pPr>
      <w:r>
        <w:rPr/>
      </w:r>
    </w:p>
    <w:p>
      <w:pPr>
        <w:pStyle w:val="TextBody"/>
        <w:spacing w:lineRule="auto" w:line="240" w:before="0" w:after="0"/>
        <w:rPr/>
      </w:pPr>
      <w:r>
        <w:rPr>
          <w:rFonts w:ascii="Times New Roman;sans-serif" w:hAnsi="Times New Roman;sans-serif"/>
          <w:b w:val="false"/>
          <w:color w:val="000000"/>
          <w:sz w:val="22"/>
        </w:rPr>
        <w:t>The Company expects to spend approximately $1,283,000 to complete preclinical development of a phenethylamine drug candidate by September 30, 2023. The Company intends to continue funding the Phenethylamine Derivatives Program (CYB005) Program.</w:t>
      </w:r>
      <w:r>
        <w:rPr>
          <w:rFonts w:ascii="Times New Roman;sans-serif" w:hAnsi="Times New Roman;sans-serif"/>
          <w:b w:val="false"/>
          <w:color w:val="000000"/>
          <w:sz w:val="14"/>
        </w:rPr>
        <w:t>34</w:t>
      </w:r>
      <w:r>
        <w:rPr>
          <w:color w:val="000000"/>
        </w:rPr>
        <w:t xml:space="preserve"> </w:t>
      </w:r>
    </w:p>
    <w:p>
      <w:pPr>
        <w:pStyle w:val="TextBody"/>
        <w:spacing w:before="0" w:after="240"/>
        <w:jc w:val="both"/>
        <w:rPr/>
      </w:pPr>
      <w:r>
        <w:rPr/>
      </w:r>
    </w:p>
    <w:p>
      <w:pPr>
        <w:pStyle w:val="TextBody"/>
        <w:spacing w:lineRule="auto" w:line="240" w:before="0" w:after="2"/>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Technology Programs</w:t>
      </w:r>
    </w:p>
    <w:p>
      <w:pPr>
        <w:pStyle w:val="TextBody"/>
        <w:spacing w:before="0" w:after="2"/>
        <w:jc w:val="both"/>
        <w:rPr/>
      </w:pPr>
      <w:r>
        <w:rPr/>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Digital Therapy Platform</w:t>
      </w:r>
    </w:p>
    <w:p>
      <w:pPr>
        <w:pStyle w:val="TextBody"/>
        <w:spacing w:lineRule="auto" w:line="240" w:before="0" w:after="240"/>
        <w:jc w:val="both"/>
        <w:rPr/>
      </w:pPr>
      <w:r>
        <w:rPr>
          <w:rFonts w:ascii="Times New Roman;sans-serif" w:hAnsi="Times New Roman;sans-serif"/>
          <w:b w:val="false"/>
          <w:color w:val="000000"/>
          <w:sz w:val="22"/>
        </w:rPr>
        <w:t>The Company has been working on the creation of a patient digital therapy platform (the “</w:t>
      </w:r>
      <w:r>
        <w:rPr>
          <w:rFonts w:ascii="Times New Roman;sans-serif" w:hAnsi="Times New Roman;sans-serif"/>
          <w:b/>
          <w:color w:val="000000"/>
          <w:sz w:val="22"/>
        </w:rPr>
        <w:t>Digital Platform</w:t>
      </w:r>
      <w:r>
        <w:rPr>
          <w:color w:val="000000"/>
        </w:rPr>
        <w:t>”</w:t>
      </w:r>
      <w:r>
        <w:rPr>
          <w:rFonts w:ascii="Times New Roman;sans-serif" w:hAnsi="Times New Roman;sans-serif"/>
          <w:b w:val="false"/>
          <w:color w:val="000000"/>
          <w:sz w:val="22"/>
        </w:rPr>
        <w:t xml:space="preserve">). The Digital Platform is envisioned to help patients undergoing psychedelic therapies to memorialize the learning from their treatment sessions and to assist with the integration of such learnings into the patient’s psychotherapy program. </w:t>
      </w:r>
    </w:p>
    <w:p>
      <w:pPr>
        <w:pStyle w:val="TextBody"/>
        <w:spacing w:lineRule="auto" w:line="252" w:before="0" w:after="0"/>
        <w:jc w:val="both"/>
        <w:rPr/>
      </w:pPr>
      <w:r>
        <w:rPr>
          <w:rFonts w:ascii="Times New Roman;sans-serif" w:hAnsi="Times New Roman;sans-serif"/>
          <w:b w:val="false"/>
          <w:color w:val="000000"/>
          <w:sz w:val="12"/>
        </w:rPr>
        <w:t>32</w:t>
      </w:r>
      <w:r>
        <w:rPr>
          <w:color w:val="000000"/>
        </w:rPr>
        <w:t xml:space="preserve"> </w:t>
      </w:r>
      <w:r>
        <w:rPr>
          <w:rFonts w:ascii="Times New Roman;sans-serif" w:hAnsi="Times New Roman;sans-serif"/>
          <w:b w:val="false"/>
          <w:color w:val="000000"/>
          <w:sz w:val="18"/>
        </w:rPr>
        <w:t xml:space="preserve">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p>
    <w:p>
      <w:pPr>
        <w:pStyle w:val="TextBody"/>
        <w:spacing w:lineRule="auto" w:line="333" w:before="0" w:after="2"/>
        <w:jc w:val="both"/>
        <w:rPr/>
      </w:pPr>
      <w:r>
        <w:rPr>
          <w:rFonts w:ascii="Times New Roman;sans-serif" w:hAnsi="Times New Roman;sans-serif"/>
          <w:b w:val="false"/>
          <w:color w:val="000000"/>
          <w:sz w:val="12"/>
        </w:rPr>
        <w:t>33</w:t>
      </w:r>
      <w:r>
        <w:rPr>
          <w:color w:val="000000"/>
        </w:rPr>
        <w:t xml:space="preserve"> </w:t>
      </w:r>
      <w:r>
        <w:rPr>
          <w:rFonts w:ascii="Times New Roman;sans-serif" w:hAnsi="Times New Roman;sans-serif"/>
          <w:b w:val="false"/>
          <w:color w:val="000000"/>
          <w:sz w:val="18"/>
        </w:rPr>
        <w:t>See footnotes 10 and 20.</w:t>
      </w:r>
    </w:p>
    <w:p>
      <w:pPr>
        <w:pStyle w:val="TextBody"/>
        <w:spacing w:lineRule="auto" w:line="264"/>
        <w:rPr/>
      </w:pPr>
      <w:r>
        <w:rPr>
          <w:rFonts w:ascii="Times New Roman;sans-serif" w:hAnsi="Times New Roman;sans-serif"/>
          <w:b w:val="false"/>
          <w:color w:val="000000"/>
          <w:sz w:val="12"/>
        </w:rPr>
        <w:t>34</w:t>
      </w:r>
      <w:r>
        <w:rPr>
          <w:color w:val="000000"/>
        </w:rPr>
        <w:t xml:space="preserve"> </w:t>
      </w:r>
      <w:r>
        <w:rPr>
          <w:rFonts w:ascii="Times New Roman;sans-serif" w:hAnsi="Times New Roman;sans-serif"/>
          <w:b w:val="false"/>
          <w:color w:val="000000"/>
          <w:sz w:val="18"/>
        </w:rPr>
        <w:t>See footnotes 10 and 20.</w:t>
      </w:r>
      <w:r>
        <w:br w:type="page"/>
      </w:r>
    </w:p>
    <w:p>
      <w:pPr>
        <w:pStyle w:val="TextBody"/>
        <w:spacing w:before="0" w:after="20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668020"/>
                <wp:effectExtent l="0" t="0" r="0" b="0"/>
                <wp:wrapNone/>
                <wp:docPr id="47" name="Frame4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Proof-of-concept testing for the Company’s Digital Platform was completed in Q2 2022. The Company is currently evaluating paths forward for its Digital Platform program. </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Kernel Collaboration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11, 2021, the Company announced that it entered into an agreement with Kernel that will enable the Company to use the Kernel Flow technology to potentially measure neural activity during psychedelic therapy. </w:t>
      </w:r>
    </w:p>
    <w:p>
      <w:pPr>
        <w:pStyle w:val="TextBody"/>
        <w:spacing w:lineRule="auto" w:line="240" w:before="0" w:after="240"/>
        <w:jc w:val="both"/>
        <w:rPr/>
      </w:pPr>
      <w:r>
        <w:rPr>
          <w:rFonts w:ascii="Times New Roman;sans-serif" w:hAnsi="Times New Roman;sans-serif"/>
          <w:b w:val="false"/>
          <w:color w:val="000000"/>
          <w:sz w:val="22"/>
        </w:rPr>
        <w:t>On October 26, 2021, the Company announced that the FDA had authorized an IND application to proceed with a Cybin-sponsored feasibility study using Kernel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Kernel Flow’s ability to successfully measure neuro-effect of ketamine over 10 days.</w:t>
      </w:r>
      <w:r>
        <w:rPr>
          <w:rFonts w:ascii="Times New Roman;sans-serif" w:hAnsi="Times New Roman;sans-serif"/>
          <w:b w:val="false"/>
          <w:color w:val="000000"/>
          <w:sz w:val="14"/>
        </w:rPr>
        <w:t>35</w:t>
      </w:r>
      <w:r>
        <w:rPr>
          <w:color w:val="000000"/>
        </w:rPr>
        <w:t xml:space="preserve"> </w:t>
      </w:r>
      <w:r>
        <w:rPr>
          <w:rFonts w:ascii="Times New Roman;sans-serif" w:hAnsi="Times New Roman;sans-serif"/>
          <w:b w:val="false"/>
          <w:color w:val="000000"/>
          <w:sz w:val="22"/>
        </w:rPr>
        <w:t xml:space="preserve">The Company completed its feasibility study sponsorship utilizing Kernel Flow in Q3 2022. </w:t>
      </w:r>
    </w:p>
    <w:p>
      <w:pPr>
        <w:pStyle w:val="TextBody"/>
        <w:spacing w:lineRule="auto" w:line="240" w:before="0" w:after="240"/>
        <w:jc w:val="both"/>
        <w:rPr/>
      </w:pPr>
      <w:r>
        <w:rPr>
          <w:rFonts w:ascii="Times New Roman;sans-serif" w:hAnsi="Times New Roman;sans-serif"/>
          <w:b w:val="false"/>
          <w:color w:val="000000"/>
          <w:sz w:val="22"/>
        </w:rPr>
        <w:t>On January 18, 2023, the Company announced promising results from the completed feasibility study, evaluating Kernel Flow’s wearable technology to measure ketamine’s psychedelic effect on cerebral cortex hemodynamics. Key findings from the study provided proof-of-principle for Kernel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Kernel Flow demonstrated reliable measurements of pulse rate (“</w:t>
      </w:r>
      <w:r>
        <w:rPr>
          <w:rFonts w:ascii="Times New Roman;sans-serif" w:hAnsi="Times New Roman;sans-serif"/>
          <w:b/>
          <w:color w:val="000000"/>
          <w:sz w:val="22"/>
        </w:rPr>
        <w:t>PR</w:t>
      </w:r>
      <w:r>
        <w:rPr>
          <w:color w:val="000000"/>
        </w:rPr>
        <w:t>”</w:t>
      </w:r>
      <w:r>
        <w:rPr>
          <w:rFonts w:ascii="Times New Roman;sans-serif" w:hAnsi="Times New Roman;sans-serif"/>
          <w:b w:val="false"/>
          <w:color w:val="000000"/>
          <w:sz w:val="22"/>
        </w:rPr>
        <w:t>) and pulse rate variability (“</w:t>
      </w:r>
      <w:r>
        <w:rPr>
          <w:rFonts w:ascii="Times New Roman;sans-serif" w:hAnsi="Times New Roman;sans-serif"/>
          <w:b/>
          <w:color w:val="000000"/>
          <w:sz w:val="22"/>
        </w:rPr>
        <w:t>PRV</w:t>
      </w:r>
      <w:r>
        <w:rPr>
          <w:color w:val="000000"/>
        </w:rPr>
        <w:t>”</w:t>
      </w:r>
      <w:r>
        <w:rPr>
          <w:rFonts w:ascii="Times New Roman;sans-serif" w:hAnsi="Times New Roman;sans-serif"/>
          <w:b w:val="false"/>
          <w:color w:val="000000"/>
          <w:sz w:val="22"/>
        </w:rPr>
        <w:t xml:space="preserve">),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Results from the study are intended to inform the next steps forward for this program. </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About the Phase 1 Kernel Flow Feasibility Study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main objective of the feasibility study was to evaluate a participant’s experience wearing Kernel Flow while in an altered state of consciousness following the administration of ketamine.</w:t>
      </w:r>
    </w:p>
    <w:p>
      <w:pPr>
        <w:pStyle w:val="TextBody"/>
        <w:spacing w:lineRule="auto" w:line="252" w:before="0" w:after="2"/>
        <w:jc w:val="both"/>
        <w:rPr/>
      </w:pPr>
      <w:r>
        <w:rPr>
          <w:rFonts w:ascii="Times New Roman;sans-serif" w:hAnsi="Times New Roman;sans-serif"/>
          <w:b w:val="false"/>
          <w:color w:val="000000"/>
          <w:sz w:val="12"/>
        </w:rPr>
        <w:t>35</w:t>
      </w:r>
      <w:r>
        <w:rPr>
          <w:color w:val="000000"/>
        </w:rPr>
        <w:t xml:space="preserve"> </w:t>
      </w:r>
      <w:r>
        <w:rPr>
          <w:rFonts w:ascii="Times New Roman;sans-serif" w:hAnsi="Times New Roman;sans-serif"/>
          <w:b w:val="false"/>
          <w:color w:val="000000"/>
          <w:sz w:val="18"/>
        </w:rPr>
        <w:t>Preliminary data from the piloting suggested that ketamine-induced changes in functional connectivity persisted for several days after administration. Kernel Flow successfully measured the neuro-effect of ketamine over 11 days (baseline at Days 1-5, dosing at Day 6, follow-up at Days 7-11), and confirmed changes in functional connectivity that are consistent with current scientific research (</w:t>
      </w:r>
      <w:r>
        <w:rPr>
          <w:rFonts w:ascii="Times New Roman;sans-serif" w:hAnsi="Times New Roman;sans-serif"/>
          <w:b w:val="false"/>
          <w:i/>
          <w:color w:val="000000"/>
          <w:sz w:val="18"/>
        </w:rPr>
        <w:t>Scheidegger et al 2012; Zacharias et al 2019; Li et al 2022</w:t>
      </w:r>
      <w:r>
        <w:rPr>
          <w:rFonts w:ascii="Times New Roman;sans-serif" w:hAnsi="Times New Roman;sans-serif"/>
          <w:b w:val="false"/>
          <w:color w:val="000000"/>
          <w:sz w:val="18"/>
        </w:rPr>
        <w:t>). The piloting was conducted to ensure the efficiency of the feasibility study design. Participants in the pilot received either a low dose of ketamine and/or a placebo while wearing the Kernel Flow headset.</w:t>
      </w:r>
      <w:r>
        <w:br w:type="page"/>
      </w:r>
    </w:p>
    <w:p>
      <w:pPr>
        <w:pStyle w:val="TextBody"/>
        <w:spacing w:before="0" w:after="20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668020"/>
                <wp:effectExtent l="0" t="0" r="0" b="0"/>
                <wp:wrapNone/>
                <wp:docPr id="48" name="Frame4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part of the Company’s sponsorship of the feasibility study, the Company will retain an exclusive interest in any innovations that are discovered or developed through its independent analysis of the study findings.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spent approximately $493,000 on its technology programs during the financial year ended March 31, 2023. </w:t>
      </w:r>
    </w:p>
    <w:p>
      <w:pPr>
        <w:pStyle w:val="TextBody"/>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Relationships with Third Parties</w:t>
      </w:r>
    </w:p>
    <w:p>
      <w:pPr>
        <w:pStyle w:val="TextBody"/>
        <w:spacing w:before="0" w:after="0"/>
        <w:jc w:val="both"/>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research and development on its psychedelic pharmaceutical products is conducted by way of licensed partners. The Company also intends to sponsor clinical and other studies at various clinical trial sites.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the date of this AIF, the Company and the University of Washington are co-sponsoring a randomized, placebo-controlled clinical trial of psychedelic-assisted psychotherapy with psilocybin for frontline clinicians experiencing COVID-19 related distress.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July 6, 2021, the Company entered into the Collaboration Agreement to establish mental health centers of excellence for the purpose of facilitating research and development of innovative psychedelic compound-based therapeutics for patients suffering from depression.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21, 2022, the Company announced that it has partnered with Clinilabs, a global, full-service contract research organization with expertise in central nervous system drug development, to carry out the Company’s Phase 1/2a clinical trial of CYB003, its proprietary deuterated psilocybin analog. CYB003 will be the first psilocybin analog to be evaluated in Phase 1/2a development for the treatment of MDD.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2"/>
        </w:rPr>
        <w:t>The Company has established contractual sources of synthetic GMP (as defined below) and non-GMP raw materials to support its development operations through licensed third-party suppliers located in Canada, the United States and the United Kingdom. Such raw materials are expected to be, in general, readily available and in adequate supply to meet the Company’s need for development quantities, or custom manufactured on the Company’s behalf.</w:t>
      </w:r>
      <w:r>
        <w:rPr>
          <w:rFonts w:ascii="Times New Roman;sans-serif" w:hAnsi="Times New Roman;sans-serif"/>
          <w:b w:val="false"/>
          <w:color w:val="000000"/>
          <w:sz w:val="14"/>
        </w:rPr>
        <w:t>36</w:t>
      </w:r>
      <w:r>
        <w:rPr>
          <w:color w:val="000000"/>
        </w:rPr>
        <w:t xml:space="preserve"> </w:t>
      </w:r>
      <w:r>
        <w:rPr>
          <w:rFonts w:ascii="Times New Roman;sans-serif" w:hAnsi="Times New Roman;sans-serif"/>
          <w:b w:val="false"/>
          <w:color w:val="000000"/>
          <w:sz w:val="22"/>
        </w:rPr>
        <w:t>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2"/>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sans-serif" w:hAnsi="Times New Roman;sans-serif"/>
          <w:b/>
          <w:color w:val="000000"/>
          <w:sz w:val="22"/>
        </w:rPr>
        <w:t>CHDR</w:t>
      </w:r>
      <w:r>
        <w:rPr>
          <w:color w:val="000000"/>
        </w:rPr>
        <w:t>”</w:t>
      </w:r>
      <w:r>
        <w:rPr>
          <w:rFonts w:ascii="Times New Roman;sans-serif" w:hAnsi="Times New Roman;sans-serif"/>
          <w:b w:val="false"/>
          <w:color w:val="000000"/>
          <w:sz w:val="22"/>
        </w:rPr>
        <w:t>) to the Company. The Company now maintains a direct contractual relationship with CHDR to conduct the CYB004-E trial. CHDR is an independent institute in the Netherlands specializing in innovative early-stage clinical drug research.</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27, 2022, the Company entered into the agreement, as amended, with Mindset to acquire an exclusive license to an extensive targeted class of tryptamine-based molecules. The agreement includes an initial license fee payment by the Company to Mindset of US$500,000 as well as additional clinical development milestone payments of up to US$9,500,000, with the first milestone payment, in the amount of US$500,000, payable upon completion of a Phase 1 clinical trial. At the sole discretion of the Company,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conducted due diligence on each such third party, including but not limited to the review of necessary licenses and the regulatory framework enacted in the jurisdiction of operation.</w:t>
      </w:r>
    </w:p>
    <w:p>
      <w:pPr>
        <w:pStyle w:val="TextBody"/>
        <w:spacing w:lineRule="auto" w:line="252"/>
        <w:jc w:val="both"/>
        <w:rPr/>
      </w:pPr>
      <w:r>
        <w:rPr>
          <w:rFonts w:ascii="Times New Roman;sans-serif" w:hAnsi="Times New Roman;sans-serif"/>
          <w:b w:val="false"/>
          <w:color w:val="000000"/>
          <w:sz w:val="12"/>
        </w:rPr>
        <w:t>36</w:t>
      </w:r>
      <w:r>
        <w:rPr>
          <w:color w:val="000000"/>
        </w:rPr>
        <w:t xml:space="preserve"> </w:t>
      </w:r>
      <w:r>
        <w:rPr>
          <w:rFonts w:ascii="Times New Roman;sans-serif" w:hAnsi="Times New Roman;sans-serif"/>
          <w:b w:val="false"/>
          <w:color w:val="000000"/>
          <w:sz w:val="18"/>
        </w:rPr>
        <w:t xml:space="preserve">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 </w:t>
      </w:r>
      <w:r>
        <w:br w:type="page"/>
      </w:r>
    </w:p>
    <w:p>
      <w:pPr>
        <w:pStyle w:val="TextBody"/>
        <w:spacing w:before="0" w:after="20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668020"/>
                <wp:effectExtent l="0" t="0" r="0" b="0"/>
                <wp:wrapNone/>
                <wp:docPr id="49" name="Frame4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p>
                      <w:pPr>
                        <w:pStyle w:val="TextBody"/>
                        <w:spacing w:before="0" w:after="0"/>
                        <w:jc w:val="center"/>
                        <w:rPr/>
                      </w:pPr>
                      <w:r>
                        <w:rPr/>
                      </w:r>
                    </w:p>
                  </w:txbxContent>
                </v:textbox>
              </v:rect>
            </w:pict>
          </mc:Fallback>
        </mc:AlternateContent>
      </w:r>
    </w:p>
    <w:p>
      <w:pPr>
        <w:pStyle w:val="TextBody"/>
        <w:spacing w:before="0" w:after="0"/>
        <w:jc w:val="both"/>
        <w:rPr/>
      </w:pPr>
      <w:r>
        <w:rPr/>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Regulatory Environment</w:t>
      </w:r>
    </w:p>
    <w:tbl>
      <w:tblPr>
        <w:tblW w:w="10539" w:type="dxa"/>
        <w:jc w:val="left"/>
        <w:tblInd w:w="0" w:type="dxa"/>
        <w:tblCellMar>
          <w:top w:w="28" w:type="dxa"/>
          <w:left w:w="28" w:type="dxa"/>
          <w:bottom w:w="28" w:type="dxa"/>
          <w:right w:w="28" w:type="dxa"/>
        </w:tblCellMar>
      </w:tblPr>
      <w:tblGrid>
        <w:gridCol w:w="924"/>
        <w:gridCol w:w="810"/>
        <w:gridCol w:w="820"/>
        <w:gridCol w:w="490"/>
        <w:gridCol w:w="490"/>
        <w:gridCol w:w="491"/>
        <w:gridCol w:w="1901"/>
        <w:gridCol w:w="1901"/>
        <w:gridCol w:w="2712"/>
      </w:tblGrid>
      <w:tr>
        <w:trPr/>
        <w:tc>
          <w:tcPr>
            <w:tcW w:w="924"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2712" w:type="dxa"/>
            <w:tcBorders/>
            <w:shd w:fill="auto" w:val="clear"/>
            <w:vAlign w:val="center"/>
          </w:tcPr>
          <w:p>
            <w:pPr>
              <w:pStyle w:val="TableContents"/>
              <w:spacing w:before="0" w:after="283"/>
              <w:rPr>
                <w:sz w:val="4"/>
                <w:szCs w:val="4"/>
              </w:rPr>
            </w:pPr>
            <w:r>
              <w:rPr>
                <w:sz w:val="4"/>
                <w:szCs w:val="4"/>
              </w:rPr>
            </w:r>
          </w:p>
        </w:tc>
      </w:tr>
      <w:tr>
        <w:trPr/>
        <w:tc>
          <w:tcPr>
            <w:tcW w:w="25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Business Segment</w:t>
            </w:r>
          </w:p>
        </w:tc>
        <w:tc>
          <w:tcPr>
            <w:tcW w:w="147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Current/Proposed Location of Operation</w:t>
            </w:r>
          </w:p>
        </w:tc>
        <w:tc>
          <w:tcPr>
            <w:tcW w:w="651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Summary of Applicable Regulatory Frameworks</w:t>
            </w:r>
          </w:p>
        </w:tc>
      </w:tr>
      <w:tr>
        <w:trPr/>
        <w:tc>
          <w:tcPr>
            <w:tcW w:w="2554"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development and commercialization of psychedelic-inspired regulation medicines.</w:t>
            </w:r>
          </w:p>
        </w:tc>
        <w:tc>
          <w:tcPr>
            <w:tcW w:w="1471"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 United Kingdom, United States, Netherlands</w:t>
            </w:r>
          </w:p>
        </w:tc>
        <w:tc>
          <w:tcPr>
            <w:tcW w:w="6514"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jc w:val="both"/>
              <w:rPr/>
            </w:pPr>
            <w:r>
              <w:rPr>
                <w:rFonts w:ascii="Times New Roman;sans-serif" w:hAnsi="Times New Roman;sans-serif"/>
                <w:b w:val="false"/>
                <w:color w:val="000000"/>
                <w:sz w:val="18"/>
              </w:rPr>
              <w:t>The Canadian and United States federal governments regulate drugs through the CDSA and the CSA, respectively, which place controlled substances in a schedule.</w:t>
            </w: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The United Kingdom regulates drugs through the MDA (through allocation of classes of risk) and MDR (which places controlled substances in a schedule). The Netherlands regulates drugs under the Dutch Opium Act (as defined herein). </w:t>
            </w:r>
          </w:p>
          <w:p>
            <w:pPr>
              <w:pStyle w:val="TableContents"/>
              <w:spacing w:before="0" w:after="0"/>
              <w:jc w:val="left"/>
              <w:rPr/>
            </w:pPr>
            <w:r>
              <w:rPr/>
            </w:r>
          </w:p>
          <w:p>
            <w:pPr>
              <w:pStyle w:val="TableContents"/>
              <w:spacing w:lineRule="auto" w:line="240" w:before="0" w:after="0"/>
              <w:jc w:val="both"/>
              <w:rPr/>
            </w:pPr>
            <w:r>
              <w:rPr>
                <w:rFonts w:ascii="Times New Roman;sans-serif" w:hAnsi="Times New Roman;sans-serif"/>
                <w:b w:val="false"/>
                <w:color w:val="000000"/>
                <w:sz w:val="18"/>
              </w:rPr>
              <w:t>Under the CDSA, psilocybin is currently a Schedule III drug.</w:t>
            </w:r>
            <w:r>
              <w:rPr>
                <w:rFonts w:ascii="Times New Roman;sans-serif" w:hAnsi="Times New Roman;sans-serif"/>
                <w:b/>
                <w:color w:val="000000"/>
                <w:sz w:val="12"/>
              </w:rPr>
              <w:t>(2)</w:t>
            </w:r>
          </w:p>
          <w:p>
            <w:pPr>
              <w:pStyle w:val="TableContents"/>
              <w:spacing w:before="0" w:after="0"/>
              <w:jc w:val="left"/>
              <w:rPr/>
            </w:pPr>
            <w:r>
              <w:rPr/>
            </w:r>
          </w:p>
          <w:p>
            <w:pPr>
              <w:pStyle w:val="TableContents"/>
              <w:spacing w:lineRule="auto" w:line="240" w:before="0" w:after="0"/>
              <w:jc w:val="left"/>
              <w:rPr/>
            </w:pPr>
            <w:r>
              <w:rPr>
                <w:rFonts w:ascii="Times New Roman;sans-serif" w:hAnsi="Times New Roman;sans-serif"/>
                <w:b w:val="false"/>
                <w:color w:val="000000"/>
                <w:sz w:val="18"/>
              </w:rPr>
              <w:t>Under the CSA, psilocybin is currently a Schedule I drug.</w:t>
            </w:r>
            <w:r>
              <w:rPr>
                <w:rFonts w:ascii="Times New Roman;sans-serif" w:hAnsi="Times New Roman;sans-serif"/>
                <w:b/>
                <w:color w:val="000000"/>
                <w:sz w:val="12"/>
              </w:rPr>
              <w:t>(3)</w:t>
            </w:r>
          </w:p>
          <w:p>
            <w:pPr>
              <w:pStyle w:val="TableContents"/>
              <w:spacing w:before="0" w:after="0"/>
              <w:jc w:val="left"/>
              <w:rPr/>
            </w:pPr>
            <w:r>
              <w:rPr/>
            </w:r>
          </w:p>
          <w:p>
            <w:pPr>
              <w:pStyle w:val="TableContents"/>
              <w:spacing w:lineRule="auto" w:line="240" w:before="0" w:after="0"/>
              <w:jc w:val="both"/>
              <w:rPr/>
            </w:pPr>
            <w:r>
              <w:rPr>
                <w:rFonts w:ascii="Times New Roman;sans-serif" w:hAnsi="Times New Roman;sans-serif"/>
                <w:b w:val="false"/>
                <w:color w:val="000000"/>
                <w:sz w:val="18"/>
              </w:rPr>
              <w:t>Under the MDA, psilocybin is currently a Class A drug under the MDA and a Schedule 1 drug under the MDR.</w:t>
            </w:r>
            <w:r>
              <w:rPr>
                <w:rFonts w:ascii="Times New Roman;sans-serif" w:hAnsi="Times New Roman;sans-serif"/>
                <w:b w:val="false"/>
                <w:color w:val="000000"/>
                <w:sz w:val="12"/>
              </w:rPr>
              <w:t xml:space="preserve">(4) </w:t>
            </w:r>
          </w:p>
          <w:p>
            <w:pPr>
              <w:pStyle w:val="TableContents"/>
              <w:spacing w:before="0" w:after="0"/>
              <w:jc w:val="both"/>
              <w:rPr/>
            </w:pPr>
            <w:r>
              <w:rPr/>
            </w:r>
          </w:p>
          <w:p>
            <w:pPr>
              <w:pStyle w:val="TableContents"/>
              <w:spacing w:lineRule="auto" w:line="240" w:before="0" w:after="0"/>
              <w:jc w:val="both"/>
              <w:rPr/>
            </w:pPr>
            <w:r>
              <w:rPr>
                <w:rFonts w:ascii="Times New Roman;sans-serif" w:hAnsi="Times New Roman;sans-serif"/>
                <w:b w:val="false"/>
                <w:color w:val="000000"/>
                <w:sz w:val="18"/>
              </w:rPr>
              <w:t xml:space="preserve">Under the Dutch Opium Act, DMT is classified in the Netherlands as a List 1 Drug </w:t>
            </w:r>
            <w:r>
              <w:rPr>
                <w:rFonts w:ascii="Times New Roman;sans-serif" w:hAnsi="Times New Roman;sans-serif"/>
                <w:b w:val="false"/>
                <w:color w:val="000000"/>
                <w:sz w:val="12"/>
              </w:rPr>
              <w:t>(5)</w:t>
            </w:r>
            <w:r>
              <w:rPr>
                <w:color w:val="000000"/>
              </w:rPr>
              <w:t xml:space="preserve"> </w:t>
            </w:r>
          </w:p>
        </w:tc>
      </w:tr>
    </w:tbl>
    <w:p>
      <w:pPr>
        <w:pStyle w:val="TextBody"/>
        <w:spacing w:lineRule="auto" w:line="240" w:before="60" w:after="60"/>
        <w:rPr>
          <w:rFonts w:ascii="Times New Roman;sans-serif" w:hAnsi="Times New Roman;sans-serif"/>
          <w:b/>
          <w:color w:val="000000"/>
          <w:sz w:val="16"/>
          <w:u w:val="single"/>
        </w:rPr>
      </w:pPr>
      <w:r>
        <w:rPr>
          <w:rFonts w:ascii="Times New Roman;sans-serif" w:hAnsi="Times New Roman;sans-serif"/>
          <w:b/>
          <w:color w:val="000000"/>
          <w:sz w:val="16"/>
          <w:u w:val="single"/>
        </w:rPr>
        <w:t>Notes:</w:t>
      </w:r>
    </w:p>
    <w:p>
      <w:pPr>
        <w:pStyle w:val="TextBody"/>
        <w:spacing w:lineRule="auto" w:line="240" w:before="0" w:after="0"/>
        <w:ind w:left="0" w:right="0" w:hanging="283"/>
        <w:jc w:val="both"/>
        <w:rPr/>
      </w:pPr>
      <w:r>
        <w:rPr>
          <w:rFonts w:ascii="Times New Roman;sans-serif" w:hAnsi="Times New Roman;sans-serif"/>
          <w:b w:val="false"/>
          <w:color w:val="000000"/>
          <w:sz w:val="16"/>
        </w:rPr>
        <w:t xml:space="preserve">(1)    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Company does not directly engage in any activities that would trigger the need to comply with any federal laws related to psychedelic substances. See </w:t>
      </w:r>
      <w:r>
        <w:rPr>
          <w:color w:val="000000"/>
        </w:rPr>
        <w:t>“</w:t>
      </w:r>
      <w:r>
        <w:rPr>
          <w:rFonts w:ascii="Times New Roman;sans-serif" w:hAnsi="Times New Roman;sans-serif"/>
          <w:b w:val="false"/>
          <w:i/>
          <w:color w:val="000000"/>
          <w:sz w:val="16"/>
        </w:rPr>
        <w:t>Regulatory Environment – Research and Development”</w:t>
      </w:r>
      <w:r>
        <w:rPr>
          <w:rFonts w:ascii="Times New Roman;sans-serif" w:hAnsi="Times New Roman;sans-serif"/>
          <w:b w:val="false"/>
          <w:color w:val="000000"/>
          <w:sz w:val="16"/>
        </w:rPr>
        <w:t>.</w:t>
      </w:r>
    </w:p>
    <w:p>
      <w:pPr>
        <w:pStyle w:val="TextBody"/>
        <w:spacing w:lineRule="auto" w:line="240" w:before="0" w:after="0"/>
        <w:ind w:left="0" w:right="0" w:hanging="283"/>
        <w:jc w:val="both"/>
        <w:rPr/>
      </w:pPr>
      <w:r>
        <w:rPr>
          <w:rFonts w:ascii="Times New Roman;sans-serif" w:hAnsi="Times New Roman;sans-serif"/>
          <w:b w:val="false"/>
          <w:color w:val="000000"/>
          <w:sz w:val="16"/>
        </w:rPr>
        <w:t xml:space="preserve">(2)    For further information on the Canadian regulatory framework, see </w:t>
      </w:r>
      <w:r>
        <w:rPr>
          <w:color w:val="000000"/>
        </w:rPr>
        <w:t>“</w:t>
      </w:r>
      <w:r>
        <w:rPr>
          <w:rFonts w:ascii="Times New Roman;sans-serif" w:hAnsi="Times New Roman;sans-serif"/>
          <w:b w:val="false"/>
          <w:i/>
          <w:color w:val="000000"/>
          <w:sz w:val="16"/>
        </w:rPr>
        <w:t xml:space="preserve">Regulatory Environment – Canada”. </w:t>
      </w:r>
    </w:p>
    <w:p>
      <w:pPr>
        <w:pStyle w:val="TextBody"/>
        <w:spacing w:lineRule="auto" w:line="240" w:before="0" w:after="0"/>
        <w:ind w:left="0" w:right="0" w:hanging="283"/>
        <w:jc w:val="both"/>
        <w:rPr/>
      </w:pPr>
      <w:r>
        <w:rPr>
          <w:rFonts w:ascii="Times New Roman;sans-serif" w:hAnsi="Times New Roman;sans-serif"/>
          <w:b w:val="false"/>
          <w:color w:val="000000"/>
          <w:sz w:val="16"/>
        </w:rPr>
        <w:t xml:space="preserve">(3)    For further information on the United States regulatory framework, see </w:t>
      </w:r>
      <w:r>
        <w:rPr>
          <w:color w:val="000000"/>
        </w:rPr>
        <w:t>“</w:t>
      </w:r>
      <w:r>
        <w:rPr>
          <w:rFonts w:ascii="Times New Roman;sans-serif" w:hAnsi="Times New Roman;sans-serif"/>
          <w:b w:val="false"/>
          <w:i/>
          <w:color w:val="000000"/>
          <w:sz w:val="16"/>
        </w:rPr>
        <w:t>Regulatory Environment – United States”.</w:t>
      </w:r>
    </w:p>
    <w:p>
      <w:pPr>
        <w:pStyle w:val="TextBody"/>
        <w:spacing w:lineRule="auto" w:line="240" w:before="0" w:after="0"/>
        <w:ind w:left="0" w:right="0" w:hanging="283"/>
        <w:jc w:val="both"/>
        <w:rPr/>
      </w:pPr>
      <w:r>
        <w:rPr>
          <w:rFonts w:ascii="Times New Roman;sans-serif" w:hAnsi="Times New Roman;sans-serif"/>
          <w:b w:val="false"/>
          <w:color w:val="000000"/>
          <w:sz w:val="16"/>
        </w:rPr>
        <w:t>(4)    For further information on the United Kingdom regulatory framework, see “</w:t>
      </w:r>
      <w:r>
        <w:rPr>
          <w:rFonts w:ascii="Times New Roman;sans-serif" w:hAnsi="Times New Roman;sans-serif"/>
          <w:b w:val="false"/>
          <w:i/>
          <w:color w:val="000000"/>
          <w:sz w:val="16"/>
        </w:rPr>
        <w:t>Regulatory Environment – United Kingdom</w:t>
      </w:r>
      <w:r>
        <w:rPr>
          <w:color w:val="000000"/>
        </w:rPr>
        <w:t>”</w:t>
      </w:r>
      <w:r>
        <w:rPr>
          <w:rFonts w:ascii="Times New Roman;sans-serif" w:hAnsi="Times New Roman;sans-serif"/>
          <w:b w:val="false"/>
          <w:color w:val="000000"/>
          <w:sz w:val="16"/>
        </w:rPr>
        <w:t xml:space="preserve">. </w:t>
      </w:r>
    </w:p>
    <w:p>
      <w:pPr>
        <w:pStyle w:val="TextBody"/>
        <w:spacing w:lineRule="auto" w:line="240" w:before="0" w:after="0"/>
        <w:ind w:left="0" w:right="0" w:hanging="283"/>
        <w:jc w:val="both"/>
        <w:rPr/>
      </w:pPr>
      <w:r>
        <w:rPr>
          <w:rFonts w:ascii="Times New Roman;sans-serif" w:hAnsi="Times New Roman;sans-serif"/>
          <w:b w:val="false"/>
          <w:color w:val="000000"/>
          <w:sz w:val="16"/>
        </w:rPr>
        <w:t xml:space="preserve">(5)    For further information on the Netherlands regulatory framework, see </w:t>
      </w:r>
      <w:r>
        <w:rPr>
          <w:color w:val="000000"/>
        </w:rPr>
        <w:t>“</w:t>
      </w:r>
      <w:r>
        <w:rPr>
          <w:rFonts w:ascii="Times New Roman;sans-serif" w:hAnsi="Times New Roman;sans-serif"/>
          <w:b w:val="false"/>
          <w:i/>
          <w:color w:val="000000"/>
          <w:sz w:val="16"/>
        </w:rPr>
        <w:t>Regulatory Environment – Europe (Netherlands)”.</w:t>
      </w:r>
      <w:r>
        <w:rPr>
          <w:color w:val="000000"/>
        </w:rPr>
        <w:t xml:space="preserve"> </w:t>
      </w:r>
    </w:p>
    <w:p>
      <w:pPr>
        <w:pStyle w:val="TextBody"/>
        <w:spacing w:before="0" w:after="0"/>
        <w:ind w:left="0" w:right="0" w:hanging="283"/>
        <w:jc w:val="both"/>
        <w:rPr/>
      </w:pPr>
      <w:r>
        <w:rPr/>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Canada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spacing w:lineRule="auto" w:line="240" w:before="0" w:after="240"/>
        <w:jc w:val="both"/>
        <w:rPr/>
      </w:pPr>
      <w:r>
        <w:rPr>
          <w:rFonts w:ascii="Times New Roman;sans-serif" w:hAnsi="Times New Roman;sans-serif"/>
          <w:b w:val="false"/>
          <w:color w:val="000000"/>
          <w:sz w:val="22"/>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Times New Roman;sans-serif" w:hAnsi="Times New Roman;sans-serif"/>
          <w:b/>
          <w:color w:val="000000"/>
          <w:sz w:val="22"/>
        </w:rPr>
        <w:t>Section 56 Exemption</w:t>
      </w:r>
      <w:r>
        <w:rPr>
          <w:color w:val="000000"/>
        </w:rPr>
        <w:t>”</w:t>
      </w:r>
      <w:r>
        <w:rPr>
          <w:rFonts w:ascii="Times New Roman;sans-serif" w:hAnsi="Times New Roman;sans-serif"/>
          <w:b w:val="false"/>
          <w:color w:val="000000"/>
          <w:sz w:val="22"/>
        </w:rPr>
        <w:t>) is required. This exemption allows the holder to possess and use the controlled substance without being subject to the restrictions set out in the CDSA.</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Company has not applied for a Section 56 Exemption from Health Canada. </w:t>
      </w:r>
    </w:p>
    <w:p>
      <w:pPr>
        <w:pStyle w:val="TextBody"/>
        <w:spacing w:lineRule="auto" w:line="240" w:before="0" w:after="240"/>
        <w:jc w:val="both"/>
        <w:rPr/>
      </w:pPr>
      <w:r>
        <w:rPr>
          <w:rFonts w:ascii="Times New Roman;sans-serif" w:hAnsi="Times New Roman;sans-serif"/>
          <w:b w:val="false"/>
          <w:color w:val="000000"/>
          <w:sz w:val="22"/>
        </w:rPr>
        <w:t>Health Canada’s Special Access Program (“</w:t>
      </w:r>
      <w:r>
        <w:rPr>
          <w:rFonts w:ascii="Times New Roman;sans-serif" w:hAnsi="Times New Roman;sans-serif"/>
          <w:b/>
          <w:color w:val="000000"/>
          <w:sz w:val="22"/>
        </w:rPr>
        <w:t>SAP</w:t>
      </w:r>
      <w:r>
        <w:rPr>
          <w:color w:val="000000"/>
        </w:rPr>
        <w:t>”</w:t>
      </w:r>
      <w:r>
        <w:rPr>
          <w:rFonts w:ascii="Times New Roman;sans-serif" w:hAnsi="Times New Roman;sans-serif"/>
          <w:b w:val="false"/>
          <w:color w:val="000000"/>
          <w:sz w:val="22"/>
        </w:rPr>
        <w:t xml:space="preserve">) was designed to provide Canadians to access certain restricted drugs before they are formally approved for use in Canada. In January 2022, certain amendments to the SAP came into force to permit medical practitioners treating patients with serious or </w:t>
      </w:r>
      <w:r>
        <w:br w:type="page"/>
      </w:r>
    </w:p>
    <w:p>
      <w:pPr>
        <w:pStyle w:val="TextBody"/>
        <w:spacing w:before="0" w:after="20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668020"/>
                <wp:effectExtent l="0" t="0" r="0" b="0"/>
                <wp:wrapNone/>
                <wp:docPr id="50" name="Frame4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pStyle w:val="TextBody"/>
        <w:spacing w:lineRule="auto" w:line="240" w:before="0" w:after="240"/>
        <w:jc w:val="both"/>
        <w:rPr/>
      </w:pPr>
      <w:r>
        <w:rPr>
          <w:rFonts w:ascii="Times New Roman;sans-serif" w:hAnsi="Times New Roman;sans-serif"/>
          <w:b w:val="false"/>
          <w:color w:val="000000"/>
          <w:sz w:val="22"/>
        </w:rPr>
        <w:t>Please see “</w:t>
      </w:r>
      <w:r>
        <w:rPr>
          <w:rFonts w:ascii="Times New Roman;sans-serif" w:hAnsi="Times New Roman;sans-serif"/>
          <w:b w:val="false"/>
          <w:i/>
          <w:color w:val="000000"/>
          <w:sz w:val="22"/>
        </w:rPr>
        <w:t>Description of the Business – Research and Development”</w:t>
      </w:r>
      <w:r>
        <w:rPr>
          <w:color w:val="000000"/>
        </w:rPr>
        <w:t xml:space="preserve"> </w:t>
      </w:r>
      <w:r>
        <w:rPr>
          <w:rFonts w:ascii="Times New Roman;sans-serif" w:hAnsi="Times New Roman;sans-serif"/>
          <w:b w:val="false"/>
          <w:color w:val="000000"/>
          <w:sz w:val="22"/>
        </w:rPr>
        <w:t>for additional information concerning the regulation applicable to the process required before prescription drug product candidates may be marketed in Canada.</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United States</w:t>
      </w:r>
    </w:p>
    <w:p>
      <w:pPr>
        <w:pStyle w:val="TextBody"/>
        <w:spacing w:lineRule="auto" w:line="240" w:before="0" w:after="240"/>
        <w:jc w:val="both"/>
        <w:rPr/>
      </w:pPr>
      <w:r>
        <w:rPr>
          <w:rFonts w:ascii="Times New Roman;sans-serif" w:hAnsi="Times New Roman;sans-serif"/>
          <w:b w:val="false"/>
          <w:color w:val="000000"/>
          <w:sz w:val="22"/>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Times New Roman;sans-serif" w:hAnsi="Times New Roman;sans-serif"/>
          <w:b w:val="false"/>
          <w:color w:val="000000"/>
          <w:sz w:val="14"/>
        </w:rPr>
        <w:t>37</w:t>
      </w:r>
      <w:r>
        <w:rPr>
          <w:color w:val="000000"/>
        </w:rPr>
        <w:t xml:space="preserve"> </w:t>
      </w:r>
      <w:r>
        <w:rPr>
          <w:rFonts w:ascii="Times New Roman;sans-serif" w:hAnsi="Times New Roman;sans-serif"/>
          <w:b w:val="false"/>
          <w:color w:val="000000"/>
          <w:sz w:val="22"/>
        </w:rPr>
        <w:t>Anticipated timelines related to regulatory filings are based on reasonable assumptions informed by current knowledge and information available to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w:t>
      </w:r>
    </w:p>
    <w:p>
      <w:pPr>
        <w:pStyle w:val="TextBody"/>
        <w:spacing w:lineRule="auto" w:line="240"/>
        <w:jc w:val="both"/>
        <w:rPr/>
      </w:pPr>
      <w:r>
        <w:rPr>
          <w:rFonts w:ascii="Times New Roman;sans-serif" w:hAnsi="Times New Roman;sans-serif"/>
          <w:b w:val="false"/>
          <w:color w:val="000000"/>
          <w:sz w:val="12"/>
        </w:rPr>
        <w:t>37</w:t>
      </w:r>
      <w:r>
        <w:rPr>
          <w:color w:val="000000"/>
        </w:rPr>
        <w:t xml:space="preserve"> </w:t>
      </w:r>
      <w:r>
        <w:rPr>
          <w:rFonts w:ascii="Times New Roman;sans-serif" w:hAnsi="Times New Roman;sans-serif"/>
          <w:b w:val="false"/>
          <w:color w:val="000000"/>
          <w:sz w:val="18"/>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sans-serif" w:hAnsi="Times New Roman;sans-serif"/>
          <w:b w:val="false"/>
          <w:i/>
          <w:color w:val="000000"/>
          <w:sz w:val="18"/>
        </w:rPr>
        <w:t>Risk Factors</w:t>
      </w:r>
      <w:r>
        <w:rPr>
          <w:color w:val="000000"/>
        </w:rPr>
        <w:t>”</w:t>
      </w:r>
      <w:r>
        <w:rPr>
          <w:rFonts w:ascii="Times New Roman;sans-serif" w:hAnsi="Times New Roman;sans-serif"/>
          <w:b w:val="false"/>
          <w:color w:val="000000"/>
          <w:sz w:val="18"/>
        </w:rPr>
        <w:t>.</w:t>
      </w:r>
      <w:r>
        <w:br w:type="page"/>
      </w:r>
    </w:p>
    <w:p>
      <w:pPr>
        <w:pStyle w:val="TextBody"/>
        <w:spacing w:before="0" w:after="20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668020"/>
                <wp:effectExtent l="0" t="0" r="0" b="0"/>
                <wp:wrapNone/>
                <wp:docPr id="51" name="Frame4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rescheduled, or the product itself must be scheduled, by the DEA to Schedule II, III, IV or V. Scheduling determinations by the DEA are dependent on FDA approval of a substance or a specific formulation of a substance.</w:t>
      </w:r>
    </w:p>
    <w:p>
      <w:pPr>
        <w:pStyle w:val="TextBody"/>
        <w:spacing w:lineRule="auto" w:line="240" w:before="0" w:after="240"/>
        <w:jc w:val="both"/>
        <w:rPr/>
      </w:pPr>
      <w:r>
        <w:rPr>
          <w:rFonts w:ascii="Times New Roman;sans-serif" w:hAnsi="Times New Roman;sans-serif"/>
          <w:b w:val="false"/>
          <w:color w:val="000000"/>
          <w:sz w:val="22"/>
        </w:rPr>
        <w:t>Please see “</w:t>
      </w:r>
      <w:r>
        <w:rPr>
          <w:rFonts w:ascii="Times New Roman;sans-serif" w:hAnsi="Times New Roman;sans-serif"/>
          <w:b w:val="false"/>
          <w:i/>
          <w:color w:val="000000"/>
          <w:sz w:val="22"/>
        </w:rPr>
        <w:t>Description of the Business – Research and Development”</w:t>
      </w:r>
      <w:r>
        <w:rPr>
          <w:color w:val="000000"/>
        </w:rPr>
        <w:t xml:space="preserve"> </w:t>
      </w:r>
      <w:r>
        <w:rPr>
          <w:rFonts w:ascii="Times New Roman;sans-serif" w:hAnsi="Times New Roman;sans-serif"/>
          <w:b w:val="false"/>
          <w:color w:val="000000"/>
          <w:sz w:val="22"/>
        </w:rPr>
        <w:t>for additional information concerning the regulation applicable to the process required before prescription drug product candidates may be marketed in the United States.</w: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Europe (Netherlands)</w:t>
      </w:r>
    </w:p>
    <w:p>
      <w:pPr>
        <w:pStyle w:val="TextBody"/>
        <w:spacing w:lineRule="auto" w:line="240" w:before="0" w:after="240"/>
        <w:jc w:val="both"/>
        <w:rPr/>
      </w:pPr>
      <w:r>
        <w:rPr>
          <w:rFonts w:ascii="Times New Roman;sans-serif" w:hAnsi="Times New Roman;sans-serif"/>
          <w:b w:val="false"/>
          <w:color w:val="000000"/>
          <w:sz w:val="22"/>
        </w:rPr>
        <w:t>The International Narcotics Control Board (“</w:t>
      </w:r>
      <w:r>
        <w:rPr>
          <w:rFonts w:ascii="Times New Roman;sans-serif" w:hAnsi="Times New Roman;sans-serif"/>
          <w:b/>
          <w:color w:val="000000"/>
          <w:sz w:val="22"/>
        </w:rPr>
        <w:t>INCB</w:t>
      </w:r>
      <w:r>
        <w:rPr>
          <w:color w:val="000000"/>
        </w:rPr>
        <w:t>”</w:t>
      </w:r>
      <w:r>
        <w:rPr>
          <w:rFonts w:ascii="Times New Roman;sans-serif" w:hAnsi="Times New Roman;sans-serif"/>
          <w:b w:val="false"/>
          <w:color w:val="000000"/>
          <w:sz w:val="22"/>
        </w:rPr>
        <w:t>), a United Nations (“</w:t>
      </w:r>
      <w:r>
        <w:rPr>
          <w:rFonts w:ascii="Times New Roman;sans-serif" w:hAnsi="Times New Roman;sans-serif"/>
          <w:b/>
          <w:color w:val="000000"/>
          <w:sz w:val="22"/>
        </w:rPr>
        <w:t>UN</w:t>
      </w:r>
      <w:r>
        <w:rPr>
          <w:color w:val="000000"/>
        </w:rPr>
        <w:t>”</w:t>
      </w:r>
      <w:r>
        <w:rPr>
          <w:rFonts w:ascii="Times New Roman;sans-serif" w:hAnsi="Times New Roman;sans-serif"/>
          <w:b w:val="false"/>
          <w:color w:val="000000"/>
          <w:sz w:val="22"/>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prohibit all use except for scientific and very limited medical purposes by duly authorized persons, in medical or scientific establishments which are directly under the control of their Governments or specifically approved by them;</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require that manufacture, trade, distribution and possession be under a special licence or prior authorization;</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 xml:space="preserve">provide for close supervision of the activities and acts mentioned in paragraphs (a) and (b);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restrict the amount supplied to a duly authorized person to the quantity required for his authorized purpose;</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require that persons performing medical or scientific functions keep records concerning the acquisition of the substances and the details of their use, such records to be preserved for at least two years after the last use recorded therein; and</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val="false"/>
          <w:color w:val="000000"/>
          <w:sz w:val="22"/>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sans-serif" w:hAnsi="Times New Roman;sans-serif"/>
          <w:b/>
          <w:color w:val="000000"/>
          <w:sz w:val="22"/>
        </w:rPr>
        <w:t>Dutch Opium Act</w:t>
      </w:r>
      <w:r>
        <w:rPr>
          <w:color w:val="000000"/>
        </w:rPr>
        <w:t>”</w:t>
      </w:r>
      <w:r>
        <w:rPr>
          <w:rFonts w:ascii="Times New Roman;sans-serif" w:hAnsi="Times New Roman;sans-serif"/>
          <w:b w:val="false"/>
          <w:color w:val="000000"/>
          <w:sz w:val="22"/>
        </w:rPr>
        <w:t xml:space="preserve">) and as such, subject to express authorization being obtained, the production, trade and possession of DMT are prohibited.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Dutch Opium Act, two other Dutch Acts may be relevant when it comes to drugs: the Medicines Act and the Commodities Act.</w:t>
      </w:r>
      <w:r>
        <w:br w:type="page"/>
      </w:r>
    </w:p>
    <w:p>
      <w:pPr>
        <w:pStyle w:val="TextBody"/>
        <w:spacing w:before="0" w:after="20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668020"/>
                <wp:effectExtent l="0" t="0" r="0" b="0"/>
                <wp:wrapNone/>
                <wp:docPr id="52" name="Frame4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sans-serif" w:hAnsi="Times New Roman;sans-serif"/>
          <w:b/>
          <w:color w:val="000000"/>
          <w:sz w:val="22"/>
        </w:rPr>
        <w:t>CCMO</w:t>
      </w:r>
      <w:r>
        <w:rPr>
          <w:color w:val="000000"/>
        </w:rPr>
        <w:t>”</w:t>
      </w:r>
      <w:r>
        <w:rPr>
          <w:rFonts w:ascii="Times New Roman;sans-serif" w:hAnsi="Times New Roman;sans-serif"/>
          <w:b w:val="false"/>
          <w:color w:val="000000"/>
          <w:sz w:val="22"/>
        </w:rPr>
        <w:t xml:space="preserve">),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 </w: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Ireland</w:t>
      </w:r>
    </w:p>
    <w:p>
      <w:pPr>
        <w:pStyle w:val="TextBody"/>
        <w:spacing w:lineRule="auto" w:line="240" w:before="0" w:after="240"/>
        <w:jc w:val="both"/>
        <w:rPr/>
      </w:pPr>
      <w:r>
        <w:rPr>
          <w:rFonts w:ascii="Times New Roman;sans-serif" w:hAnsi="Times New Roman;sans-serif"/>
          <w:b w:val="false"/>
          <w:color w:val="000000"/>
          <w:sz w:val="22"/>
        </w:rPr>
        <w:t>In Ireland, psilocin is a controlled substance under the Misuse of Drugs Act, 1977, 1984 and 2015 (the “</w:t>
      </w:r>
      <w:r>
        <w:rPr>
          <w:rFonts w:ascii="Times New Roman;sans-serif" w:hAnsi="Times New Roman;sans-serif"/>
          <w:b/>
          <w:color w:val="000000"/>
          <w:sz w:val="22"/>
        </w:rPr>
        <w:t>Ireland MDA</w:t>
      </w:r>
      <w:r>
        <w:rPr>
          <w:color w:val="000000"/>
        </w:rPr>
        <w:t>”</w:t>
      </w:r>
      <w:r>
        <w:rPr>
          <w:rFonts w:ascii="Times New Roman;sans-serif" w:hAnsi="Times New Roman;sans-serif"/>
          <w:b w:val="false"/>
          <w:color w:val="000000"/>
          <w:sz w:val="22"/>
        </w:rPr>
        <w:t>), the Misuse of Drugs Regulations 2017 (the “</w:t>
      </w:r>
      <w:r>
        <w:rPr>
          <w:rFonts w:ascii="Times New Roman;sans-serif" w:hAnsi="Times New Roman;sans-serif"/>
          <w:b/>
          <w:color w:val="000000"/>
          <w:sz w:val="22"/>
        </w:rPr>
        <w:t>Ireland MDR</w:t>
      </w:r>
      <w:r>
        <w:rPr>
          <w:color w:val="000000"/>
        </w:rPr>
        <w:t>”</w:t>
      </w:r>
      <w:r>
        <w:rPr>
          <w:rFonts w:ascii="Times New Roman;sans-serif" w:hAnsi="Times New Roman;sans-serif"/>
          <w:b w:val="false"/>
          <w:color w:val="000000"/>
          <w:sz w:val="22"/>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United Kingdom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UK,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pStyle w:val="TextBody"/>
        <w:spacing w:lineRule="auto" w:line="240" w:before="0" w:after="240"/>
        <w:jc w:val="both"/>
        <w:rPr/>
      </w:pPr>
      <w:r>
        <w:rPr>
          <w:rFonts w:ascii="Times New Roman;sans-serif" w:hAnsi="Times New Roman;sans-serif"/>
          <w:b w:val="false"/>
          <w:color w:val="000000"/>
          <w:sz w:val="22"/>
        </w:rPr>
        <w:t>The main UK controlled drugs legislation is the Misuse of Drugs Act 1971 (“</w:t>
      </w:r>
      <w:r>
        <w:rPr>
          <w:rFonts w:ascii="Times New Roman;sans-serif" w:hAnsi="Times New Roman;sans-serif"/>
          <w:b/>
          <w:color w:val="000000"/>
          <w:sz w:val="22"/>
        </w:rPr>
        <w:t>MDA</w:t>
      </w:r>
      <w:r>
        <w:rPr>
          <w:color w:val="000000"/>
        </w:rPr>
        <w:t>”</w:t>
      </w:r>
      <w:r>
        <w:rPr>
          <w:rFonts w:ascii="Times New Roman;sans-serif" w:hAnsi="Times New Roman;sans-serif"/>
          <w:b w:val="false"/>
          <w:color w:val="000000"/>
          <w:sz w:val="22"/>
        </w:rPr>
        <w:t>) and the Misuse of Drugs Regulations 2001 (“</w:t>
      </w:r>
      <w:r>
        <w:rPr>
          <w:rFonts w:ascii="Times New Roman;sans-serif" w:hAnsi="Times New Roman;sans-serif"/>
          <w:b/>
          <w:color w:val="000000"/>
          <w:sz w:val="22"/>
        </w:rPr>
        <w:t>MDR</w:t>
      </w:r>
      <w:r>
        <w:rPr>
          <w:color w:val="000000"/>
        </w:rPr>
        <w:t>”</w:t>
      </w:r>
      <w:r>
        <w:rPr>
          <w:rFonts w:ascii="Times New Roman;sans-serif" w:hAnsi="Times New Roman;sans-serif"/>
          <w:b w:val="false"/>
          <w:color w:val="000000"/>
          <w:sz w:val="22"/>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United Kingdom, “Fungus (of any kind) which contains psilocin or an ester of psilocin” is controlled as a Class A drug under the MDA and Schedule 1 drug under the MDR. As psilocybin is a </w:t>
      </w:r>
      <w:r>
        <w:br w:type="page"/>
      </w:r>
    </w:p>
    <w:p>
      <w:pPr>
        <w:pStyle w:val="TextBody"/>
        <w:spacing w:before="0" w:after="20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668020"/>
                <wp:effectExtent l="0" t="0" r="0" b="0"/>
                <wp:wrapNone/>
                <wp:docPr id="53" name="Frame4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phosphate ester of psilocin, even if it is isolated from psilocin, it will still be treated as a Class A drug under the MDA and as a Schedule 1 drug under the MDR.</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previously mentioned that it intended to file a clinical trial application with the U.K. MHRA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w:t>
      </w:r>
    </w:p>
    <w:p>
      <w:pPr>
        <w:pStyle w:val="TextBody"/>
        <w:spacing w:lineRule="auto" w:line="240" w:before="0" w:after="24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Licensing Requirements</w:t>
      </w:r>
    </w:p>
    <w:p>
      <w:pPr>
        <w:pStyle w:val="TextBody"/>
        <w:spacing w:lineRule="auto" w:line="240" w:before="0" w:after="240"/>
        <w:jc w:val="both"/>
        <w:rPr/>
      </w:pPr>
      <w:r>
        <w:rPr>
          <w:rFonts w:ascii="Times New Roman;sans-serif" w:hAnsi="Times New Roman;sans-serif"/>
          <w:b w:val="false"/>
          <w:color w:val="000000"/>
          <w:sz w:val="22"/>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sans-serif" w:hAnsi="Times New Roman;sans-serif"/>
          <w:b w:val="false"/>
          <w:color w:val="000000"/>
          <w:sz w:val="14"/>
        </w:rPr>
        <w:t>38</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pStyle w:val="TextBody"/>
        <w:spacing w:lineRule="auto" w:line="240" w:before="0" w:after="240"/>
        <w:jc w:val="both"/>
        <w:rPr/>
      </w:pPr>
      <w:r>
        <w:rPr>
          <w:rFonts w:ascii="Times New Roman;sans-serif" w:hAnsi="Times New Roman;sans-serif"/>
          <w:b w:val="false"/>
          <w:color w:val="000000"/>
          <w:sz w:val="22"/>
        </w:rPr>
        <w:t>All premises that are licensed in connection with the possession, supply, manufacture and/or production of controlled drugs are required to adhere to detailed security standards.</w:t>
      </w:r>
      <w:r>
        <w:rPr>
          <w:rFonts w:ascii="Times New Roman;sans-serif" w:hAnsi="Times New Roman;sans-serif"/>
          <w:b w:val="false"/>
          <w:color w:val="000000"/>
          <w:sz w:val="14"/>
        </w:rPr>
        <w:t>39</w:t>
      </w:r>
    </w:p>
    <w:p>
      <w:pPr>
        <w:pStyle w:val="TextBody"/>
        <w:spacing w:lineRule="auto" w:line="240" w:before="0" w:after="240"/>
        <w:jc w:val="both"/>
        <w:rPr/>
      </w:pPr>
      <w:r>
        <w:rPr>
          <w:rFonts w:ascii="Times New Roman;sans-serif" w:hAnsi="Times New Roman;sans-serif"/>
          <w:b w:val="false"/>
          <w:color w:val="000000"/>
          <w:sz w:val="22"/>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sans-serif" w:hAnsi="Times New Roman;sans-serif"/>
          <w:b w:val="false"/>
          <w:color w:val="000000"/>
          <w:sz w:val="14"/>
        </w:rPr>
        <w:t>40</w:t>
      </w:r>
    </w:p>
    <w:p>
      <w:pPr>
        <w:pStyle w:val="TextBody"/>
        <w:spacing w:lineRule="auto" w:line="240"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Pharmaceutical Products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w:t>
      </w:r>
    </w:p>
    <w:p>
      <w:pPr>
        <w:pStyle w:val="TextBody"/>
        <w:spacing w:lineRule="auto" w:line="252" w:before="0" w:after="0"/>
        <w:rPr/>
      </w:pPr>
      <w:r>
        <w:rPr>
          <w:rFonts w:ascii="Times New Roman;sans-serif" w:hAnsi="Times New Roman;sans-serif"/>
          <w:b w:val="false"/>
          <w:color w:val="000000"/>
          <w:sz w:val="12"/>
        </w:rPr>
        <w:t>38</w:t>
      </w:r>
      <w:r>
        <w:rPr>
          <w:color w:val="000000"/>
        </w:rPr>
        <w:t xml:space="preserve"> </w:t>
      </w:r>
      <w:r>
        <w:rPr>
          <w:rFonts w:ascii="Times New Roman;sans-serif" w:hAnsi="Times New Roman;sans-serif"/>
          <w:b w:val="false"/>
          <w:color w:val="000000"/>
          <w:sz w:val="18"/>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pStyle w:val="TextBody"/>
        <w:spacing w:lineRule="auto" w:line="252" w:before="0" w:after="0"/>
        <w:jc w:val="both"/>
        <w:rPr/>
      </w:pPr>
      <w:r>
        <w:rPr>
          <w:rFonts w:ascii="Times New Roman;sans-serif" w:hAnsi="Times New Roman;sans-serif"/>
          <w:b w:val="false"/>
          <w:color w:val="000000"/>
          <w:sz w:val="12"/>
        </w:rPr>
        <w:t>39</w:t>
      </w:r>
      <w:r>
        <w:rPr>
          <w:color w:val="000000"/>
        </w:rPr>
        <w:t xml:space="preserve"> </w:t>
      </w:r>
      <w:r>
        <w:rPr>
          <w:rFonts w:ascii="Times New Roman;sans-serif" w:hAnsi="Times New Roman;sans-serif"/>
          <w:b w:val="false"/>
          <w:color w:val="000000"/>
          <w:sz w:val="18"/>
        </w:rPr>
        <w:t>Home Office guidance; Security guidance for all existing or prospective Home Office Controlled Drug Licensees and/or Precursor Chemical Licensees or Registrants; 2020; https://assets.publishing.service.gov.uk/government/uploads/system/uploads/attachment_data/file/857591/Security_Guidance_for_all_Businesses_and_Other_Organisations_v1.4_Jan_2020.pdf.</w:t>
      </w:r>
    </w:p>
    <w:p>
      <w:pPr>
        <w:pStyle w:val="TextBody"/>
        <w:spacing w:lineRule="auto" w:line="252"/>
        <w:rPr/>
      </w:pPr>
      <w:r>
        <w:rPr>
          <w:rFonts w:ascii="Times New Roman;sans-serif" w:hAnsi="Times New Roman;sans-serif"/>
          <w:b w:val="false"/>
          <w:color w:val="000000"/>
          <w:sz w:val="12"/>
        </w:rPr>
        <w:t>40</w:t>
      </w:r>
      <w:r>
        <w:rPr>
          <w:color w:val="000000"/>
        </w:rPr>
        <w:t xml:space="preserve"> </w:t>
      </w:r>
      <w:r>
        <w:rPr>
          <w:rFonts w:ascii="Times New Roman;sans-serif" w:hAnsi="Times New Roman;sans-serif"/>
          <w:b w:val="false"/>
          <w:color w:val="000000"/>
          <w:sz w:val="18"/>
        </w:rPr>
        <w:t>Home Office guidance; Guidelines for Standard Operating Procedures (SOPs); https://assets.publishing.service.gov.uk/government/uploads/system/uploads/attachment_data/file/480572/StandardOpProcedure.pdf.</w:t>
      </w:r>
      <w:r>
        <w:br w:type="page"/>
      </w:r>
    </w:p>
    <w:p>
      <w:pPr>
        <w:pStyle w:val="TextBody"/>
        <w:spacing w:before="0" w:after="20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668020"/>
                <wp:effectExtent l="0" t="0" r="0" b="0"/>
                <wp:wrapNone/>
                <wp:docPr id="54" name="Frame5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substances that may be used by or administered to human beings with a view to (a) restoring, correcting or modifying a physiological function by exerting a pharmacological, immunological or metabolic action, or (b) making a medical diagnosis.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(“GMP”)) and/or Good Distribution Practice (“GDP”) and to hold a related licence from the MHRA.</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How the API is subsequently processed will determine the licences that the UK-based facility must hold. In particular:</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if the API is just one ‘ingredient’ of the investigational medicinal product (“</w:t>
      </w:r>
      <w:r>
        <w:rPr>
          <w:rFonts w:ascii="Times New Roman;sans-serif" w:hAnsi="Times New Roman;sans-serif"/>
          <w:b/>
          <w:color w:val="000000"/>
          <w:sz w:val="22"/>
        </w:rPr>
        <w:t>IMP</w:t>
      </w:r>
      <w:r>
        <w:rPr>
          <w:color w:val="000000"/>
        </w:rPr>
        <w:t>”</w:t>
      </w:r>
      <w:r>
        <w:rPr>
          <w:rFonts w:ascii="Times New Roman;sans-serif" w:hAnsi="Times New Roman;sans-serif"/>
          <w:b w:val="false"/>
          <w:color w:val="000000"/>
          <w:sz w:val="22"/>
        </w:rPr>
        <w:t>) which is used in the clinical trial then the UK-based facility must register with the MHRA and provide the MHRA with 60 days’ notice of the intended start of manufacture/distribution, and comply with GMP and GDP for active substances; and</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conversely, if the API will itself constitute the IMP, the manufacturer must, except in certain limited circumstances, hold a Manufacturer’s Authorisations for IMPs licence (“</w:t>
      </w:r>
      <w:r>
        <w:rPr>
          <w:rFonts w:ascii="Times New Roman;sans-serif" w:hAnsi="Times New Roman;sans-serif"/>
          <w:b/>
          <w:color w:val="000000"/>
          <w:sz w:val="22"/>
        </w:rPr>
        <w:t>MIA(IMP</w:t>
      </w:r>
      <w:r>
        <w:rPr>
          <w:rFonts w:ascii="Times New Roman;sans-serif" w:hAnsi="Times New Roman;sans-serif"/>
          <w:b w:val="false"/>
          <w:color w:val="000000"/>
          <w:sz w:val="22"/>
        </w:rPr>
        <w:t xml:space="preserve">)”). In this scenario, an MIA(IMP) would be required regardless of whether the IMP is for use in the UK, another EEA Member State or a third country (such as the United States or Canada).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Research and Development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a result of COVID-19, certain institutions have implemented certain facility procedures and are utilizing technology in an effort to mitigate the effects of the pandemic, specifically by moving patient interactions to remote status wherever possible. The Company cannot guarantee that the continued effects of COVID-19 will not impact patient recruiting for clinical trials and institutional processes at institutions involved in pharmaceutical product development.</w:t>
      </w:r>
    </w:p>
    <w:p>
      <w:pPr>
        <w:pStyle w:val="TextBody"/>
        <w:spacing w:lineRule="auto" w:line="240" w:before="0" w:after="240"/>
        <w:jc w:val="both"/>
        <w:rPr/>
      </w:pPr>
      <w:r>
        <w:rPr>
          <w:rFonts w:ascii="Times New Roman;sans-serif" w:hAnsi="Times New Roman;sans-serif"/>
          <w:b w:val="false"/>
          <w:color w:val="000000"/>
          <w:sz w:val="22"/>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sans-serif" w:hAnsi="Times New Roman;sans-serif"/>
          <w:b w:val="false"/>
          <w:i/>
          <w:color w:val="000000"/>
          <w:sz w:val="22"/>
        </w:rPr>
        <w:t>Psilocybe</w:t>
      </w:r>
      <w:r>
        <w:rPr>
          <w:rFonts w:ascii="Times New Roman;sans-serif" w:hAnsi="Times New Roman;sans-serif"/>
          <w:b w:val="false"/>
          <w:color w:val="000000"/>
          <w:sz w:val="22"/>
        </w:rPr>
        <w:t xml:space="preserve">, such </w:t>
      </w:r>
      <w:r>
        <w:br w:type="page"/>
      </w:r>
    </w:p>
    <w:p>
      <w:pPr>
        <w:pStyle w:val="TextBody"/>
        <w:spacing w:before="0" w:after="20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668020"/>
                <wp:effectExtent l="0" t="0" r="0" b="0"/>
                <wp:wrapNone/>
                <wp:docPr id="55" name="Frame5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as</w:t>
      </w:r>
      <w:r>
        <w:rPr>
          <w:color w:val="000000"/>
        </w:rPr>
        <w:t xml:space="preserve"> </w:t>
      </w:r>
      <w:r>
        <w:rPr>
          <w:rFonts w:ascii="Times New Roman;sans-serif" w:hAnsi="Times New Roman;sans-serif"/>
          <w:b w:val="false"/>
          <w:i/>
          <w:color w:val="000000"/>
          <w:sz w:val="22"/>
        </w:rPr>
        <w:t>P. azurescens</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 semilanceata</w:t>
      </w:r>
      <w:r>
        <w:rPr>
          <w:rFonts w:ascii="Times New Roman;sans-serif" w:hAnsi="Times New Roman;sans-serif"/>
          <w:b w:val="false"/>
          <w:color w:val="000000"/>
          <w:sz w:val="22"/>
        </w:rPr>
        <w:t xml:space="preserve">, and </w:t>
      </w:r>
      <w:r>
        <w:rPr>
          <w:rFonts w:ascii="Times New Roman;sans-serif" w:hAnsi="Times New Roman;sans-serif"/>
          <w:b w:val="false"/>
          <w:i/>
          <w:color w:val="000000"/>
          <w:sz w:val="22"/>
        </w:rPr>
        <w:t>P. cyanescens</w:t>
      </w:r>
      <w:r>
        <w:rPr>
          <w:rFonts w:ascii="Times New Roman;sans-serif" w:hAnsi="Times New Roman;sans-serif"/>
          <w:b w:val="false"/>
          <w:color w:val="000000"/>
          <w:sz w:val="22"/>
        </w:rPr>
        <w:t xml:space="preserve">, but psilocybin has also been isolated from about a dozen other genera. As a prodrug, psilocybin is quickly converted by the body to psilocin, which has mind-altering effects.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pharmacokinetics, pharmacology and human metabolism of psilocybin are well known and well characterized. In conjunction with psychotherapy, psilocybin has been utilized broadly in phase II clinical trials.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Psilocybin found in certain species of mushrooms is a non-habit forming naturally occurring psychedelic compound. Once ingested, psilocybin is rapidly metabolized to psilocin, which then acts on serotonin receptors in the brain.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has commenced research and development on the delivery of synthetic psilocybin and other psychedelics through mechanisms such as sublingual film delivery, ODT, IV, and by way of inhalation.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Research and development is led by the Company’s North American Chief Scientific Officer, Alex Nivorozhkin Ph.D., a seasoned medicinal chemist, drug delivery expert and founder of multiple biotech companies.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also retained Stosic and Associates, a leading government relations firm, to work with high level pharmaceutical, institutional and government relations individuals to progress the acceptance of psychedelics in Canada for medical use.</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 </w:t>
      </w:r>
    </w:p>
    <w:p>
      <w:pPr>
        <w:pStyle w:val="TextBody"/>
        <w:spacing w:lineRule="auto" w:line="240" w:before="0" w:after="24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Canada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process required before a prescription drug product candidate may be marketed in Canada generally involves:</w:t>
      </w:r>
    </w:p>
    <w:p>
      <w:pPr>
        <w:pStyle w:val="TextBody"/>
        <w:spacing w:lineRule="auto" w:line="240" w:before="0" w:after="240"/>
        <w:ind w:left="0" w:right="0" w:hanging="360"/>
        <w:jc w:val="both"/>
        <w:rPr/>
      </w:pPr>
      <w:r>
        <w:rPr>
          <w:color w:val="000000"/>
        </w:rPr>
        <w:t>•</w:t>
      </w:r>
      <w:r>
        <w:rPr>
          <w:rFonts w:ascii="Times New Roman;sans-serif" w:hAnsi="Times New Roman;sans-serif"/>
          <w:b w:val="false"/>
          <w:i/>
          <w:color w:val="000000"/>
          <w:sz w:val="22"/>
        </w:rPr>
        <w:t xml:space="preserve">Chemical and Biological Research </w:t>
      </w:r>
      <w:r>
        <w:rPr>
          <w:rFonts w:ascii="Times New Roman;sans-serif" w:hAnsi="Times New Roman;sans-serif"/>
          <w:b w:val="false"/>
          <w:color w:val="000000"/>
          <w:sz w:val="22"/>
        </w:rPr>
        <w:t>- Laboratory tests are carried out on tissue cultures and with a variety of small animals to determine the effects of the drug. If the results are promising, the manufacturer will proceed to the next step of development.</w:t>
      </w:r>
    </w:p>
    <w:p>
      <w:pPr>
        <w:pStyle w:val="TextBody"/>
        <w:spacing w:lineRule="auto" w:line="240" w:before="0" w:after="240"/>
        <w:ind w:left="0" w:right="0" w:hanging="360"/>
        <w:jc w:val="both"/>
        <w:rPr/>
      </w:pPr>
      <w:r>
        <w:rPr>
          <w:color w:val="000000"/>
        </w:rPr>
        <w:t>•</w:t>
      </w:r>
      <w:r>
        <w:rPr>
          <w:rFonts w:ascii="Times New Roman;sans-serif" w:hAnsi="Times New Roman;sans-serif"/>
          <w:b w:val="false"/>
          <w:i/>
          <w:color w:val="000000"/>
          <w:sz w:val="22"/>
        </w:rPr>
        <w:t xml:space="preserve">Pre-Clinical Development – </w:t>
      </w:r>
      <w:r>
        <w:rPr>
          <w:rFonts w:ascii="Times New Roman;sans-serif" w:hAnsi="Times New Roman;sans-serif"/>
          <w:b w:val="false"/>
          <w:color w:val="000000"/>
          <w:sz w:val="22"/>
        </w:rPr>
        <w:t>Animals are given the drug in varying amounts over differing periods of time. If it can be shown that the drug causes no serious or unexpected harm at the doses required to have an effect, the manufacturer will proceed to clinical trials.</w:t>
      </w:r>
    </w:p>
    <w:p>
      <w:pPr>
        <w:pStyle w:val="TextBody"/>
        <w:spacing w:lineRule="auto" w:line="240" w:before="0" w:after="240"/>
        <w:ind w:left="0" w:right="0" w:hanging="360"/>
        <w:jc w:val="both"/>
        <w:rPr/>
      </w:pPr>
      <w:r>
        <w:rPr>
          <w:color w:val="000000"/>
        </w:rPr>
        <w:t>•</w:t>
      </w:r>
      <w:r>
        <w:rPr>
          <w:rFonts w:ascii="Times New Roman;sans-serif" w:hAnsi="Times New Roman;sans-serif"/>
          <w:b w:val="false"/>
          <w:i/>
          <w:color w:val="000000"/>
          <w:sz w:val="22"/>
        </w:rPr>
        <w:t xml:space="preserve">Clinical Trials — Phase I (Safety Phase) - </w:t>
      </w:r>
      <w:r>
        <w:rPr>
          <w:rFonts w:ascii="Times New Roman;sans-serif" w:hAnsi="Times New Roman;sans-serif"/>
          <w:b w:val="false"/>
          <w:color w:val="000000"/>
          <w:sz w:val="22"/>
        </w:rPr>
        <w:t>The first administration in humans is to test if people can tolerate the drug. If this testing is to take place in Canada, the manufacturer must prepare a clinical trial application for the Therapeutic Products Directorate of Health Canada (the “</w:t>
      </w:r>
      <w:r>
        <w:rPr>
          <w:rFonts w:ascii="Times New Roman;sans-serif" w:hAnsi="Times New Roman;sans-serif"/>
          <w:b/>
          <w:color w:val="000000"/>
          <w:sz w:val="22"/>
        </w:rPr>
        <w:t>TPD</w:t>
      </w:r>
      <w:r>
        <w:rPr>
          <w:color w:val="000000"/>
        </w:rPr>
        <w:t>”</w:t>
      </w:r>
      <w:r>
        <w:rPr>
          <w:rFonts w:ascii="Times New Roman;sans-serif" w:hAnsi="Times New Roman;sans-serif"/>
          <w:b w:val="false"/>
          <w:color w:val="000000"/>
          <w:sz w:val="22"/>
        </w:rPr>
        <w:t>). This includes the results of the first two steps and a proposal for testing in humans. If the information is sufficient, the Health Products and Food Branch of Health Canada (the “</w:t>
      </w:r>
      <w:r>
        <w:rPr>
          <w:rFonts w:ascii="Times New Roman;sans-serif" w:hAnsi="Times New Roman;sans-serif"/>
          <w:b/>
          <w:color w:val="000000"/>
          <w:sz w:val="22"/>
        </w:rPr>
        <w:t>HPFB</w:t>
      </w:r>
      <w:r>
        <w:rPr>
          <w:color w:val="000000"/>
        </w:rPr>
        <w:t>”</w:t>
      </w:r>
      <w:r>
        <w:rPr>
          <w:rFonts w:ascii="Times New Roman;sans-serif" w:hAnsi="Times New Roman;sans-serif"/>
          <w:b w:val="false"/>
          <w:color w:val="000000"/>
          <w:sz w:val="22"/>
        </w:rPr>
        <w:t>) grants permission to start testing the drug, generally first on healthy volunteers. The purpose of Phase I trials is to determine the pharmacokinetics/pharmacological action of the drugs, find a safe dosage range and identify adverse drug reactions.</w:t>
      </w:r>
    </w:p>
    <w:p>
      <w:pPr>
        <w:pStyle w:val="TextBody"/>
        <w:spacing w:lineRule="auto" w:line="240" w:before="0" w:after="240"/>
        <w:ind w:left="0" w:right="0" w:hanging="360"/>
        <w:jc w:val="both"/>
        <w:rPr/>
      </w:pPr>
      <w:r>
        <w:rPr>
          <w:color w:val="000000"/>
        </w:rPr>
        <w:t>•</w:t>
      </w:r>
      <w:r>
        <w:rPr>
          <w:rFonts w:ascii="Times New Roman;sans-serif" w:hAnsi="Times New Roman;sans-serif"/>
          <w:b w:val="false"/>
          <w:i/>
          <w:color w:val="000000"/>
          <w:sz w:val="22"/>
        </w:rPr>
        <w:t xml:space="preserve">Clinical Trials — Phase II (Effectiveness Phase) - </w:t>
      </w:r>
      <w:r>
        <w:rPr>
          <w:rFonts w:ascii="Times New Roman;sans-serif" w:hAnsi="Times New Roman;sans-serif"/>
          <w:b w:val="false"/>
          <w:color w:val="000000"/>
          <w:sz w:val="22"/>
        </w:rPr>
        <w:t>Phase II trials are carried out on people with the target condition, who are usually otherwise healthy, with no other medical condition. Trials carried out in Canada must be approved by the TPD. In Phase II, the objective of the trials is to continue to gather information on the safety of the drug and begin to determine its effectiveness.</w:t>
      </w:r>
      <w:r>
        <w:br w:type="page"/>
      </w:r>
    </w:p>
    <w:p>
      <w:pPr>
        <w:pStyle w:val="TextBody"/>
        <w:spacing w:before="0" w:after="20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668020"/>
                <wp:effectExtent l="0" t="0" r="0" b="0"/>
                <wp:wrapNone/>
                <wp:docPr id="56" name="Frame5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p>
                      <w:pPr>
                        <w:pStyle w:val="TextBody"/>
                        <w:spacing w:before="0" w:after="0"/>
                        <w:jc w:val="center"/>
                        <w:rPr/>
                      </w:pPr>
                      <w:r>
                        <w:rPr/>
                      </w:r>
                    </w:p>
                  </w:txbxContent>
                </v:textbox>
              </v:rect>
            </w:pict>
          </mc:Fallback>
        </mc:AlternateContent>
      </w:r>
    </w:p>
    <w:p>
      <w:pPr>
        <w:pStyle w:val="TextBody"/>
        <w:spacing w:lineRule="auto" w:line="240" w:before="0" w:after="240"/>
        <w:ind w:left="0" w:right="0" w:hanging="360"/>
        <w:jc w:val="both"/>
        <w:rPr/>
      </w:pPr>
      <w:r>
        <w:rPr>
          <w:color w:val="000000"/>
        </w:rPr>
        <w:t>•</w:t>
      </w:r>
      <w:r>
        <w:rPr>
          <w:rFonts w:ascii="Times New Roman;sans-serif" w:hAnsi="Times New Roman;sans-serif"/>
          <w:b w:val="false"/>
          <w:i/>
          <w:color w:val="000000"/>
          <w:sz w:val="22"/>
        </w:rPr>
        <w:t xml:space="preserve">Clinical Trials — Phase III (Confirmation Phase) - </w:t>
      </w:r>
      <w:r>
        <w:rPr>
          <w:rFonts w:ascii="Times New Roman;sans-serif" w:hAnsi="Times New Roman;sans-serif"/>
          <w:b w:val="false"/>
          <w:color w:val="000000"/>
          <w:sz w:val="22"/>
        </w:rPr>
        <w:t>If the results from Phase II show promise, the manufacturer provides an updated clinical trial 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pStyle w:val="TextBody"/>
        <w:spacing w:lineRule="auto" w:line="240" w:before="0" w:after="240"/>
        <w:ind w:left="0" w:right="0" w:hanging="360"/>
        <w:jc w:val="both"/>
        <w:rPr/>
      </w:pPr>
      <w:r>
        <w:rPr>
          <w:color w:val="000000"/>
        </w:rPr>
        <w:t>•</w:t>
      </w:r>
      <w:r>
        <w:rPr>
          <w:rFonts w:ascii="Times New Roman;sans-serif" w:hAnsi="Times New Roman;sans-serif"/>
          <w:b w:val="false"/>
          <w:i/>
          <w:color w:val="000000"/>
          <w:sz w:val="22"/>
        </w:rPr>
        <w:t xml:space="preserve">New Drug Submission - </w:t>
      </w:r>
      <w:r>
        <w:rPr>
          <w:rFonts w:ascii="Times New Roman;sans-serif" w:hAnsi="Times New Roman;sans-serif"/>
          <w:b w:val="false"/>
          <w:color w:val="000000"/>
          <w:sz w:val="22"/>
        </w:rPr>
        <w:t>If the results from Phase III continue to be favourable, the drug manufacturer can submit a new drug submission (“</w:t>
      </w:r>
      <w:r>
        <w:rPr>
          <w:rFonts w:ascii="Times New Roman;sans-serif" w:hAnsi="Times New Roman;sans-serif"/>
          <w:b/>
          <w:color w:val="000000"/>
          <w:sz w:val="22"/>
        </w:rPr>
        <w:t>NDS</w:t>
      </w:r>
      <w:r>
        <w:rPr>
          <w:color w:val="000000"/>
        </w:rPr>
        <w:t>”</w:t>
      </w:r>
      <w:r>
        <w:rPr>
          <w:rFonts w:ascii="Times New Roman;sans-serif" w:hAnsi="Times New Roman;sans-serif"/>
          <w:b w:val="false"/>
          <w:color w:val="000000"/>
          <w:sz w:val="22"/>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spacing w:lineRule="auto" w:line="240" w:before="0" w:after="240"/>
        <w:ind w:left="0" w:right="0" w:hanging="360"/>
        <w:jc w:val="both"/>
        <w:rPr/>
      </w:pPr>
      <w:r>
        <w:rPr>
          <w:color w:val="000000"/>
        </w:rPr>
        <w:t>•</w:t>
      </w:r>
      <w:r>
        <w:rPr>
          <w:rFonts w:ascii="Times New Roman;sans-serif" w:hAnsi="Times New Roman;sans-serif"/>
          <w:b w:val="false"/>
          <w:i/>
          <w:color w:val="000000"/>
          <w:sz w:val="22"/>
        </w:rPr>
        <w:t>After Approval</w:t>
      </w:r>
      <w:r>
        <w:rPr>
          <w:color w:val="000000"/>
        </w:rPr>
        <w:t xml:space="preserve"> – </w:t>
      </w:r>
      <w:r>
        <w:rPr>
          <w:rFonts w:ascii="Times New Roman;sans-serif" w:hAnsi="Times New Roman;sans-serif"/>
          <w:b w:val="false"/>
          <w:color w:val="000000"/>
          <w:sz w:val="22"/>
        </w:rPr>
        <w:t xml:space="preserve">Once a drug is approved and on the market, the HPFB requires a sponsor to ensure that the use of its drug is done under the terms of its market authorization. In addition, life cycle management activities (post approval submissions to TPD, for new indications, new dosage forms, new strengths, manufacturing changes, etc.) are required to ensure the maintenance of the drug licence with its related improvements. </w:t>
      </w:r>
    </w:p>
    <w:p>
      <w:pPr>
        <w:pStyle w:val="TextBody"/>
        <w:spacing w:lineRule="auto" w:line="240"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United States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process required before a prescription drug product candidate may be marketed in the United States generally involves: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completion of extensive nonclinical laboratory tests, animal studies and formulation studies, all performed in accordance with the FDA’s GLP, Good Clinical and/or GMP regulations;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 xml:space="preserve">submission to the FDA of an IND, which the FDA must approve before human clinical trials may begin;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 xml:space="preserve">approval by an IRB or independent ethics committee at each clinical trial site before each trial may be initiated;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 xml:space="preserve">submission to the FDA of an NDA;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FDA review and approval of the NDA prior to any commercial marketing, sale or shipment of the drug.</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w:t>
      </w:r>
      <w:r>
        <w:br w:type="page"/>
      </w:r>
    </w:p>
    <w:p>
      <w:pPr>
        <w:pStyle w:val="TextBody"/>
        <w:spacing w:before="0" w:after="20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668020"/>
                <wp:effectExtent l="0" t="0" r="0" b="0"/>
                <wp:wrapNone/>
                <wp:docPr id="57" name="Frame5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 independent IRB,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r>
        <w:br w:type="page"/>
      </w:r>
    </w:p>
    <w:p>
      <w:pPr>
        <w:pStyle w:val="TextBody"/>
        <w:spacing w:before="0" w:after="20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668020"/>
                <wp:effectExtent l="0" t="0" r="0" b="0"/>
                <wp:wrapNone/>
                <wp:docPr id="58" name="Frame5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pStyle w:val="TextBody"/>
        <w:spacing w:lineRule="auto" w:line="240" w:before="0" w:after="240"/>
        <w:jc w:val="both"/>
        <w:rPr/>
      </w:pPr>
      <w:r>
        <w:rPr>
          <w:rFonts w:ascii="Times New Roman;sans-serif" w:hAnsi="Times New Roman;sans-serif"/>
          <w:b w:val="false"/>
          <w:color w:val="000000"/>
          <w:sz w:val="22"/>
        </w:rPr>
        <w:t xml:space="preserve">In the United States, pharmaceutical manufacturers are subject to complex laws and regulations pertaining to healthcare “fraud and abuse,” including, but not limited to, the Anti-Kickback Statute, the federal </w:t>
      </w:r>
      <w:r>
        <w:rPr>
          <w:rFonts w:ascii="Times New Roman;sans-serif" w:hAnsi="Times New Roman;sans-serif"/>
          <w:b w:val="false"/>
          <w:i/>
          <w:color w:val="000000"/>
          <w:sz w:val="22"/>
        </w:rPr>
        <w:t>False Claims Act</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FCA</w:t>
      </w:r>
      <w:r>
        <w:rPr>
          <w:color w:val="000000"/>
        </w:rPr>
        <w:t>”</w:t>
      </w:r>
      <w:r>
        <w:rPr>
          <w:rFonts w:ascii="Times New Roman;sans-serif" w:hAnsi="Times New Roman;sans-serif"/>
          <w:b w:val="false"/>
          <w:color w:val="000000"/>
          <w:sz w:val="22"/>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pStyle w:val="TextBody"/>
        <w:spacing w:lineRule="auto" w:line="240" w:before="0" w:after="240"/>
        <w:jc w:val="both"/>
        <w:rPr/>
      </w:pPr>
      <w:r>
        <w:rPr>
          <w:rFonts w:ascii="Times New Roman;sans-serif" w:hAnsi="Times New Roman;sans-serif"/>
          <w:b w:val="false"/>
          <w:color w:val="000000"/>
          <w:sz w:val="22"/>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 See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Controlled Substances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w:t>
      </w:r>
      <w:r>
        <w:br w:type="page"/>
      </w:r>
    </w:p>
    <w:p>
      <w:pPr>
        <w:pStyle w:val="TextBody"/>
        <w:spacing w:before="0" w:after="20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668020"/>
                <wp:effectExtent l="0" t="0" r="0" b="0"/>
                <wp:wrapNone/>
                <wp:docPr id="59" name="Frame5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export, distribute, research, or dispense controlled substances to comply with the regulatory requirements in order to prevent the diversion of controlled substances to illicit channels of commerce.</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 Scheduling determinations by the DEA are dependent on FDA approval of a substance or a specific formulation of a substance.</w:t>
      </w:r>
    </w:p>
    <w:p>
      <w:pPr>
        <w:pStyle w:val="TextBody"/>
        <w:spacing w:before="0" w:after="0"/>
        <w:jc w:val="both"/>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Individual U.S. states also establish and maintain separate controlled substance laws and regulations, including licensing, recordkeeping, security, distribution, and dispensing requirements. A majority of state laws in the United States classify psilocybin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pStyle w:val="TextBody"/>
        <w:spacing w:lineRule="auto" w:line="240"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Netherlands </w:t>
      </w:r>
    </w:p>
    <w:p>
      <w:pPr>
        <w:pStyle w:val="TextBody"/>
        <w:spacing w:lineRule="auto" w:line="240" w:before="0" w:after="240"/>
        <w:jc w:val="both"/>
        <w:rPr/>
      </w:pPr>
      <w:r>
        <w:rPr>
          <w:rFonts w:ascii="Times New Roman;sans-serif" w:hAnsi="Times New Roman;sans-serif"/>
          <w:b w:val="false"/>
          <w:color w:val="000000"/>
          <w:sz w:val="22"/>
        </w:rPr>
        <w:t>Regulation (EU) No 536/2014 on Clinical Trials on Medicinal Products for Human Use ( the “</w:t>
      </w:r>
      <w:r>
        <w:rPr>
          <w:rFonts w:ascii="Times New Roman;sans-serif" w:hAnsi="Times New Roman;sans-serif"/>
          <w:b/>
          <w:color w:val="000000"/>
          <w:sz w:val="22"/>
        </w:rPr>
        <w:t>CTR</w:t>
      </w:r>
      <w:r>
        <w:rPr>
          <w:color w:val="000000"/>
        </w:rPr>
        <w:t>”</w:t>
      </w:r>
      <w:r>
        <w:rPr>
          <w:rFonts w:ascii="Times New Roman;sans-serif" w:hAnsi="Times New Roman;sans-serif"/>
          <w:b w:val="false"/>
          <w:color w:val="000000"/>
          <w:sz w:val="22"/>
        </w:rPr>
        <w:t xml:space="preserve">) is applicable as of January 31, 2022, harmonizing the laws, regulations and administrative provisions of the EU Member States relating to the implementation of Good Clinical Practice in the conduct of clinical </w:t>
      </w:r>
      <w:r>
        <w:br w:type="page"/>
      </w:r>
    </w:p>
    <w:p>
      <w:pPr>
        <w:pStyle w:val="TextBody"/>
        <w:spacing w:before="0" w:after="20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668020"/>
                <wp:effectExtent l="0" t="0" r="0" b="0"/>
                <wp:wrapNone/>
                <wp:docPr id="60" name="Frame5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pStyle w:val="TextBody"/>
        <w:spacing w:lineRule="auto" w:line="240" w:before="0" w:after="240"/>
        <w:jc w:val="both"/>
        <w:rPr/>
      </w:pPr>
      <w:r>
        <w:rPr>
          <w:rFonts w:ascii="Times New Roman;sans-serif" w:hAnsi="Times New Roman;sans-serif"/>
          <w:b w:val="false"/>
          <w:color w:val="000000"/>
          <w:sz w:val="22"/>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sans-serif" w:hAnsi="Times New Roman;sans-serif"/>
          <w:b/>
          <w:color w:val="000000"/>
          <w:sz w:val="22"/>
        </w:rPr>
        <w:t>IMP</w:t>
      </w:r>
      <w:r>
        <w:rPr>
          <w:color w:val="000000"/>
        </w:rPr>
        <w:t>”</w:t>
      </w:r>
      <w:r>
        <w:rPr>
          <w:rFonts w:ascii="Times New Roman;sans-serif" w:hAnsi="Times New Roman;sans-serif"/>
          <w:b w:val="false"/>
          <w:color w:val="000000"/>
          <w:sz w:val="22"/>
        </w:rPr>
        <w:t xml:space="preserve">),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r>
        <w:br w:type="page"/>
      </w:r>
    </w:p>
    <w:p>
      <w:pPr>
        <w:pStyle w:val="TextBody"/>
        <w:spacing w:before="0" w:after="20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668020"/>
                <wp:effectExtent l="0" t="0" r="0" b="0"/>
                <wp:wrapNone/>
                <wp:docPr id="61" name="Frame5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Pharmaceutical products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 </w:t>
      </w:r>
    </w:p>
    <w:p>
      <w:pPr>
        <w:pStyle w:val="TextBody"/>
        <w:spacing w:lineRule="auto" w:line="240" w:before="0" w:after="240"/>
        <w:jc w:val="both"/>
        <w:rPr/>
      </w:pPr>
      <w:r>
        <w:rPr>
          <w:rFonts w:ascii="Times New Roman;sans-serif" w:hAnsi="Times New Roman;sans-serif"/>
          <w:b w:val="false"/>
          <w:color w:val="000000"/>
          <w:sz w:val="22"/>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sans-serif" w:hAnsi="Times New Roman;sans-serif"/>
          <w:b/>
          <w:color w:val="000000"/>
          <w:sz w:val="22"/>
        </w:rPr>
        <w:t>EMA</w:t>
      </w:r>
      <w:r>
        <w:rPr>
          <w:color w:val="000000"/>
        </w:rPr>
        <w:t>”</w:t>
      </w:r>
      <w:r>
        <w:rPr>
          <w:rFonts w:ascii="Times New Roman;sans-serif" w:hAnsi="Times New Roman;sans-serif"/>
          <w:b w:val="false"/>
          <w:color w:val="000000"/>
          <w:sz w:val="22"/>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Market Authorization Regulatory Process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w:t>
      </w:r>
      <w:r>
        <w:br w:type="page"/>
      </w:r>
    </w:p>
    <w:p>
      <w:pPr>
        <w:pStyle w:val="TextBody"/>
        <w:spacing w:before="0" w:after="20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668020"/>
                <wp:effectExtent l="0" t="0" r="0" b="0"/>
                <wp:wrapNone/>
                <wp:docPr id="62" name="Frame5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(“CMDh”). When all Member States involved decide on a positive opinion on products in the CMDh, Dutch translations of the summary of product characteristics, package leaflet, labelling texts and mock-ups are submitted and a national marketing authorization is issued.</w:t>
      </w:r>
    </w:p>
    <w:p>
      <w:pPr>
        <w:pStyle w:val="TextBody"/>
        <w:spacing w:lineRule="auto" w:line="240" w:before="0" w:after="240"/>
        <w:jc w:val="both"/>
        <w:rPr/>
      </w:pPr>
      <w:r>
        <w:rPr>
          <w:rFonts w:ascii="Times New Roman;sans-serif" w:hAnsi="Times New Roman;sans-serif"/>
          <w:b w:val="false"/>
          <w:color w:val="000000"/>
          <w:sz w:val="22"/>
          <w:u w:val="single"/>
        </w:rPr>
        <w:t>Patent Cooperation Treaty</w:t>
      </w:r>
      <w:r>
        <w:rPr>
          <w:color w:val="000000"/>
        </w:rPr>
        <w:t xml:space="preserv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PCT facilitates filing for patent recognition in multiple jurisdictions simultaneously using a single uniform patent application. 157 countries, including Canada and the United States have ratified the PCT.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w:t>
      </w:r>
      <w:r>
        <w:br w:type="page"/>
      </w:r>
    </w:p>
    <w:p>
      <w:pPr>
        <w:pStyle w:val="TextBody"/>
        <w:spacing w:before="0" w:after="20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668020"/>
                <wp:effectExtent l="0" t="0" r="0" b="0"/>
                <wp:wrapNone/>
                <wp:docPr id="63" name="Frame5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Business Objectives of the Company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Key elements of the Company’s growth strategy include: (i) progressing its psychedelic division through the development and commercialization of key psychedelic molecules (including tryptamines and phenethylamines) and delivery mechanisms; (ii) working to develop the synthetic production of deuterated psychedelic active pharmaceutical ingredients; (iii) obtaining regulatory approval for an approved psilocybin product targeting MDD; (iv) establishing strategic partnerships to advance its scientific research and to develop patented or trade secret intellectual property for the Company’s new psychedelic chemical compounds and processes related to psychedelics; and (v) sponsoring clinical studies to determine the safety and efficacy of delivery mechanisms, chemically synthesised psychedelic compounds and screening protocols. </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Production and Raw Materials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established contractual sources of synthetic GMP and non-GMP raw materials to support its development operations through licensed third-party suppliers located in Canada, the United States, the United Kingdom and Europe. Such raw materials are expected to be, in general, readily available and in adequate supply to meet the Company’s need for development quantities, or custom manufactured on the Company’s behalf.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 </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Foreign Operations</w:t>
      </w:r>
    </w:p>
    <w:p>
      <w:pPr>
        <w:pStyle w:val="TextBody"/>
        <w:spacing w:lineRule="auto" w:line="240" w:before="0" w:after="240"/>
        <w:jc w:val="both"/>
        <w:rPr/>
      </w:pPr>
      <w:r>
        <w:rPr>
          <w:rFonts w:ascii="Times New Roman;sans-serif" w:hAnsi="Times New Roman;sans-serif"/>
          <w:b w:val="false"/>
          <w:color w:val="000000"/>
          <w:sz w:val="22"/>
        </w:rPr>
        <w:t>The Company’s management is located in Canada</w:t>
      </w:r>
      <w:r>
        <w:rPr>
          <w:rFonts w:ascii="Times New Roman;sans-serif" w:hAnsi="Times New Roman;sans-serif"/>
          <w:b/>
          <w:color w:val="000000"/>
          <w:sz w:val="22"/>
        </w:rPr>
        <w:t xml:space="preserve">, </w:t>
      </w:r>
      <w:r>
        <w:rPr>
          <w:rFonts w:ascii="Times New Roman;sans-serif" w:hAnsi="Times New Roman;sans-serif"/>
          <w:b w:val="false"/>
          <w:color w:val="000000"/>
          <w:sz w:val="22"/>
        </w:rPr>
        <w:t>Ireland</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and the United States led by others in local jurisdictions. The Company psilocybin raw materials are expected to be sourced from a supplier in the United States and are expected to be manufactured and packaged in FDA registered facilities in the United Kingdom. Such raw materials are expected to be sent directly to the Company’s partners (e.g., IntelGenx) for research and development purposes pursuant to its corresponding agreements, subject to receipt of all necessary approvals.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conducts its international operations to conform to local variations, economic realities, market customs, consumer habits and regulatory environments. The Company will modify its products (including labeling of such products) and its distribution and marketing programs in response to local and foreign legal requirements and customer preferences.</w:t>
      </w:r>
    </w:p>
    <w:p>
      <w:pPr>
        <w:pStyle w:val="TextBody"/>
        <w:spacing w:lineRule="auto" w:line="240" w:before="0" w:after="240"/>
        <w:jc w:val="both"/>
        <w:rPr/>
      </w:pPr>
      <w:r>
        <w:rPr>
          <w:rFonts w:ascii="Times New Roman;sans-serif" w:hAnsi="Times New Roman;sans-serif"/>
          <w:b w:val="false"/>
          <w:color w:val="000000"/>
          <w:sz w:val="22"/>
        </w:rPr>
        <w:t>The Company’s international operations are subject to many of the same risks that its domestic operations face. These include competition and the strength of the relevant economy. In addition, international operations are subject to certain risks inherent in conducting business abroad, including foreign regulatory restrictions, fluctuations in monetary exchange rates, import-export controls and the economic and political policies of foreign governments. Government regulations in foreign countries may prevent or delay the introduction, or require the reformulation, of certain of its products. Compliance with such foreign governmental regulations is generally the responsibility of the Company’s distributors in those countries. These distributors are independent contractors whom the Company does not control. The importance of these risks increases as the Company’s international operations grow and expand. See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w:t>
      </w:r>
      <w:r>
        <w:br w:type="page"/>
      </w:r>
    </w:p>
    <w:p>
      <w:pPr>
        <w:pStyle w:val="TextBody"/>
        <w:spacing w:before="0" w:after="20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668020"/>
                <wp:effectExtent l="0" t="0" r="0" b="0"/>
                <wp:wrapNone/>
                <wp:docPr id="64" name="Frame6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Market for Products</w:t>
      </w:r>
    </w:p>
    <w:p>
      <w:pPr>
        <w:pStyle w:val="TextBody"/>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Market Segment, Market Acceptance and Geographic Areas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focused on developing novel compounds and improving the bioavailability and pharmacokinetic profiles of existing compounds to target psychiatric and neurological conditions. The Company is focused on progressing its ten patent filings which cover novel psychedelic compounds, delivery mechanisms and supportive treatment platforms.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initial product is expected to be the Sublingual Film, an oral delivery mechanism, provided that the clinical trial is successful, and all necessary approvals are obtained. The Company’s market for the Sublingual Film is expected to be in jurisdictions where such products are lawful.</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Marketing Plan and Strategies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marketing strategy will be initially driven through a digital marketing strategy composed of digital advertising and influencer marketing. The Company expects to also retain a sales force to complement its digital strategy by targeting wholesale and retail distribution.</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Specialized Skills and Knowledge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directors and officers possess a wide range of professional skills and experience relevant to pursuing and executing on the Company’s business strategy. Drawing on significant experience in various industries and sectors, the Company believes its management has a demonstrated track record of bringing together all of the key components for a successful psychedelic medicine company, such as strong technical skills, expertise in planning and financial controls, ability to execute on business development opportunities, and capital markets expertise. The operational skills of the Company’s management include valuable knowledge and ability to analyze demographics and consumer purchasing habits, and tailor product brands and consumer retail experiences based on relevant demographic data.</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leveraging the strengths and experiences of its management team (i.e., individuals who possess a wealth of combined knowledge and experience necessary for the research and development, sales, marketing, and distribution of psychedelic pharmaceutical products) the Company intends to, over time, establish itself as a leader in the psychedelic pharmaceutical industry. The Company will continue to build out its team with specialists on an “as-needed” basis.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current directors, officers and key executives have significant collective experience with psychedelic molecules, medicinal chemistry, pre-clinical and clinical operations, clinical psychology, quality and regulatory affairs, in addition to a track record of growing pharmaceutical companies including aspects of commercial operations, securities and capital markets. Collectively, the Company believes that it has adequate access to the current and future skill sets required to grow and sustain its business.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Cyclical or Seasonality of Business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business is not expected to be cyclical or seasonal.</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Employees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 the current stage of development, the Company is focused on maintaining a lean corporate structure, utilizing a highly experienced core team of senior executives and managers, while leveraging a cost-effective ecosystem of independent contractors, consultants and advisors, on an “as needed” basis. The Company employs less than 50 current full-time staff. </w:t>
      </w:r>
      <w:r>
        <w:br w:type="page"/>
      </w:r>
    </w:p>
    <w:p>
      <w:pPr>
        <w:pStyle w:val="TextBody"/>
        <w:spacing w:before="0" w:after="20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668020"/>
                <wp:effectExtent l="0" t="0" r="0" b="0"/>
                <wp:wrapNone/>
                <wp:docPr id="65" name="Frame6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Intellectual Property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has title to one granted US patent related to the Company’s investigational deuterated DMT compound CYB004. The patent covers composition of matter and protects the CYB004 drug substance, a putative new chemical entity. </w:t>
      </w:r>
    </w:p>
    <w:tbl>
      <w:tblPr>
        <w:tblW w:w="8350" w:type="dxa"/>
        <w:jc w:val="left"/>
        <w:tblInd w:w="0" w:type="dxa"/>
        <w:tblCellMar>
          <w:top w:w="28" w:type="dxa"/>
          <w:left w:w="28" w:type="dxa"/>
          <w:bottom w:w="28" w:type="dxa"/>
          <w:right w:w="28" w:type="dxa"/>
        </w:tblCellMar>
      </w:tblPr>
      <w:tblGrid>
        <w:gridCol w:w="124"/>
        <w:gridCol w:w="109"/>
        <w:gridCol w:w="109"/>
        <w:gridCol w:w="459"/>
        <w:gridCol w:w="459"/>
        <w:gridCol w:w="461"/>
        <w:gridCol w:w="629"/>
        <w:gridCol w:w="629"/>
        <w:gridCol w:w="631"/>
        <w:gridCol w:w="1385"/>
        <w:gridCol w:w="1385"/>
        <w:gridCol w:w="19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2" w:space="0" w:color="000000"/>
              <w:left w:val="single" w:sz="2" w:space="0" w:color="000000"/>
            </w:tcBorders>
            <w:shd w:fill="BFBFBF" w:val="clear"/>
            <w:tcMar>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Number</w:t>
            </w:r>
          </w:p>
        </w:tc>
        <w:tc>
          <w:tcPr>
            <w:tcW w:w="1889"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4740" w:type="dxa"/>
            <w:gridSpan w:val="3"/>
            <w:tcBorders>
              <w:top w:val="single" w:sz="2" w:space="0" w:color="000000"/>
              <w:left w:val="single" w:sz="2" w:space="0" w:color="000000"/>
              <w:right w:val="single" w:sz="2" w:space="0" w:color="000000"/>
            </w:tcBorders>
            <w:shd w:fill="BFBFB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79"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11,242,318</w:t>
            </w:r>
          </w:p>
        </w:tc>
        <w:tc>
          <w:tcPr>
            <w:tcW w:w="1889"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740"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bl>
    <w:p>
      <w:pPr>
        <w:pStyle w:val="TextBody"/>
        <w:spacing w:before="0" w:after="0"/>
        <w:jc w:val="both"/>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Cybin has title to eight provisional patent applications, eight US non-provisional patent applications, thirty two national (non-US) patent applications, and ten Patent Cooperation Treaty (“PCT”) applications, including claims directed to compositions of matter and methods of use in support of its research and development and preclinical and clinical trial programs. </w:t>
      </w:r>
    </w:p>
    <w:tbl>
      <w:tblPr>
        <w:tblW w:w="10539" w:type="dxa"/>
        <w:jc w:val="left"/>
        <w:tblInd w:w="0" w:type="dxa"/>
        <w:tblCellMar>
          <w:top w:w="28" w:type="dxa"/>
          <w:left w:w="28" w:type="dxa"/>
          <w:bottom w:w="28" w:type="dxa"/>
          <w:right w:w="28" w:type="dxa"/>
        </w:tblCellMar>
      </w:tblPr>
      <w:tblGrid>
        <w:gridCol w:w="124"/>
        <w:gridCol w:w="109"/>
        <w:gridCol w:w="109"/>
        <w:gridCol w:w="632"/>
        <w:gridCol w:w="632"/>
        <w:gridCol w:w="634"/>
        <w:gridCol w:w="529"/>
        <w:gridCol w:w="529"/>
        <w:gridCol w:w="531"/>
        <w:gridCol w:w="259"/>
        <w:gridCol w:w="259"/>
        <w:gridCol w:w="263"/>
        <w:gridCol w:w="1801"/>
        <w:gridCol w:w="1695"/>
        <w:gridCol w:w="24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24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2" w:space="0" w:color="000000"/>
              <w:left w:val="single" w:sz="2" w:space="0" w:color="000000"/>
              <w:bottom w:val="single" w:sz="2" w:space="0" w:color="000000"/>
            </w:tcBorders>
            <w:shd w:fill="BFBFBF" w:val="clear"/>
            <w:tcMar>
              <w:right w:w="0" w:type="dxa"/>
            </w:tcMar>
            <w:vAlign w:val="center"/>
          </w:tcPr>
          <w:p>
            <w:pPr>
              <w:pStyle w:val="TableContents"/>
              <w:spacing w:before="0" w:after="283"/>
              <w:rPr>
                <w:sz w:val="4"/>
                <w:szCs w:val="4"/>
              </w:rPr>
            </w:pPr>
            <w:r>
              <w:rPr>
                <w:sz w:val="4"/>
                <w:szCs w:val="4"/>
              </w:rPr>
            </w:r>
          </w:p>
        </w:tc>
        <w:tc>
          <w:tcPr>
            <w:tcW w:w="1898" w:type="dxa"/>
            <w:gridSpan w:val="3"/>
            <w:tcBorders>
              <w:top w:val="single" w:sz="2" w:space="0" w:color="000000"/>
              <w:left w:val="single" w:sz="2" w:space="0" w:color="000000"/>
              <w:bottom w:val="single" w:sz="2" w:space="0" w:color="000000"/>
            </w:tcBorders>
            <w:shd w:fill="BFBFB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589" w:type="dxa"/>
            <w:gridSpan w:val="3"/>
            <w:tcBorders>
              <w:top w:val="single" w:sz="2" w:space="0" w:color="000000"/>
              <w:left w:val="single" w:sz="2" w:space="0" w:color="000000"/>
              <w:bottom w:val="single" w:sz="2" w:space="0" w:color="000000"/>
            </w:tcBorders>
            <w:shd w:fill="BFBFB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781" w:type="dxa"/>
            <w:gridSpan w:val="3"/>
            <w:tcBorders>
              <w:top w:val="single" w:sz="2" w:space="0" w:color="000000"/>
              <w:left w:val="single" w:sz="2" w:space="0" w:color="000000"/>
              <w:bottom w:val="single" w:sz="2" w:space="0" w:color="000000"/>
            </w:tcBorders>
            <w:shd w:fill="BFBFB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929" w:type="dxa"/>
            <w:gridSpan w:val="3"/>
            <w:tcBorders>
              <w:top w:val="single" w:sz="2" w:space="0" w:color="000000"/>
              <w:left w:val="single" w:sz="2" w:space="0" w:color="000000"/>
              <w:bottom w:val="single" w:sz="2" w:space="0" w:color="000000"/>
              <w:right w:val="single" w:sz="2" w:space="0" w:color="000000"/>
            </w:tcBorders>
            <w:shd w:fill="BFBFBF"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PCT/EP2022/069109</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Integrated Data Collection Devices for Use in Various Therapeutic and Wellness Applications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17/564,707</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PCT/EP2022/056991</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Psilocybin Analogs, Salts,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PCT/EP2022/058574</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Combination Drug Therapies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PCT/EP2022/063269</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Formulations of Psilocybin</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63/402,650</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Tryptamine Compounds, Compositions, and Methods of Use</w:t>
            </w:r>
          </w:p>
        </w:tc>
      </w:tr>
      <w:tr>
        <w:trPr/>
        <w:tc>
          <w:tcPr>
            <w:tcW w:w="342" w:type="dxa"/>
            <w:gridSpan w:val="3"/>
            <w:tcBorders>
              <w:left w:val="single" w:sz="2" w:space="0" w:color="000000"/>
            </w:tcBorders>
            <w:shd w:fill="auto" w:val="clear"/>
            <w:tcMar>
              <w:top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PCT/EP2022/076073</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Formulations Of Psilocybin Analogs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17/974,007</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63/420,265</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Compounds,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18/056,958</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17/999,310</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63/384,704</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Tryptamine Compositions and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63/386,375</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PCT/EP2023/050702</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Tryptamine Compositions and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PCT/EP2023/053744</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PCT/EP2023/053752</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18/041,731</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18/041,728</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18/172,691</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63/487,078</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of Treating Disorders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18/027,810</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PCT/EP2023/057939</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PCT/EP2023/058107</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Combination Drug Therapies</w:t>
            </w:r>
          </w:p>
        </w:tc>
      </w:tr>
      <w:tr>
        <w:trPr/>
        <w:tc>
          <w:tcPr>
            <w:tcW w:w="342"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898"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63/464,265</w:t>
            </w:r>
          </w:p>
        </w:tc>
        <w:tc>
          <w:tcPr>
            <w:tcW w:w="1589"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Injectable Pharmaceutical Formulations</w:t>
            </w:r>
          </w:p>
        </w:tc>
      </w:tr>
    </w:tbl>
    <w:p>
      <w:pPr>
        <w:pStyle w:val="TextBody"/>
        <w:spacing w:before="0" w:after="200"/>
        <w:rPr/>
      </w:pPr>
      <w:r>
        <w:br w:type="page"/>
      </w: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668020"/>
                <wp:effectExtent l="0" t="0" r="0" b="0"/>
                <wp:wrapNone/>
                <wp:docPr id="66" name="Frame6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p>
                      <w:pPr>
                        <w:pStyle w:val="TextBody"/>
                        <w:spacing w:before="0" w:after="0"/>
                        <w:jc w:val="center"/>
                        <w:rPr/>
                      </w:pPr>
                      <w:r>
                        <w:rPr/>
                      </w:r>
                    </w:p>
                  </w:txbxContent>
                </v:textbox>
              </v:rect>
            </w:pict>
          </mc:Fallback>
        </mc:AlternateContent>
      </w:r>
    </w:p>
    <w:tbl>
      <w:tblPr>
        <w:tblW w:w="10539" w:type="dxa"/>
        <w:jc w:val="left"/>
        <w:tblInd w:w="0" w:type="dxa"/>
        <w:tblCellMar>
          <w:top w:w="28" w:type="dxa"/>
          <w:left w:w="28" w:type="dxa"/>
          <w:bottom w:w="28" w:type="dxa"/>
          <w:right w:w="28" w:type="dxa"/>
        </w:tblCellMar>
      </w:tblPr>
      <w:tblGrid>
        <w:gridCol w:w="124"/>
        <w:gridCol w:w="109"/>
        <w:gridCol w:w="109"/>
        <w:gridCol w:w="796"/>
        <w:gridCol w:w="622"/>
        <w:gridCol w:w="623"/>
        <w:gridCol w:w="541"/>
        <w:gridCol w:w="541"/>
        <w:gridCol w:w="542"/>
        <w:gridCol w:w="259"/>
        <w:gridCol w:w="259"/>
        <w:gridCol w:w="263"/>
        <w:gridCol w:w="1780"/>
        <w:gridCol w:w="1637"/>
        <w:gridCol w:w="23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2" w:space="0" w:color="000000"/>
              <w:left w:val="single" w:sz="2" w:space="0" w:color="000000"/>
            </w:tcBorders>
            <w:shd w:fill="BFBFBF" w:val="clear"/>
            <w:tcMar>
              <w:bottom w:w="0" w:type="dxa"/>
              <w:right w:w="0" w:type="dxa"/>
            </w:tcMar>
            <w:vAlign w:val="center"/>
          </w:tcPr>
          <w:p>
            <w:pPr>
              <w:pStyle w:val="TableContents"/>
              <w:spacing w:before="0" w:after="283"/>
              <w:rPr>
                <w:sz w:val="4"/>
                <w:szCs w:val="4"/>
              </w:rPr>
            </w:pPr>
            <w:r>
              <w:rPr>
                <w:sz w:val="4"/>
                <w:szCs w:val="4"/>
              </w:rPr>
            </w:r>
          </w:p>
        </w:tc>
        <w:tc>
          <w:tcPr>
            <w:tcW w:w="2041"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624"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781"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751" w:type="dxa"/>
            <w:gridSpan w:val="3"/>
            <w:tcBorders>
              <w:top w:val="single" w:sz="2" w:space="0" w:color="000000"/>
              <w:left w:val="single" w:sz="2" w:space="0" w:color="000000"/>
              <w:right w:val="single" w:sz="2" w:space="0" w:color="000000"/>
            </w:tcBorders>
            <w:shd w:fill="BFBFB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63/507,059</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Companion Animal Treatments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63/507,062</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Injectable Pharmaceutical Formulations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793553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297492</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3177454</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NC2022/0016662</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Colombia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MX/a/2022/014605</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202203191</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Chile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10-2022-7040243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EP21808464.8</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202180036163.3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1120220235658</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2021276656</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11202254530T</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202213256</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2201007493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1-2022-553135</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202227065770</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2022-571175</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3186357</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10-2023-7003815</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2021327136</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2023-512063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21766581.9</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3186359</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10-2023-7006128</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2021328671</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2023-512107</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21763068.0</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21786852.0</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10-2023-7007858</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041"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2021354006</w:t>
            </w:r>
          </w:p>
        </w:tc>
        <w:tc>
          <w:tcPr>
            <w:tcW w:w="1624"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781"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bl>
    <w:p>
      <w:pPr>
        <w:pStyle w:val="TextBody"/>
        <w:spacing w:before="0" w:after="200"/>
        <w:rPr/>
      </w:pPr>
      <w:r>
        <w:br w:type="page"/>
      </w: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668020"/>
                <wp:effectExtent l="0" t="0" r="0" b="0"/>
                <wp:wrapNone/>
                <wp:docPr id="67" name="Frame6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p>
                      <w:pPr>
                        <w:pStyle w:val="TextBody"/>
                        <w:spacing w:before="0" w:after="0"/>
                        <w:jc w:val="center"/>
                        <w:rPr/>
                      </w:pPr>
                      <w:r>
                        <w:rPr/>
                      </w:r>
                    </w:p>
                  </w:txbxContent>
                </v:textbox>
              </v:rect>
            </w:pict>
          </mc:Fallback>
        </mc:AlternateContent>
      </w:r>
    </w:p>
    <w:tbl>
      <w:tblPr>
        <w:tblW w:w="10539" w:type="dxa"/>
        <w:jc w:val="left"/>
        <w:tblInd w:w="0" w:type="dxa"/>
        <w:tblCellMar>
          <w:top w:w="28" w:type="dxa"/>
          <w:left w:w="28" w:type="dxa"/>
          <w:bottom w:w="28" w:type="dxa"/>
          <w:right w:w="28" w:type="dxa"/>
        </w:tblCellMar>
      </w:tblPr>
      <w:tblGrid>
        <w:gridCol w:w="124"/>
        <w:gridCol w:w="109"/>
        <w:gridCol w:w="109"/>
        <w:gridCol w:w="638"/>
        <w:gridCol w:w="638"/>
        <w:gridCol w:w="639"/>
        <w:gridCol w:w="532"/>
        <w:gridCol w:w="532"/>
        <w:gridCol w:w="534"/>
        <w:gridCol w:w="259"/>
        <w:gridCol w:w="259"/>
        <w:gridCol w:w="263"/>
        <w:gridCol w:w="1723"/>
        <w:gridCol w:w="1723"/>
        <w:gridCol w:w="24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2" w:space="0" w:color="000000"/>
              <w:left w:val="single" w:sz="2" w:space="0" w:color="000000"/>
            </w:tcBorders>
            <w:shd w:fill="BFBFBF" w:val="clear"/>
            <w:tcMar>
              <w:bottom w:w="0" w:type="dxa"/>
              <w:right w:w="0" w:type="dxa"/>
            </w:tcMar>
            <w:vAlign w:val="center"/>
          </w:tcPr>
          <w:p>
            <w:pPr>
              <w:pStyle w:val="TableContents"/>
              <w:spacing w:before="0" w:after="283"/>
              <w:rPr>
                <w:sz w:val="4"/>
                <w:szCs w:val="4"/>
              </w:rPr>
            </w:pPr>
            <w:r>
              <w:rPr>
                <w:sz w:val="4"/>
                <w:szCs w:val="4"/>
              </w:rPr>
            </w:r>
          </w:p>
        </w:tc>
        <w:tc>
          <w:tcPr>
            <w:tcW w:w="1915"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598"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781"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903" w:type="dxa"/>
            <w:gridSpan w:val="3"/>
            <w:tcBorders>
              <w:top w:val="single" w:sz="2" w:space="0" w:color="000000"/>
              <w:left w:val="single" w:sz="2" w:space="0" w:color="000000"/>
              <w:right w:val="single" w:sz="2" w:space="0" w:color="000000"/>
            </w:tcBorders>
            <w:shd w:fill="BFBFB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91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2023-519831</w:t>
            </w:r>
          </w:p>
        </w:tc>
        <w:tc>
          <w:tcPr>
            <w:tcW w:w="15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03"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915" w:type="dxa"/>
            <w:gridSpan w:val="3"/>
            <w:tcBorders>
              <w:top w:val="single" w:sz="2" w:space="0" w:color="000000"/>
              <w:left w:val="single" w:sz="2"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3194558</w:t>
            </w:r>
          </w:p>
        </w:tc>
        <w:tc>
          <w:tcPr>
            <w:tcW w:w="1598" w:type="dxa"/>
            <w:gridSpan w:val="3"/>
            <w:tcBorders>
              <w:top w:val="single" w:sz="2" w:space="0" w:color="000000"/>
              <w:left w:val="single" w:sz="2"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781" w:type="dxa"/>
            <w:gridSpan w:val="3"/>
            <w:tcBorders>
              <w:top w:val="single" w:sz="2" w:space="0" w:color="000000"/>
              <w:left w:val="single" w:sz="2"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03" w:type="dxa"/>
            <w:gridSpan w:val="3"/>
            <w:tcBorders>
              <w:top w:val="single" w:sz="2" w:space="0" w:color="000000"/>
              <w:left w:val="single" w:sz="2" w:space="0" w:color="000000"/>
              <w:bottom w:val="single" w:sz="4" w:space="0" w:color="000000"/>
              <w:right w:val="single" w:sz="2" w:space="0" w:color="000000"/>
            </w:tcBorders>
            <w:shd w:fill="auto" w:val="clear"/>
            <w:tcMar>
              <w:top w:w="30" w:type="dxa"/>
              <w:bottom w:w="3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bl>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patent applications cover a wide range of novel psychedelic compounds from different classes, including those with targeted structural modifications with a goal of improved pharmacokinetic characteristics and safety profiles without altering their receptor binding. The patent applications also cover novel drug delivery platforms for administration of the psychedelic drugs with a goal of achieving faster onset of action, higher bioavailability by way of bypassing liver metabolism, more controlled delivery for better patient experience, and optimized therapeutic outcomes.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the Company has entered into multiple licensing agreements that provide the Company with additional access to IP from over 20 more patents or patent applications,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also filed applications for registration of twenty-four trademarks, including Changing Minds™, Cybin®, Embark™, It’s not magic. It’s mushrooms™, It’s not magic, its science™, Journey™, Mushroom &amp; Friends™, Psilotonin™, Psychedelics to Therapeutics®, MindClef™ and CYB™. The Company has registered the CYBIN trademark in the European Union (the “EU”) (reg. 18495520), the UK (reg. UK00003656496), and the US (reg. 6,852,975) and the mark PSYCHEDELICS TO THERAPEUTICS in the UK (reg. UK00003717706).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July 8, 2021, the Company announced its scaling up of its European operations through its wholly owned Ireland subsidiary, Cybin Ireland. In connection with the formation of Cybin Ireland, the Company transferred its intellectual property assets to this entity.</w:t>
      </w:r>
    </w:p>
    <w:p>
      <w:pPr>
        <w:pStyle w:val="TextBody"/>
        <w:spacing w:before="0" w:after="0"/>
        <w:rPr/>
      </w:pPr>
      <w:r>
        <w:rPr/>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Environmental Protections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committed to minimizing any environmental impact of its operations and operating its business in a way that will foster sustainable use of the world’s natural resources. At this time, the Company’s business does not materially impact environmental conditions. However, prior to commencing any operations that the Company expects to impact environmental conditions, the Company will establish internal policies to comply with all applicable environmental protection laws and regulations.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expect that there will be any financial or operational effects as a result of environmental protection requirements on its capital expenditures, profit or loss, or its competitive positions in the current fiscal year or in future years. </w:t>
      </w:r>
    </w:p>
    <w:p>
      <w:pPr>
        <w:pStyle w:val="TextBody"/>
        <w:spacing w:before="0" w:after="0"/>
        <w:jc w:val="both"/>
        <w:rPr/>
      </w:pPr>
      <w:r>
        <w:rPr/>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Competitive Conditions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proposed development of psychoactive compounds for use in medical research will compete with other entities that are developing or supplying psychoactive compounds for use in medical research, including clinical trials. </w:t>
      </w:r>
      <w:r>
        <w:br w:type="page"/>
      </w:r>
    </w:p>
    <w:p>
      <w:pPr>
        <w:pStyle w:val="TextBody"/>
        <w:spacing w:before="0" w:after="20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668020"/>
                <wp:effectExtent l="0" t="0" r="0" b="0"/>
                <wp:wrapNone/>
                <wp:docPr id="68" name="Frame6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The industry within which the Company intends to operate will become intensely competitive in all its phases, and the Company will face intense competition from other companies, some of which can be expected to have more financial resources and retail, formulation, research, processing, and marketing experience than the Company. Although the Company has access to capital, a management team with specialized skills and knowledge, and an IP portfolio that positions it well among its competitors, there can be no assurance that potential competitors of the Company, which may have greater financial, formulation, research,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 See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Negative Operating Cash Flow</w:t>
      </w:r>
    </w:p>
    <w:p>
      <w:pPr>
        <w:pStyle w:val="TextBody"/>
        <w:spacing w:lineRule="auto" w:line="240" w:before="0" w:after="0"/>
        <w:jc w:val="both"/>
        <w:rPr/>
      </w:pPr>
      <w:r>
        <w:rPr>
          <w:rFonts w:ascii="Times New Roman;sans-serif" w:hAnsi="Times New Roman;sans-serif"/>
          <w:b w:val="false"/>
          <w:color w:val="000000"/>
          <w:sz w:val="22"/>
        </w:rPr>
        <w:t>Since inception, the Company has had negative operating cash flow and incurred losses. The Company’s negative operating cash flow and losses may continue for the foreseeable future. The Company cannot predict when it will reach positive operating cash flow, if ever. Due to the expected continuation of negative operating cash flow, the Company will be reliant on future financings in order to meet its cash needs. There is no assurance that such future financings will be available on acceptable terms or at all. See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RISK FACTORS </w:t>
      </w:r>
    </w:p>
    <w:p>
      <w:pPr>
        <w:pStyle w:val="TextBody"/>
        <w:spacing w:lineRule="auto" w:line="240" w:before="0" w:after="240"/>
        <w:jc w:val="both"/>
        <w:rPr/>
      </w:pPr>
      <w:r>
        <w:rPr>
          <w:rFonts w:ascii="Times New Roman;sans-serif" w:hAnsi="Times New Roman;sans-serif"/>
          <w:b w:val="false"/>
          <w:color w:val="000000"/>
          <w:sz w:val="22"/>
        </w:rPr>
        <w:t>There are various risk factors that could cause the Company’s future results to differ materially from those described in this AIF. The risks and uncertainties described below are those the Company currently believes to be material, but they are not the only ones it faces. If any of the following risks, or any other risks and uncertainties that the Company has not yet identified or that it currently considers not to be material, actually occur or become material risks, the Company’s business, financial condition, results of operations and cash flows, and consequently the price of the Common Shares, could be materially and adversely affected. The risks discussed below also include forward-looking statements and the Company’s actual results may differ substantially from those discussed in these forward-looking statements. See “</w:t>
      </w:r>
      <w:r>
        <w:rPr>
          <w:rFonts w:ascii="Times New Roman;sans-serif" w:hAnsi="Times New Roman;sans-serif"/>
          <w:b w:val="false"/>
          <w:i/>
          <w:color w:val="000000"/>
          <w:sz w:val="22"/>
        </w:rPr>
        <w:t>Note Regarding Forward-Looking Statements</w:t>
      </w:r>
      <w:r>
        <w:rPr>
          <w:color w:val="000000"/>
        </w:rPr>
        <w:t xml:space="preserve">” </w:t>
      </w:r>
      <w:r>
        <w:rPr>
          <w:rFonts w:ascii="Times New Roman;sans-serif" w:hAnsi="Times New Roman;sans-serif"/>
          <w:b w:val="false"/>
          <w:color w:val="000000"/>
          <w:sz w:val="22"/>
        </w:rPr>
        <w:t>in this AIF.</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THE COMPANY’S BUSINESS AND INDUSTRY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Novel Coronavirus “COVID-19”</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outbreak of the novel strain of coronavirus, specifically identified as “COVID-19”, resulted in governments worldwide enacting emergency measures to combat the spread of the virus. These measures, which included the implementation of travel bans, self-imposed quarantine periods and social distancing, caused material disruption to businesses globally resulting in an economic slowdown. Global equity markets experienced significant volatility and weakness. Governments and central banks reacted with significant monetary and fiscal interventions designed to stabilize economic conditions. Although some of these measures have been amended or repealed, there remains a future risk of reinstated measures in response to the spread of COVID-19.</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However, depending on the length and severity of the spread of COVID-19, this could impact the Company’s operations, cause delays relating to approval from Health Canada, the FDA and equivalent organizations in other countries, postpone research activities, and impair the Company’s ability to raise funds depending on COVID-19s effect on capital markets.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While the Company is continuously assessing the potential impact of the spread of COVID-19on its operations, any assessment is subject to extreme uncertainty as to probability, severity and duration. The </w:t>
      </w:r>
      <w:r>
        <w:br w:type="page"/>
      </w:r>
    </w:p>
    <w:p>
      <w:pPr>
        <w:pStyle w:val="TextBody"/>
        <w:spacing w:before="0" w:after="20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668020"/>
                <wp:effectExtent l="0" t="0" r="0" b="0"/>
                <wp:wrapNone/>
                <wp:docPr id="69" name="Frame6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has attempted to assess the impact of the spread of COVID-19 by identifying risks in the following principle areas: </w:t>
      </w:r>
    </w:p>
    <w:p>
      <w:pPr>
        <w:pStyle w:val="TextBody"/>
        <w:spacing w:lineRule="auto" w:line="240" w:before="0" w:after="0"/>
        <w:ind w:left="0" w:right="0" w:hanging="360"/>
        <w:jc w:val="both"/>
        <w:rPr/>
      </w:pPr>
      <w:r>
        <w:rPr>
          <w:color w:val="000000"/>
        </w:rPr>
        <w:t>•</w:t>
      </w:r>
      <w:r>
        <w:rPr>
          <w:rFonts w:ascii="Times New Roman;sans-serif" w:hAnsi="Times New Roman;sans-serif"/>
          <w:b/>
          <w:color w:val="000000"/>
          <w:sz w:val="22"/>
        </w:rPr>
        <w:t>Mandatory Closure</w:t>
      </w:r>
      <w:r>
        <w:rPr>
          <w:rFonts w:ascii="Times New Roman;sans-serif" w:hAnsi="Times New Roman;sans-serif"/>
          <w:b w:val="false"/>
          <w:color w:val="000000"/>
          <w:sz w:val="22"/>
        </w:rPr>
        <w:t xml:space="preserve">. In the period following March 2020, many provinces, states and localities implemented temporary, mandatory shut-downs of businesses to prevent the spread of COVID-19. In the locations where the Company operates or conducts research activity, these activities were deemed an “essential service”, and thus, were not subject to the mandatory closures applicable to non-essential businesses. The Company’s ability to generate revenue and meet its milestones could be materially impacted by any shut-down of operations or services resulting from any future, mandatory closures in response to the spread of COVID-19. </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color w:val="000000"/>
          <w:sz w:val="22"/>
        </w:rPr>
        <w:t>Research and Development Disruptions</w:t>
      </w:r>
      <w:r>
        <w:rPr>
          <w:rFonts w:ascii="Times New Roman;sans-serif" w:hAnsi="Times New Roman;sans-serif"/>
          <w:b w:val="false"/>
          <w:color w:val="000000"/>
          <w:sz w:val="22"/>
        </w:rPr>
        <w:t>. The Company relies on a third parties for its research and development activities. If these third parties are unable to continue operating due to mandatory closures or other effects of the pandemic, it may negatively impact the Company’s ability to meet its milestones and may significantly delay development. At this time, the Company has not experienced any significant disruptions.</w:t>
      </w:r>
    </w:p>
    <w:p>
      <w:pPr>
        <w:pStyle w:val="TextBody"/>
        <w:spacing w:before="0" w:after="0"/>
        <w:jc w:val="both"/>
        <w:rPr/>
      </w:pPr>
      <w:r>
        <w:rPr/>
      </w:r>
    </w:p>
    <w:p>
      <w:pPr>
        <w:pStyle w:val="TextBody"/>
        <w:spacing w:lineRule="auto" w:line="240" w:before="0" w:after="240"/>
        <w:ind w:left="0" w:right="0" w:hanging="360"/>
        <w:jc w:val="both"/>
        <w:rPr/>
      </w:pPr>
      <w:r>
        <w:rPr>
          <w:color w:val="000000"/>
        </w:rPr>
        <w:t>•</w:t>
      </w:r>
      <w:r>
        <w:rPr>
          <w:rFonts w:ascii="Times New Roman;sans-serif" w:hAnsi="Times New Roman;sans-serif"/>
          <w:b/>
          <w:color w:val="000000"/>
          <w:sz w:val="22"/>
        </w:rPr>
        <w:t>Staffing Disruption</w:t>
      </w:r>
      <w:r>
        <w:rPr>
          <w:rFonts w:ascii="Times New Roman;sans-serif" w:hAnsi="Times New Roman;sans-serif"/>
          <w:b w:val="false"/>
          <w:color w:val="000000"/>
          <w:sz w:val="22"/>
        </w:rPr>
        <w:t xml:space="preserve">. The Company is, for the time being, implementing among its staff where feasible “social distancing” measures recommended 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becoming subject to quarantine, or deciding not to come to come to work on their own volition to avoid infection.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Company’s ability to generate revenue. </w:t>
      </w:r>
    </w:p>
    <w:p>
      <w:pPr>
        <w:pStyle w:val="TextBody"/>
        <w:spacing w:lineRule="auto" w:line="240" w:before="0" w:after="240"/>
        <w:jc w:val="both"/>
        <w:rPr/>
      </w:pPr>
      <w:r>
        <w:rPr>
          <w:rFonts w:ascii="Times New Roman;sans-serif" w:hAnsi="Times New Roman;sans-serif"/>
          <w:b w:val="false"/>
          <w:color w:val="000000"/>
          <w:sz w:val="22"/>
        </w:rPr>
        <w:t>The Company has sufficient cash on hand raised via equity financings to fund its operations for the next 12-18-months and meet its working capital requirements.</w:t>
      </w:r>
      <w:r>
        <w:rPr>
          <w:color w:val="000000"/>
        </w:rPr>
        <w:t xml:space="preserve"> </w:t>
      </w:r>
      <w:r>
        <w:rPr>
          <w:rFonts w:ascii="Times New Roman;sans-serif" w:hAnsi="Times New Roman;sans-serif"/>
          <w:b w:val="false"/>
          <w:color w:val="000000"/>
          <w:sz w:val="22"/>
        </w:rPr>
        <w:t>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 funding for these long-term objectives. See “</w:t>
      </w:r>
      <w:r>
        <w:rPr>
          <w:rFonts w:ascii="Times New Roman;sans-serif" w:hAnsi="Times New Roman;sans-serif"/>
          <w:b w:val="false"/>
          <w:i/>
          <w:color w:val="000000"/>
          <w:sz w:val="22"/>
        </w:rPr>
        <w:t>Risk Factors</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Limited Operating History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Common Shares commenced trading on the Exchange on November 10, 2020 on a post-Transaction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r>
        <w:br w:type="page"/>
      </w:r>
    </w:p>
    <w:p>
      <w:pPr>
        <w:pStyle w:val="TextBody"/>
        <w:spacing w:before="0" w:after="20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668020"/>
                <wp:effectExtent l="0" t="0" r="0" b="0"/>
                <wp:wrapNone/>
                <wp:docPr id="70" name="Frame6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Achieving Publicly Announced Milestones</w:t>
      </w:r>
    </w:p>
    <w:p>
      <w:pPr>
        <w:pStyle w:val="TextBody"/>
        <w:spacing w:lineRule="auto" w:line="240" w:before="0" w:after="240"/>
        <w:jc w:val="both"/>
        <w:rPr/>
      </w:pPr>
      <w:r>
        <w:rPr>
          <w:rFonts w:ascii="Times New Roman;sans-serif" w:hAnsi="Times New Roman;sans-serif"/>
          <w:b w:val="false"/>
          <w:color w:val="000000"/>
          <w:sz w:val="22"/>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w:t>
      </w:r>
      <w:r>
        <w:rPr>
          <w:rFonts w:ascii="Times New Roman;sans-serif" w:hAnsi="Times New Roman;sans-serif"/>
          <w:b w:val="false"/>
          <w:i/>
          <w:color w:val="000000"/>
          <w:sz w:val="22"/>
        </w:rPr>
        <w:t>Commercial Scale Product Manufacturing</w:t>
      </w:r>
      <w:r>
        <w:rPr>
          <w:color w:val="000000"/>
        </w:rPr>
        <w:t>”</w:t>
      </w:r>
      <w:r>
        <w:rPr>
          <w:rFonts w:ascii="Times New Roman;sans-serif" w:hAnsi="Times New Roman;sans-serif"/>
          <w:b w:val="false"/>
          <w:color w:val="000000"/>
          <w:sz w:val="22"/>
        </w:rPr>
        <w:t>, “</w:t>
      </w:r>
      <w:r>
        <w:rPr>
          <w:rFonts w:ascii="Times New Roman;sans-serif" w:hAnsi="Times New Roman;sans-serif"/>
          <w:b w:val="false"/>
          <w:i/>
          <w:color w:val="000000"/>
          <w:sz w:val="22"/>
        </w:rPr>
        <w:t>Safety and Efficacy of Products</w:t>
      </w:r>
      <w:r>
        <w:rPr>
          <w:color w:val="000000"/>
        </w:rPr>
        <w:t>”</w:t>
      </w:r>
      <w:r>
        <w:rPr>
          <w:rFonts w:ascii="Times New Roman;sans-serif" w:hAnsi="Times New Roman;sans-serif"/>
          <w:b w:val="false"/>
          <w:color w:val="000000"/>
          <w:sz w:val="22"/>
        </w:rPr>
        <w:t>, “</w:t>
      </w:r>
      <w:r>
        <w:rPr>
          <w:rFonts w:ascii="Times New Roman;sans-serif" w:hAnsi="Times New Roman;sans-serif"/>
          <w:b w:val="false"/>
          <w:i/>
          <w:color w:val="000000"/>
          <w:sz w:val="22"/>
        </w:rPr>
        <w:t>Clinical Testing and Commercializing Product Candidates</w:t>
      </w:r>
      <w:r>
        <w:rPr>
          <w:color w:val="000000"/>
        </w:rPr>
        <w:t>”</w:t>
      </w:r>
      <w:r>
        <w:rPr>
          <w:rFonts w:ascii="Times New Roman;sans-serif" w:hAnsi="Times New Roman;sans-serif"/>
          <w:b w:val="false"/>
          <w:color w:val="000000"/>
          <w:sz w:val="22"/>
        </w:rPr>
        <w:t>, “</w:t>
      </w:r>
      <w:r>
        <w:rPr>
          <w:rFonts w:ascii="Times New Roman;sans-serif" w:hAnsi="Times New Roman;sans-serif"/>
          <w:b w:val="false"/>
          <w:i/>
          <w:color w:val="000000"/>
          <w:sz w:val="22"/>
        </w:rPr>
        <w:t>Completion of Clinical Trials</w:t>
      </w:r>
      <w:r>
        <w:rPr>
          <w:color w:val="000000"/>
        </w:rPr>
        <w:t>”</w:t>
      </w:r>
      <w:r>
        <w:rPr>
          <w:rFonts w:ascii="Times New Roman;sans-serif" w:hAnsi="Times New Roman;sans-serif"/>
          <w:b w:val="false"/>
          <w:color w:val="000000"/>
          <w:sz w:val="22"/>
        </w:rPr>
        <w:t>, and “</w:t>
      </w:r>
      <w:r>
        <w:rPr>
          <w:rFonts w:ascii="Times New Roman;sans-serif" w:hAnsi="Times New Roman;sans-serif"/>
          <w:b w:val="false"/>
          <w:i/>
          <w:color w:val="000000"/>
          <w:sz w:val="22"/>
        </w:rPr>
        <w:t>Nature of Regulatory Approvals</w:t>
      </w:r>
      <w:r>
        <w:rPr>
          <w:color w:val="000000"/>
        </w:rPr>
        <w:t xml:space="preserve">” </w:t>
      </w:r>
      <w:r>
        <w:rPr>
          <w:rFonts w:ascii="Times New Roman;sans-serif" w:hAnsi="Times New Roman;sans-serif"/>
          <w:b w:val="false"/>
          <w:color w:val="000000"/>
          <w:sz w:val="22"/>
        </w:rPr>
        <w:t>as discussed under this heading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for further disclosure of risks and events that may affect the timing of certain events the Company may announce.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Speculative Nature of Investment Risk</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Early Stage of the Industry and Product Development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r>
        <w:br w:type="page"/>
      </w:r>
    </w:p>
    <w:p>
      <w:pPr>
        <w:pStyle w:val="TextBody"/>
        <w:spacing w:before="0" w:after="20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668020"/>
                <wp:effectExtent l="0" t="0" r="0" b="0"/>
                <wp:wrapNone/>
                <wp:docPr id="71" name="Frame6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or FDA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pStyle w:val="TextBody"/>
        <w:spacing w:lineRule="auto" w:line="240" w:before="0" w:after="240"/>
        <w:jc w:val="both"/>
        <w:rPr/>
      </w:pPr>
      <w:r>
        <w:rPr>
          <w:rFonts w:ascii="Times New Roman;sans-serif" w:hAnsi="Times New Roman;sans-serif"/>
          <w:b w:val="false"/>
          <w:color w:val="000000"/>
          <w:sz w:val="22"/>
        </w:rPr>
        <w:t xml:space="preserve">The Company’s business relies on its ability to access, develop, and sell psilocybin. Psilocybin is a controlled substance in many jurisdictions, including in Canada under Schedule III of the </w:t>
      </w:r>
      <w:r>
        <w:rPr>
          <w:rFonts w:ascii="Times New Roman;sans-serif" w:hAnsi="Times New Roman;sans-serif"/>
          <w:b w:val="false"/>
          <w:i/>
          <w:color w:val="000000"/>
          <w:sz w:val="22"/>
        </w:rPr>
        <w:t xml:space="preserve">Controlled Drugs and Substances Act </w:t>
      </w:r>
      <w:r>
        <w:rPr>
          <w:rFonts w:ascii="Times New Roman;sans-serif" w:hAnsi="Times New Roman;sans-serif"/>
          <w:b w:val="false"/>
          <w:color w:val="000000"/>
          <w:sz w:val="22"/>
        </w:rPr>
        <w:t>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Regulatory Risks and Uncertainties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w:t>
      </w:r>
      <w:r>
        <w:br w:type="page"/>
      </w:r>
    </w:p>
    <w:p>
      <w:pPr>
        <w:pStyle w:val="TextBody"/>
        <w:spacing w:before="0" w:after="20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668020"/>
                <wp:effectExtent l="0" t="0" r="0" b="0"/>
                <wp:wrapNone/>
                <wp:docPr id="72" name="Frame6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loss of the necessary licences and permits for any of the above scheduled drugs could have an adverse effect on the Company’s operations.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 </w:t>
      </w:r>
    </w:p>
    <w:p>
      <w:pPr>
        <w:pStyle w:val="TextBody"/>
        <w:spacing w:lineRule="auto" w:line="240" w:before="0" w:after="240"/>
        <w:jc w:val="both"/>
        <w:rPr>
          <w:color w:val="000000"/>
        </w:rPr>
      </w:pPr>
      <w:r>
        <w:rPr>
          <w:color w:val="000000"/>
        </w:rPr>
        <w:t>“</w:t>
      </w:r>
      <w:r>
        <w:rPr>
          <w:rFonts w:ascii="Times New Roman;sans-serif" w:hAnsi="Times New Roman;sans-serif"/>
          <w:b/>
          <w:color w:val="000000"/>
          <w:sz w:val="22"/>
        </w:rPr>
        <w:t>Foreign Private Issuer” Status Under the U.S. Securities Laws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a “foreign private issuer”, under applicable U.S. federal securities laws, and is, therefore, not subject to the same requirements that are imposed upon U.S. domestic issuers by the SEC.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w:t>
      </w:r>
      <w:r>
        <w:br w:type="page"/>
      </w:r>
    </w:p>
    <w:p>
      <w:pPr>
        <w:pStyle w:val="TextBody"/>
        <w:spacing w:before="0" w:after="20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668020"/>
                <wp:effectExtent l="0" t="0" r="0" b="0"/>
                <wp:wrapNone/>
                <wp:docPr id="73" name="Frame6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Plans for Growth</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grow rapidly and significantly expand its operations within the next 12 to 24 months. This growth will place a significant strain on the Company’s management systems and resources. The Company will not be able to implement its business strategy in a rapidly evolving market, without an effective planning and management process. In particular, the Company may be required to manage multiple relationships with various strategic industry participants and other third parties, which relationships could be strained in the event of rapid growth. Similarly, a large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 </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Risks of Operating in European Countries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These and other risks associated with the Company’s international operations may materially adversely affect its ability to attain or maintain profitable operations.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Limited Products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heavily reliant on the production and distribution of psychedelics and related products. If they do not achieve sufficient market acceptance, it will be difficult for the Company to achieve profitability.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 </w:t>
      </w:r>
      <w:r>
        <w:br w:type="page"/>
      </w:r>
    </w:p>
    <w:p>
      <w:pPr>
        <w:pStyle w:val="TextBody"/>
        <w:spacing w:before="0" w:after="20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668020"/>
                <wp:effectExtent l="0" t="0" r="0" b="0"/>
                <wp:wrapNone/>
                <wp:docPr id="74" name="Frame7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Limited Marketing and Sales Capabilities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No Assurance of Commercial Success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No Profits or Significant Revenues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Reliance on Third Parties for Clinical Development Activities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Risks Related to Third Party Relationships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r>
        <w:br w:type="page"/>
      </w:r>
    </w:p>
    <w:p>
      <w:pPr>
        <w:pStyle w:val="TextBody"/>
        <w:spacing w:before="0" w:after="20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668020"/>
                <wp:effectExtent l="0" t="0" r="0" b="0"/>
                <wp:wrapNone/>
                <wp:docPr id="75" name="Frame7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Reliance on Contract Manufacturers</w:t>
      </w:r>
    </w:p>
    <w:p>
      <w:pPr>
        <w:pStyle w:val="TextBody"/>
        <w:spacing w:lineRule="auto" w:line="240" w:before="0" w:after="240"/>
        <w:jc w:val="both"/>
        <w:rPr/>
      </w:pPr>
      <w:r>
        <w:rPr>
          <w:rFonts w:ascii="Times New Roman;sans-serif" w:hAnsi="Times New Roman;sans-serif"/>
          <w:b w:val="false"/>
          <w:color w:val="000000"/>
          <w:sz w:val="22"/>
        </w:rPr>
        <w:t>The Company has limited manufacturing experience and relies on contract manufacturing organizations (“</w:t>
      </w:r>
      <w:r>
        <w:rPr>
          <w:rFonts w:ascii="Times New Roman;sans-serif" w:hAnsi="Times New Roman;sans-serif"/>
          <w:b/>
          <w:color w:val="000000"/>
          <w:sz w:val="22"/>
        </w:rPr>
        <w:t>CMOs</w:t>
      </w:r>
      <w:r>
        <w:rPr>
          <w:color w:val="000000"/>
        </w:rPr>
        <w:t>”</w:t>
      </w:r>
      <w:r>
        <w:rPr>
          <w:rFonts w:ascii="Times New Roman;sans-serif" w:hAnsi="Times New Roman;sans-serif"/>
          <w:b w:val="false"/>
          <w:color w:val="000000"/>
          <w:sz w:val="22"/>
        </w:rPr>
        <w:t>) to manufacture its prescription drug product candidates for preclinical studies and clinical trials. The Company relies on CMOs for manufacturing, filling, packaging, storing and shipping of drug product in compliance with cGMP regulations applicable to its products. Health Canada and the FDA, in Canada and the U.S., respectively,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Safety and Efficacy of Products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or other regulatory authorities, resulting in the Company being unable to derive any commercial revenue from them after investing significant amounts of capital in their development.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w:t>
      </w:r>
      <w:r>
        <w:br w:type="page"/>
      </w:r>
    </w:p>
    <w:p>
      <w:pPr>
        <w:pStyle w:val="TextBody"/>
        <w:spacing w:before="0" w:after="20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668020"/>
                <wp:effectExtent l="0" t="0" r="0" b="0"/>
                <wp:wrapNone/>
                <wp:docPr id="76" name="Frame7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Clinical Testing and Commercializing Products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commencement and completion of clinical trials for the Company’s prescription drug product candidates may be delayed for a number of reasons, including but not limited, to:</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failure by regulatory authorities to grant permission to proceed or placing clinical trials on hold;</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suspension or termination of clinical trials by regulators for many reasons, including concerns about patient safety or failure of the Company’s CMOs to comply with cGMP requirements;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any changes to the Company’s manufacturing process that may be necessary or desired, delays or failure to obtain clinical supply from CMOs of the Company’s products necessary to conduct clinical trials;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prescription drug product candidates demonstrating a lack of safety or efficacy during clinical trials, reports of clinical testing on similar technologies and products raising safety or efficacy concerns;</w:t>
      </w:r>
    </w:p>
    <w:p>
      <w:pPr>
        <w:pStyle w:val="TextBody"/>
        <w:spacing w:lineRule="auto" w:line="240"/>
        <w:ind w:left="0" w:right="0" w:hanging="720"/>
        <w:jc w:val="both"/>
        <w:rPr/>
      </w:pPr>
      <w:r>
        <w:rPr>
          <w:color w:val="000000"/>
        </w:rPr>
        <w:t>•</w:t>
      </w:r>
      <w:r>
        <w:rPr>
          <w:rFonts w:ascii="Times New Roman;sans-serif" w:hAnsi="Times New Roman;sans-serif"/>
          <w:b w:val="false"/>
          <w:color w:val="000000"/>
          <w:sz w:val="22"/>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r>
        <w:br w:type="page"/>
      </w:r>
    </w:p>
    <w:p>
      <w:pPr>
        <w:pStyle w:val="TextBody"/>
        <w:spacing w:before="0" w:after="20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92265" cy="668020"/>
                <wp:effectExtent l="0" t="0" r="0" b="0"/>
                <wp:wrapNone/>
                <wp:docPr id="77" name="Frame7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p>
                      <w:pPr>
                        <w:pStyle w:val="TextBody"/>
                        <w:spacing w:before="0" w:after="0"/>
                        <w:jc w:val="center"/>
                        <w:rPr/>
                      </w:pPr>
                      <w:r>
                        <w:rPr/>
                      </w:r>
                    </w:p>
                  </w:txbxContent>
                </v:textbox>
              </v:rect>
            </w:pict>
          </mc:Fallback>
        </mc:AlternateConten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failure of the Company’s contract research organizations to satisfy their contractual duties or meet expected deadlines;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inspections of clinical trial sites by regulatory authorities;</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regulatory authorities or ethics committees finding regulatory violations that require the Company to undertake corrective action, resulting in suspension or termination of one or more sites or the imposition of a clinical hold on the entire study;</w:t>
      </w:r>
    </w:p>
    <w:p>
      <w:pPr>
        <w:pStyle w:val="TextBody"/>
        <w:spacing w:lineRule="auto" w:line="240" w:before="0" w:after="0"/>
        <w:ind w:left="0" w:right="0" w:hanging="720"/>
        <w:jc w:val="both"/>
        <w:rPr/>
      </w:pPr>
      <w:r>
        <w:rPr>
          <w:color w:val="000000"/>
        </w:rPr>
        <w:t>•</w:t>
      </w:r>
      <w:r>
        <w:rPr>
          <w:rFonts w:ascii="Times New Roman;sans-serif" w:hAnsi="Times New Roman;sans-serif"/>
          <w:b w:val="false"/>
          <w:color w:val="000000"/>
          <w:sz w:val="22"/>
        </w:rPr>
        <w:t>one or more regulatory authorities or ethics committees rejecting, suspending or terminating the study at an investigational site, precluding enrollment of additional subjects, or withdrawing its approval of the trial; or</w:t>
      </w:r>
    </w:p>
    <w:p>
      <w:pPr>
        <w:pStyle w:val="TextBody"/>
        <w:spacing w:lineRule="auto" w:line="240" w:before="0" w:after="240"/>
        <w:ind w:left="0" w:right="0" w:hanging="720"/>
        <w:jc w:val="both"/>
        <w:rPr/>
      </w:pPr>
      <w:r>
        <w:rPr>
          <w:color w:val="000000"/>
        </w:rPr>
        <w:t>•</w:t>
      </w:r>
      <w:r>
        <w:rPr>
          <w:rFonts w:ascii="Times New Roman;sans-serif" w:hAnsi="Times New Roman;sans-serif"/>
          <w:b w:val="false"/>
          <w:color w:val="000000"/>
          <w:sz w:val="22"/>
        </w:rPr>
        <w:t>failure to reach agreement on acceptable terms with prospective clinical trial sites.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Prior to commencing clinical trials in Canada, the United States, the UK, or other jurisdictions, for any prescription drug product candidates developed by the Company, it may be required to have an allowed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pStyle w:val="TextBody"/>
        <w:spacing w:before="0" w:after="0"/>
        <w:jc w:val="both"/>
        <w:rPr/>
      </w:pPr>
      <w:r>
        <w:rPr/>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Completion of Clinical Trials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Commercial Grade Product Manufacturing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w:t>
      </w:r>
      <w:r>
        <w:br w:type="page"/>
      </w:r>
    </w:p>
    <w:p>
      <w:pPr>
        <w:pStyle w:val="TextBody"/>
        <w:spacing w:before="0" w:after="20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668020"/>
                <wp:effectExtent l="0" t="0" r="0" b="0"/>
                <wp:wrapNone/>
                <wp:docPr id="78" name="Frame7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Nature of Regulatory Approvals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development and commercialization activities and prescription drug product candidates are significantly regulated by a number of governmental entities, including Health Canada and the FDA.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or other regulatory authorities may impose a risk evaluation and mitigation strategy, thereby imposing certain restrictions on the sale and marketability of such products.</w:t>
      </w:r>
      <w:r>
        <w:br w:type="page"/>
      </w:r>
    </w:p>
    <w:p>
      <w:pPr>
        <w:pStyle w:val="TextBody"/>
        <w:spacing w:before="0" w:after="20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692265" cy="668020"/>
                <wp:effectExtent l="0" t="0" r="0" b="0"/>
                <wp:wrapNone/>
                <wp:docPr id="79" name="Frame7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Unfavourable Publicity or Consumer Perception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Social Media</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Biotechnology and Pharmaceutical Market Competition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w:t>
      </w:r>
      <w:r>
        <w:br w:type="page"/>
      </w:r>
    </w:p>
    <w:p>
      <w:pPr>
        <w:pStyle w:val="TextBody"/>
        <w:spacing w:before="0" w:after="20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92265" cy="668020"/>
                <wp:effectExtent l="0" t="0" r="0" b="0"/>
                <wp:wrapNone/>
                <wp:docPr id="80" name="Frame7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·the efficacy and safety profile of its prescription drug product candidates relative to marketed products and other prescription drug product candidates in development;</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ability to develop and maintain a competitive position in the product categories and technologies on which it focuses;</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·the time it takes for the Company’s prescription drug product candidates to complete clinical development and receive marketing approval;</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ability to obtain required regulatory approvals;</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ability to commercialize any of its prescription drug product candidates that receive regulatory approval;</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ability to establish, maintain and protect intellectual property rights related to its prescription drug product candidates; and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·acceptance of any of the Company’s prescription drug product candidates that receive regulatory approval by physicians and other healthcare providers and payers.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is not able to compete effectively against its current and future competitors, the Company’s business will not grow, and its financial condition and operations will substantially suffer.</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Reliance on Key Executives and Scientists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w:t>
      </w:r>
      <w:r>
        <w:br w:type="page"/>
      </w:r>
    </w:p>
    <w:p>
      <w:pPr>
        <w:pStyle w:val="TextBody"/>
        <w:spacing w:before="0" w:after="20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92265" cy="668020"/>
                <wp:effectExtent l="0" t="0" r="0" b="0"/>
                <wp:wrapNone/>
                <wp:docPr id="81" name="Frame7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Employee Misconduct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having established an insider trading policy and code of ethics and business conduct, the Company is exposed to the risk of employee fraud or other misconduct. Misconduct by employees could include failures to comply with Health Canada and the FDA regulations, provide accurate information to Health Canada and the FDA,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Business Expansion and Growth</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Negative Results of External Clinical Trials or Studies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w:t>
      </w:r>
      <w:r>
        <w:br w:type="page"/>
      </w:r>
    </w:p>
    <w:p>
      <w:pPr>
        <w:pStyle w:val="TextBody"/>
        <w:spacing w:before="0" w:after="20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92265" cy="668020"/>
                <wp:effectExtent l="0" t="0" r="0" b="0"/>
                <wp:wrapNone/>
                <wp:docPr id="82" name="Frame7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ability to finance future development of its prescription drug product candidates, and its business and financial results could be materially and adversely affected.</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Product Liability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Enforcing Contracts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manage its contracts with contractors, the Company will ensure that such contractors are appropriately licensed. Were such contractors to operate outside the terms of these licenses, the Company may experience an adverse effect on its business, including the pace of development of its product.</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Product Recalls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licenses and potential legal fees and other expenses.</w:t>
      </w:r>
      <w:r>
        <w:br w:type="page"/>
      </w:r>
    </w:p>
    <w:p>
      <w:pPr>
        <w:pStyle w:val="TextBody"/>
        <w:spacing w:before="0" w:after="20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92265" cy="668020"/>
                <wp:effectExtent l="0" t="0" r="0" b="0"/>
                <wp:wrapNone/>
                <wp:docPr id="83" name="Frame7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Distribution and Supply Chain Interruption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Difficulty to Forecast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products to materialize as a result of competition, technological change or other factors could have a material adverse effect on the business, results of operations and financial condition of the Company.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Promoting the Brand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Product Viability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Further, part of the Company’s business involves reliance on agricultural product and is, therefore, subject to the risks inherent in the agricultural business, such as insects, plant diseases and similar agricultural risks.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Success of Quality Control Systems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Reliance on Key Inputs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business is expected to be dependent on a number of key inputs and their related costs including raw materials and supplies. Any significant interruption or negative change in the availability or </w:t>
      </w:r>
      <w:r>
        <w:br w:type="page"/>
      </w:r>
    </w:p>
    <w:p>
      <w:pPr>
        <w:pStyle w:val="TextBody"/>
        <w:spacing w:before="0" w:after="20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92265" cy="668020"/>
                <wp:effectExtent l="0" t="0" r="0" b="0"/>
                <wp:wrapNone/>
                <wp:docPr id="84" name="Frame8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Liability Arising from Fraudulent or Illegal Activity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license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Operating Risk and Insurance Coverage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Costs of Operating as Public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r>
        <w:br w:type="page"/>
      </w:r>
    </w:p>
    <w:p>
      <w:pPr>
        <w:pStyle w:val="TextBody"/>
        <w:spacing w:before="0" w:after="20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92265" cy="668020"/>
                <wp:effectExtent l="0" t="0" r="0" b="0"/>
                <wp:wrapNone/>
                <wp:docPr id="85" name="Frame8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Management of Growth</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Conflicts of Interest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Foreign Operations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Cybersecurity and Privacy Risk</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w:t>
      </w:r>
      <w:r>
        <w:br w:type="page"/>
      </w:r>
    </w:p>
    <w:p>
      <w:pPr>
        <w:pStyle w:val="TextBody"/>
        <w:spacing w:before="0" w:after="20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692265" cy="668020"/>
                <wp:effectExtent l="0" t="0" r="0" b="0"/>
                <wp:wrapNone/>
                <wp:docPr id="86" name="Frame8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 </w:t>
      </w:r>
    </w:p>
    <w:p>
      <w:pPr>
        <w:pStyle w:val="TextBody"/>
        <w:spacing w:lineRule="auto" w:line="240" w:before="0" w:after="240"/>
        <w:jc w:val="both"/>
        <w:rPr/>
      </w:pPr>
      <w:r>
        <w:rPr>
          <w:rFonts w:ascii="Times New Roman;sans-serif" w:hAnsi="Times New Roman;sans-serif"/>
          <w:b w:val="false"/>
          <w:color w:val="000000"/>
          <w:sz w:val="22"/>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sans-serif" w:hAnsi="Times New Roman;sans-serif"/>
          <w:b w:val="false"/>
          <w:i/>
          <w:color w:val="000000"/>
          <w:sz w:val="22"/>
        </w:rPr>
        <w:t>Personal Information Protection and Electronics Documents Act</w:t>
      </w:r>
      <w:r>
        <w:rPr>
          <w:color w:val="000000"/>
        </w:rPr>
        <w:t xml:space="preserve"> </w:t>
      </w:r>
      <w:r>
        <w:rPr>
          <w:rFonts w:ascii="Times New Roman;sans-serif" w:hAnsi="Times New Roman;sans-serif"/>
          <w:b w:val="false"/>
          <w:color w:val="000000"/>
          <w:sz w:val="22"/>
        </w:rPr>
        <w:t>(Canada) (“</w:t>
      </w:r>
      <w:r>
        <w:rPr>
          <w:rFonts w:ascii="Times New Roman;sans-serif" w:hAnsi="Times New Roman;sans-serif"/>
          <w:b/>
          <w:color w:val="000000"/>
          <w:sz w:val="22"/>
        </w:rPr>
        <w:t>PIPEDA</w:t>
      </w:r>
      <w:r>
        <w:rPr>
          <w:color w:val="000000"/>
        </w:rPr>
        <w:t>”</w:t>
      </w:r>
      <w:r>
        <w:rPr>
          <w:rFonts w:ascii="Times New Roman;sans-serif" w:hAnsi="Times New Roman;sans-serif"/>
          <w:b w:val="false"/>
          <w:color w:val="000000"/>
          <w:sz w:val="22"/>
        </w:rPr>
        <w:t>) and where applicable, provincial legislation governing personal health information, protect medical records and other personal health information by limited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Environmental Regulation and Risks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Amendments to current laws, regulations and permits governing the production of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r>
        <w:br w:type="page"/>
      </w:r>
    </w:p>
    <w:p>
      <w:pPr>
        <w:pStyle w:val="TextBody"/>
        <w:spacing w:before="0" w:after="20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92265" cy="668020"/>
                <wp:effectExtent l="0" t="0" r="0" b="0"/>
                <wp:wrapNone/>
                <wp:docPr id="87" name="Frame8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Decriminalisation of Psychedelics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decriminalised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and potentially other psychotropic compounds in the future may also impact commercial sales for the Company due to a reduced barrier to entry leading to a risk of increasing competition.</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Forward-looking statements may prove to be inaccurate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Effects of Inflation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Political and Economic Conditions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inflation;</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fluctuations in exchange rates;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exchange controls and restrictions on remittances abroad;</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interest rates and monetary policies;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import and export controls;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liquidity of domestic capital, credit and financial markets;</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expansion or contraction of foreign economies, as measured by rates of growth in gross domestic product;</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fiscal policies; and</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2"/>
        </w:rPr>
        <w:t>other political, social and economic developments in or affecting foreign markets.</w:t>
      </w:r>
      <w:r>
        <w:br w:type="page"/>
      </w:r>
    </w:p>
    <w:p>
      <w:pPr>
        <w:pStyle w:val="TextBody"/>
        <w:spacing w:before="0" w:after="20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692265" cy="668020"/>
                <wp:effectExtent l="0" t="0" r="0" b="0"/>
                <wp:wrapNone/>
                <wp:docPr id="88" name="Frame8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 </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Application and Interpretation of Tax Laws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Enforcement of Civil Liabilities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INTELLECTUAL PROPERTY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Trademark Protection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Failure to register trademarks for the Company or its products could require the Company to rebrand its products resulting in a material adverse impact on its business.</w:t>
      </w:r>
      <w:r>
        <w:br w:type="page"/>
      </w:r>
    </w:p>
    <w:p>
      <w:pPr>
        <w:pStyle w:val="TextBody"/>
        <w:spacing w:before="0" w:after="20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692265" cy="668020"/>
                <wp:effectExtent l="0" t="0" r="0" b="0"/>
                <wp:wrapNone/>
                <wp:docPr id="89" name="Frame8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Trade Secrets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Patent Law Reform</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Patent Litigation and Intellectual Property</w:t>
      </w:r>
    </w:p>
    <w:p>
      <w:pPr>
        <w:pStyle w:val="TextBody"/>
        <w:spacing w:lineRule="auto" w:line="240" w:before="0" w:after="240"/>
        <w:jc w:val="both"/>
        <w:rPr/>
      </w:pPr>
      <w:r>
        <w:rPr>
          <w:rFonts w:ascii="Times New Roman;sans-serif" w:hAnsi="Times New Roman;sans-serif"/>
          <w:b w:val="false"/>
          <w:color w:val="000000"/>
          <w:sz w:val="22"/>
        </w:rPr>
        <w:t xml:space="preserve">As disclosed under </w:t>
      </w:r>
      <w:r>
        <w:rPr>
          <w:rFonts w:ascii="Times New Roman;sans-serif" w:hAnsi="Times New Roman;sans-serif"/>
          <w:b w:val="false"/>
          <w:i/>
          <w:color w:val="000000"/>
          <w:sz w:val="22"/>
        </w:rPr>
        <w:t>Description of the Business -</w:t>
      </w:r>
      <w:r>
        <w:rPr>
          <w:color w:val="000000"/>
        </w:rPr>
        <w:t xml:space="preserve"> </w:t>
      </w:r>
      <w:r>
        <w:rPr>
          <w:rFonts w:ascii="Times New Roman;sans-serif" w:hAnsi="Times New Roman;sans-serif"/>
          <w:b w:val="false"/>
          <w:i/>
          <w:color w:val="000000"/>
          <w:sz w:val="22"/>
        </w:rPr>
        <w:t>Intellectual Property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(although at this time the Company does not have any issued patents). The Company could also become involved in interference or impeachment proceedings in connection with one or more of its patents or patent applications to determine priority of invention.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license,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w:t>
      </w:r>
      <w:r>
        <w:br w:type="page"/>
      </w:r>
    </w:p>
    <w:p>
      <w:pPr>
        <w:pStyle w:val="TextBody"/>
        <w:spacing w:before="0" w:after="20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92265" cy="668020"/>
                <wp:effectExtent l="0" t="0" r="0" b="0"/>
                <wp:wrapNone/>
                <wp:docPr id="90" name="Frame8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these proceedings, it may incur substantial costs and divert management time and attention in pursuing these proceedings, which could have a material adverse effect on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license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Protection of Intellectual Property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Third-Party Licenses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licenses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license to such patents will be available on acceptable terms or at all. There may be patents in the U.S. or in foreign countries or patents issued in the future that are unavailable to license on acceptable terms. The Company’s inability to obtain such licenses may hinder or eliminate its ability to manufacture and market its products.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if the Company obtains third-party licenses but fails to pay annual maintenance fees, development and sales milestones, or it is determined that the Company does not use commercially reasonable efforts to commercialize licensed products, the Company could lose its license which could have a material adverse effect on its business and financial condition.</w:t>
      </w:r>
      <w:r>
        <w:br w:type="page"/>
      </w:r>
    </w:p>
    <w:p>
      <w:pPr>
        <w:pStyle w:val="TextBody"/>
        <w:spacing w:before="0" w:after="20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692265" cy="668020"/>
                <wp:effectExtent l="0" t="0" r="0" b="0"/>
                <wp:wrapNone/>
                <wp:docPr id="91" name="Frame8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p>
                      <w:pPr>
                        <w:pStyle w:val="TextBody"/>
                        <w:spacing w:before="0" w:after="0"/>
                        <w:jc w:val="center"/>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FINANCIAL AND ACCOUNTING RISKS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Substantial Number of Authorized but Unissued Common Shares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Dilution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Negative Cash Flow from Operating Activities and Going Concern</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had negative cash flow from operating activities since inception.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The Company cannot predict when it will become profitable, if at all. Accordingly, the Company may be required to obtain additional financing in order to meet its future cash commitments.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inclusion in the Company’s financial statements of a going concern opinion may negatively impact the Company’s ability to raise future financing and achieve future revenue. The threat of the Company’s ability to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Company’s financial statements do not include any adjustments to the Company’s recorded assets or liabilities that might be necessary if the Company becomes unable to continue as a going concern. </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Additional Capital Requirements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r>
        <w:br w:type="page"/>
      </w:r>
    </w:p>
    <w:p>
      <w:pPr>
        <w:pStyle w:val="TextBody"/>
        <w:spacing w:before="0" w:after="20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692265" cy="668020"/>
                <wp:effectExtent l="0" t="0" r="0" b="0"/>
                <wp:wrapNone/>
                <wp:docPr id="92" name="Frame8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Lack of Significant Product Revenue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Estimates or Judgments Relating to Critical Accounting Policies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of the 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Inadequate Internal Controls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THE COMMON SHARES</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Market for the Common Shares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r>
        <w:br w:type="page"/>
      </w:r>
    </w:p>
    <w:p>
      <w:pPr>
        <w:pStyle w:val="TextBody"/>
        <w:spacing w:before="0" w:after="20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92265" cy="668020"/>
                <wp:effectExtent l="0" t="0" r="0" b="0"/>
                <wp:wrapNone/>
                <wp:docPr id="93" name="Frame8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Significant Sales of Common Shares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Volatile Market Price for the Common Shares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Tax Issues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may be income tax consequences in relation to the Common Shares, which will vary according to circumstances. Independent advice from tax and legal advisers should be obtained.</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No Dividends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692265" cy="668020"/>
                <wp:effectExtent l="0" t="0" r="0" b="0"/>
                <wp:wrapNone/>
                <wp:docPr id="94" name="Frame9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p>
                      <w:pPr>
                        <w:pStyle w:val="TextBody"/>
                        <w:spacing w:before="0" w:after="0"/>
                        <w:jc w:val="center"/>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DIVIDEND AND DISTRIBUTIONS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does not currently intend to declare any dividends payable to the holders of the Common Shares. The Company has no restrictions on paying dividends, but if the Company generates earnings in the foreseeable future, it expects that they will be retained to finance growth. The Board will determine if and when dividends should be declared and paid in the future based upon the Company’s financial position at the relevant time.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DESCRIPTION OF CAPITAL STRUCTURE</w:t>
      </w:r>
    </w:p>
    <w:p>
      <w:pPr>
        <w:pStyle w:val="TextBody"/>
        <w:spacing w:lineRule="auto" w:line="240" w:before="0" w:after="240"/>
        <w:jc w:val="both"/>
        <w:rPr/>
      </w:pPr>
      <w:r>
        <w:rPr>
          <w:rFonts w:ascii="Times New Roman;sans-serif" w:hAnsi="Times New Roman;sans-serif"/>
          <w:b w:val="false"/>
          <w:color w:val="000000"/>
          <w:sz w:val="22"/>
        </w:rPr>
        <w:t>As of the date of this AIF, the authorized share capital of the Company consists of an unlimited number of Common Shares of which 208,325,846</w:t>
      </w:r>
      <w:r>
        <w:rPr>
          <w:color w:val="000000"/>
        </w:rPr>
        <w:t xml:space="preserve"> </w:t>
      </w:r>
      <w:r>
        <w:rPr>
          <w:rFonts w:ascii="Times New Roman;sans-serif" w:hAnsi="Times New Roman;sans-serif"/>
          <w:b w:val="false"/>
          <w:color w:val="000000"/>
          <w:sz w:val="22"/>
        </w:rPr>
        <w:t xml:space="preserve">are issued and outstanding, and an unlimited number of preferred shares, issuable in series, none of which are issued and outstanding. </w:t>
      </w:r>
    </w:p>
    <w:p>
      <w:pPr>
        <w:pStyle w:val="TextBody"/>
        <w:spacing w:lineRule="auto" w:line="240" w:before="0" w:after="240"/>
        <w:jc w:val="both"/>
        <w:rPr/>
      </w:pPr>
      <w:r>
        <w:rPr>
          <w:rFonts w:ascii="Times New Roman;sans-serif" w:hAnsi="Times New Roman;sans-serif"/>
          <w:b w:val="false"/>
          <w:color w:val="000000"/>
          <w:sz w:val="22"/>
        </w:rPr>
        <w:t>In addition, the Company has agreed to issue Common Shares in connection with the Adelia Transaction. The Common Shares are issuable upon exchange of Class B Shares in the capital of Cybin U.S. on the basis of 10 Common Shares for 1 Class B Share, subject to customary adjustments. The Adelia Shareholders are also entitled to Class B Shares upon the occurrence of certain milestones. No Class B Shares are exchangeable prior to the first anniversary of closing of the Adelia Transaction, and not more than: (i) 33 1/3% of the Class B Shares will be exchangeable prior to the second anniversary of the Adelia Transaction; and (ii) 66 2/3% of the Class B Shares will be exchangeable prior to the third anniversary of the Adelia Transaction. Thereafter, 100% of the Class B Shares will be exchangeable. For further information see “</w:t>
      </w:r>
      <w:r>
        <w:rPr>
          <w:rFonts w:ascii="Times New Roman;sans-serif" w:hAnsi="Times New Roman;sans-serif"/>
          <w:b w:val="false"/>
          <w:i/>
          <w:color w:val="000000"/>
          <w:sz w:val="22"/>
        </w:rPr>
        <w:t>General Development of the Business – History of the Company</w:t>
      </w:r>
      <w:r>
        <w:rPr>
          <w:color w:val="000000"/>
        </w:rPr>
        <w:t xml:space="preserve">” </w:t>
      </w:r>
      <w:r>
        <w:rPr>
          <w:rFonts w:ascii="Times New Roman;sans-serif" w:hAnsi="Times New Roman;sans-serif"/>
          <w:b w:val="false"/>
          <w:color w:val="000000"/>
          <w:sz w:val="22"/>
        </w:rPr>
        <w:t xml:space="preserve">and </w:t>
      </w:r>
      <w:r>
        <w:rPr>
          <w:color w:val="000000"/>
        </w:rPr>
        <w:t>“</w:t>
      </w:r>
      <w:r>
        <w:rPr>
          <w:rFonts w:ascii="Times New Roman;sans-serif" w:hAnsi="Times New Roman;sans-serif"/>
          <w:b w:val="false"/>
          <w:i/>
          <w:color w:val="000000"/>
          <w:sz w:val="22"/>
        </w:rPr>
        <w:t>Prior Sales – Exchangeable Securities</w:t>
      </w:r>
      <w:r>
        <w:rPr>
          <w:color w:val="000000"/>
        </w:rPr>
        <w:t>”</w:t>
      </w:r>
      <w:r>
        <w:rPr>
          <w:rFonts w:ascii="Times New Roman;sans-serif" w:hAnsi="Times New Roman;sans-serif"/>
          <w:b w:val="false"/>
          <w:color w:val="000000"/>
          <w:sz w:val="22"/>
        </w:rPr>
        <w: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Holders of Common Shares are entitled to one vote for each Common Share held at all meetings of shareholders of the Company, to receive dividends if, as and when declared by the Board, and to participate ratably in any distribution of property or assets upon the liquidation, winding-up or other dissolution of the Company. The Common Shares carry no pre-emptive rights, conversion or exchange rights, or redemption, retraction, repurchase, sinking fund or purchase fund provisions. There are no provisions requiring a holder of Common Shares to contribute additional capital, and no restrictions on the issuance of additional securities by the Company. There are no restrictions on the repurchase or redemption of Common Shares by the Company except to the extent that any such repurchase or redemption would render the Company insolvent.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aim of the Equity Incentive Plan is to attract and retain employees, directors and consultants, and to ensure that interests of key persons are aligned with the success of the Company and its affiliates. The maximum number of options to purchase Common Shares reserved for issuance under the Equity Incentive Plan pursuant to options not intended as ISOs shall be 20% of the issued and outstanding Common Shares from time to time, on a non-diluted basis. The maximum number of Common Shares reserved for issuance under the Equity Incentive Plan pursuant to ISOs is 22,266,002, representing 10% of the issued and outstanding Common Shares as the date of adoption of the Equity Incentive Plan. For the avoidance of doubt, long-term incentive options are excluded from the Equity Incentive Plan maximum. Common Shares in respect of Options that have been exercised, cancelled, surrendered, or terminated or that expire without being exercised shall again be available for issuance under the Equity Incentive Plan.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MARKET FOR SECURITIES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Trading Price and Volume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the closing of the Transaction on November 5, 2020, the Common Shares were listed for trading on the TSXV. Trading on the TSXV was halted on June 29, 2020 in connection with the announcement of the Transaction. The Common Shares commenced trading on the Exchange following the completion of the Transaction on a post-Consolidation basis under the stock symbol “CYBN” on November 10, 2020 and were voluntarily de-listed from the TSXV. The following table sets forth, for the periods indicated, the reported high and low prices and the trading volume of the Common Shares on the Exchange and the NYSE American: </w:t>
      </w:r>
      <w:r>
        <w:br w:type="page"/>
      </w:r>
    </w:p>
    <w:p>
      <w:pPr>
        <w:pStyle w:val="TextBody"/>
        <w:spacing w:before="0" w:after="20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692265" cy="668020"/>
                <wp:effectExtent l="0" t="0" r="0" b="0"/>
                <wp:wrapNone/>
                <wp:docPr id="95" name="Frame9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p>
                      <w:pPr>
                        <w:pStyle w:val="TextBody"/>
                        <w:spacing w:before="0" w:after="0"/>
                        <w:jc w:val="center"/>
                        <w:rPr/>
                      </w:pPr>
                      <w:r>
                        <w:rPr/>
                      </w:r>
                    </w:p>
                  </w:txbxContent>
                </v:textbox>
              </v:rect>
            </w:pict>
          </mc:Fallback>
        </mc:AlternateContent>
      </w:r>
    </w:p>
    <w:tbl>
      <w:tblPr>
        <w:tblW w:w="5035" w:type="dxa"/>
        <w:jc w:val="left"/>
        <w:tblInd w:w="0" w:type="dxa"/>
        <w:tblCellMar>
          <w:top w:w="28" w:type="dxa"/>
          <w:left w:w="28" w:type="dxa"/>
          <w:bottom w:w="28" w:type="dxa"/>
          <w:right w:w="28" w:type="dxa"/>
        </w:tblCellMar>
      </w:tblPr>
      <w:tblGrid>
        <w:gridCol w:w="522"/>
        <w:gridCol w:w="456"/>
        <w:gridCol w:w="461"/>
        <w:gridCol w:w="118"/>
        <w:gridCol w:w="118"/>
        <w:gridCol w:w="118"/>
        <w:gridCol w:w="269"/>
        <w:gridCol w:w="269"/>
        <w:gridCol w:w="271"/>
        <w:gridCol w:w="118"/>
        <w:gridCol w:w="118"/>
        <w:gridCol w:w="118"/>
        <w:gridCol w:w="249"/>
        <w:gridCol w:w="249"/>
        <w:gridCol w:w="251"/>
        <w:gridCol w:w="118"/>
        <w:gridCol w:w="118"/>
        <w:gridCol w:w="118"/>
        <w:gridCol w:w="285"/>
        <w:gridCol w:w="285"/>
        <w:gridCol w:w="406"/>
      </w:tblGrid>
      <w:tr>
        <w:trPr/>
        <w:tc>
          <w:tcPr>
            <w:tcW w:w="52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5035"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NEO Exchange Price Range</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Month</w:t>
            </w:r>
            <w:r>
              <w:rPr>
                <w:rFonts w:ascii="Times New Roman;sans-serif" w:hAnsi="Times New Roman;sans-serif"/>
                <w:b/>
                <w:color w:val="000000"/>
                <w:sz w:val="13"/>
              </w:rPr>
              <w:t>(1)</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High</w:t>
            </w:r>
            <w:r>
              <w:rPr>
                <w:color w:val="000000"/>
              </w:rPr>
              <w:t xml:space="preserve"> </w:t>
            </w:r>
            <w:r>
              <w:rPr>
                <w:rFonts w:ascii="Times New Roman;sans-serif" w:hAnsi="Times New Roman;sans-serif"/>
                <w:b w:val="false"/>
                <w:color w:val="000000"/>
                <w:sz w:val="20"/>
              </w:rPr>
              <w:t>($)</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Low </w:t>
            </w:r>
            <w:r>
              <w:rPr>
                <w:rFonts w:ascii="Times New Roman;sans-serif" w:hAnsi="Times New Roman;sans-serif"/>
                <w:b w:val="false"/>
                <w:color w:val="000000"/>
                <w:sz w:val="20"/>
              </w:rPr>
              <w:t>($)</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Volume</w:t>
            </w:r>
          </w:p>
        </w:tc>
      </w:tr>
      <w:tr>
        <w:trPr/>
        <w:tc>
          <w:tcPr>
            <w:tcW w:w="143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1,784,193</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0.88</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3,017,959</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2,662,940</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1,697,807</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4,557,716</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3,061,741</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2,200,569</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0.49</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2,706,993</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0.375</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3,307,124</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4,313,804</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2023</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4,039,711</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2023</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0.68</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35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2,907,486</w:t>
            </w:r>
          </w:p>
        </w:tc>
      </w:tr>
    </w:tbl>
    <w:p>
      <w:pPr>
        <w:pStyle w:val="TextBody"/>
        <w:spacing w:lineRule="auto" w:line="240" w:before="120" w:after="60"/>
        <w:ind w:left="0" w:right="0" w:hanging="436"/>
        <w:rPr/>
      </w:pPr>
      <w:r>
        <w:rPr>
          <w:rFonts w:ascii="Times New Roman;sans-serif" w:hAnsi="Times New Roman;sans-serif"/>
          <w:b/>
          <w:color w:val="000000"/>
          <w:sz w:val="16"/>
        </w:rPr>
        <w:t>Note</w:t>
      </w:r>
      <w:r>
        <w:rPr>
          <w:rFonts w:ascii="Times New Roman;sans-serif" w:hAnsi="Times New Roman;sans-serif"/>
          <w:b w:val="false"/>
          <w:color w:val="000000"/>
          <w:sz w:val="16"/>
        </w:rPr>
        <w:t>:</w:t>
      </w:r>
    </w:p>
    <w:p>
      <w:pPr>
        <w:pStyle w:val="TextBody"/>
        <w:spacing w:lineRule="auto" w:line="240" w:before="0" w:after="0"/>
        <w:ind w:left="0" w:right="0" w:hanging="295"/>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Source: TMX Money as of the date of this AIF. </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the close of business on June 26, 2023, the last trading day prior to the date of this AIF, the price of the Common Shares as quoted by the Exchange was $0.395 per Common Share. </w:t>
      </w:r>
    </w:p>
    <w:p>
      <w:pPr>
        <w:pStyle w:val="TextBody"/>
        <w:spacing w:before="0" w:after="240"/>
        <w:jc w:val="both"/>
        <w:rPr/>
      </w:pPr>
      <w:r>
        <w:rPr/>
      </w:r>
    </w:p>
    <w:tbl>
      <w:tblPr>
        <w:tblW w:w="5656" w:type="dxa"/>
        <w:jc w:val="left"/>
        <w:tblInd w:w="0" w:type="dxa"/>
        <w:tblCellMar>
          <w:top w:w="28" w:type="dxa"/>
          <w:left w:w="28" w:type="dxa"/>
          <w:bottom w:w="28" w:type="dxa"/>
          <w:right w:w="28" w:type="dxa"/>
        </w:tblCellMar>
      </w:tblPr>
      <w:tblGrid>
        <w:gridCol w:w="522"/>
        <w:gridCol w:w="456"/>
        <w:gridCol w:w="461"/>
        <w:gridCol w:w="122"/>
        <w:gridCol w:w="122"/>
        <w:gridCol w:w="122"/>
        <w:gridCol w:w="349"/>
        <w:gridCol w:w="349"/>
        <w:gridCol w:w="351"/>
        <w:gridCol w:w="122"/>
        <w:gridCol w:w="122"/>
        <w:gridCol w:w="122"/>
        <w:gridCol w:w="329"/>
        <w:gridCol w:w="329"/>
        <w:gridCol w:w="331"/>
        <w:gridCol w:w="122"/>
        <w:gridCol w:w="122"/>
        <w:gridCol w:w="122"/>
        <w:gridCol w:w="315"/>
        <w:gridCol w:w="315"/>
        <w:gridCol w:w="451"/>
      </w:tblGrid>
      <w:tr>
        <w:trPr/>
        <w:tc>
          <w:tcPr>
            <w:tcW w:w="52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5656"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NYSE American Price Range</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Month</w:t>
            </w:r>
            <w:r>
              <w:rPr>
                <w:rFonts w:ascii="Times New Roman;sans-serif" w:hAnsi="Times New Roman;sans-serif"/>
                <w:b/>
                <w:color w:val="000000"/>
                <w:sz w:val="13"/>
              </w:rPr>
              <w:t>(1)</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High</w:t>
            </w:r>
            <w:r>
              <w:rPr>
                <w:color w:val="000000"/>
              </w:rPr>
              <w:t xml:space="preserve"> </w:t>
            </w:r>
            <w:r>
              <w:rPr>
                <w:rFonts w:ascii="Times New Roman;sans-serif" w:hAnsi="Times New Roman;sans-serif"/>
                <w:b w:val="false"/>
                <w:color w:val="000000"/>
                <w:sz w:val="20"/>
              </w:rPr>
              <w:t>(US$)</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Low </w:t>
            </w:r>
            <w:r>
              <w:rPr>
                <w:rFonts w:ascii="Times New Roman;sans-serif" w:hAnsi="Times New Roman;sans-serif"/>
                <w:b w:val="false"/>
                <w:color w:val="000000"/>
                <w:sz w:val="20"/>
              </w:rPr>
              <w:t>(US$)</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Volume</w:t>
            </w:r>
          </w:p>
        </w:tc>
      </w:tr>
      <w:tr>
        <w:trPr/>
        <w:tc>
          <w:tcPr>
            <w:tcW w:w="143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0.88</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15,659,793</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0.71</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14,762,190</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12,694,019</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11,863,781</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37,402,882</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25,585,300</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15,602,731</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19,969,352</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23,739,104</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38,677,475</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2023</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35,754,753</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2023</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36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28,943,897</w:t>
            </w:r>
          </w:p>
        </w:tc>
      </w:tr>
    </w:tbl>
    <w:p>
      <w:pPr>
        <w:pStyle w:val="TextBody"/>
        <w:spacing w:lineRule="auto" w:line="240" w:before="120" w:after="60"/>
        <w:ind w:left="0" w:right="0" w:hanging="436"/>
        <w:rPr/>
      </w:pPr>
      <w:r>
        <w:rPr>
          <w:rFonts w:ascii="Times New Roman;sans-serif" w:hAnsi="Times New Roman;sans-serif"/>
          <w:b/>
          <w:color w:val="000000"/>
          <w:sz w:val="16"/>
        </w:rPr>
        <w:t>Notes</w:t>
      </w:r>
      <w:r>
        <w:rPr>
          <w:rFonts w:ascii="Times New Roman;sans-serif" w:hAnsi="Times New Roman;sans-serif"/>
          <w:b w:val="false"/>
          <w:color w:val="000000"/>
          <w:sz w:val="16"/>
        </w:rPr>
        <w:t>:</w:t>
      </w:r>
    </w:p>
    <w:p>
      <w:pPr>
        <w:pStyle w:val="TextBody"/>
        <w:spacing w:lineRule="auto" w:line="240" w:before="0" w:after="0"/>
        <w:ind w:left="0" w:right="0" w:hanging="295"/>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Source: NYSE as of the date of this AIF.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As the close of business on June 26, 2023, the last trading day prior to the date of this AIF, the price of the Common Shares as quoted by the NYSE American was US$0.30 per Common Share. </w:t>
      </w:r>
    </w:p>
    <w:p>
      <w:pPr>
        <w:pStyle w:val="TextBody"/>
        <w:jc w:val="both"/>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692265" cy="668020"/>
                <wp:effectExtent l="0" t="0" r="0" b="0"/>
                <wp:wrapNone/>
                <wp:docPr id="96" name="Frame9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Prior Sales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summarize details of the following securities that are not listed or quoted on a market place issued by the Company during the most recently completed financial year end:</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Options</w:t>
      </w:r>
    </w:p>
    <w:tbl>
      <w:tblPr>
        <w:tblW w:w="6986" w:type="dxa"/>
        <w:jc w:val="left"/>
        <w:tblInd w:w="0" w:type="dxa"/>
        <w:tblCellMar>
          <w:top w:w="28" w:type="dxa"/>
          <w:left w:w="28" w:type="dxa"/>
          <w:bottom w:w="28" w:type="dxa"/>
          <w:right w:w="28" w:type="dxa"/>
        </w:tblCellMar>
      </w:tblPr>
      <w:tblGrid>
        <w:gridCol w:w="689"/>
        <w:gridCol w:w="606"/>
        <w:gridCol w:w="609"/>
        <w:gridCol w:w="569"/>
        <w:gridCol w:w="569"/>
        <w:gridCol w:w="571"/>
        <w:gridCol w:w="534"/>
        <w:gridCol w:w="534"/>
        <w:gridCol w:w="536"/>
        <w:gridCol w:w="518"/>
        <w:gridCol w:w="518"/>
        <w:gridCol w:w="733"/>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Granted</w:t>
            </w:r>
          </w:p>
        </w:tc>
        <w:tc>
          <w:tcPr>
            <w:tcW w:w="170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160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 ($)</w:t>
            </w:r>
          </w:p>
        </w:tc>
        <w:tc>
          <w:tcPr>
            <w:tcW w:w="176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Expiry Date</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2027</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2025</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2025</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2027</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September 28, 2022</w:t>
            </w:r>
            <w:r>
              <w:rPr>
                <w:rFonts w:ascii="Times New Roman;sans-serif" w:hAnsi="Times New Roman;sans-serif"/>
                <w:b w:val="false"/>
                <w:color w:val="000000"/>
                <w:sz w:val="13"/>
              </w:rPr>
              <w:t>(1)</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2027</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28, 2022</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27, 2025</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2025</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September 30, 2022</w:t>
            </w:r>
            <w:r>
              <w:rPr>
                <w:rFonts w:ascii="Times New Roman;sans-serif" w:hAnsi="Times New Roman;sans-serif"/>
                <w:b w:val="false"/>
                <w:color w:val="000000"/>
                <w:sz w:val="13"/>
              </w:rPr>
              <w:t>(2)</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2027</w:t>
            </w:r>
          </w:p>
        </w:tc>
      </w:tr>
      <w:tr>
        <w:trPr/>
        <w:tc>
          <w:tcPr>
            <w:tcW w:w="19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16, 2022</w:t>
            </w:r>
          </w:p>
        </w:tc>
        <w:tc>
          <w:tcPr>
            <w:tcW w:w="170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60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w:t>
            </w:r>
          </w:p>
        </w:tc>
        <w:tc>
          <w:tcPr>
            <w:tcW w:w="176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15, 2025</w:t>
            </w:r>
          </w:p>
        </w:tc>
      </w:tr>
      <w:tr>
        <w:trPr/>
        <w:tc>
          <w:tcPr>
            <w:tcW w:w="190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16, 2022</w:t>
            </w:r>
          </w:p>
        </w:tc>
        <w:tc>
          <w:tcPr>
            <w:tcW w:w="170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375,000</w:t>
            </w:r>
          </w:p>
        </w:tc>
        <w:tc>
          <w:tcPr>
            <w:tcW w:w="160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76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15, 2025</w:t>
            </w:r>
          </w:p>
        </w:tc>
      </w:tr>
    </w:tbl>
    <w:p>
      <w:pPr>
        <w:pStyle w:val="TextBody"/>
        <w:spacing w:lineRule="auto" w:line="240" w:before="120" w:after="60"/>
        <w:ind w:left="0" w:right="0" w:hanging="720"/>
        <w:rPr/>
      </w:pPr>
      <w:r>
        <w:rPr>
          <w:rFonts w:ascii="Times New Roman;sans-serif" w:hAnsi="Times New Roman;sans-serif"/>
          <w:b/>
          <w:color w:val="000000"/>
          <w:sz w:val="16"/>
          <w:u w:val="single"/>
        </w:rPr>
        <w:t>Notes</w:t>
      </w:r>
      <w:r>
        <w:rPr>
          <w:rFonts w:ascii="Times New Roman;sans-serif" w:hAnsi="Times New Roman;sans-serif"/>
          <w:b/>
          <w:color w:val="000000"/>
          <w:sz w:val="16"/>
        </w:rPr>
        <w:t>:</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On March 17, 2023, 15,000 options were terminated as a result of the optionee no longer being eligible under the Equity Incentive Plan. </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(2)    On February 22, 2023, 7,500 options were terminated as a result of the optionee no longer being eligible under the Equity Incentive Plan.</w:t>
      </w:r>
    </w:p>
    <w:p>
      <w:pPr>
        <w:pStyle w:val="TextBody"/>
        <w:spacing w:before="0" w:after="60"/>
        <w:ind w:left="0" w:right="0" w:hanging="720"/>
        <w:jc w:val="both"/>
        <w:rPr/>
      </w:pPr>
      <w:r>
        <w:rPr/>
      </w:r>
    </w:p>
    <w:p>
      <w:pPr>
        <w:pStyle w:val="TextBody"/>
        <w:spacing w:lineRule="auto" w:line="240" w:before="0" w:after="0"/>
        <w:rPr>
          <w:rFonts w:ascii="Times New Roman;sans-serif" w:hAnsi="Times New Roman;sans-serif"/>
          <w:b w:val="false"/>
          <w:i/>
          <w:color w:val="000000"/>
          <w:sz w:val="22"/>
        </w:rPr>
      </w:pPr>
      <w:r>
        <w:rPr>
          <w:rFonts w:ascii="Times New Roman;sans-serif" w:hAnsi="Times New Roman;sans-serif"/>
          <w:b w:val="false"/>
          <w:i/>
          <w:color w:val="000000"/>
          <w:sz w:val="22"/>
        </w:rPr>
        <w:t>Exchangeable Securities:</w:t>
      </w:r>
    </w:p>
    <w:p>
      <w:pPr>
        <w:pStyle w:val="TextBody"/>
        <w:spacing w:before="0" w:after="0"/>
        <w:rPr/>
      </w:pPr>
      <w:r>
        <w:rPr/>
      </w:r>
    </w:p>
    <w:tbl>
      <w:tblPr>
        <w:tblW w:w="5263" w:type="dxa"/>
        <w:jc w:val="left"/>
        <w:tblInd w:w="0" w:type="dxa"/>
        <w:tblCellMar>
          <w:top w:w="28" w:type="dxa"/>
          <w:left w:w="28" w:type="dxa"/>
          <w:bottom w:w="28" w:type="dxa"/>
          <w:right w:w="28" w:type="dxa"/>
        </w:tblCellMar>
      </w:tblPr>
      <w:tblGrid>
        <w:gridCol w:w="593"/>
        <w:gridCol w:w="518"/>
        <w:gridCol w:w="524"/>
        <w:gridCol w:w="624"/>
        <w:gridCol w:w="624"/>
        <w:gridCol w:w="626"/>
        <w:gridCol w:w="513"/>
        <w:gridCol w:w="513"/>
        <w:gridCol w:w="728"/>
      </w:tblGrid>
      <w:tr>
        <w:trPr/>
        <w:tc>
          <w:tcPr>
            <w:tcW w:w="59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Issued</w:t>
            </w:r>
          </w:p>
        </w:tc>
        <w:tc>
          <w:tcPr>
            <w:tcW w:w="187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r>
          </w:p>
        </w:tc>
        <w:tc>
          <w:tcPr>
            <w:tcW w:w="175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Price Per Share ($)</w:t>
            </w:r>
          </w:p>
        </w:tc>
      </w:tr>
      <w:tr>
        <w:trPr/>
        <w:tc>
          <w:tcPr>
            <w:tcW w:w="16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April 1, 2022</w:t>
            </w:r>
            <w:r>
              <w:rPr>
                <w:rFonts w:ascii="Times New Roman;sans-serif" w:hAnsi="Times New Roman;sans-serif"/>
                <w:b w:val="false"/>
                <w:color w:val="000000"/>
                <w:sz w:val="13"/>
              </w:rPr>
              <w:t>(1)</w:t>
            </w:r>
          </w:p>
        </w:tc>
        <w:tc>
          <w:tcPr>
            <w:tcW w:w="18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22,428.3</w:t>
            </w:r>
          </w:p>
        </w:tc>
        <w:tc>
          <w:tcPr>
            <w:tcW w:w="175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$10.20</w:t>
            </w:r>
            <w:r>
              <w:rPr>
                <w:rFonts w:ascii="Times New Roman;sans-serif" w:hAnsi="Times New Roman;sans-serif"/>
                <w:b w:val="false"/>
                <w:color w:val="000000"/>
                <w:sz w:val="13"/>
              </w:rPr>
              <w:t>(2)</w:t>
            </w:r>
          </w:p>
        </w:tc>
      </w:tr>
      <w:tr>
        <w:trPr/>
        <w:tc>
          <w:tcPr>
            <w:tcW w:w="16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June 22, 2022</w:t>
            </w:r>
            <w:r>
              <w:rPr>
                <w:rFonts w:ascii="Times New Roman;sans-serif" w:hAnsi="Times New Roman;sans-serif"/>
                <w:b w:val="false"/>
                <w:color w:val="000000"/>
                <w:sz w:val="13"/>
              </w:rPr>
              <w:t>(1)</w:t>
            </w:r>
          </w:p>
        </w:tc>
        <w:tc>
          <w:tcPr>
            <w:tcW w:w="18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456.5</w:t>
            </w:r>
          </w:p>
        </w:tc>
        <w:tc>
          <w:tcPr>
            <w:tcW w:w="175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$10.20</w:t>
            </w:r>
            <w:r>
              <w:rPr>
                <w:rFonts w:ascii="Times New Roman;sans-serif" w:hAnsi="Times New Roman;sans-serif"/>
                <w:b w:val="false"/>
                <w:color w:val="000000"/>
                <w:sz w:val="13"/>
              </w:rPr>
              <w:t>(3)</w:t>
            </w:r>
          </w:p>
        </w:tc>
      </w:tr>
      <w:tr>
        <w:trPr/>
        <w:tc>
          <w:tcPr>
            <w:tcW w:w="16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June 24, 2022</w:t>
            </w:r>
            <w:r>
              <w:rPr>
                <w:rFonts w:ascii="Times New Roman;sans-serif" w:hAnsi="Times New Roman;sans-serif"/>
                <w:b w:val="false"/>
                <w:color w:val="000000"/>
                <w:sz w:val="13"/>
              </w:rPr>
              <w:t>(1)</w:t>
            </w:r>
          </w:p>
        </w:tc>
        <w:tc>
          <w:tcPr>
            <w:tcW w:w="18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266,933.1</w:t>
            </w:r>
          </w:p>
        </w:tc>
        <w:tc>
          <w:tcPr>
            <w:tcW w:w="175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$7.62</w:t>
            </w:r>
            <w:r>
              <w:rPr>
                <w:rFonts w:ascii="Times New Roman;sans-serif" w:hAnsi="Times New Roman;sans-serif"/>
                <w:b w:val="false"/>
                <w:color w:val="000000"/>
                <w:sz w:val="13"/>
              </w:rPr>
              <w:t>(4)</w:t>
            </w:r>
          </w:p>
        </w:tc>
      </w:tr>
      <w:tr>
        <w:trPr/>
        <w:tc>
          <w:tcPr>
            <w:tcW w:w="16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June 27, 2022 </w:t>
            </w:r>
            <w:r>
              <w:rPr>
                <w:rFonts w:ascii="Times New Roman;sans-serif" w:hAnsi="Times New Roman;sans-serif"/>
                <w:b w:val="false"/>
                <w:color w:val="000000"/>
                <w:sz w:val="13"/>
              </w:rPr>
              <w:t>(1)</w:t>
            </w:r>
          </w:p>
        </w:tc>
        <w:tc>
          <w:tcPr>
            <w:tcW w:w="18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37,366.2</w:t>
            </w:r>
          </w:p>
        </w:tc>
        <w:tc>
          <w:tcPr>
            <w:tcW w:w="175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$7.50</w:t>
            </w:r>
            <w:r>
              <w:rPr>
                <w:rFonts w:ascii="Times New Roman;sans-serif" w:hAnsi="Times New Roman;sans-serif"/>
                <w:b w:val="false"/>
                <w:color w:val="000000"/>
                <w:sz w:val="13"/>
              </w:rPr>
              <w:t>(5)</w:t>
            </w:r>
          </w:p>
        </w:tc>
      </w:tr>
      <w:tr>
        <w:trPr/>
        <w:tc>
          <w:tcPr>
            <w:tcW w:w="163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August 31, 2022</w:t>
            </w:r>
            <w:r>
              <w:rPr>
                <w:rFonts w:ascii="Times New Roman;sans-serif" w:hAnsi="Times New Roman;sans-serif"/>
                <w:b w:val="false"/>
                <w:color w:val="000000"/>
                <w:sz w:val="13"/>
              </w:rPr>
              <w:t>(1)</w:t>
            </w:r>
          </w:p>
        </w:tc>
        <w:tc>
          <w:tcPr>
            <w:tcW w:w="187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33,190.1</w:t>
            </w:r>
          </w:p>
        </w:tc>
        <w:tc>
          <w:tcPr>
            <w:tcW w:w="1754"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jc w:val="center"/>
              <w:rPr/>
            </w:pPr>
            <w:r>
              <w:rPr>
                <w:rFonts w:ascii="Times New Roman;sans-serif" w:hAnsi="Times New Roman;sans-serif"/>
                <w:b w:val="false"/>
                <w:color w:val="000000"/>
                <w:sz w:val="20"/>
              </w:rPr>
              <w:t>$14.10</w:t>
            </w:r>
            <w:r>
              <w:rPr>
                <w:rFonts w:ascii="Times New Roman;sans-serif" w:hAnsi="Times New Roman;sans-serif"/>
                <w:b w:val="false"/>
                <w:color w:val="000000"/>
                <w:sz w:val="13"/>
              </w:rPr>
              <w:t>(6)</w:t>
            </w:r>
          </w:p>
        </w:tc>
      </w:tr>
    </w:tbl>
    <w:p>
      <w:pPr>
        <w:pStyle w:val="TextBody"/>
        <w:spacing w:lineRule="auto" w:line="240" w:before="120" w:after="60"/>
        <w:ind w:left="0" w:right="0" w:hanging="720"/>
        <w:rPr/>
      </w:pPr>
      <w:r>
        <w:rPr>
          <w:rFonts w:ascii="Times New Roman;sans-serif" w:hAnsi="Times New Roman;sans-serif"/>
          <w:b/>
          <w:color w:val="000000"/>
          <w:sz w:val="16"/>
          <w:u w:val="single"/>
        </w:rPr>
        <w:t>Notes</w:t>
      </w:r>
      <w:r>
        <w:rPr>
          <w:rFonts w:ascii="Times New Roman;sans-serif" w:hAnsi="Times New Roman;sans-serif"/>
          <w:b w:val="false"/>
          <w:color w:val="000000"/>
          <w:sz w:val="16"/>
        </w:rPr>
        <w:t>:</w:t>
      </w:r>
    </w:p>
    <w:p>
      <w:pPr>
        <w:pStyle w:val="TextBody"/>
        <w:spacing w:lineRule="auto" w:line="252" w:before="0" w:after="0"/>
        <w:ind w:left="0" w:right="0" w:hanging="720"/>
        <w:jc w:val="both"/>
        <w:rPr/>
      </w:pPr>
      <w:r>
        <w:rPr>
          <w:rFonts w:ascii="Times New Roman;sans-serif" w:hAnsi="Times New Roman;sans-serif"/>
          <w:b w:val="false"/>
          <w:color w:val="000000"/>
          <w:sz w:val="16"/>
        </w:rPr>
        <w:t>(1)     Represents non-voting Class B Shares in the capital of Cybin U.S. issued in connection with the Adelia Transaction to Adelia shareholders. The Class B Shares are exchangeable at the holder’s option for Common Shares on the basis of 10 Common Shares for 1 Class B Share, subject to customary adjustments. For further information on the Adelia Transaction, see “</w:t>
      </w:r>
      <w:r>
        <w:rPr>
          <w:rFonts w:ascii="Times New Roman;sans-serif" w:hAnsi="Times New Roman;sans-serif"/>
          <w:b w:val="false"/>
          <w:i/>
          <w:color w:val="000000"/>
          <w:sz w:val="16"/>
        </w:rPr>
        <w:t>General Development of the Business – History of the Company</w:t>
      </w:r>
      <w:r>
        <w:rPr>
          <w:color w:val="000000"/>
        </w:rPr>
        <w:t>”</w:t>
      </w:r>
      <w:r>
        <w:rPr>
          <w:rFonts w:ascii="Times New Roman;sans-serif" w:hAnsi="Times New Roman;sans-serif"/>
          <w:b w:val="false"/>
          <w:color w:val="000000"/>
          <w:sz w:val="16"/>
        </w:rPr>
        <w:t xml:space="preserve">. </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Price per Class B Share of Cybin U.S., which are exchangeable for 224,283 Common Shares, resulting in an effective issue price of $1.20 per Common Share. </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Price per Class B Share of Cybin U.S., which are exchangeable for 4,565 Common Shares, resulting in an effective issue price of $1.20 per Common Share. </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(4)    Price per Class B Share of Cybin U.S., which are exchangeable for 2,669,331 Common Shares, resulting in an effective issue price of $0.76 per Common Share.</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(5)    Price per Class B Share of Cybin U.S., which are exchangeable for 373,662 Common Shares, resulting in an effective issue price of $0.75 per Common Share.</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(6)    Price per Class B Share of Cybin U.S., which are exchangeable for 331,901 Common Shares, resulting in an effective issue price of $1.41 per Common Share.</w:t>
      </w:r>
    </w:p>
    <w:p>
      <w:pPr>
        <w:pStyle w:val="TextBody"/>
        <w:spacing w:before="0" w:after="60"/>
        <w:ind w:left="0" w:right="0" w:hanging="72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DIRECTORS AND EXECUTIVE OFFICERS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lists the names, municipalities of residence of the directors and officers of the Company, their positions and offices to be held with the Company, and their principal occupations during the past five years and the number of securities of the Company that are beneficially owned, directly or indirectly, or over which control or direction will be exercised by each. Each of the directors is elected to </w:t>
      </w:r>
      <w:r>
        <w:br w:type="page"/>
      </w:r>
    </w:p>
    <w:p>
      <w:pPr>
        <w:pStyle w:val="TextBody"/>
        <w:spacing w:before="0" w:after="20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692265" cy="668020"/>
                <wp:effectExtent l="0" t="0" r="0" b="0"/>
                <wp:wrapNone/>
                <wp:docPr id="97" name="Frame93"/>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hold office until the next annual meeting of the shareholders of the Company or until a successor is duly elected or appointed. </w:t>
      </w:r>
    </w:p>
    <w:tbl>
      <w:tblPr>
        <w:tblW w:w="10539" w:type="dxa"/>
        <w:jc w:val="left"/>
        <w:tblInd w:w="0" w:type="dxa"/>
        <w:tblCellMar>
          <w:top w:w="28" w:type="dxa"/>
          <w:left w:w="28" w:type="dxa"/>
          <w:bottom w:w="28" w:type="dxa"/>
          <w:right w:w="28" w:type="dxa"/>
        </w:tblCellMar>
      </w:tblPr>
      <w:tblGrid>
        <w:gridCol w:w="993"/>
        <w:gridCol w:w="873"/>
        <w:gridCol w:w="876"/>
        <w:gridCol w:w="1087"/>
        <w:gridCol w:w="1038"/>
        <w:gridCol w:w="1040"/>
        <w:gridCol w:w="390"/>
        <w:gridCol w:w="390"/>
        <w:gridCol w:w="392"/>
        <w:gridCol w:w="1011"/>
        <w:gridCol w:w="1011"/>
        <w:gridCol w:w="1438"/>
      </w:tblGrid>
      <w:tr>
        <w:trPr/>
        <w:tc>
          <w:tcPr>
            <w:tcW w:w="99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r>
      <w:tr>
        <w:trPr/>
        <w:tc>
          <w:tcPr>
            <w:tcW w:w="2742"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Municipality of Residence and Position Held</w:t>
            </w:r>
          </w:p>
        </w:tc>
        <w:tc>
          <w:tcPr>
            <w:tcW w:w="3165"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Occupation for the Past Five Years</w:t>
            </w:r>
          </w:p>
        </w:tc>
        <w:tc>
          <w:tcPr>
            <w:tcW w:w="1172"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Appointed as of</w:t>
            </w:r>
          </w:p>
        </w:tc>
        <w:tc>
          <w:tcPr>
            <w:tcW w:w="3460"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and Percentage of Securities Beneficially Owned or Controlled</w:t>
            </w:r>
          </w:p>
        </w:tc>
      </w:tr>
      <w:tr>
        <w:trPr/>
        <w:tc>
          <w:tcPr>
            <w:tcW w:w="27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Douglas Drysdale, Falmouth, Massachusetts, United States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1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Cybin</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Tedor Pharma Inc.</w:t>
            </w:r>
          </w:p>
        </w:tc>
        <w:tc>
          <w:tcPr>
            <w:tcW w:w="11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46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38,000</w:t>
            </w:r>
            <w:r>
              <w:rPr>
                <w:rFonts w:ascii="Times New Roman;sans-serif" w:hAnsi="Times New Roman;sans-serif"/>
                <w:b/>
                <w:color w:val="000000"/>
                <w:sz w:val="13"/>
              </w:rPr>
              <w:t>(5)</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r>
      <w:tr>
        <w:trPr/>
        <w:tc>
          <w:tcPr>
            <w:tcW w:w="27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Greg Cavers,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 Canada</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1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Cybin</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LottoGopher Holdings Inc.</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Finance, Ontario Securities Commission</w:t>
            </w:r>
          </w:p>
        </w:tc>
        <w:tc>
          <w:tcPr>
            <w:tcW w:w="11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46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40,000</w:t>
            </w:r>
            <w:r>
              <w:rPr>
                <w:rFonts w:ascii="Times New Roman;sans-serif" w:hAnsi="Times New Roman;sans-serif"/>
                <w:b/>
                <w:color w:val="000000"/>
                <w:sz w:val="13"/>
              </w:rPr>
              <w:t xml:space="preserve">(6) </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r>
      <w:tr>
        <w:trPr/>
        <w:tc>
          <w:tcPr>
            <w:tcW w:w="27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Gabriel Fahel, Ottawa, Ontario, Canada</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w:t>
            </w:r>
          </w:p>
        </w:tc>
        <w:tc>
          <w:tcPr>
            <w:tcW w:w="31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Cybin</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Legal Counsel, Government of Canada</w:t>
            </w:r>
          </w:p>
        </w:tc>
        <w:tc>
          <w:tcPr>
            <w:tcW w:w="11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46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287,000</w:t>
            </w:r>
            <w:r>
              <w:rPr>
                <w:rFonts w:ascii="Times New Roman;sans-serif" w:hAnsi="Times New Roman;sans-serif"/>
                <w:b/>
                <w:color w:val="000000"/>
                <w:sz w:val="13"/>
              </w:rPr>
              <w:t>(7)</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(0.14%)</w:t>
            </w:r>
          </w:p>
        </w:tc>
      </w:tr>
      <w:tr>
        <w:trPr/>
        <w:tc>
          <w:tcPr>
            <w:tcW w:w="27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Glavine, Toronto, Ontario, Canada</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Growth Officer</w:t>
            </w:r>
          </w:p>
        </w:tc>
        <w:tc>
          <w:tcPr>
            <w:tcW w:w="31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Operating Officer and Chief Executive Officer, Cybin</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Managing director, Global Canna Labs Limited and Truverra</w:t>
            </w:r>
          </w:p>
        </w:tc>
        <w:tc>
          <w:tcPr>
            <w:tcW w:w="11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46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11,242,407</w:t>
            </w:r>
            <w:r>
              <w:rPr>
                <w:rFonts w:ascii="Times New Roman;sans-serif" w:hAnsi="Times New Roman;sans-serif"/>
                <w:b w:val="false"/>
                <w:color w:val="000000"/>
                <w:sz w:val="13"/>
              </w:rPr>
              <w:t>(8)</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(5.40%)</w:t>
            </w:r>
          </w:p>
        </w:tc>
      </w:tr>
      <w:tr>
        <w:trPr/>
        <w:tc>
          <w:tcPr>
            <w:tcW w:w="27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Eric So</w:t>
            </w:r>
            <w:r>
              <w:rPr>
                <w:rFonts w:ascii="Times New Roman;sans-serif" w:hAnsi="Times New Roman;sans-serif"/>
                <w:b/>
                <w:color w:val="000000"/>
                <w:sz w:val="13"/>
              </w:rPr>
              <w:t>(2)(3)</w:t>
            </w:r>
            <w:r>
              <w:rPr>
                <w:rFonts w:ascii="Times New Roman;sans-serif" w:hAnsi="Times New Roman;sans-serif"/>
                <w:b w:val="false"/>
                <w:color w:val="000000"/>
                <w:sz w:val="20"/>
              </w:rPr>
              <w:t xml:space="preserv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 Canada</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President</w:t>
            </w:r>
          </w:p>
        </w:tc>
        <w:tc>
          <w:tcPr>
            <w:tcW w:w="31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of Cybin</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Managing Director, Trinity Venture Partners </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Growpacker</w:t>
            </w:r>
          </w:p>
        </w:tc>
        <w:tc>
          <w:tcPr>
            <w:tcW w:w="11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46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11,572,411</w:t>
            </w:r>
            <w:r>
              <w:rPr>
                <w:rFonts w:ascii="Times New Roman;sans-serif" w:hAnsi="Times New Roman;sans-serif"/>
                <w:b w:val="false"/>
                <w:color w:val="000000"/>
                <w:sz w:val="13"/>
              </w:rPr>
              <w:t>(9)</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(5.55%)</w:t>
            </w:r>
          </w:p>
        </w:tc>
      </w:tr>
      <w:tr>
        <w:trPr/>
        <w:tc>
          <w:tcPr>
            <w:tcW w:w="27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Theresa Firestone</w:t>
            </w:r>
            <w:r>
              <w:rPr>
                <w:rFonts w:ascii="Times New Roman;sans-serif" w:hAnsi="Times New Roman;sans-serif"/>
                <w:b/>
                <w:color w:val="000000"/>
                <w:sz w:val="13"/>
              </w:rPr>
              <w:t>(1)(3)(4)</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 Canada</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1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Shoppers Drug Mart</w:t>
            </w:r>
          </w:p>
        </w:tc>
        <w:tc>
          <w:tcPr>
            <w:tcW w:w="11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2021</w:t>
            </w:r>
          </w:p>
        </w:tc>
        <w:tc>
          <w:tcPr>
            <w:tcW w:w="346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40,250</w:t>
            </w:r>
            <w:r>
              <w:rPr>
                <w:rFonts w:ascii="Times New Roman;sans-serif" w:hAnsi="Times New Roman;sans-serif"/>
                <w:b/>
                <w:color w:val="000000"/>
                <w:sz w:val="13"/>
              </w:rPr>
              <w:t>(10)</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r>
      <w:tr>
        <w:trPr/>
        <w:tc>
          <w:tcPr>
            <w:tcW w:w="27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Grant Froese</w:t>
            </w:r>
            <w:r>
              <w:rPr>
                <w:rFonts w:ascii="Times New Roman;sans-serif" w:hAnsi="Times New Roman;sans-serif"/>
                <w:b/>
                <w:color w:val="000000"/>
                <w:sz w:val="13"/>
              </w:rPr>
              <w:t>(1)(2)</w:t>
            </w:r>
            <w:r>
              <w:rPr>
                <w:rFonts w:ascii="Times New Roman;sans-serif" w:hAnsi="Times New Roman;sans-serif"/>
                <w:b w:val="false"/>
                <w:color w:val="000000"/>
                <w:sz w:val="20"/>
              </w:rPr>
              <w:t>, Toronto, Ontario, Canada</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1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Greywolf Management Services Inc.</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CEO Harvest One Cannabis Inc.</w:t>
            </w:r>
          </w:p>
        </w:tc>
        <w:tc>
          <w:tcPr>
            <w:tcW w:w="11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46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Nil</w:t>
            </w:r>
            <w:r>
              <w:rPr>
                <w:rFonts w:ascii="Times New Roman;sans-serif" w:hAnsi="Times New Roman;sans-serif"/>
                <w:b/>
                <w:color w:val="000000"/>
                <w:sz w:val="13"/>
              </w:rPr>
              <w:t>(11)</w:t>
            </w:r>
          </w:p>
        </w:tc>
      </w:tr>
      <w:tr>
        <w:trPr/>
        <w:tc>
          <w:tcPr>
            <w:tcW w:w="27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Eric Hoskins</w:t>
            </w:r>
            <w:r>
              <w:rPr>
                <w:rFonts w:ascii="Times New Roman;sans-serif" w:hAnsi="Times New Roman;sans-serif"/>
                <w:b/>
                <w:color w:val="000000"/>
                <w:sz w:val="13"/>
              </w:rPr>
              <w:t>(1)(3)</w:t>
            </w:r>
            <w:r>
              <w:rPr>
                <w:rFonts w:ascii="Times New Roman;sans-serif" w:hAnsi="Times New Roman;sans-serif"/>
                <w:b w:val="false"/>
                <w:color w:val="000000"/>
                <w:sz w:val="20"/>
              </w:rPr>
              <w:t>, Toronto, Ontario, Canada</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1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Maverix Private Equity</w:t>
            </w:r>
          </w:p>
        </w:tc>
        <w:tc>
          <w:tcPr>
            <w:tcW w:w="117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46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100,000</w:t>
            </w:r>
            <w:r>
              <w:rPr>
                <w:rFonts w:ascii="Times New Roman;sans-serif" w:hAnsi="Times New Roman;sans-serif"/>
                <w:b/>
                <w:color w:val="000000"/>
                <w:sz w:val="13"/>
              </w:rPr>
              <w:t>(12)</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r>
      <w:tr>
        <w:trPr/>
        <w:tc>
          <w:tcPr>
            <w:tcW w:w="2742"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Mark Lawson</w:t>
            </w:r>
            <w:r>
              <w:rPr>
                <w:rFonts w:ascii="Times New Roman;sans-serif" w:hAnsi="Times New Roman;sans-serif"/>
                <w:b/>
                <w:color w:val="000000"/>
                <w:sz w:val="13"/>
              </w:rPr>
              <w:t>(1)(2)(3)</w:t>
            </w:r>
            <w:r>
              <w:rPr>
                <w:rFonts w:ascii="Times New Roman;sans-serif" w:hAnsi="Times New Roman;sans-serif"/>
                <w:b w:val="false"/>
                <w:color w:val="000000"/>
                <w:sz w:val="20"/>
              </w:rPr>
              <w:t>, Toronto, Ontario, Canada</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16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Clermont Capital Partners Inc.</w:t>
            </w:r>
          </w:p>
        </w:tc>
        <w:tc>
          <w:tcPr>
            <w:tcW w:w="1172"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460"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jc w:val="center"/>
              <w:rPr/>
            </w:pPr>
            <w:r>
              <w:rPr>
                <w:rFonts w:ascii="Times New Roman;sans-serif" w:hAnsi="Times New Roman;sans-serif"/>
                <w:b w:val="false"/>
                <w:color w:val="000000"/>
                <w:sz w:val="20"/>
              </w:rPr>
              <w:t>114,996</w:t>
            </w:r>
            <w:r>
              <w:rPr>
                <w:rFonts w:ascii="Times New Roman;sans-serif" w:hAnsi="Times New Roman;sans-serif"/>
                <w:b/>
                <w:color w:val="000000"/>
                <w:sz w:val="13"/>
              </w:rPr>
              <w:t>(13)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(0.06%)</w:t>
            </w:r>
          </w:p>
        </w:tc>
      </w:tr>
    </w:tbl>
    <w:p>
      <w:pPr>
        <w:pStyle w:val="TextBody"/>
        <w:spacing w:before="0" w:after="200"/>
        <w:rPr/>
      </w:pPr>
      <w:r>
        <w:br w:type="page"/>
      </w: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692265" cy="668020"/>
                <wp:effectExtent l="0" t="0" r="0" b="0"/>
                <wp:wrapNone/>
                <wp:docPr id="98" name="Frame94"/>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p>
                      <w:pPr>
                        <w:pStyle w:val="TextBody"/>
                        <w:spacing w:before="0" w:after="0"/>
                        <w:jc w:val="center"/>
                        <w:rPr/>
                      </w:pPr>
                      <w:r>
                        <w:rPr/>
                      </w:r>
                    </w:p>
                  </w:txbxContent>
                </v:textbox>
              </v:rect>
            </w:pict>
          </mc:Fallback>
        </mc:AlternateContent>
      </w:r>
    </w:p>
    <w:p>
      <w:pPr>
        <w:pStyle w:val="TextBody"/>
        <w:spacing w:lineRule="auto" w:line="240" w:before="120" w:after="60"/>
        <w:ind w:left="0" w:right="0" w:hanging="720"/>
        <w:rPr>
          <w:rFonts w:ascii="Times New Roman;sans-serif" w:hAnsi="Times New Roman;sans-serif"/>
          <w:b/>
          <w:color w:val="000000"/>
          <w:sz w:val="16"/>
          <w:u w:val="single"/>
        </w:rPr>
      </w:pPr>
      <w:r>
        <w:rPr>
          <w:rFonts w:ascii="Times New Roman;sans-serif" w:hAnsi="Times New Roman;sans-serif"/>
          <w:b/>
          <w:color w:val="000000"/>
          <w:sz w:val="16"/>
          <w:u w:val="single"/>
        </w:rPr>
        <w:t>Notes:</w:t>
      </w:r>
    </w:p>
    <w:p>
      <w:pPr>
        <w:pStyle w:val="TextBody"/>
        <w:spacing w:lineRule="auto" w:line="240" w:before="0" w:after="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(1)     Member of the Audit Committee.</w:t>
      </w:r>
    </w:p>
    <w:p>
      <w:pPr>
        <w:pStyle w:val="TextBody"/>
        <w:spacing w:lineRule="auto" w:line="240" w:before="0" w:after="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(2)    Member of the Compensation Committee.</w:t>
      </w:r>
    </w:p>
    <w:p>
      <w:pPr>
        <w:pStyle w:val="TextBody"/>
        <w:spacing w:lineRule="auto" w:line="240" w:before="0" w:after="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(3)    Member of Governance and Nominating Committee.</w:t>
      </w:r>
    </w:p>
    <w:p>
      <w:pPr>
        <w:pStyle w:val="TextBody"/>
        <w:spacing w:lineRule="auto" w:line="240" w:before="0" w:after="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(4)    Lead independent director</w:t>
      </w:r>
    </w:p>
    <w:p>
      <w:pPr>
        <w:pStyle w:val="TextBody"/>
        <w:spacing w:lineRule="auto" w:line="240" w:before="0" w:after="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(5)    Excludes 3,969,000 Options to acquire 3,969,000 Common Shares.</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(6)    Excludes 575,000 Options to acquire 575,000 Common Shares.</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(7)     Mr. Fahel holds 124,000 Common Shares directly as well as 50,000 Common Shares indirectly through Imeix Inc., and holds or controls 113,700 Common Shares through registered family accounts. Excludes 905,000 Options to acquire 905,000 Common Shares. </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(8)    Mr. Glavine holds 1,716,666 Common Shares directly as well as 8,775,741 Common Shares indirectly through PLG Family Trust, and controls 750,000 Common Shares indirectly through his spouse. Excludes 4,000,000 Warrants to acquire 4,000,000 Common Shares and 1,844,000 Options to acquire 1,844,000 Common Shares.</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(9)    Mr. So holds 1,716,666 Common Shares directly as well as 7,855,744 Common Shares indirectly through So Family Trust – 2017, and controls 2,000,000 Common Shares indirectly through his spouse. Excludes 4,000,000 Warrants to acquire 4,000,000 Common Shares and 1,844,000 Options to acquire 1,844,000 Common Shares.</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(10)    Excludes 195,000 Options to acquire 195,000 Common Shares. </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(11)    Excludes 195,000 Options to acquire 195,000 Common Shares and 750,000 Warrants to acquire 750,000 Common Shares.</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(12)    Excludes 195,000 Options to acquire 195,000 Common Shares and 1,150,000 Warrants to acquire 1,150,000 Common Shares. </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(13)    Excludes 279,952 Options to acquire 220,000 Common Shares. </w:t>
      </w:r>
    </w:p>
    <w:p>
      <w:pPr>
        <w:pStyle w:val="TextBody"/>
        <w:spacing w:before="60" w:after="283"/>
        <w:ind w:left="0" w:right="0" w:hanging="720"/>
        <w:jc w:val="both"/>
        <w:rPr/>
      </w:pPr>
      <w:r>
        <w:rPr/>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of the date of this AIF, all promoters, directors, officers and insiders, as a group, beneficially own, directly or indirectly, an aggregate of 23,435,064 Common Shares on a non-diluted basis, representing 11.28% of the Company’s capitalization on a fully diluted basis.</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Board of Directors &amp; Management </w:t>
      </w:r>
    </w:p>
    <w:p>
      <w:pPr>
        <w:pStyle w:val="TextBody"/>
        <w:spacing w:lineRule="auto" w:line="240" w:before="0" w:after="240"/>
        <w:jc w:val="both"/>
        <w:rPr/>
      </w:pPr>
      <w:r>
        <w:rPr>
          <w:rFonts w:ascii="Times New Roman;sans-serif" w:hAnsi="Times New Roman;sans-serif"/>
          <w:b/>
          <w:color w:val="000000"/>
          <w:sz w:val="22"/>
        </w:rPr>
        <w:t>Douglas Drysdale</w:t>
      </w:r>
      <w:r>
        <w:rPr>
          <w:rFonts w:ascii="Times New Roman;sans-serif" w:hAnsi="Times New Roman;sans-serif"/>
          <w:b w:val="false"/>
          <w:color w:val="000000"/>
          <w:sz w:val="22"/>
        </w:rPr>
        <w:t>, Chief Executive Officer, Age 53</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Douglas Drysdale is the Chief Executive Officer of the Company. Mr. Drysdale has more than 30 years of experience in the health care sector. As a skillful corporate director, in early 2014, Mr. Drysdale led the recapitalization of a NASDAQ-listed pharmaceutical company, Pernix Therapeutics Inc., raising $65 million. Within the first year of taking the helm as Chairman and CEO, Mr. Drysdale rebuilt the management team and board of directors, and built a 220-person sales team, complete with supporting functions (marketing, sales training, sales operations, and analytics). Mr. Drysdale’s efforts grew the company’s enterprise value exponentially from $80 million to around $800 million. Under Mr. Drysdale’s leadership, the pharmaceutical company raised $465 million of capital. Mr. Drysdale was also the founding CEO of Alvogen in 2008, leading the company from inception through an expansion to 35 countries and revenues of approx $500mm in 5 years.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Earlier in his career, Mr. Drysdale served as Head of M&amp;A at Actavis Group, leading 15 corporate acquisitions across three continents, between 2004 and 2008, including a high-profile public hostile takeover attempt in Central Eastern Europe. Over this period, Mr. Drysdale raised approximately $3 billion of capital and managed lending syndicates, including over 25 banks, to fund its growth. Actavis was sold to Watson Pharmaceuticals in 2012 for €4.25 billion.</w:t>
      </w:r>
    </w:p>
    <w:p>
      <w:pPr>
        <w:pStyle w:val="TextBody"/>
        <w:spacing w:lineRule="auto" w:line="240" w:before="0" w:after="240"/>
        <w:jc w:val="both"/>
        <w:rPr/>
      </w:pPr>
      <w:r>
        <w:rPr>
          <w:rFonts w:ascii="Times New Roman;sans-serif" w:hAnsi="Times New Roman;sans-serif"/>
          <w:b/>
          <w:color w:val="000000"/>
          <w:sz w:val="22"/>
        </w:rPr>
        <w:t>Greg Cavers</w:t>
      </w:r>
      <w:r>
        <w:rPr>
          <w:rFonts w:ascii="Times New Roman;sans-serif" w:hAnsi="Times New Roman;sans-serif"/>
          <w:b w:val="false"/>
          <w:color w:val="000000"/>
          <w:sz w:val="22"/>
        </w:rPr>
        <w:t>, Chief Financial Officer, Age 53</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Greg Cavers has over 20 years’ experience specializing in transforming and revitalizing corporate finance departments. Mr. Cavers has experience in service operations in varying stages of growth; leading business unit start-ups, restructuring, system implementations and merger integrations while increasing profitability, minimizing risk and dedicated to meeting financial reporting, IFRS; as well as regulatory reporting OSFI, MFDA requirements.</w:t>
      </w:r>
    </w:p>
    <w:p>
      <w:pPr>
        <w:pStyle w:val="TextBody"/>
        <w:spacing w:lineRule="auto" w:line="240" w:before="0" w:after="240"/>
        <w:jc w:val="both"/>
        <w:rPr/>
      </w:pPr>
      <w:r>
        <w:rPr>
          <w:rFonts w:ascii="Times New Roman;sans-serif" w:hAnsi="Times New Roman;sans-serif"/>
          <w:b/>
          <w:color w:val="000000"/>
          <w:sz w:val="22"/>
        </w:rPr>
        <w:t>Gabriel Fahel</w:t>
      </w:r>
      <w:r>
        <w:rPr>
          <w:rFonts w:ascii="Times New Roman;sans-serif" w:hAnsi="Times New Roman;sans-serif"/>
          <w:b w:val="false"/>
          <w:color w:val="000000"/>
          <w:sz w:val="22"/>
        </w:rPr>
        <w:t>, Chief Legal Officer and Corporate Secretary, Age 48</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Gabe Fahel brings extensive experience in corporate commercial matters and government relations with more than 20 years as counsel with law firms, private and public companies, government and non-profit organizations. Mr. Fahel has a broad range of experience managing multijurisdictional and multidisciplinary teams in fast-paced and politically charged environments. He has been engaged in complex and intractable areas of international law and advanced novel legal issues of law before every level of court in Canada, including the Supreme Court of Canada. </w:t>
      </w:r>
    </w:p>
    <w:p>
      <w:pPr>
        <w:pStyle w:val="TextBody"/>
        <w:jc w:val="both"/>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692265" cy="668020"/>
                <wp:effectExtent l="0" t="0" r="0" b="0"/>
                <wp:wrapNone/>
                <wp:docPr id="99" name="Frame95"/>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Fahel was previously legal counsel with the Canadian government, General Counsel at Mundo Media Ltd. and Growpacker Inc., and served as legal advisor with Adam Smith International and the United Nations Development Programme. Prior to these positions, Mr. Fahel was a lawyer at Bay Street law firms engaged in commercial litigation and public interest class actions. He is a founding board member of PsyCan (The Canadian Psychedelic Businesses Association). He earned a Bachelor of Arts from York University (1997), a Bachelor of Laws from the University of Windsor, Faculty of Law (2000), and a Master of Laws from New York University School of Law (2002).</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color w:val="000000"/>
          <w:sz w:val="22"/>
        </w:rPr>
        <w:t>Paul Glavine</w:t>
      </w:r>
      <w:r>
        <w:rPr>
          <w:rFonts w:ascii="Times New Roman;sans-serif" w:hAnsi="Times New Roman;sans-serif"/>
          <w:b w:val="false"/>
          <w:color w:val="000000"/>
          <w:sz w:val="22"/>
        </w:rPr>
        <w:t>, Director and Chief Growth Officer, Age 34</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Paul Glavine is a Co-founder and the Chief Operating Officer of the Company. He is a serial entrepreneur and investor with vast experience in the biotech, mining, tech and life science sectors. Mr. Glavine is the Co-founder of TruVerra, which was acquired by Supreme Cannabis Company, and later acquired by Canopy Growth. His previous background is in the parking technology industry and he has advised on M&amp;A and other financings in accesses of 180M in the past 5 years. </w:t>
      </w:r>
    </w:p>
    <w:p>
      <w:pPr>
        <w:pStyle w:val="TextBody"/>
        <w:spacing w:lineRule="auto" w:line="240" w:before="0" w:after="240"/>
        <w:jc w:val="both"/>
        <w:rPr/>
      </w:pPr>
      <w:r>
        <w:rPr>
          <w:rFonts w:ascii="Times New Roman;sans-serif" w:hAnsi="Times New Roman;sans-serif"/>
          <w:b/>
          <w:color w:val="000000"/>
          <w:sz w:val="22"/>
        </w:rPr>
        <w:t>Eric So</w:t>
      </w:r>
      <w:r>
        <w:rPr>
          <w:rFonts w:ascii="Times New Roman;sans-serif" w:hAnsi="Times New Roman;sans-serif"/>
          <w:b w:val="false"/>
          <w:color w:val="000000"/>
          <w:sz w:val="22"/>
        </w:rPr>
        <w:t>, Director and President, Age 47</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Eric So is a Co-founder and President of the Company. He is a veteran owner and operator of various public and private companies over the last 15 years and has led C-level corporate strategy, development and finance at all stages of the business life cycle from start-up to high growth and multinational. He began his career practicing in the areas of corporate commercial, securities, finance and mergers and acquisitions at Torys LLP.</w:t>
      </w:r>
    </w:p>
    <w:p>
      <w:pPr>
        <w:pStyle w:val="TextBody"/>
        <w:spacing w:lineRule="auto" w:line="240" w:before="0" w:after="240"/>
        <w:jc w:val="both"/>
        <w:rPr/>
      </w:pPr>
      <w:r>
        <w:rPr>
          <w:rFonts w:ascii="Times New Roman;sans-serif" w:hAnsi="Times New Roman;sans-serif"/>
          <w:b/>
          <w:color w:val="000000"/>
          <w:sz w:val="22"/>
        </w:rPr>
        <w:t>Theresa Firestone</w:t>
      </w:r>
      <w:r>
        <w:rPr>
          <w:rFonts w:ascii="Times New Roman;sans-serif" w:hAnsi="Times New Roman;sans-serif"/>
          <w:b w:val="false"/>
          <w:color w:val="000000"/>
          <w:sz w:val="22"/>
        </w:rPr>
        <w:t>, Director, Age 67</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Theresa Firestone is a senior healthcare executive with retail, pharmaceutical, health &amp; wellness, government and global restructuring expertise. She spent 15 years in senior roles at Pfizer Inc., 14 years in government and 7 years in the retail and health and wellness sector. Ms. Firestone has international experience in executive leadership roles in Canada, Europe and Asia and extensive P&amp;L experience. At Pfizer, Ms. Firestone was Regional President of Emerging Markets Asia and had responsibility for a P&amp;L of $1.4B and oversaw 9 markets in Asia. Ms. Firestone was most recently Senior Vice President with Shoppers Drug Mart where she lead the health and wellness initiatives including new growth strategies and the development and launch of health clinics and the PC Health App. </w:t>
      </w:r>
    </w:p>
    <w:p>
      <w:pPr>
        <w:pStyle w:val="TextBody"/>
        <w:spacing w:lineRule="auto" w:line="240" w:before="0" w:after="240"/>
        <w:jc w:val="both"/>
        <w:rPr/>
      </w:pPr>
      <w:r>
        <w:rPr>
          <w:rFonts w:ascii="Times New Roman;sans-serif" w:hAnsi="Times New Roman;sans-serif"/>
          <w:b/>
          <w:color w:val="000000"/>
          <w:sz w:val="22"/>
        </w:rPr>
        <w:t>Grant Froese</w:t>
      </w:r>
      <w:r>
        <w:rPr>
          <w:rFonts w:ascii="Times New Roman;sans-serif" w:hAnsi="Times New Roman;sans-serif"/>
          <w:b w:val="false"/>
          <w:color w:val="000000"/>
          <w:sz w:val="22"/>
        </w:rPr>
        <w:t>, Director, Age 61</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Grant Froese completed a 38-year career with Canadian retail giant Loblaw Companies Limited where he last served as Chief Operating Officer until his retirement. During his career at Loblaw, he led operations, merchandising and had oversight of supply chain, ecommerce, and marketing functions. Most recently, Grant was the CEO of Harvest One. Grant is the principal consultant at Grey Wolf Management Services Inc. and sits on the board of several companies. </w:t>
      </w:r>
    </w:p>
    <w:p>
      <w:pPr>
        <w:pStyle w:val="TextBody"/>
        <w:spacing w:lineRule="auto" w:line="240" w:before="0" w:after="240"/>
        <w:jc w:val="both"/>
        <w:rPr/>
      </w:pPr>
      <w:r>
        <w:rPr>
          <w:rFonts w:ascii="Times New Roman;sans-serif" w:hAnsi="Times New Roman;sans-serif"/>
          <w:b/>
          <w:color w:val="000000"/>
          <w:sz w:val="22"/>
        </w:rPr>
        <w:t>Eric Hoskins</w:t>
      </w:r>
      <w:r>
        <w:rPr>
          <w:rFonts w:ascii="Times New Roman;sans-serif" w:hAnsi="Times New Roman;sans-serif"/>
          <w:b w:val="false"/>
          <w:color w:val="000000"/>
          <w:sz w:val="22"/>
        </w:rPr>
        <w:t>, Director, Age 62</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Dr. Eric Hoskins is a Partner at Maverix Private Equity. He is the former Ontario Health Minister (2014-2018) responsible for one of the largest health care systems in North America. He is a former elected Member of Ontario Provincial Parliament holding Cabinet positions in Health, Economic Development and Trade, Children and Youth Services, and Immigration. Dr. Hoskins is a physician and public health specialist with more than thirty years’ experience in health care and public policy.</w:t>
      </w:r>
    </w:p>
    <w:p>
      <w:pPr>
        <w:pStyle w:val="TextBody"/>
        <w:spacing w:lineRule="auto" w:line="240" w:before="0" w:after="240"/>
        <w:jc w:val="both"/>
        <w:rPr/>
      </w:pPr>
      <w:r>
        <w:rPr>
          <w:rFonts w:ascii="Times New Roman;sans-serif" w:hAnsi="Times New Roman;sans-serif"/>
          <w:b/>
          <w:color w:val="000000"/>
          <w:sz w:val="22"/>
        </w:rPr>
        <w:t>Mark Lawson</w:t>
      </w:r>
      <w:r>
        <w:rPr>
          <w:rFonts w:ascii="Times New Roman;sans-serif" w:hAnsi="Times New Roman;sans-serif"/>
          <w:b w:val="false"/>
          <w:color w:val="000000"/>
          <w:sz w:val="22"/>
        </w:rPr>
        <w:t>, Director, Age 50</w:t>
      </w:r>
    </w:p>
    <w:p>
      <w:pPr>
        <w:pStyle w:val="TextBody"/>
        <w:spacing w:lineRule="auto" w:line="240" w:before="0" w:after="240"/>
        <w:jc w:val="both"/>
        <w:rPr/>
      </w:pPr>
      <w:r>
        <w:rPr>
          <w:rFonts w:ascii="Times New Roman;sans-serif" w:hAnsi="Times New Roman;sans-serif"/>
          <w:b w:val="false"/>
          <w:color w:val="000000"/>
          <w:sz w:val="22"/>
        </w:rPr>
        <w:t>Mark Lawson is a private equity and investment banking executive with over 20 years of experience in Canada, the United States, and in the emerging markets. He is currently the Head of Carbon Acquisition for Invert, a company that funds global carbon reduction and removal projects, and is building a platform that puts the power to fight climate change in your hands.</w:t>
      </w:r>
      <w:r>
        <w:rPr>
          <w:color w:val="000000"/>
        </w:rPr>
        <w:t xml:space="preserve"> </w:t>
      </w:r>
      <w:r>
        <w:rPr>
          <w:rFonts w:ascii="Times New Roman;sans-serif" w:hAnsi="Times New Roman;sans-serif"/>
          <w:b w:val="false"/>
          <w:color w:val="000000"/>
          <w:sz w:val="22"/>
        </w:rPr>
        <w:t xml:space="preserve">From 2008 to present Mr. Lawson has been the </w:t>
      </w:r>
      <w:r>
        <w:br w:type="page"/>
      </w:r>
    </w:p>
    <w:p>
      <w:pPr>
        <w:pStyle w:val="TextBody"/>
        <w:spacing w:before="0" w:after="20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692265" cy="668020"/>
                <wp:effectExtent l="0" t="0" r="0" b="0"/>
                <wp:wrapNone/>
                <wp:docPr id="100" name="Frame96"/>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Managing Partner of Clermont Capital Partners, a Toronto based merchant bank and advisory firm focused on the technology and healthcare sectors. From 2004 to 2008 he was an investment banker with Morgan Stanley in New York, where he was involved in the execution of over $6 billion worth of mergers and acquisitions, $8 billion worth of debt offerings and $500 million of equity financings in the healthcare, technology, and telecom sectors. Mr. Lawson is also currently a director of various publicly traded companies in North America. Mr. Lawson received his Bachelor of Arts in Statistical Sciences from The University of Western Ontario, Canada and his MBA from The Richard Ivey School of Business, University of Western Ontario, Canada. Mr. Lawson is a member of the Economic Club of New York and is a Director of the Hugh and Ilene Lawson Charitable Organization.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CEASE TRADE ORDERS, BANKRUPTCIES, PENALTIES OR SANCTIONS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 as disclosed below, no director or executive officer of the Company is, as at the date of this AIF, or has been within the last ten years, a director, chief executive officer or chief financial officer of any company (including the Company) that:</w:t>
      </w:r>
    </w:p>
    <w:p>
      <w:pPr>
        <w:pStyle w:val="TextBody"/>
        <w:spacing w:lineRule="auto" w:line="240" w:before="0" w:after="240"/>
        <w:ind w:left="0" w:right="0" w:hanging="720"/>
        <w:jc w:val="both"/>
        <w:rPr/>
      </w:pPr>
      <w:r>
        <w:rPr>
          <w:rFonts w:ascii="Times New Roman;sans-serif" w:hAnsi="Times New Roman;sans-serif"/>
          <w:b w:val="false"/>
          <w:color w:val="000000"/>
          <w:sz w:val="22"/>
        </w:rPr>
        <w:t>(a)    was subject to a cease trade order, an order similar to a cease trade order, or an order that denied the relevant company access to any exemption under securities legislation, and which in all cases was in effect for a period of more than 30 consecutive days (an “</w:t>
      </w:r>
      <w:r>
        <w:rPr>
          <w:rFonts w:ascii="Times New Roman;sans-serif" w:hAnsi="Times New Roman;sans-serif"/>
          <w:b/>
          <w:color w:val="000000"/>
          <w:sz w:val="22"/>
        </w:rPr>
        <w:t>Order</w:t>
      </w:r>
      <w:r>
        <w:rPr>
          <w:color w:val="000000"/>
        </w:rPr>
        <w:t>”</w:t>
      </w:r>
      <w:r>
        <w:rPr>
          <w:rFonts w:ascii="Times New Roman;sans-serif" w:hAnsi="Times New Roman;sans-serif"/>
          <w:b w:val="false"/>
          <w:color w:val="000000"/>
          <w:sz w:val="22"/>
        </w:rPr>
        <w:t>), which Order was issued while the director or executive officer was acting in the capacity as director, chief executive officer or chief financial officer of such company; 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 of such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knowledge of the Company, no director or executive officer of the Company or any shareholder holding a sufficient number of Common Shares to affect materially the control of the Company:</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is, as at the date of this AIF, or has been within the last ten years,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has, within the last ten years, become bankrupt, made a proposal under any legislation relating to bankruptcy or insolvency or become subject to or instituted any proceedings, arrangement or compromise with creditors or had a receiver, receiver manager or trustee appointed to hold his assets;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    has been subject to any penalties or sanctions imposed by a court relating to securities legislation or by a securities regulatory authority or has entered into a settlement agreement with a securities regulatory authority; 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    has been subject to any penalties or sanctions imposed by a court or regulatory body that would likely be considered important to a reasonable investor in making an investment decision regarding the Company.</w:t>
      </w:r>
    </w:p>
    <w:p>
      <w:pPr>
        <w:pStyle w:val="TextBody"/>
        <w:spacing w:lineRule="auto" w:line="240" w:before="0" w:after="240"/>
        <w:jc w:val="both"/>
        <w:rPr/>
      </w:pPr>
      <w:r>
        <w:rPr>
          <w:rFonts w:ascii="Times New Roman;sans-serif" w:hAnsi="Times New Roman;sans-serif"/>
          <w:b w:val="false"/>
          <w:color w:val="000000"/>
          <w:sz w:val="22"/>
        </w:rPr>
        <w:t>Greg Cavers was the interim Chief Financial Officer of LottoGopher Holdings Inc. (“</w:t>
      </w:r>
      <w:r>
        <w:rPr>
          <w:rFonts w:ascii="Times New Roman;sans-serif" w:hAnsi="Times New Roman;sans-serif"/>
          <w:b/>
          <w:color w:val="000000"/>
          <w:sz w:val="22"/>
        </w:rPr>
        <w:t>LottoGopher</w:t>
      </w:r>
      <w:r>
        <w:rPr>
          <w:color w:val="000000"/>
        </w:rPr>
        <w:t>”</w:t>
      </w:r>
      <w:r>
        <w:rPr>
          <w:rFonts w:ascii="Times New Roman;sans-serif" w:hAnsi="Times New Roman;sans-serif"/>
          <w:b w:val="false"/>
          <w:color w:val="000000"/>
          <w:sz w:val="22"/>
        </w:rPr>
        <w:t>), a CSE-listed company, until January 2020. Preceding his position, LottoGopher had been subject to a cease trade order on December 5, 2018 for failing to file interim financial report, management’s discussion and analysis and certification of the filings pursuant to NI 52-109.</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foregoing information, not being within the knowledge of the Company, has been furnished by the respective directors and executive officers.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92265" cy="668020"/>
                <wp:effectExtent l="0" t="0" r="0" b="0"/>
                <wp:wrapNone/>
                <wp:docPr id="101" name="Frame97"/>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p>
                      <w:pPr>
                        <w:pStyle w:val="TextBody"/>
                        <w:spacing w:before="0" w:after="0"/>
                        <w:jc w:val="center"/>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CONFLICTS OF INTEREST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best of the Company’s knowledge, other than as disclosed herein, there are no known existing or potential material conflicts of interest between the Company and any directors or officers of the Company, except that certain of the directors and officers serve as directors, officers, promoters and members of management of other public companies and therefore it is possible that a conflict may arise between their duties as a director or officer of the Company and their duties as a director, officer, promoter or member of management of such other companies.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directors and officers of the Company are aware of the existence of laws governing accountability of directors and officers for corporate opportunity and requiring disclosures by directors of conflicts of interest and the Company will rely upon such laws in respect of any directors and officers’ conflicts of interest or in respect of any breaches of duty by any of its directors or officers. All such conflicts will be disclosed by such directors or officers in accordance with the OBCA and they will govern themselves in respect thereof to the best of their ability in accordance with the obligations imposed upon them by law.</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LEGAL PROCEEDINGS AND REGULATORY ACTIONS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Company’s knowledge, there are no legal proceedings or regulatory actions material to the Company to which it is a party, or has been a party to, or of which any of its property is or was the subject matter, and no such proceedings or actions are known by the Company to be contemplated.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penalties or sanctions imposed against the Company by a court or regulatory authority, and the Company has not entered into any settlement agreements before any court relating to provincial or territorial securities legislation or with any securities regulatory authority, in the three years prior to the date of this AIF.</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INTEREST OF MANAGEMENT AND OTHERS IN MATERIAL TRANSACTIONS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than as disclosed below and elsewhere in this AIF no director, executive officer or unitholder or shareholder that beneficially owns, or controls or directs, directly or indirectly, more than 10% of the voting securities of the Company, or any of their respective Associates or affiliates, has any material interest, direct or indirect, in any transaction within the three years before the date of this AIF which has materially affected or is reasonably expected to materially affect the Company or a subsidiary of the Company.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AUDITOR, TRANSFER AGENT AND REGISTRAR</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Odyssey Trust Company, at its Calgary, Alberta office acts as the Company’s transfer agent and registrar and Zeifmans LLP, at its Toronto, Ontario office acts as the Company’s auditor.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MATERIAL CONTRACTS</w:t>
      </w:r>
    </w:p>
    <w:p>
      <w:pPr>
        <w:pStyle w:val="TextBody"/>
        <w:spacing w:lineRule="auto" w:line="240" w:before="0" w:after="240"/>
        <w:jc w:val="both"/>
        <w:rPr/>
      </w:pPr>
      <w:r>
        <w:rPr>
          <w:rFonts w:ascii="Times New Roman;sans-serif" w:hAnsi="Times New Roman;sans-serif"/>
          <w:b w:val="false"/>
          <w:color w:val="000000"/>
          <w:sz w:val="22"/>
        </w:rPr>
        <w:t>Material contracts of the Company, other than contracts entered into in the ordinary course of business, that were entered into within the last financial year or before the last financial year but is still in effect:</w:t>
      </w:r>
      <w:r>
        <w:rPr>
          <w:color w:val="000000"/>
        </w:rPr>
        <w:t xml:space="preserve"> </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Contribution Agreement; </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Support Agreement; </w:t>
      </w:r>
    </w:p>
    <w:p>
      <w:pPr>
        <w:pStyle w:val="TextBody"/>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    Underwriting Agreement; and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Warrant Indenture.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material contracts described above are filed under the Company’s profile on SEDAR at www.sedar.com.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692265" cy="668020"/>
                <wp:effectExtent l="0" t="0" r="0" b="0"/>
                <wp:wrapNone/>
                <wp:docPr id="102" name="Frame98"/>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p>
                      <w:pPr>
                        <w:pStyle w:val="TextBody"/>
                        <w:spacing w:before="0" w:after="0"/>
                        <w:jc w:val="center"/>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INTERESTS OF EXPERTS</w:t>
      </w:r>
    </w:p>
    <w:p>
      <w:pPr>
        <w:pStyle w:val="TextBody"/>
        <w:spacing w:lineRule="auto" w:line="240" w:before="0" w:after="240"/>
        <w:jc w:val="both"/>
        <w:rPr/>
      </w:pPr>
      <w:r>
        <w:rPr>
          <w:rFonts w:ascii="Times New Roman;sans-serif" w:hAnsi="Times New Roman;sans-serif"/>
          <w:b w:val="false"/>
          <w:color w:val="000000"/>
          <w:sz w:val="22"/>
        </w:rPr>
        <w:t>No person or corporation whose profession or business gives authority to a statement made by the person or corporation and who is named as having prepared or certified a part of this AIF or as having prepared or certified a report or valuation described or included in this AIF holds any beneficial interest, direct or indirect, in any securities or property of the Company or of an Associate or affiliate of the Company and no such person is expected to be elected, appointed or employed as a director, senior officer or employee of the Company or of an Associate or affiliate of the Company and no such person is a promoter of the Company or an Associate or affiliate of the Company. Zeifmans LLP is independent of the Company in accordance with the rules of professional conduct of the Institute of Chartered Professional Accountants of Ontario.</w:t>
      </w:r>
      <w:r>
        <w:rPr>
          <w:color w:val="000000"/>
        </w:rPr>
        <w:t xml:space="preserv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AUDIT COMMITTEE</w:t>
      </w:r>
    </w:p>
    <w:p>
      <w:pPr>
        <w:pStyle w:val="TextBody"/>
        <w:spacing w:lineRule="auto" w:line="240" w:before="240" w:after="240"/>
        <w:rPr>
          <w:rFonts w:ascii="Times New Roman;sans-serif" w:hAnsi="Times New Roman;sans-serif"/>
          <w:b/>
          <w:color w:val="000000"/>
          <w:sz w:val="22"/>
        </w:rPr>
      </w:pPr>
      <w:r>
        <w:rPr>
          <w:rFonts w:ascii="Times New Roman;sans-serif" w:hAnsi="Times New Roman;sans-serif"/>
          <w:b/>
          <w:color w:val="000000"/>
          <w:sz w:val="22"/>
        </w:rPr>
        <w:t>Audit Committee’s Charter</w:t>
      </w:r>
    </w:p>
    <w:p>
      <w:pPr>
        <w:pStyle w:val="TextBody"/>
        <w:spacing w:lineRule="auto" w:line="240" w:before="0" w:after="240"/>
        <w:jc w:val="both"/>
        <w:rPr/>
      </w:pPr>
      <w:r>
        <w:rPr>
          <w:rFonts w:ascii="Times New Roman;sans-serif" w:hAnsi="Times New Roman;sans-serif"/>
          <w:b w:val="false"/>
          <w:color w:val="000000"/>
          <w:sz w:val="22"/>
        </w:rPr>
        <w:t>The charter (the “</w:t>
      </w:r>
      <w:r>
        <w:rPr>
          <w:rFonts w:ascii="Times New Roman;sans-serif" w:hAnsi="Times New Roman;sans-serif"/>
          <w:b/>
          <w:color w:val="000000"/>
          <w:sz w:val="22"/>
        </w:rPr>
        <w:t>Charter</w:t>
      </w:r>
      <w:r>
        <w:rPr>
          <w:color w:val="000000"/>
        </w:rPr>
        <w:t>”</w:t>
      </w:r>
      <w:r>
        <w:rPr>
          <w:rFonts w:ascii="Times New Roman;sans-serif" w:hAnsi="Times New Roman;sans-serif"/>
          <w:b w:val="false"/>
          <w:color w:val="000000"/>
          <w:sz w:val="22"/>
        </w:rPr>
        <w:t>) of the Company’s Audit Committee is reproduced as Exhibit “A”.</w:t>
      </w:r>
    </w:p>
    <w:p>
      <w:pPr>
        <w:pStyle w:val="TextBody"/>
        <w:spacing w:lineRule="auto" w:line="240" w:before="240" w:after="240"/>
        <w:rPr>
          <w:rFonts w:ascii="Times New Roman;sans-serif" w:hAnsi="Times New Roman;sans-serif"/>
          <w:b/>
          <w:color w:val="000000"/>
          <w:sz w:val="22"/>
        </w:rPr>
      </w:pPr>
      <w:r>
        <w:rPr>
          <w:rFonts w:ascii="Times New Roman;sans-serif" w:hAnsi="Times New Roman;sans-serif"/>
          <w:b/>
          <w:color w:val="000000"/>
          <w:sz w:val="22"/>
        </w:rPr>
        <w:t>Composition of Audit Committee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at the date of this AIF, the Audit Committee is composed of Mark Lawson (Chair), Eric Hoskins, Theresa Firestone and Grant Froese, each of whom is a director of the Company.</w:t>
      </w:r>
    </w:p>
    <w:p>
      <w:pPr>
        <w:pStyle w:val="TextBody"/>
        <w:spacing w:lineRule="auto" w:line="240" w:before="0" w:after="240"/>
        <w:jc w:val="both"/>
        <w:rPr/>
      </w:pPr>
      <w:r>
        <w:rPr>
          <w:rFonts w:ascii="Times New Roman;sans-serif" w:hAnsi="Times New Roman;sans-serif"/>
          <w:b w:val="false"/>
          <w:color w:val="000000"/>
          <w:sz w:val="22"/>
        </w:rPr>
        <w:t xml:space="preserve">All of the members of the Audit Committee are “independent” as such term is defined in National Instrument 52-110 – </w:t>
      </w:r>
      <w:r>
        <w:rPr>
          <w:rFonts w:ascii="Times New Roman;sans-serif" w:hAnsi="Times New Roman;sans-serif"/>
          <w:b w:val="false"/>
          <w:i/>
          <w:color w:val="000000"/>
          <w:sz w:val="22"/>
        </w:rPr>
        <w:t>Audit Committees</w:t>
      </w:r>
      <w:r>
        <w:rPr>
          <w:color w:val="000000"/>
        </w:rPr>
        <w:t xml:space="preserve"> </w:t>
      </w:r>
      <w:r>
        <w:rPr>
          <w:rFonts w:ascii="Times New Roman;sans-serif" w:hAnsi="Times New Roman;sans-serif"/>
          <w:b w:val="false"/>
          <w:color w:val="000000"/>
          <w:sz w:val="22"/>
        </w:rPr>
        <w:t>(“</w:t>
      </w:r>
      <w:r>
        <w:rPr>
          <w:rFonts w:ascii="Times New Roman;sans-serif" w:hAnsi="Times New Roman;sans-serif"/>
          <w:b/>
          <w:color w:val="000000"/>
          <w:sz w:val="22"/>
        </w:rPr>
        <w:t>NI 52-110</w:t>
      </w:r>
      <w:r>
        <w:rPr>
          <w:color w:val="000000"/>
        </w:rPr>
        <w:t>”</w:t>
      </w:r>
      <w:r>
        <w:rPr>
          <w:rFonts w:ascii="Times New Roman;sans-serif" w:hAnsi="Times New Roman;sans-serif"/>
          <w:b w:val="false"/>
          <w:color w:val="000000"/>
          <w:sz w:val="22"/>
        </w:rPr>
        <w:t>). The Company is of the opinion that all three members of the Audit Committee are “financially literate” as such term is defined in NI 52-110.</w:t>
      </w:r>
    </w:p>
    <w:p>
      <w:pPr>
        <w:pStyle w:val="TextBody"/>
        <w:spacing w:lineRule="auto" w:line="240" w:before="240" w:after="240"/>
        <w:rPr>
          <w:rFonts w:ascii="Times New Roman;sans-serif" w:hAnsi="Times New Roman;sans-serif"/>
          <w:b/>
          <w:color w:val="000000"/>
          <w:sz w:val="22"/>
        </w:rPr>
      </w:pPr>
      <w:r>
        <w:rPr>
          <w:rFonts w:ascii="Times New Roman;sans-serif" w:hAnsi="Times New Roman;sans-serif"/>
          <w:b/>
          <w:color w:val="000000"/>
          <w:sz w:val="22"/>
        </w:rPr>
        <w:t>Relevant Education and Experience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Company’s financial statements.</w:t>
      </w:r>
    </w:p>
    <w:p>
      <w:pPr>
        <w:pStyle w:val="TextBody"/>
        <w:spacing w:lineRule="auto" w:line="240" w:before="0" w:after="240"/>
        <w:jc w:val="both"/>
        <w:rPr/>
      </w:pPr>
      <w:r>
        <w:rPr>
          <w:rFonts w:ascii="Times New Roman;sans-serif" w:hAnsi="Times New Roman;sans-serif"/>
          <w:b w:val="false"/>
          <w:i/>
          <w:color w:val="000000"/>
          <w:sz w:val="22"/>
        </w:rPr>
        <w:t>Mark Lawson</w:t>
      </w:r>
      <w:r>
        <w:rPr>
          <w:color w:val="000000"/>
        </w:rPr>
        <w:t xml:space="preserve"> – </w:t>
      </w:r>
      <w:r>
        <w:rPr>
          <w:rFonts w:ascii="Times New Roman;sans-serif" w:hAnsi="Times New Roman;sans-serif"/>
          <w:b w:val="false"/>
          <w:color w:val="000000"/>
          <w:sz w:val="22"/>
        </w:rPr>
        <w:t>Mr. Lawson was previously an investment banker with Morgan Stanley in New York where he was involved in the execution of over $6 billion worth of mergers and acquisitions, $8 billion worth of debt offerings and $500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Times New Roman;sans-serif" w:hAnsi="Times New Roman;sans-serif"/>
          <w:b w:val="false"/>
          <w:i/>
          <w:color w:val="000000"/>
          <w:sz w:val="22"/>
        </w:rPr>
        <w:t>,</w:t>
      </w:r>
      <w:r>
        <w:rPr>
          <w:color w:val="000000"/>
        </w:rPr>
        <w:t> </w:t>
      </w:r>
      <w:r>
        <w:rPr>
          <w:rFonts w:ascii="Times New Roman;sans-serif" w:hAnsi="Times New Roman;sans-serif"/>
          <w:b w:val="false"/>
          <w:color w:val="000000"/>
          <w:sz w:val="22"/>
        </w:rPr>
        <w:t>University of Western Ontario, Canada. Mr. Lawson was previously the Chief Financial Officer of a TSX Venture listed company.</w:t>
      </w:r>
    </w:p>
    <w:p>
      <w:pPr>
        <w:pStyle w:val="TextBody"/>
        <w:spacing w:lineRule="auto" w:line="240" w:before="0" w:after="240"/>
        <w:jc w:val="both"/>
        <w:rPr/>
      </w:pPr>
      <w:r>
        <w:rPr>
          <w:rFonts w:ascii="Times New Roman;sans-serif" w:hAnsi="Times New Roman;sans-serif"/>
          <w:b w:val="false"/>
          <w:i/>
          <w:color w:val="000000"/>
          <w:sz w:val="22"/>
        </w:rPr>
        <w:t>Eric Hoskins</w:t>
      </w:r>
      <w:r>
        <w:rPr>
          <w:color w:val="000000"/>
        </w:rPr>
        <w:t xml:space="preserve"> – </w:t>
      </w:r>
      <w:r>
        <w:rPr>
          <w:rFonts w:ascii="Times New Roman;sans-serif" w:hAnsi="Times New Roman;sans-serif"/>
          <w:b w:val="false"/>
          <w:color w:val="000000"/>
          <w:sz w:val="22"/>
        </w:rPr>
        <w:t>Mr. Hoskins served as the Minister of Health for Ontario for 4 years and was responsible for creating, overseeing and administering a $55 billion budget. He was also a member of the Ontario government Cabinet for ten years regularly reviewing and commenting on budgets and financial statements. Mr. Hoskins was the Chief Financial Officer of War Child Canada, a $30 million charity, for 8 years. He also has a degree in Health Economics.</w:t>
      </w:r>
    </w:p>
    <w:p>
      <w:pPr>
        <w:pStyle w:val="TextBody"/>
        <w:spacing w:lineRule="auto" w:line="240" w:before="0" w:after="240"/>
        <w:jc w:val="both"/>
        <w:rPr/>
      </w:pPr>
      <w:r>
        <w:rPr>
          <w:rFonts w:ascii="Times New Roman;sans-serif" w:hAnsi="Times New Roman;sans-serif"/>
          <w:b w:val="false"/>
          <w:i/>
          <w:color w:val="000000"/>
          <w:sz w:val="22"/>
        </w:rPr>
        <w:t>Theresa Firestone</w:t>
      </w:r>
      <w:r>
        <w:rPr>
          <w:color w:val="000000"/>
        </w:rPr>
        <w:t xml:space="preserve"> – </w:t>
      </w:r>
      <w:r>
        <w:rPr>
          <w:rFonts w:ascii="Times New Roman;sans-serif" w:hAnsi="Times New Roman;sans-serif"/>
          <w:b w:val="false"/>
          <w:color w:val="000000"/>
          <w:sz w:val="22"/>
        </w:rPr>
        <w:t xml:space="preserve">Ms. Firestone is a senior healthcare executive with retail, pharmaceutical, health &amp; wellness, government and global restructuring expertise. She spent 15 years in senior roles at Pfizer Inc., 14 years in government and 7 years in the retail and health and wellness sector. Ms. Firestone has international experience in executive leadership roles in Canada, Europe and Asia and extensive P&amp;L experience. At Pfizer, Ms. Firestone was Regional President of Emerging Markets Asia and had responsibility for a P&amp;L of $1.4B and oversaw 9 markets in Asia. Ms. Firestone was most recently Senior Vice President with Shoppers Drug Mart where she lead the health and wellness initiatives including new growth strategies and the development and launch of health clinics and the PC Health App. </w:t>
      </w:r>
      <w:r>
        <w:br w:type="page"/>
      </w:r>
    </w:p>
    <w:p>
      <w:pPr>
        <w:pStyle w:val="TextBody"/>
        <w:spacing w:before="0" w:after="20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692265" cy="668020"/>
                <wp:effectExtent l="0" t="0" r="0" b="0"/>
                <wp:wrapNone/>
                <wp:docPr id="103" name="Frame99"/>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i/>
          <w:color w:val="000000"/>
          <w:sz w:val="22"/>
        </w:rPr>
        <w:t>Grant Froese</w:t>
      </w:r>
      <w:r>
        <w:rPr>
          <w:color w:val="000000"/>
        </w:rPr>
        <w:t xml:space="preserve"> – </w:t>
      </w:r>
      <w:r>
        <w:rPr>
          <w:rFonts w:ascii="Times New Roman;sans-serif" w:hAnsi="Times New Roman;sans-serif"/>
          <w:b w:val="false"/>
          <w:color w:val="000000"/>
          <w:sz w:val="22"/>
        </w:rPr>
        <w:t>Mr. Froese had a 38-year career with retail giant Loblaw Companies Limited, including 3 years as Chief Operating Officer responsible for all levels of operations and merchandising, as well as oversight of information technology, supply chain, digital/e-commerce, marketing and industry-leading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Audit Committee Oversight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At no time since the commencement of the Company’s most recently completed financial year have any recommendations by the Audit Committee respecting the nomination and/or compensation of the Company’s external auditors not been adopted by the board of directors.</w:t>
      </w:r>
    </w:p>
    <w:p>
      <w:pPr>
        <w:pStyle w:val="TextBody"/>
        <w:spacing w:lineRule="auto" w:line="240" w:before="240" w:after="240"/>
        <w:rPr>
          <w:rFonts w:ascii="Times New Roman;sans-serif" w:hAnsi="Times New Roman;sans-serif"/>
          <w:b/>
          <w:color w:val="000000"/>
          <w:sz w:val="22"/>
        </w:rPr>
      </w:pPr>
      <w:r>
        <w:rPr>
          <w:rFonts w:ascii="Times New Roman;sans-serif" w:hAnsi="Times New Roman;sans-serif"/>
          <w:b/>
          <w:color w:val="000000"/>
          <w:sz w:val="22"/>
        </w:rPr>
        <w:t>Pre-Approval Policies and Procedures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terms of the Audit Committee Charter, the Audit Committee shall pre-approve all non-audit services to be provided to the Company or its subsidiary entities by the Company’s external auditor.</w:t>
      </w:r>
    </w:p>
    <w:p>
      <w:pPr>
        <w:pStyle w:val="TextBody"/>
        <w:spacing w:lineRule="auto" w:line="240" w:before="240" w:after="240"/>
        <w:rPr>
          <w:rFonts w:ascii="Times New Roman;sans-serif" w:hAnsi="Times New Roman;sans-serif"/>
          <w:b/>
          <w:color w:val="000000"/>
          <w:sz w:val="22"/>
        </w:rPr>
      </w:pPr>
      <w:r>
        <w:rPr>
          <w:rFonts w:ascii="Times New Roman;sans-serif" w:hAnsi="Times New Roman;sans-serif"/>
          <w:b/>
          <w:color w:val="000000"/>
          <w:sz w:val="22"/>
        </w:rPr>
        <w:t xml:space="preserve">External Auditor Service Fees (By Category)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aggregate fees billed by the Company’s external auditors during the financial year ended March 31, 2023 and March 31, 2022 were as follows: </w:t>
      </w:r>
    </w:p>
    <w:tbl>
      <w:tblPr>
        <w:tblW w:w="8114" w:type="dxa"/>
        <w:jc w:val="left"/>
        <w:tblInd w:w="0" w:type="dxa"/>
        <w:tblCellMar>
          <w:top w:w="28" w:type="dxa"/>
          <w:left w:w="28" w:type="dxa"/>
          <w:bottom w:w="28" w:type="dxa"/>
          <w:right w:w="28" w:type="dxa"/>
        </w:tblCellMar>
      </w:tblPr>
      <w:tblGrid>
        <w:gridCol w:w="717"/>
        <w:gridCol w:w="630"/>
        <w:gridCol w:w="633"/>
        <w:gridCol w:w="444"/>
        <w:gridCol w:w="444"/>
        <w:gridCol w:w="446"/>
        <w:gridCol w:w="654"/>
        <w:gridCol w:w="654"/>
        <w:gridCol w:w="657"/>
        <w:gridCol w:w="394"/>
        <w:gridCol w:w="394"/>
        <w:gridCol w:w="397"/>
        <w:gridCol w:w="483"/>
        <w:gridCol w:w="483"/>
        <w:gridCol w:w="68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Financial Period Ending</w:t>
            </w:r>
          </w:p>
        </w:tc>
        <w:tc>
          <w:tcPr>
            <w:tcW w:w="13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240" w:after="240"/>
              <w:jc w:val="center"/>
              <w:rPr/>
            </w:pPr>
            <w:r>
              <w:rPr>
                <w:rFonts w:ascii="Times New Roman;sans-serif" w:hAnsi="Times New Roman;sans-serif"/>
                <w:b/>
                <w:color w:val="000000"/>
                <w:sz w:val="18"/>
              </w:rPr>
              <w:t>Audit Fees ($)</w:t>
            </w:r>
            <w:r>
              <w:rPr>
                <w:rFonts w:ascii="Times New Roman;sans-serif" w:hAnsi="Times New Roman;sans-serif"/>
                <w:b/>
                <w:color w:val="000000"/>
                <w:sz w:val="12"/>
              </w:rPr>
              <w:t>(1)</w:t>
            </w:r>
          </w:p>
        </w:tc>
        <w:tc>
          <w:tcPr>
            <w:tcW w:w="19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240" w:after="240"/>
              <w:jc w:val="center"/>
              <w:rPr/>
            </w:pPr>
            <w:r>
              <w:rPr>
                <w:rFonts w:ascii="Times New Roman;sans-serif" w:hAnsi="Times New Roman;sans-serif"/>
                <w:b/>
                <w:color w:val="000000"/>
                <w:sz w:val="18"/>
              </w:rPr>
              <w:t>Audit Related Fees ($)</w:t>
            </w:r>
            <w:r>
              <w:rPr>
                <w:rFonts w:ascii="Times New Roman;sans-serif" w:hAnsi="Times New Roman;sans-serif"/>
                <w:b/>
                <w:color w:val="000000"/>
                <w:sz w:val="12"/>
              </w:rPr>
              <w:t>(2)</w:t>
            </w:r>
          </w:p>
        </w:tc>
        <w:tc>
          <w:tcPr>
            <w:tcW w:w="118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240" w:after="240"/>
              <w:jc w:val="center"/>
              <w:rPr/>
            </w:pPr>
            <w:r>
              <w:rPr>
                <w:rFonts w:ascii="Times New Roman;sans-serif" w:hAnsi="Times New Roman;sans-serif"/>
                <w:b/>
                <w:color w:val="000000"/>
                <w:sz w:val="18"/>
              </w:rPr>
              <w:t>Tax Fees ($)</w:t>
            </w:r>
            <w:r>
              <w:rPr>
                <w:rFonts w:ascii="Times New Roman;sans-serif" w:hAnsi="Times New Roman;sans-serif"/>
                <w:b/>
                <w:color w:val="000000"/>
                <w:sz w:val="12"/>
              </w:rPr>
              <w:t>(3)</w:t>
            </w:r>
          </w:p>
        </w:tc>
        <w:tc>
          <w:tcPr>
            <w:tcW w:w="165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240" w:after="240"/>
              <w:jc w:val="center"/>
              <w:rPr/>
            </w:pPr>
            <w:r>
              <w:rPr>
                <w:rFonts w:ascii="Times New Roman;sans-serif" w:hAnsi="Times New Roman;sans-serif"/>
                <w:b/>
                <w:color w:val="000000"/>
                <w:sz w:val="18"/>
              </w:rPr>
              <w:t>All Other Fees ($)</w:t>
            </w:r>
            <w:r>
              <w:rPr>
                <w:rFonts w:ascii="Times New Roman;sans-serif" w:hAnsi="Times New Roman;sans-serif"/>
                <w:b/>
                <w:color w:val="000000"/>
                <w:sz w:val="12"/>
              </w:rPr>
              <w:t>(4)</w:t>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133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$359,500</w:t>
            </w:r>
          </w:p>
        </w:tc>
        <w:tc>
          <w:tcPr>
            <w:tcW w:w="19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Nil</w:t>
            </w:r>
          </w:p>
        </w:tc>
        <w:tc>
          <w:tcPr>
            <w:tcW w:w="11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$66,600</w:t>
            </w:r>
          </w:p>
        </w:tc>
        <w:tc>
          <w:tcPr>
            <w:tcW w:w="165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$2,500</w:t>
            </w:r>
          </w:p>
        </w:tc>
      </w:tr>
      <w:tr>
        <w:trPr/>
        <w:tc>
          <w:tcPr>
            <w:tcW w:w="198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33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$335,376</w:t>
            </w:r>
          </w:p>
        </w:tc>
        <w:tc>
          <w:tcPr>
            <w:tcW w:w="196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Nil</w:t>
            </w:r>
          </w:p>
        </w:tc>
        <w:tc>
          <w:tcPr>
            <w:tcW w:w="118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$67,300</w:t>
            </w:r>
          </w:p>
        </w:tc>
        <w:tc>
          <w:tcPr>
            <w:tcW w:w="1650"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Nil</w:t>
            </w:r>
          </w:p>
        </w:tc>
      </w:tr>
    </w:tbl>
    <w:p>
      <w:pPr>
        <w:pStyle w:val="TextBody"/>
        <w:spacing w:lineRule="auto" w:line="240" w:before="0" w:after="0"/>
        <w:jc w:val="both"/>
        <w:rPr>
          <w:rFonts w:ascii="Times New Roman;sans-serif" w:hAnsi="Times New Roman;sans-serif"/>
          <w:b/>
          <w:color w:val="000000"/>
          <w:sz w:val="16"/>
        </w:rPr>
      </w:pPr>
      <w:r>
        <w:rPr>
          <w:rFonts w:ascii="Times New Roman;sans-serif" w:hAnsi="Times New Roman;sans-serif"/>
          <w:b/>
          <w:color w:val="000000"/>
          <w:sz w:val="16"/>
        </w:rPr>
        <w:t>Notes:</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(1)    “Audit Fees” includes fees necessary to perform the annual audit of the Company’s financial statements. These services include reviewing interim financial statements and disclosure documents related to financings and other attest services required by legislation or regulation, such as comfort letters, consents, reviews of securities filings and statutory audits.     </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(2)    “Audit-Related Fees” include services that are traditionally performed by the auditor.</w:t>
      </w:r>
    </w:p>
    <w:p>
      <w:pPr>
        <w:pStyle w:val="TextBody"/>
        <w:spacing w:lineRule="auto" w:line="240"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(3)    “Tax Fees”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pStyle w:val="TextBody"/>
        <w:spacing w:lineRule="auto" w:line="240" w:before="0" w:after="24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(4)    “All Other Fees” include all other non-audit services, the aggregate fees billed for products and services, other than the services reported under notes (1), (2) and (3) above.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COMPLIANCE PROGRAM</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 regarding (a) compliance with applicable regulatory frameworks, and (b) potential exposure to, and implications arising from, applicable laws in jurisdictions where the Company has operations or intends to operate. </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works with third parties who require regulatory licensing in order to handle scheduled drugs. The Company continuously updates its compliance and channel programs to maintain regulatory </w:t>
      </w:r>
      <w:r>
        <w:br w:type="page"/>
      </w:r>
    </w:p>
    <w:p>
      <w:pPr>
        <w:pStyle w:val="TextBody"/>
        <w:spacing w:before="0" w:after="20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692265" cy="668020"/>
                <wp:effectExtent l="0" t="0" r="0" b="0"/>
                <wp:wrapNone/>
                <wp:docPr id="104" name="Frame100"/>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standards set for drug development. The Company also works with clinical research organizations who maintain batch records and data storage for the Company’s clinical programs.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programs currently in place include monitoring by executives of the Company to ensure that all operations materially conform to and comply with required laws, regulations and operating procedures. The Company is currently in compliance with the laws and regulations in all jurisdictions and the related licencing framework applicable to its business activities.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and, to its knowledge, each of its third-party researchers, suppliers and manufacturers have not received any non-compliance, citations or notices of violation which may have an impact on the Company’s licences, business activities or operations.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 </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
        <w:jc w:val="center"/>
        <w:rPr>
          <w:rFonts w:ascii="Times New Roman;sans-serif" w:hAnsi="Times New Roman;sans-serif"/>
          <w:b/>
          <w:color w:val="000000"/>
          <w:sz w:val="22"/>
        </w:rPr>
      </w:pPr>
      <w:r>
        <w:rPr>
          <w:rFonts w:ascii="Times New Roman;sans-serif" w:hAnsi="Times New Roman;sans-serif"/>
          <w:b/>
          <w:color w:val="000000"/>
          <w:sz w:val="22"/>
        </w:rPr>
        <w:t>INSIDER TRADING POLICY AND CODE OF ETHICS AND BUSINESS CONDUCT</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 xml:space="preserve">Insider Trading Policy </w:t>
      </w:r>
    </w:p>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2"/>
        </w:rPr>
        <w:t>The Company has adopted an insider trading policy to set forth basic guidelines for trading in the Company’s securities (including, without limitation, its Common Shares) to avoid any situation that might have the potential to damage the Company’s reputation or which could constitute a violation of federal or provincial securities law by the Company, its officers, directors, employees, consultants, affiliates and certain family members of such individuals (“</w:t>
      </w:r>
      <w:r>
        <w:rPr>
          <w:rFonts w:ascii="Times New Roman;sans-serif" w:hAnsi="Times New Roman;sans-serif"/>
          <w:b/>
          <w:color w:val="000000"/>
          <w:sz w:val="22"/>
        </w:rPr>
        <w:t>Insiders</w:t>
      </w:r>
      <w:r>
        <w:rPr>
          <w:color w:val="000000"/>
        </w:rPr>
        <w:t>”</w:t>
      </w:r>
      <w:r>
        <w:rPr>
          <w:rFonts w:ascii="Times New Roman;sans-serif" w:hAnsi="Times New Roman;sans-serif"/>
          <w:b w:val="false"/>
          <w:color w:val="000000"/>
          <w:sz w:val="22"/>
        </w:rPr>
        <w:t xml:space="preserve">). Under this policy, Insiders are prohibited from trading in Common Shares and other securities on the basis of material, non-public information relating to the Company until after the information has been disclosed to the public or during a blackout period.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obligation not to trade on inside information applies not only to the Insiders, but also to persons who obtain such information from Insiders and use it to their advantage. Thus, liability may be imposed upon the Company, its Insiders and also outsiders who are the source of leaks of material information not yet disclosed to the public and the leaks coincide with purchases or sales of the Company’s securities by such insiders, outsiders or by “tippees”. </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order to provide a degree of certainty as to when insider trading is permissible, the policy imposes mandatory blackout periods during the period commencing on the first day following the end of each fiscal quarter or year-end and ending at the close of business on the first trading day following the dissemination by the Company of such quarterly and annual results. In addition, no Insider is permitted to trade any securities of the Company until two trading days after the issuance of any news release in which material information is released to the public. The Company may, from time to time, issue a general blackout period for a specific or indefinite period covering Insiders or specific employees or groups. </w:t>
      </w:r>
      <w:r>
        <w:br w:type="page"/>
      </w:r>
    </w:p>
    <w:p>
      <w:pPr>
        <w:pStyle w:val="TextBody"/>
        <w:spacing w:before="0" w:after="20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692265" cy="668020"/>
                <wp:effectExtent l="0" t="0" r="0" b="0"/>
                <wp:wrapNone/>
                <wp:docPr id="105" name="Frame101"/>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p>
                      <w:pPr>
                        <w:pStyle w:val="TextBody"/>
                        <w:spacing w:before="0" w:after="0"/>
                        <w:jc w:val="center"/>
                        <w:rPr/>
                      </w:pPr>
                      <w:r>
                        <w:rPr/>
                      </w:r>
                    </w:p>
                  </w:txbxContent>
                </v:textbox>
              </v:rect>
            </w:pict>
          </mc:Fallback>
        </mc:AlternateConten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policy also outlines the Company’s reporting obligations for changes in Common Shares owned by Insiders as well as the penalties for violating such policy and applicable laws.</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Code of Business Conduct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2"/>
        </w:rPr>
        <w:t>The Company has adopted a Code of Business Conduct (the “</w:t>
      </w:r>
      <w:r>
        <w:rPr>
          <w:rFonts w:ascii="Times New Roman;sans-serif" w:hAnsi="Times New Roman;sans-serif"/>
          <w:b/>
          <w:color w:val="000000"/>
          <w:sz w:val="22"/>
        </w:rPr>
        <w:t>Code</w:t>
      </w:r>
      <w:r>
        <w:rPr>
          <w:color w:val="000000"/>
        </w:rPr>
        <w:t>”</w:t>
      </w:r>
      <w:r>
        <w:rPr>
          <w:rFonts w:ascii="Times New Roman;sans-serif" w:hAnsi="Times New Roman;sans-serif"/>
          <w:b w:val="false"/>
          <w:color w:val="000000"/>
          <w:sz w:val="22"/>
        </w:rPr>
        <w:t xml:space="preserve">). The Code sets forth standards designed to reasonably: deter wrongdoing, promote honest and ethical conduct, promote prompt internal reporting of violations of the Code and promote accountability. All personnel, in discharging their duties, must comply with applicable laws and regulations, the rules of the stock exchange(s) on which the Common Shares are listed as well as the Company’s internal policies.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Code sets the expectation that personnel learn about laws, rules and regulations that affect what they do at the Company, and raise any questions concerning the applicability, existence or interpretation of any law or regulation or conduct with their supervisor or the legal department of the Company. The Code prohibits personnel from making or participating in making any payments designed to cause or improperly influence the decisions of an individual, a company or a governmental official to act in a way that gives the Company or its personnel an advantage or soliciting, encouraging or actually receiving any bribe or other payment, contribution, gifts or favor that could influence your or another’s decision.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Code encourages personnel to report any actual or suspected fraud or securities law violations to the Chief Compliance Officer. The Code mandates a safe work environment and a no tolerance policy towards harassment and violence in the workplace. The Code provides guidance on avoiding conflicts of interest and acting in the best interest of the Company. The Code also outlines the requirements or personnel as it relates to disclosure of Company information, confidentiality and maintaining the integrity of the Company’s books and records and intellectual property.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ADDITIONAL INFORMATION</w:t>
      </w:r>
    </w:p>
    <w:p>
      <w:pPr>
        <w:pStyle w:val="TextBody"/>
        <w:spacing w:lineRule="auto" w:line="240" w:before="0" w:after="240"/>
        <w:jc w:val="both"/>
        <w:rPr/>
      </w:pPr>
      <w:r>
        <w:rPr>
          <w:rFonts w:ascii="Times New Roman;sans-serif" w:hAnsi="Times New Roman;sans-serif"/>
          <w:b w:val="false"/>
          <w:color w:val="000000"/>
          <w:sz w:val="22"/>
        </w:rPr>
        <w:t xml:space="preserve">Additional information relating to the Company can be found under the Company’s profile on SEDAR at </w:t>
      </w:r>
      <w:r>
        <w:rPr>
          <w:rFonts w:ascii="Times New Roman;sans-serif" w:hAnsi="Times New Roman;sans-serif"/>
          <w:b w:val="false"/>
          <w:color w:val="0000FF"/>
          <w:sz w:val="22"/>
          <w:u w:val="single"/>
        </w:rPr>
        <w:t>www.sedar.com</w:t>
      </w:r>
      <w:r>
        <w:rPr>
          <w:color w:val="000000"/>
        </w:rPr>
        <w:t xml:space="preserve"> </w:t>
      </w:r>
      <w:r>
        <w:rPr>
          <w:rFonts w:ascii="Times New Roman;sans-serif" w:hAnsi="Times New Roman;sans-serif"/>
          <w:b w:val="false"/>
          <w:color w:val="000000"/>
          <w:sz w:val="22"/>
        </w:rPr>
        <w:t xml:space="preserve">and on the Company’s website at </w:t>
      </w:r>
      <w:r>
        <w:rPr>
          <w:rFonts w:ascii="Times New Roman;sans-serif" w:hAnsi="Times New Roman;sans-serif"/>
          <w:b w:val="false"/>
          <w:color w:val="0000FF"/>
          <w:sz w:val="22"/>
          <w:u w:val="single"/>
        </w:rPr>
        <w:t>www.cybin.com</w:t>
      </w:r>
      <w:r>
        <w:rPr>
          <w:rFonts w:ascii="Times New Roman;sans-serif" w:hAnsi="Times New Roman;sans-serif"/>
          <w:b w:val="false"/>
          <w:color w:val="000000"/>
          <w:sz w:val="22"/>
        </w:rPr>
        <w:t>. Additional information, including directors’ and officers’ remuneration and indebtedness, principal holders of the Company’s securities and securities authorized for issuance under equity compensation plans, will be contained in the Company’s information circular for its most recent annual meeting of shareholders. Additional financial information is provided in the Company’s consolidated financial statements for the most recently completed financial year and the MD&amp;A.</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692265" cy="668020"/>
                <wp:effectExtent l="0" t="0" r="0" b="0"/>
                <wp:wrapNone/>
                <wp:docPr id="106" name="Frame102"/>
                <a:graphic xmlns:a="http://schemas.openxmlformats.org/drawingml/2006/main">
                  <a:graphicData uri="http://schemas.microsoft.com/office/word/2010/wordprocessingShape">
                    <wps:wsp>
                      <wps:cNvSpPr txBox="1"/>
                      <wps:spPr>
                        <a:xfrm>
                          <a:off x="0" y="0"/>
                          <a:ext cx="6692265" cy="668020"/>
                        </a:xfrm>
                        <a:prstGeom prst="rect"/>
                      </wps:spPr>
                      <wps:txb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p>
                      <w:pPr>
                        <w:pStyle w:val="TextBody"/>
                        <w:spacing w:before="0" w:after="0"/>
                        <w:jc w:val="center"/>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br/>
        <w:t>AUDIT COMMITTEE CHARTER</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CYBIN INC.</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(the “Corporation”)</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AUDIT COMMITTEE CHARTER</w:t>
      </w:r>
    </w:p>
    <w:p>
      <w:pPr>
        <w:pStyle w:val="TextBody"/>
        <w:spacing w:lineRule="auto" w:line="240" w:before="0" w:after="240"/>
        <w:jc w:val="both"/>
        <w:rPr/>
      </w:pPr>
      <w:r>
        <w:rPr>
          <w:rFonts w:ascii="Times New Roman;sans-serif" w:hAnsi="Times New Roman;sans-serif"/>
          <w:b w:val="false"/>
          <w:color w:val="000000"/>
          <w:sz w:val="22"/>
        </w:rPr>
        <w:t xml:space="preserve">(Implemented pursuant to National Instrument 52-110 – </w:t>
      </w:r>
      <w:r>
        <w:rPr>
          <w:rFonts w:ascii="Times New Roman;sans-serif" w:hAnsi="Times New Roman;sans-serif"/>
          <w:b w:val="false"/>
          <w:i/>
          <w:color w:val="000000"/>
          <w:sz w:val="22"/>
        </w:rPr>
        <w:t>Audit Committees</w:t>
      </w:r>
      <w:r>
        <w:rPr>
          <w:rFonts w:ascii="Times New Roman;sans-serif" w:hAnsi="Times New Roman;sans-serif"/>
          <w:b w:val="false"/>
          <w:color w:val="000000"/>
          <w:sz w:val="22"/>
        </w:rPr>
        <w:t>)</w:t>
      </w:r>
    </w:p>
    <w:p>
      <w:pPr>
        <w:pStyle w:val="TextBody"/>
        <w:spacing w:lineRule="auto" w:line="240" w:before="0" w:after="240"/>
        <w:jc w:val="both"/>
        <w:rPr/>
      </w:pPr>
      <w:r>
        <w:rPr>
          <w:rFonts w:ascii="Times New Roman;sans-serif" w:hAnsi="Times New Roman;sans-serif"/>
          <w:b w:val="false"/>
          <w:color w:val="000000"/>
          <w:sz w:val="22"/>
        </w:rPr>
        <w:t xml:space="preserve">National Instrument 52-110 – </w:t>
      </w:r>
      <w:r>
        <w:rPr>
          <w:rFonts w:ascii="Times New Roman;sans-serif" w:hAnsi="Times New Roman;sans-serif"/>
          <w:b w:val="false"/>
          <w:i/>
          <w:color w:val="000000"/>
          <w:sz w:val="22"/>
        </w:rPr>
        <w:t>Audit Committees</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Instrument</w:t>
      </w:r>
      <w:r>
        <w:rPr>
          <w:color w:val="000000"/>
        </w:rPr>
        <w:t>”</w:t>
      </w:r>
      <w:r>
        <w:rPr>
          <w:rFonts w:ascii="Times New Roman;sans-serif" w:hAnsi="Times New Roman;sans-serif"/>
          <w:b w:val="false"/>
          <w:color w:val="000000"/>
          <w:sz w:val="22"/>
        </w:rPr>
        <w:t>) relating to the composition and function of audit committees was implemented for reporting issuers and, accordingly, applies to every NEO Exchange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Part 1</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Purpose: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purpose of the Committee is to:</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improve the quality of the Corporation’s financial reporting;</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    assist the board of directors to properly and fully discharge its responsibilities;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    provide an avenue of enhanced communication between the directors and external auditors;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    enhance the external auditor’s independence;</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    increase the credibility and objectivity of financial reports; and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    strengthen the role of the directors by facilitating in depth discussions between directors, management and external auditors.</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1.1Definitions</w:t>
      </w:r>
    </w:p>
    <w:p>
      <w:pPr>
        <w:pStyle w:val="TextBody"/>
        <w:spacing w:lineRule="auto" w:line="240" w:before="0" w:after="240"/>
        <w:jc w:val="both"/>
        <w:rPr/>
      </w:pPr>
      <w:r>
        <w:rPr>
          <w:color w:val="000000"/>
        </w:rPr>
        <w:t>“</w:t>
      </w:r>
      <w:r>
        <w:rPr>
          <w:rFonts w:ascii="Times New Roman;sans-serif" w:hAnsi="Times New Roman;sans-serif"/>
          <w:b/>
          <w:color w:val="000000"/>
          <w:sz w:val="22"/>
        </w:rPr>
        <w:t>accounting principles</w:t>
      </w:r>
      <w:r>
        <w:rPr>
          <w:color w:val="000000"/>
        </w:rPr>
        <w:t xml:space="preserve">” </w:t>
      </w:r>
      <w:r>
        <w:rPr>
          <w:rFonts w:ascii="Times New Roman;sans-serif" w:hAnsi="Times New Roman;sans-serif"/>
          <w:b w:val="false"/>
          <w:color w:val="000000"/>
          <w:sz w:val="22"/>
        </w:rPr>
        <w:t xml:space="preserve">has the meaning ascribed to it in National Instrument 52-107 </w:t>
      </w:r>
      <w:r>
        <w:rPr>
          <w:rFonts w:ascii="Times New Roman;sans-serif" w:hAnsi="Times New Roman;sans-serif"/>
          <w:b w:val="false"/>
          <w:i/>
          <w:color w:val="000000"/>
          <w:sz w:val="22"/>
        </w:rPr>
        <w:t>Acceptable Accounting Principles and Auditing Standards</w:t>
      </w:r>
      <w:r>
        <w:rPr>
          <w:rFonts w:ascii="Times New Roman;sans-serif" w:hAnsi="Times New Roman;sans-serif"/>
          <w:b w:val="false"/>
          <w:color w:val="000000"/>
          <w:sz w:val="22"/>
        </w:rPr>
        <w:t>;</w:t>
      </w:r>
    </w:p>
    <w:p>
      <w:pPr>
        <w:pStyle w:val="TextBody"/>
        <w:spacing w:lineRule="auto" w:line="240" w:before="0" w:after="24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means a Corporation that is a subsidiary of another Corporation or companies that are controlled by the same entity;</w:t>
      </w:r>
    </w:p>
    <w:p>
      <w:pPr>
        <w:pStyle w:val="TextBody"/>
        <w:spacing w:lineRule="auto" w:line="240" w:before="0" w:after="240"/>
        <w:jc w:val="both"/>
        <w:rPr/>
      </w:pPr>
      <w:r>
        <w:rPr>
          <w:color w:val="000000"/>
        </w:rPr>
        <w:t>“</w:t>
      </w:r>
      <w:r>
        <w:rPr>
          <w:rFonts w:ascii="Times New Roman;sans-serif" w:hAnsi="Times New Roman;sans-serif"/>
          <w:b/>
          <w:color w:val="000000"/>
          <w:sz w:val="22"/>
        </w:rPr>
        <w:t>audit services</w:t>
      </w:r>
      <w:r>
        <w:rPr>
          <w:color w:val="000000"/>
        </w:rPr>
        <w:t xml:space="preserve">” </w:t>
      </w:r>
      <w:r>
        <w:rPr>
          <w:rFonts w:ascii="Times New Roman;sans-serif" w:hAnsi="Times New Roman;sans-serif"/>
          <w:b w:val="false"/>
          <w:color w:val="000000"/>
          <w:sz w:val="22"/>
        </w:rPr>
        <w:t>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pStyle w:val="TextBody"/>
        <w:spacing w:lineRule="auto" w:line="240" w:before="0" w:after="240"/>
        <w:jc w:val="both"/>
        <w:rPr/>
      </w:pPr>
      <w:r>
        <w:rPr>
          <w:color w:val="000000"/>
        </w:rPr>
        <w:t>“</w:t>
      </w:r>
      <w:r>
        <w:rPr>
          <w:rFonts w:ascii="Times New Roman;sans-serif" w:hAnsi="Times New Roman;sans-serif"/>
          <w:b/>
          <w:color w:val="000000"/>
          <w:sz w:val="22"/>
        </w:rPr>
        <w:t>Charter</w:t>
      </w:r>
      <w:r>
        <w:rPr>
          <w:color w:val="000000"/>
        </w:rPr>
        <w:t xml:space="preserve">” </w:t>
      </w:r>
      <w:r>
        <w:rPr>
          <w:rFonts w:ascii="Times New Roman;sans-serif" w:hAnsi="Times New Roman;sans-serif"/>
          <w:b w:val="false"/>
          <w:color w:val="000000"/>
          <w:sz w:val="22"/>
        </w:rPr>
        <w:t>means this audit committee charter;</w:t>
      </w:r>
      <w:r>
        <w:br w:type="page"/>
      </w:r>
    </w:p>
    <w:p>
      <w:pPr>
        <w:pStyle w:val="TextBody"/>
        <w:spacing w:before="0" w:after="20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692265" cy="744220"/>
                <wp:effectExtent l="0" t="0" r="0" b="0"/>
                <wp:wrapNone/>
                <wp:docPr id="107" name="Frame103"/>
                <a:graphic xmlns:a="http://schemas.openxmlformats.org/drawingml/2006/main">
                  <a:graphicData uri="http://schemas.microsoft.com/office/word/2010/wordprocessingShape">
                    <wps:wsp>
                      <wps:cNvSpPr txBox="1"/>
                      <wps:spPr>
                        <a:xfrm>
                          <a:off x="0" y="0"/>
                          <a:ext cx="6692265" cy="744220"/>
                        </a:xfrm>
                        <a:prstGeom prst="rect"/>
                      </wps:spPr>
                      <wps:txb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A-1</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color w:val="000000"/>
          <w:sz w:val="22"/>
        </w:rPr>
        <w:t>Committee</w:t>
      </w:r>
      <w:r>
        <w:rPr>
          <w:color w:val="000000"/>
        </w:rPr>
        <w:t xml:space="preserve">” </w:t>
      </w:r>
      <w:r>
        <w:rPr>
          <w:rFonts w:ascii="Times New Roman;sans-serif" w:hAnsi="Times New Roman;sans-serif"/>
          <w:b w:val="false"/>
          <w:color w:val="000000"/>
          <w:sz w:val="22"/>
        </w:rPr>
        <w:t>means the committee established by and among certain members of the board of directors for the purpose of overseeing the accounting and financial reporting processes of the Corporation and audits of the financial statements of the Corporation;</w:t>
      </w:r>
    </w:p>
    <w:p>
      <w:pPr>
        <w:pStyle w:val="TextBody"/>
        <w:spacing w:lineRule="auto" w:line="240" w:before="0" w:after="240"/>
        <w:jc w:val="both"/>
        <w:rPr/>
      </w:pPr>
      <w:r>
        <w:rPr>
          <w:color w:val="000000"/>
        </w:rPr>
        <w:t>“</w:t>
      </w:r>
      <w:r>
        <w:rPr>
          <w:rFonts w:ascii="Times New Roman;sans-serif" w:hAnsi="Times New Roman;sans-serif"/>
          <w:b/>
          <w:color w:val="000000"/>
          <w:sz w:val="22"/>
        </w:rPr>
        <w:t>Control Person</w:t>
      </w:r>
      <w:r>
        <w:rPr>
          <w:color w:val="000000"/>
        </w:rPr>
        <w:t xml:space="preserve">” </w:t>
      </w:r>
      <w:r>
        <w:rPr>
          <w:rFonts w:ascii="Times New Roman;sans-serif" w:hAnsi="Times New Roman;sans-serif"/>
          <w:b w:val="false"/>
          <w:color w:val="000000"/>
          <w:sz w:val="22"/>
        </w:rPr>
        <w:t>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pStyle w:val="TextBody"/>
        <w:spacing w:lineRule="auto" w:line="240" w:before="0" w:after="240"/>
        <w:jc w:val="both"/>
        <w:rPr/>
      </w:pPr>
      <w:r>
        <w:rPr>
          <w:color w:val="000000"/>
        </w:rPr>
        <w:t>“</w:t>
      </w:r>
      <w:r>
        <w:rPr>
          <w:rFonts w:ascii="Times New Roman;sans-serif" w:hAnsi="Times New Roman;sans-serif"/>
          <w:b/>
          <w:color w:val="000000"/>
          <w:sz w:val="22"/>
        </w:rPr>
        <w:t>financially literate</w:t>
      </w:r>
      <w:r>
        <w:rPr>
          <w:color w:val="000000"/>
        </w:rPr>
        <w:t xml:space="preserve">” </w:t>
      </w:r>
      <w:r>
        <w:rPr>
          <w:rFonts w:ascii="Times New Roman;sans-serif" w:hAnsi="Times New Roman;sans-serif"/>
          <w:b w:val="false"/>
          <w:color w:val="000000"/>
          <w:sz w:val="22"/>
        </w:rPr>
        <w:t>has the meaning set forth in Section 1.2;</w:t>
      </w:r>
    </w:p>
    <w:p>
      <w:pPr>
        <w:pStyle w:val="TextBody"/>
        <w:spacing w:lineRule="auto" w:line="240" w:before="0" w:after="240"/>
        <w:jc w:val="both"/>
        <w:rPr/>
      </w:pPr>
      <w:r>
        <w:rPr>
          <w:color w:val="000000"/>
        </w:rPr>
        <w:t>“</w:t>
      </w:r>
      <w:r>
        <w:rPr>
          <w:rFonts w:ascii="Times New Roman;sans-serif" w:hAnsi="Times New Roman;sans-serif"/>
          <w:b/>
          <w:color w:val="000000"/>
          <w:sz w:val="22"/>
        </w:rPr>
        <w:t>immediate family member</w:t>
      </w:r>
      <w:r>
        <w:rPr>
          <w:color w:val="000000"/>
        </w:rPr>
        <w:t xml:space="preserve">” </w:t>
      </w:r>
      <w:r>
        <w:rPr>
          <w:rFonts w:ascii="Times New Roman;sans-serif" w:hAnsi="Times New Roman;sans-serif"/>
          <w:b w:val="false"/>
          <w:color w:val="000000"/>
          <w:sz w:val="22"/>
        </w:rPr>
        <w:t>means an individual’s spouse, parent, child, sibling, mother or father-in-law, son or daughter-in-law, brother or sister-in-law, and anyone (other than an employee of either the individual or the individual’s immediate family member) who shares the individual’s home;</w:t>
      </w:r>
    </w:p>
    <w:p>
      <w:pPr>
        <w:pStyle w:val="TextBody"/>
        <w:spacing w:lineRule="auto" w:line="240" w:before="0" w:after="240"/>
        <w:jc w:val="both"/>
        <w:rPr/>
      </w:pPr>
      <w:r>
        <w:rPr>
          <w:color w:val="000000"/>
        </w:rPr>
        <w:t>“</w:t>
      </w:r>
      <w:r>
        <w:rPr>
          <w:rFonts w:ascii="Times New Roman;sans-serif" w:hAnsi="Times New Roman;sans-serif"/>
          <w:b/>
          <w:color w:val="000000"/>
          <w:sz w:val="22"/>
        </w:rPr>
        <w:t>independent”</w:t>
      </w:r>
      <w:r>
        <w:rPr>
          <w:color w:val="000000"/>
        </w:rPr>
        <w:t xml:space="preserve"> </w:t>
      </w:r>
      <w:r>
        <w:rPr>
          <w:rFonts w:ascii="Times New Roman;sans-serif" w:hAnsi="Times New Roman;sans-serif"/>
          <w:b w:val="false"/>
          <w:color w:val="000000"/>
          <w:sz w:val="22"/>
        </w:rPr>
        <w:t>means independent only as determined by both the Instrument and the NEO Exchange Listing Manual;</w:t>
      </w:r>
    </w:p>
    <w:p>
      <w:pPr>
        <w:pStyle w:val="TextBody"/>
        <w:spacing w:lineRule="auto" w:line="240" w:before="0" w:after="240"/>
        <w:jc w:val="both"/>
        <w:rPr/>
      </w:pPr>
      <w:r>
        <w:rPr>
          <w:color w:val="000000"/>
        </w:rPr>
        <w:t>“</w:t>
      </w:r>
      <w:r>
        <w:rPr>
          <w:rFonts w:ascii="Times New Roman;sans-serif" w:hAnsi="Times New Roman;sans-serif"/>
          <w:b/>
          <w:color w:val="000000"/>
          <w:sz w:val="22"/>
        </w:rPr>
        <w:t>Instrument</w:t>
      </w:r>
      <w:r>
        <w:rPr>
          <w:color w:val="000000"/>
        </w:rPr>
        <w:t xml:space="preserve">” </w:t>
      </w:r>
      <w:r>
        <w:rPr>
          <w:rFonts w:ascii="Times New Roman;sans-serif" w:hAnsi="Times New Roman;sans-serif"/>
          <w:b w:val="false"/>
          <w:color w:val="000000"/>
          <w:sz w:val="22"/>
        </w:rPr>
        <w:t xml:space="preserve">means National Instrument 52-110 – </w:t>
      </w:r>
      <w:r>
        <w:rPr>
          <w:rFonts w:ascii="Times New Roman;sans-serif" w:hAnsi="Times New Roman;sans-serif"/>
          <w:b w:val="false"/>
          <w:i/>
          <w:color w:val="000000"/>
          <w:sz w:val="22"/>
        </w:rPr>
        <w:t>Audit Committees</w:t>
      </w:r>
      <w:r>
        <w:rPr>
          <w:rFonts w:ascii="Times New Roman;sans-serif" w:hAnsi="Times New Roman;sans-serif"/>
          <w:b w:val="false"/>
          <w:color w:val="000000"/>
          <w:sz w:val="22"/>
        </w:rPr>
        <w:t>;</w:t>
      </w:r>
    </w:p>
    <w:p>
      <w:pPr>
        <w:pStyle w:val="TextBody"/>
        <w:spacing w:lineRule="auto" w:line="240" w:before="0" w:after="240"/>
        <w:jc w:val="both"/>
        <w:rPr/>
      </w:pPr>
      <w:r>
        <w:rPr>
          <w:color w:val="000000"/>
        </w:rPr>
        <w:t>“</w:t>
      </w:r>
      <w:r>
        <w:rPr>
          <w:rFonts w:ascii="Times New Roman;sans-serif" w:hAnsi="Times New Roman;sans-serif"/>
          <w:b/>
          <w:color w:val="000000"/>
          <w:sz w:val="22"/>
        </w:rPr>
        <w:t>MD&amp;A</w:t>
      </w:r>
      <w:r>
        <w:rPr>
          <w:color w:val="000000"/>
        </w:rPr>
        <w:t xml:space="preserve">” </w:t>
      </w:r>
      <w:r>
        <w:rPr>
          <w:rFonts w:ascii="Times New Roman;sans-serif" w:hAnsi="Times New Roman;sans-serif"/>
          <w:b w:val="false"/>
          <w:color w:val="000000"/>
          <w:sz w:val="22"/>
        </w:rPr>
        <w:t>has the meaning ascribed to it in National Instrument 51-102;</w:t>
      </w:r>
    </w:p>
    <w:p>
      <w:pPr>
        <w:pStyle w:val="TextBody"/>
        <w:spacing w:lineRule="auto" w:line="240" w:before="0" w:after="240"/>
        <w:jc w:val="both"/>
        <w:rPr/>
      </w:pPr>
      <w:r>
        <w:rPr>
          <w:color w:val="000000"/>
        </w:rPr>
        <w:t>“</w:t>
      </w:r>
      <w:r>
        <w:rPr>
          <w:rFonts w:ascii="Times New Roman;sans-serif" w:hAnsi="Times New Roman;sans-serif"/>
          <w:b/>
          <w:color w:val="000000"/>
          <w:sz w:val="22"/>
        </w:rPr>
        <w:t>Member</w:t>
      </w:r>
      <w:r>
        <w:rPr>
          <w:color w:val="000000"/>
        </w:rPr>
        <w:t xml:space="preserve">” </w:t>
      </w:r>
      <w:r>
        <w:rPr>
          <w:rFonts w:ascii="Times New Roman;sans-serif" w:hAnsi="Times New Roman;sans-serif"/>
          <w:b w:val="false"/>
          <w:color w:val="000000"/>
          <w:sz w:val="22"/>
        </w:rPr>
        <w:t>means a member of the Committee;</w:t>
      </w:r>
    </w:p>
    <w:p>
      <w:pPr>
        <w:pStyle w:val="TextBody"/>
        <w:spacing w:lineRule="auto" w:line="240" w:before="0" w:after="240"/>
        <w:jc w:val="both"/>
        <w:rPr/>
      </w:pPr>
      <w:r>
        <w:rPr>
          <w:color w:val="000000"/>
        </w:rPr>
        <w:t>“</w:t>
      </w:r>
      <w:r>
        <w:rPr>
          <w:rFonts w:ascii="Times New Roman;sans-serif" w:hAnsi="Times New Roman;sans-serif"/>
          <w:b/>
          <w:color w:val="000000"/>
          <w:sz w:val="22"/>
        </w:rPr>
        <w:t>National Instrument 51-102</w:t>
      </w:r>
      <w:r>
        <w:rPr>
          <w:color w:val="000000"/>
        </w:rPr>
        <w:t xml:space="preserve">” </w:t>
      </w:r>
      <w:r>
        <w:rPr>
          <w:rFonts w:ascii="Times New Roman;sans-serif" w:hAnsi="Times New Roman;sans-serif"/>
          <w:b w:val="false"/>
          <w:color w:val="000000"/>
          <w:sz w:val="22"/>
        </w:rPr>
        <w:t xml:space="preserve">means National Instrument 51-102 - </w:t>
      </w:r>
      <w:r>
        <w:rPr>
          <w:rFonts w:ascii="Times New Roman;sans-serif" w:hAnsi="Times New Roman;sans-serif"/>
          <w:b w:val="false"/>
          <w:i/>
          <w:color w:val="000000"/>
          <w:sz w:val="22"/>
        </w:rPr>
        <w:t>Continuous Disclosure Obligations</w:t>
      </w:r>
      <w:r>
        <w:rPr>
          <w:rFonts w:ascii="Times New Roman;sans-serif" w:hAnsi="Times New Roman;sans-serif"/>
          <w:b w:val="false"/>
          <w:color w:val="000000"/>
          <w:sz w:val="22"/>
        </w:rPr>
        <w:t>; and</w:t>
      </w:r>
    </w:p>
    <w:p>
      <w:pPr>
        <w:pStyle w:val="TextBody"/>
        <w:spacing w:lineRule="auto" w:line="240" w:before="0" w:after="240"/>
        <w:jc w:val="both"/>
        <w:rPr/>
      </w:pPr>
      <w:r>
        <w:rPr>
          <w:color w:val="000000"/>
        </w:rPr>
        <w:t>“</w:t>
      </w:r>
      <w:r>
        <w:rPr>
          <w:rFonts w:ascii="Times New Roman;sans-serif" w:hAnsi="Times New Roman;sans-serif"/>
          <w:b/>
          <w:color w:val="000000"/>
          <w:sz w:val="22"/>
        </w:rPr>
        <w:t>non-audit services</w:t>
      </w:r>
      <w:r>
        <w:rPr>
          <w:color w:val="000000"/>
        </w:rPr>
        <w:t xml:space="preserve">” </w:t>
      </w:r>
      <w:r>
        <w:rPr>
          <w:rFonts w:ascii="Times New Roman;sans-serif" w:hAnsi="Times New Roman;sans-serif"/>
          <w:b w:val="false"/>
          <w:color w:val="000000"/>
          <w:sz w:val="22"/>
        </w:rPr>
        <w:t>means services other than audit services.</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1.2Meaning of Financially Literate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Part 2</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1.1Audit Committee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board of directors has hereby established the Committee for, among other purposes, compliance with the Instrument.</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1.2Relationship with External Auditors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Corporation will require its external auditor to report directly to the Committee and the Members shall ensure that such is the case.</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1.3Committee Responsibilities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1.The Committee shall be responsible for making the following recommendations to the board of directors: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external auditor to be nominated for the purpose of preparing or issuing an auditor’s report or performing other audit, review or attest services for the Corporation; and</w:t>
      </w:r>
      <w:r>
        <w:br w:type="page"/>
      </w:r>
    </w:p>
    <w:p>
      <w:pPr>
        <w:pStyle w:val="TextBody"/>
        <w:spacing w:before="0" w:after="20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692265" cy="744220"/>
                <wp:effectExtent l="0" t="0" r="0" b="0"/>
                <wp:wrapNone/>
                <wp:docPr id="108" name="Frame104"/>
                <a:graphic xmlns:a="http://schemas.openxmlformats.org/drawingml/2006/main">
                  <a:graphicData uri="http://schemas.microsoft.com/office/word/2010/wordprocessingShape">
                    <wps:wsp>
                      <wps:cNvSpPr txBox="1"/>
                      <wps:spPr>
                        <a:xfrm>
                          <a:off x="0" y="0"/>
                          <a:ext cx="6692265" cy="744220"/>
                        </a:xfrm>
                        <a:prstGeom prst="rect"/>
                      </wps:spPr>
                      <wps:txb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A-2</w:t>
                      </w:r>
                    </w:p>
                    <w:p>
                      <w:pPr>
                        <w:pStyle w:val="TextBody"/>
                        <w:spacing w:before="0" w:after="0"/>
                        <w:jc w:val="center"/>
                        <w:rPr/>
                      </w:pPr>
                      <w:r>
                        <w:rPr/>
                      </w:r>
                    </w:p>
                  </w:txbxContent>
                </v:textbox>
              </v:rect>
            </w:pict>
          </mc:Fallback>
        </mc:AlternateConten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compensation of the external auditor.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(a)reviewing the audit plan with management and the external auditor;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(b)reviewing with management and the external auditor any proposed changes in major accounting policies, the presentation and impact of significant risks and uncertainties, and key estimates and judgements of management that may be material to financial reporting;</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(c)questioning management and the external auditor regarding significant financial reporting issues discussed during the fiscal period and the method of resolution;</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(d)reviewing any problems experienced by the external auditor in performing the audit, including any restrictions imposed by management or significant accounting issues on which there was a disagreement with management;</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(e)reviewing audited annual financial statements, in conjunction with the report of the external auditor, and obtaining an explanation from management of all significant variances between comparative reporting periods;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(f)reviewing the post-audit or management letter, containing the recommendations of the external auditor, and management’s response and subsequent follow up to any identified weakness;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(g)reviewing interim unaudited financial statements before release to the public;</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(h)reviewing all public disclosure documents containing audited or unaudited financial information before release, including any prospectus, the annual report and management’s discussion and analysis;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(i)reviewing the evaluation of internal controls by the external auditor, together with management’s response;</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(j)reviewing the terms of reference of the internal auditor, if any;</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(k)reviewing the reports issued by the internal auditor, if any, and management’s response and subsequent follow up to any identified weaknesses; and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(l)reviewing the appointments of the chief financial officer and any key financial executives involved in the financial reporting process, as applicable.</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3.The Committee shall pre-approve all non-audit services to be provided to the Corporation or its subsidiary entities by the issuer’s external auditor.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4.The Committee shall review the Corporation’s financial statements, MD&amp;A, and annual and interim earnings press releases before the Corporation publicly discloses this information.</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5.The Committee shall ensure that adequate procedures are in place for the review of the Corporation’s public disclosure of financial information extracted or derived from the Corporation’s financial statements, and shall periodically assess the adequacy of those procedures.</w:t>
      </w:r>
      <w:r>
        <w:br w:type="page"/>
      </w:r>
    </w:p>
    <w:p>
      <w:pPr>
        <w:pStyle w:val="TextBody"/>
        <w:spacing w:before="0" w:after="20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692265" cy="744220"/>
                <wp:effectExtent l="0" t="0" r="0" b="0"/>
                <wp:wrapNone/>
                <wp:docPr id="109" name="Frame105"/>
                <a:graphic xmlns:a="http://schemas.openxmlformats.org/drawingml/2006/main">
                  <a:graphicData uri="http://schemas.microsoft.com/office/word/2010/wordprocessingShape">
                    <wps:wsp>
                      <wps:cNvSpPr txBox="1"/>
                      <wps:spPr>
                        <a:xfrm>
                          <a:off x="0" y="0"/>
                          <a:ext cx="6692265" cy="744220"/>
                        </a:xfrm>
                        <a:prstGeom prst="rect"/>
                      </wps:spPr>
                      <wps:txb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A-3</w:t>
                      </w:r>
                    </w:p>
                    <w:p>
                      <w:pPr>
                        <w:pStyle w:val="TextBody"/>
                        <w:spacing w:before="0" w:after="0"/>
                        <w:jc w:val="center"/>
                        <w:rPr/>
                      </w:pPr>
                      <w:r>
                        <w:rPr/>
                      </w:r>
                    </w:p>
                  </w:txbxContent>
                </v:textbox>
              </v:rect>
            </w:pict>
          </mc:Fallback>
        </mc:AlternateConten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6.When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7.The Committee shall review all reportable events, including disagreements, unresolved issues and consultations, as defined in National Instrument 51-102, on a routine basis, whether or not there is to be a change of auditor.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8.The Committee shall, as applicable, establish procedures for: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receipt, retention and treatment of complaints received by the issuer regarding accounting, internal accounting controls, or auditing matters; and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confidential, anonymous submission by employees of the issuer of concerns regarding questionable accounting or auditing matters.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9.As applicable, the Committee shall establish, periodically review and approve the Corporation’s hiring policies regarding partners, employees and former partners and employees of the present and former external auditor of the issuer.</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10.The responsibilities outlined in this Charter are not intended to be exhaustive. Members should consider any additional areas which may require oversight when discharging their responsibilities.</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1.4De Minimis Non-Audit Services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shall satisfy the pre-approval requirement in subsection (2.3(3)) if:</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Corporation or the subsidiary of the Corporation, as the case may be, did not recognize the services as non-audit services at the time of the engagement; and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 services are promptly brought to the attention of the Committee and approved by the Committee or by one or more of its Members to whom authority to grant such approvals has been delegated by the Committee, prior to the completion of the audit.</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1.5Delegation of Pre-Approval Function</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1.The Committee may delegate to one or more independent Members the authority to pre-approve non-audit services in satisfaction of the requirement in subsection (2.3(3)).</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2.The pre-approval of non-audit services by any Member to whom authority has been delegated pursuant to subsection (2.5(1)) must be presented to the Committee at its first scheduled meeting following such pre-approval.</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Part 3</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1.1Composition</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1.The Committee shall be composed of a minimum of three Members.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2.Every Member shall be a director of the issuer.</w:t>
      </w:r>
      <w:r>
        <w:br w:type="page"/>
      </w:r>
    </w:p>
    <w:p>
      <w:pPr>
        <w:pStyle w:val="TextBody"/>
        <w:spacing w:before="0" w:after="20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692265" cy="744220"/>
                <wp:effectExtent l="0" t="0" r="0" b="0"/>
                <wp:wrapNone/>
                <wp:docPr id="110" name="Frame106"/>
                <a:graphic xmlns:a="http://schemas.openxmlformats.org/drawingml/2006/main">
                  <a:graphicData uri="http://schemas.microsoft.com/office/word/2010/wordprocessingShape">
                    <wps:wsp>
                      <wps:cNvSpPr txBox="1"/>
                      <wps:spPr>
                        <a:xfrm>
                          <a:off x="0" y="0"/>
                          <a:ext cx="6692265" cy="744220"/>
                        </a:xfrm>
                        <a:prstGeom prst="rect"/>
                      </wps:spPr>
                      <wps:txb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A-4</w:t>
                      </w:r>
                    </w:p>
                    <w:p>
                      <w:pPr>
                        <w:pStyle w:val="TextBody"/>
                        <w:spacing w:before="0" w:after="0"/>
                        <w:jc w:val="center"/>
                        <w:rPr/>
                      </w:pPr>
                      <w:r>
                        <w:rPr/>
                      </w:r>
                    </w:p>
                  </w:txbxContent>
                </v:textbox>
              </v:rect>
            </w:pict>
          </mc:Fallback>
        </mc:AlternateConten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3.Every Member shall be independent.</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4.Every Member shall be financially literate.</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5.The board of directors of the Corporation shall appoint or re-appoint the Members after each annual meeting of shareholders of the Corporation.</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Part 4</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1.1Authority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Until the replacement of this Charter, the Committee shall have the authority to:</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(a)engage independent counsel and other advisors as it determines necessary to carry out its duties;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(b)set and pay the compensation for any advisors employed by the Committee;</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(c)communicate directly with the internal and external auditors; and</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(d)recommend the amendment or approval of audited and interim financial statements to the board of directors.</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Part 5</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1.1Required Disclosure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Corporation must include in its Annual Information Form the disclosure required by Form 52-110F1.</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1.2Disclosure in Information Circular</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Part 6</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1.1Meetings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1.Meetings of the Committee shall be scheduled to take place at regular intervals and, in any event, not less frequently than quarterly.</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2.Opportunities shall be afforded periodically to the external auditor, the internal auditor and to members of senior management to meet separately with the Members.</w:t>
      </w:r>
    </w:p>
    <w:p>
      <w:pPr>
        <w:pStyle w:val="TextBody"/>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3.Minutes shall be kept of all meetings of the Committee.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692265" cy="744220"/>
                <wp:effectExtent l="0" t="0" r="0" b="0"/>
                <wp:wrapNone/>
                <wp:docPr id="111" name="Frame107"/>
                <a:graphic xmlns:a="http://schemas.openxmlformats.org/drawingml/2006/main">
                  <a:graphicData uri="http://schemas.microsoft.com/office/word/2010/wordprocessingShape">
                    <wps:wsp>
                      <wps:cNvSpPr txBox="1"/>
                      <wps:spPr>
                        <a:xfrm>
                          <a:off x="0" y="0"/>
                          <a:ext cx="6692265" cy="744220"/>
                        </a:xfrm>
                        <a:prstGeom prst="rect"/>
                      </wps:spPr>
                      <wps:txb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3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A-5</w:t>
                      </w:r>
                    </w:p>
                    <w:p>
                      <w:pPr>
                        <w:pStyle w:val="TextBody"/>
                        <w:spacing w:before="0" w:after="0"/>
                        <w:jc w:val="center"/>
                        <w:rPr/>
                      </w:pPr>
                      <w:r>
                        <w:rPr/>
                      </w:r>
                    </w:p>
                  </w:txbxContent>
                </v:textbox>
              </v:rect>
            </w:pict>
          </mc:Fallback>
        </mc:AlternateContent>
      </w:r>
    </w:p>
    <w:p>
      <w:pPr>
        <w:pStyle w:val="TextBody"/>
        <w:spacing w:before="0" w:after="20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1714500" cy="990600"/>
            <wp:effectExtent l="0" t="0" r="0" b="0"/>
            <wp:docPr id="1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 descr=""/>
                    <pic:cNvPicPr>
                      <a:picLocks noChangeAspect="1" noChangeArrowheads="1"/>
                    </pic:cNvPicPr>
                  </pic:nvPicPr>
                  <pic:blipFill>
                    <a:blip r:embed="rId6"/>
                    <a:stretch>
                      <a:fillRect/>
                    </a:stretch>
                  </pic:blipFill>
                  <pic:spPr bwMode="auto">
                    <a:xfrm>
                      <a:off x="0" y="0"/>
                      <a:ext cx="1714500" cy="990600"/>
                    </a:xfrm>
                    <a:prstGeom prst="rect">
                      <a:avLst/>
                    </a:prstGeom>
                  </pic:spPr>
                </pic:pic>
              </a:graphicData>
            </a:graphic>
          </wp:inline>
        </w:drawing>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center"/>
        <w:rPr>
          <w:rFonts w:ascii="Calibri;sans-serif" w:hAnsi="Calibri;sans-serif"/>
          <w:b/>
          <w:color w:val="000000"/>
          <w:sz w:val="48"/>
        </w:rPr>
      </w:pPr>
      <w:r>
        <w:rPr>
          <w:rFonts w:ascii="Calibri;sans-serif" w:hAnsi="Calibri;sans-serif"/>
          <w:b/>
          <w:color w:val="000000"/>
          <w:sz w:val="48"/>
        </w:rPr>
        <w:t>CYBIN INC.</w:t>
      </w:r>
    </w:p>
    <w:p>
      <w:pPr>
        <w:pStyle w:val="TextBody"/>
        <w:spacing w:lineRule="auto" w:line="288" w:before="200" w:after="283"/>
        <w:jc w:val="center"/>
        <w:rPr>
          <w:rFonts w:ascii="Calibri;sans-serif" w:hAnsi="Calibri;sans-serif"/>
          <w:b/>
          <w:color w:val="000000"/>
          <w:sz w:val="28"/>
        </w:rPr>
      </w:pPr>
      <w:r>
        <w:rPr>
          <w:rFonts w:ascii="Calibri;sans-serif" w:hAnsi="Calibri;sans-serif"/>
          <w:b/>
          <w:color w:val="000000"/>
          <w:sz w:val="28"/>
        </w:rPr>
        <w:t xml:space="preserve">CONSOLIDATED FINANCIAL STATEMENTS </w:t>
      </w:r>
    </w:p>
    <w:p>
      <w:pPr>
        <w:pStyle w:val="TextBody"/>
        <w:spacing w:lineRule="auto" w:line="288" w:before="200" w:after="283"/>
        <w:jc w:val="center"/>
        <w:rPr>
          <w:rFonts w:ascii="Calibri;sans-serif" w:hAnsi="Calibri;sans-serif"/>
          <w:b/>
          <w:color w:val="000000"/>
          <w:sz w:val="28"/>
        </w:rPr>
      </w:pPr>
      <w:r>
        <w:rPr>
          <w:rFonts w:ascii="Calibri;sans-serif" w:hAnsi="Calibri;sans-serif"/>
          <w:b/>
          <w:color w:val="000000"/>
          <w:sz w:val="28"/>
        </w:rPr>
        <w:t>MARCH 31, 2023 AND 2022</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692265" cy="175260"/>
                <wp:effectExtent l="0" t="0" r="0" b="0"/>
                <wp:wrapNone/>
                <wp:docPr id="113" name="Frame10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both"/>
        <w:rPr>
          <w:rFonts w:ascii="Calibri;sans-serif" w:hAnsi="Calibri;sans-serif"/>
          <w:b/>
          <w:color w:val="000000"/>
          <w:sz w:val="24"/>
        </w:rPr>
      </w:pPr>
      <w:r>
        <w:rPr>
          <w:rFonts w:ascii="Calibri;sans-serif" w:hAnsi="Calibri;sans-serif"/>
          <w:b/>
          <w:color w:val="000000"/>
          <w:sz w:val="24"/>
        </w:rPr>
        <w:t>Responsibility for Consolidated Financial Statements</w:t>
      </w:r>
    </w:p>
    <w:p>
      <w:pPr>
        <w:pStyle w:val="TextBody"/>
        <w:spacing w:before="0" w:after="0"/>
        <w:rPr/>
      </w:pPr>
      <w:r>
        <w:rPr/>
      </w:r>
    </w:p>
    <w:p>
      <w:pPr>
        <w:pStyle w:val="TextBody"/>
        <w:spacing w:lineRule="auto" w:line="276" w:before="0" w:after="0"/>
        <w:jc w:val="both"/>
        <w:rPr>
          <w:rFonts w:ascii="Calibri;sans-serif" w:hAnsi="Calibri;sans-serif"/>
          <w:b w:val="false"/>
          <w:color w:val="000000"/>
          <w:sz w:val="24"/>
        </w:rPr>
      </w:pPr>
      <w:r>
        <w:rPr>
          <w:rFonts w:ascii="Calibri;sans-serif" w:hAnsi="Calibri;sans-serif"/>
          <w:b w:val="false"/>
          <w:color w:val="000000"/>
          <w:sz w:val="24"/>
        </w:rPr>
        <w:t>The Company’s management is responsible for the integrity and fairness of presentation of these consolidated financial statements. The consolidated financial statements have been prepared by management, in accordance with International Financial Reporting Standards as issued by the International Accounting Standards Board, for approval by the Board of Directors.</w:t>
      </w:r>
    </w:p>
    <w:p>
      <w:pPr>
        <w:pStyle w:val="TextBody"/>
        <w:spacing w:before="0" w:after="0"/>
        <w:jc w:val="both"/>
        <w:rPr/>
      </w:pPr>
      <w:r>
        <w:rPr/>
      </w:r>
    </w:p>
    <w:p>
      <w:pPr>
        <w:pStyle w:val="TextBody"/>
        <w:spacing w:lineRule="auto" w:line="276" w:before="0" w:after="0"/>
        <w:jc w:val="both"/>
        <w:rPr>
          <w:rFonts w:ascii="Calibri;sans-serif" w:hAnsi="Calibri;sans-serif"/>
          <w:b w:val="false"/>
          <w:color w:val="000000"/>
          <w:sz w:val="24"/>
        </w:rPr>
      </w:pPr>
      <w:r>
        <w:rPr>
          <w:rFonts w:ascii="Calibri;sans-serif" w:hAnsi="Calibri;sans-serif"/>
          <w:b w:val="false"/>
          <w:color w:val="000000"/>
          <w:sz w:val="24"/>
        </w:rPr>
        <w:t>Where necessary, management has made judgements and estimates in preparing the consolidated financial statements and such statements have been prepared within acceptable limits of materiality. Management maintains a system of internal accounting controls to ensure, on a reasonable and cost-effective basis, that the financial information is timely reported and is accurate and reliable in all material respects and that the Company’s assets are appropriately accounted for and adequately safeguarded.</w:t>
      </w:r>
    </w:p>
    <w:p>
      <w:pPr>
        <w:pStyle w:val="TextBody"/>
        <w:spacing w:before="0" w:after="0"/>
        <w:jc w:val="both"/>
        <w:rPr/>
      </w:pPr>
      <w:r>
        <w:rPr/>
      </w:r>
    </w:p>
    <w:p>
      <w:pPr>
        <w:pStyle w:val="TextBody"/>
        <w:spacing w:lineRule="auto" w:line="276" w:before="0" w:after="0"/>
        <w:jc w:val="both"/>
        <w:rPr>
          <w:rFonts w:ascii="Calibri;sans-serif" w:hAnsi="Calibri;sans-serif"/>
          <w:b w:val="false"/>
          <w:color w:val="000000"/>
          <w:sz w:val="24"/>
        </w:rPr>
      </w:pPr>
      <w:r>
        <w:rPr>
          <w:rFonts w:ascii="Calibri;sans-serif" w:hAnsi="Calibri;sans-serif"/>
          <w:b w:val="false"/>
          <w:color w:val="000000"/>
          <w:sz w:val="24"/>
        </w:rPr>
        <w:t>A firm of independent Chartered Professional Accountants, Zeifmans LLP, appointed by the shareholders, audited the consolidated financial statements in accordance with Canadian generally accepted auditing standards and provided an independent professional opinion on the consolidated financial statements.</w:t>
      </w:r>
    </w:p>
    <w:p>
      <w:pPr>
        <w:pStyle w:val="TextBody"/>
        <w:spacing w:before="0" w:after="0"/>
        <w:rPr/>
      </w:pPr>
      <w:r>
        <w:rPr/>
      </w:r>
    </w:p>
    <w:p>
      <w:pPr>
        <w:pStyle w:val="TextBody"/>
        <w:spacing w:lineRule="auto" w:line="240" w:before="400" w:after="283"/>
        <w:ind w:left="0" w:right="0" w:hanging="5760"/>
        <w:rPr>
          <w:rFonts w:ascii="Calibri;sans-serif" w:hAnsi="Calibri;sans-serif"/>
          <w:b w:val="false"/>
          <w:i/>
          <w:color w:val="000000"/>
          <w:sz w:val="24"/>
          <w:u w:val="single"/>
        </w:rPr>
      </w:pPr>
      <w:r>
        <w:rPr>
          <w:rFonts w:ascii="Calibri;sans-serif" w:hAnsi="Calibri;sans-serif"/>
          <w:b w:val="false"/>
          <w:i/>
          <w:color w:val="000000"/>
          <w:sz w:val="24"/>
          <w:u w:val="single"/>
        </w:rPr>
        <w:t>/s/ Doug Drysdale</w:t>
      </w:r>
    </w:p>
    <w:p>
      <w:pPr>
        <w:pStyle w:val="TextBody"/>
        <w:spacing w:lineRule="auto" w:line="276" w:before="0" w:after="0"/>
        <w:jc w:val="both"/>
        <w:rPr>
          <w:rFonts w:ascii="Calibri;sans-serif" w:hAnsi="Calibri;sans-serif"/>
          <w:b w:val="false"/>
          <w:color w:val="000000"/>
          <w:sz w:val="24"/>
        </w:rPr>
      </w:pPr>
      <w:r>
        <w:rPr>
          <w:rFonts w:ascii="Calibri;sans-serif" w:hAnsi="Calibri;sans-serif"/>
          <w:b w:val="false"/>
          <w:color w:val="000000"/>
          <w:sz w:val="24"/>
        </w:rPr>
        <w:t xml:space="preserve">Chief Executive Officer </w:t>
      </w:r>
    </w:p>
    <w:p>
      <w:pPr>
        <w:pStyle w:val="TextBody"/>
        <w:spacing w:lineRule="auto" w:line="276" w:before="0" w:after="0"/>
        <w:jc w:val="both"/>
        <w:rPr>
          <w:rFonts w:ascii="Calibri;sans-serif" w:hAnsi="Calibri;sans-serif"/>
          <w:b w:val="false"/>
          <w:color w:val="000000"/>
          <w:sz w:val="24"/>
        </w:rPr>
      </w:pPr>
      <w:r>
        <w:rPr>
          <w:rFonts w:ascii="Calibri;sans-serif" w:hAnsi="Calibri;sans-serif"/>
          <w:b w:val="false"/>
          <w:color w:val="000000"/>
          <w:sz w:val="24"/>
        </w:rPr>
        <w:t>June 27,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692265" cy="175260"/>
                <wp:effectExtent l="0" t="0" r="0" b="0"/>
                <wp:wrapNone/>
                <wp:docPr id="114" name="Frame10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drawing>
          <wp:inline distT="0" distB="63500" distL="0" distR="0">
            <wp:extent cx="1781175" cy="476250"/>
            <wp:effectExtent l="0" t="0" r="0" b="0"/>
            <wp:docPr id="1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 descr=""/>
                    <pic:cNvPicPr>
                      <a:picLocks noChangeAspect="1" noChangeArrowheads="1"/>
                    </pic:cNvPicPr>
                  </pic:nvPicPr>
                  <pic:blipFill>
                    <a:blip r:embed="rId7"/>
                    <a:stretch>
                      <a:fillRect/>
                    </a:stretch>
                  </pic:blipFill>
                  <pic:spPr bwMode="auto">
                    <a:xfrm>
                      <a:off x="0" y="0"/>
                      <a:ext cx="1781175" cy="476250"/>
                    </a:xfrm>
                    <a:prstGeom prst="rect">
                      <a:avLst/>
                    </a:prstGeom>
                  </pic:spPr>
                </pic:pic>
              </a:graphicData>
            </a:graphic>
          </wp:inline>
        </w:drawing>
      </w:r>
    </w:p>
    <w:p>
      <w:pPr>
        <w:pStyle w:val="TextBody"/>
        <w:spacing w:lineRule="auto" w:line="25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INDEPENDENT AUDITORS’ REPORT</w:t>
      </w:r>
    </w:p>
    <w:p>
      <w:pPr>
        <w:pStyle w:val="TextBody"/>
        <w:spacing w:before="0" w:after="0"/>
        <w:rPr/>
      </w:pPr>
      <w:r>
        <w:rPr/>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of Cybin Inc.</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consolidated financial statements of Cybin Inc. and its subsidiaries (together, the “Company”), which comprise the consolidated statements of financial position as at March 31, 2023 and 2022, and the consolidated statements of loss and comprehensive loss, changes in shareholders’ equity and cash flows for the year then ended, and notes to the consolidated financial statements, including a summary of significant accounting policies.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accompanying consolidated financial statements present fairly, in all material respects, the consolidated financial position of the Company as at March 31, 2023 and 2022 and its consolidated financial performance and its consolidated cash flows for the year then ended in accordance with International Financial Reporting Standards (“IFRS”) as issued by the International Accounting Standards Board.</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We conducted our audits in accordance with Canadian generally accepted auditing standards (“GAAS”). Our responsibilities under those standards are further described in the </w:t>
      </w:r>
      <w:r>
        <w:rPr>
          <w:rFonts w:ascii="Times New Roman;sans-serif" w:hAnsi="Times New Roman;sans-serif"/>
          <w:b w:val="false"/>
          <w:i/>
          <w:color w:val="000000"/>
          <w:sz w:val="20"/>
        </w:rPr>
        <w:t xml:space="preserve">Auditors’ Responsibilities for the Audits of the Consolidated Financial Statements </w:t>
      </w:r>
      <w:r>
        <w:rPr>
          <w:rFonts w:ascii="Times New Roman;sans-serif" w:hAnsi="Times New Roman;sans-serif"/>
          <w:b w:val="false"/>
          <w:color w:val="000000"/>
          <w:sz w:val="20"/>
        </w:rPr>
        <w:t>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Material Uncertainty Related to Going Concern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draw attention to Note 1 of the consolidated financial statements which indicates that the Company’s operations do no generate cash flow and, as at March 31, 2023, the Company had cumulative deficit of $148,151,000 (2022 - $100,661,000), cash of $16,633,000 (2022 - $53,641,000) and working capital of $17,522,000 (2022 - $50,447,000), and a net loss of $47,490,000 (2022 - $67,631,000) and negative cash flows from operations of $47,431,000 (2022 - $45,207,000) for the year then ended. As stated in Note 1, these events or conditions, along with other matters as set forth in Note 1, indicate that a material uncertainty exits that may cast doubt on the Company’s ability to continue as a going concern. Our opinion is not modified in respect of this matter. </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Key Audit Matters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Key audit matters are those matters that, in our professional judgment, were of most significance in our audit of the consolidated financial statements as at and for the year ended March 31, 2023. These matters were addressed in the context of our audits of the consolidated financial statements as a whole, and in forming our opinion thereon, and we do not provide a separate opinion on these matters.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matter described in the Material Uncertainty Related to Going concern section, we have determined the matter described below to be the key audit matter to be communicated in our report.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606425"/>
                <wp:effectExtent l="0" t="0" r="0" b="0"/>
                <wp:wrapNone/>
                <wp:docPr id="116" name="Frame110"/>
                <a:graphic xmlns:a="http://schemas.openxmlformats.org/drawingml/2006/main">
                  <a:graphicData uri="http://schemas.microsoft.com/office/word/2010/wordprocessingShape">
                    <wps:wsp>
                      <wps:cNvSpPr txBox="1"/>
                      <wps:spPr>
                        <a:xfrm>
                          <a:off x="0" y="0"/>
                          <a:ext cx="6692265" cy="606425"/>
                        </a:xfrm>
                        <a:prstGeom prst="rect"/>
                      </wps:spPr>
                      <wps:txbx>
                        <w:txbxContent>
                          <w:p>
                            <w:pPr>
                              <w:pStyle w:val="TextBody"/>
                              <w:spacing w:before="0" w:after="0"/>
                              <w:rPr/>
                            </w:pPr>
                            <w:r>
                              <w:rPr/>
                              <w:drawing>
                                <wp:inline distT="0" distB="63500" distL="0" distR="0">
                                  <wp:extent cx="5943600" cy="542925"/>
                                  <wp:effectExtent l="0" t="0" r="0" b="0"/>
                                  <wp:docPr id="1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 descr=""/>
                                          <pic:cNvPicPr>
                                            <a:picLocks noChangeAspect="1" noChangeArrowheads="1"/>
                                          </pic:cNvPicPr>
                                        </pic:nvPicPr>
                                        <pic:blipFill>
                                          <a:blip r:embed="rId8"/>
                                          <a:stretch>
                                            <a:fillRect/>
                                          </a:stretch>
                                        </pic:blipFill>
                                        <pic:spPr bwMode="auto">
                                          <a:xfrm>
                                            <a:off x="0" y="0"/>
                                            <a:ext cx="5943600" cy="5429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5943600" cy="542925"/>
                            <wp:effectExtent l="0" t="0" r="0" b="0"/>
                            <wp:docPr id="1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 descr=""/>
                                    <pic:cNvPicPr>
                                      <a:picLocks noChangeAspect="1" noChangeArrowheads="1"/>
                                    </pic:cNvPicPr>
                                  </pic:nvPicPr>
                                  <pic:blipFill>
                                    <a:blip r:embed="rId8"/>
                                    <a:stretch>
                                      <a:fillRect/>
                                    </a:stretch>
                                  </pic:blipFill>
                                  <pic:spPr bwMode="auto">
                                    <a:xfrm>
                                      <a:off x="0" y="0"/>
                                      <a:ext cx="5943600" cy="542925"/>
                                    </a:xfrm>
                                    <a:prstGeom prst="rect">
                                      <a:avLst/>
                                    </a:prstGeom>
                                  </pic:spPr>
                                </pic:pic>
                              </a:graphicData>
                            </a:graphic>
                          </wp:inline>
                        </w:drawing>
                      </w:r>
                    </w:p>
                  </w:txbxContent>
                </v:textbox>
              </v:rect>
            </w:pict>
          </mc:Fallback>
        </mc:AlternateContent>
      </w:r>
    </w:p>
    <w:p>
      <w:pPr>
        <w:pStyle w:val="TextBody"/>
        <w:spacing w:before="0" w:after="0"/>
        <w:rPr/>
      </w:pPr>
      <w:r>
        <w:rPr/>
        <w:drawing>
          <wp:inline distT="0" distB="63500" distL="0" distR="0">
            <wp:extent cx="1781175" cy="476250"/>
            <wp:effectExtent l="0" t="0" r="0" b="0"/>
            <wp:docPr id="1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 descr=""/>
                    <pic:cNvPicPr>
                      <a:picLocks noChangeAspect="1" noChangeArrowheads="1"/>
                    </pic:cNvPicPr>
                  </pic:nvPicPr>
                  <pic:blipFill>
                    <a:blip r:embed="rId9"/>
                    <a:stretch>
                      <a:fillRect/>
                    </a:stretch>
                  </pic:blipFill>
                  <pic:spPr bwMode="auto">
                    <a:xfrm>
                      <a:off x="0" y="0"/>
                      <a:ext cx="1781175" cy="476250"/>
                    </a:xfrm>
                    <a:prstGeom prst="rect">
                      <a:avLst/>
                    </a:prstGeom>
                  </pic:spPr>
                </pic:pic>
              </a:graphicData>
            </a:graphic>
          </wp:inline>
        </w:drawing>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2799"/>
        <w:gridCol w:w="2461"/>
        <w:gridCol w:w="2343"/>
        <w:gridCol w:w="1021"/>
        <w:gridCol w:w="791"/>
        <w:gridCol w:w="1124"/>
      </w:tblGrid>
      <w:tr>
        <w:trPr/>
        <w:tc>
          <w:tcPr>
            <w:tcW w:w="2799"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234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7603" w:type="dxa"/>
            <w:gridSpan w:val="3"/>
            <w:tcBorders>
              <w:top w:val="single" w:sz="8" w:space="0" w:color="C5E0B3"/>
              <w:left w:val="single" w:sz="8" w:space="0" w:color="C5E0B3"/>
            </w:tcBorders>
            <w:shd w:fill="C5E0B3" w:val="clear"/>
            <w:tcMar>
              <w:top w:w="30" w:type="dxa"/>
              <w:bottom w:w="0" w:type="dxa"/>
              <w:right w:w="0" w:type="dxa"/>
            </w:tcMar>
            <w:vAlign w:val="center"/>
          </w:tcPr>
          <w:p>
            <w:pPr>
              <w:pStyle w:val="TableContents"/>
              <w:spacing w:lineRule="auto" w:line="268" w:before="0" w:after="0"/>
              <w:jc w:val="both"/>
              <w:rPr>
                <w:rFonts w:ascii="Times New Roman;sans-serif" w:hAnsi="Times New Roman;sans-serif"/>
                <w:b/>
                <w:color w:val="FFFFFF"/>
                <w:sz w:val="20"/>
              </w:rPr>
            </w:pPr>
            <w:r>
              <w:rPr>
                <w:rFonts w:ascii="Times New Roman;sans-serif" w:hAnsi="Times New Roman;sans-serif"/>
                <w:b/>
                <w:color w:val="FFFFFF"/>
                <w:sz w:val="20"/>
              </w:rPr>
              <w:t>Key audit matter</w:t>
            </w:r>
          </w:p>
        </w:tc>
        <w:tc>
          <w:tcPr>
            <w:tcW w:w="2936" w:type="dxa"/>
            <w:gridSpan w:val="3"/>
            <w:tcBorders>
              <w:top w:val="single" w:sz="8" w:space="0" w:color="C5E0B3"/>
              <w:left w:val="single" w:sz="8" w:space="0" w:color="C5E0B3"/>
              <w:right w:val="single" w:sz="8" w:space="0" w:color="C5E0B3"/>
            </w:tcBorders>
            <w:shd w:fill="C5E0B3" w:val="clear"/>
            <w:tcMar>
              <w:top w:w="30" w:type="dxa"/>
              <w:bottom w:w="0" w:type="dxa"/>
            </w:tcMar>
            <w:vAlign w:val="center"/>
          </w:tcPr>
          <w:p>
            <w:pPr>
              <w:pStyle w:val="TableContents"/>
              <w:spacing w:lineRule="auto" w:line="268" w:before="0" w:after="0"/>
              <w:jc w:val="both"/>
              <w:rPr>
                <w:rFonts w:ascii="Times New Roman;sans-serif" w:hAnsi="Times New Roman;sans-serif"/>
                <w:b/>
                <w:color w:val="FFFFFF"/>
                <w:sz w:val="20"/>
              </w:rPr>
            </w:pPr>
            <w:r>
              <w:rPr>
                <w:rFonts w:ascii="Times New Roman;sans-serif" w:hAnsi="Times New Roman;sans-serif"/>
                <w:b/>
                <w:color w:val="FFFFFF"/>
                <w:sz w:val="20"/>
              </w:rPr>
              <w:t>How our audit addressed the key audit matter</w:t>
            </w:r>
          </w:p>
        </w:tc>
      </w:tr>
      <w:tr>
        <w:trPr/>
        <w:tc>
          <w:tcPr>
            <w:tcW w:w="7603" w:type="dxa"/>
            <w:gridSpan w:val="3"/>
            <w:tcBorders>
              <w:top w:val="single" w:sz="8" w:space="0" w:color="A8D08D"/>
              <w:left w:val="single" w:sz="8" w:space="0" w:color="C5E0B3"/>
              <w:bottom w:val="single" w:sz="8" w:space="0" w:color="C5E0B3"/>
            </w:tcBorders>
            <w:shd w:fill="auto" w:val="clear"/>
            <w:tcMar>
              <w:top w:w="30" w:type="dxa"/>
              <w:bottom w:w="30" w:type="dxa"/>
              <w:right w:w="0" w:type="dxa"/>
            </w:tcMar>
            <w:vAlign w:val="center"/>
          </w:tcPr>
          <w:p>
            <w:pPr>
              <w:pStyle w:val="TableContents"/>
              <w:spacing w:lineRule="auto" w:line="268" w:before="0" w:after="0"/>
              <w:jc w:val="both"/>
              <w:rPr>
                <w:rFonts w:ascii="Times New Roman;sans-serif" w:hAnsi="Times New Roman;sans-serif"/>
                <w:b/>
                <w:color w:val="A8D08D"/>
                <w:sz w:val="20"/>
              </w:rPr>
            </w:pPr>
            <w:r>
              <w:rPr>
                <w:rFonts w:ascii="Times New Roman;sans-serif" w:hAnsi="Times New Roman;sans-serif"/>
                <w:b/>
                <w:color w:val="A8D08D"/>
                <w:sz w:val="20"/>
              </w:rPr>
              <w:t>Assessment of Impairment of goodwill and intangible assets</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Refer to note 2 – Summary of Significant accounting policies, note – Intangible assets and note 7 – Goodwill</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IAS 36, Impairment of Assets, management is required to test goodwill and intangible assets not yet available for use for impairment annually, or when facts and circumstances suggest they may be impaired. Goodwill arising from business combinations is allocated to each of the Company’s cash-generating units (“CGU”) that is expected to benefit from the synergies of the combination. The recoverable amount of the CGU to which the goodwill and intangible assets have been allocated is tested for impairment at the same time every year. As at March 31, 2023 the Company had goodwill of $24.8 million and intangible assets of $5.5 million before the impairment test. The annual impairment test has been performed as of March 31, 2023, and as a result no impairment was recognized. </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 of the impairment test, the recoverable amount of the Company’s CGU has been determined by management based on an assessment of its value in use following a discounted cash flow approach over a period of thirteen years. Management made certain assumptions in determining the cash flow projections based on its internally approved budgets and include management’s best estimates of expected market conditions. The future cash flows used in the model are inherently uncertain and could materially change over time as a result of changes to the key assumptions estimated by management, revenue growth, discount rate, terminal growth rate, costs, future tax, risk premiums applicable to the CGU’s operations and future capital expenditure. </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considered this a key audit matter due to the subjectivity and complexity in performing procedures to test the key assumptions used by management in determining the recoverable amount of the Company’s CGU, which involved significant judgment from management. </w:t>
            </w:r>
          </w:p>
          <w:p>
            <w:pPr>
              <w:pStyle w:val="TableContents"/>
              <w:spacing w:before="0" w:after="0"/>
              <w:jc w:val="both"/>
              <w:rPr/>
            </w:pPr>
            <w:r>
              <w:rPr/>
            </w:r>
          </w:p>
        </w:tc>
        <w:tc>
          <w:tcPr>
            <w:tcW w:w="2936" w:type="dxa"/>
            <w:gridSpan w:val="3"/>
            <w:tcBorders>
              <w:top w:val="single" w:sz="8" w:space="0" w:color="A8D08D"/>
              <w:left w:val="single" w:sz="8" w:space="0" w:color="C5E0B3"/>
              <w:bottom w:val="single" w:sz="8" w:space="0" w:color="C5E0B3"/>
              <w:right w:val="single" w:sz="8" w:space="0" w:color="C5E0B3"/>
            </w:tcBorders>
            <w:shd w:fill="auto" w:val="clear"/>
            <w:tcMar>
              <w:top w:w="30" w:type="dxa"/>
              <w:bottom w:w="3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approach to addressing the matter included the following procedures, among others:</w:t>
            </w:r>
          </w:p>
          <w:p>
            <w:pPr>
              <w:pStyle w:val="TableContents"/>
              <w:spacing w:lineRule="auto" w:line="268" w:before="0" w:after="0"/>
              <w:ind w:left="0" w:right="0" w:hanging="180"/>
              <w:jc w:val="both"/>
              <w:rPr/>
            </w:pPr>
            <w:r>
              <w:rPr>
                <w:color w:val="000000"/>
              </w:rPr>
              <w:t>•</w:t>
            </w:r>
            <w:r>
              <w:rPr>
                <w:rFonts w:ascii="Times New Roman;sans-serif" w:hAnsi="Times New Roman;sans-serif"/>
                <w:b w:val="false"/>
                <w:color w:val="000000"/>
                <w:sz w:val="20"/>
              </w:rPr>
              <w:t>We evaluated the appropriateness of the value-in-use method and discounted cash flow projection models;</w:t>
            </w:r>
          </w:p>
          <w:p>
            <w:pPr>
              <w:pStyle w:val="TableContents"/>
              <w:spacing w:lineRule="auto" w:line="268" w:before="0" w:after="0"/>
              <w:ind w:left="0" w:right="0" w:hanging="180"/>
              <w:jc w:val="both"/>
              <w:rPr/>
            </w:pPr>
            <w:r>
              <w:rPr>
                <w:color w:val="000000"/>
              </w:rPr>
              <w:t>•</w:t>
            </w:r>
            <w:r>
              <w:rPr>
                <w:rFonts w:ascii="Times New Roman;sans-serif" w:hAnsi="Times New Roman;sans-serif"/>
                <w:b w:val="false"/>
                <w:color w:val="000000"/>
                <w:sz w:val="20"/>
              </w:rPr>
              <w:t>We reviewed the controls and methodology used to develop information for assessing the recoverable amount including the risk assessment process, and the nature and extent of oversight and governance over financial reporting;</w:t>
            </w:r>
          </w:p>
          <w:p>
            <w:pPr>
              <w:pStyle w:val="TableContents"/>
              <w:spacing w:lineRule="auto" w:line="268" w:before="0" w:after="0"/>
              <w:ind w:left="0" w:right="0" w:hanging="180"/>
              <w:jc w:val="both"/>
              <w:rPr/>
            </w:pPr>
            <w:r>
              <w:rPr>
                <w:color w:val="000000"/>
              </w:rPr>
              <w:t>•</w:t>
            </w:r>
            <w:r>
              <w:rPr>
                <w:rFonts w:ascii="Times New Roman;sans-serif" w:hAnsi="Times New Roman;sans-serif"/>
                <w:b w:val="false"/>
                <w:color w:val="000000"/>
                <w:sz w:val="20"/>
              </w:rPr>
              <w:t>We evaluated the assumptions applied to key inputs, such as forecasted revenues, gross margin, operating expenses, long-term growth rates and discount rates used by management in the discounted cash flow projection models;</w:t>
            </w:r>
          </w:p>
          <w:p>
            <w:pPr>
              <w:pStyle w:val="TableContents"/>
              <w:spacing w:lineRule="auto" w:line="268" w:before="0" w:after="0"/>
              <w:ind w:left="0" w:right="0" w:hanging="180"/>
              <w:jc w:val="both"/>
              <w:rPr/>
            </w:pPr>
            <w:r>
              <w:rPr>
                <w:color w:val="000000"/>
              </w:rPr>
              <w:t>•</w:t>
            </w:r>
            <w:r>
              <w:rPr>
                <w:rFonts w:ascii="Times New Roman;sans-serif" w:hAnsi="Times New Roman;sans-serif"/>
                <w:b w:val="false"/>
                <w:color w:val="000000"/>
                <w:sz w:val="20"/>
              </w:rPr>
              <w:t>We performed a retrospective review to compare management’s assumptions in the prior year’s expected future cash flows to the actual results to assess the Company’s budgeting process;</w:t>
            </w:r>
          </w:p>
          <w:p>
            <w:pPr>
              <w:pStyle w:val="TableContents"/>
              <w:spacing w:lineRule="auto" w:line="268" w:before="0" w:after="0"/>
              <w:ind w:left="0" w:right="0" w:hanging="180"/>
              <w:jc w:val="both"/>
              <w:rPr/>
            </w:pPr>
            <w:r>
              <w:rPr>
                <w:color w:val="000000"/>
              </w:rPr>
              <w:t>•</w:t>
            </w:r>
            <w:r>
              <w:rPr>
                <w:rFonts w:ascii="Times New Roman;sans-serif" w:hAnsi="Times New Roman;sans-serif"/>
                <w:b w:val="false"/>
                <w:color w:val="000000"/>
                <w:sz w:val="20"/>
              </w:rPr>
              <w:t>We evaluated the reasonableness of the Company’s impairment model and the discount rates by comparing the Company’s weighted average cost of capital against publicly available market data;</w:t>
            </w:r>
          </w:p>
          <w:p>
            <w:pPr>
              <w:pStyle w:val="TableContents"/>
              <w:spacing w:lineRule="auto" w:line="268" w:before="0" w:after="0"/>
              <w:ind w:left="0" w:right="0" w:hanging="180"/>
              <w:jc w:val="both"/>
              <w:rPr/>
            </w:pPr>
            <w:r>
              <w:rPr>
                <w:color w:val="000000"/>
              </w:rPr>
              <w:t>•</w:t>
            </w:r>
            <w:r>
              <w:rPr>
                <w:rFonts w:ascii="Times New Roman;sans-serif" w:hAnsi="Times New Roman;sans-serif"/>
                <w:b w:val="false"/>
                <w:color w:val="000000"/>
                <w:sz w:val="20"/>
              </w:rPr>
              <w:t>We performed sensitivity analysis in consideration of the potential impact of reasonably possible upside or downside changes in these key assumptions;</w:t>
            </w:r>
          </w:p>
          <w:p>
            <w:pPr>
              <w:pStyle w:val="TableContents"/>
              <w:spacing w:lineRule="auto" w:line="268" w:before="0" w:after="0"/>
              <w:ind w:left="0" w:right="0" w:hanging="180"/>
              <w:jc w:val="both"/>
              <w:rPr/>
            </w:pPr>
            <w:r>
              <w:rPr>
                <w:color w:val="000000"/>
              </w:rPr>
              <w:t>•</w:t>
            </w:r>
            <w:r>
              <w:rPr>
                <w:rFonts w:ascii="Times New Roman;sans-serif" w:hAnsi="Times New Roman;sans-serif"/>
                <w:b w:val="false"/>
                <w:color w:val="000000"/>
                <w:sz w:val="20"/>
              </w:rPr>
              <w:t>We tested the mathematical accuracy of management’s impairment model and supporting calculations; and</w:t>
            </w:r>
          </w:p>
          <w:p>
            <w:pPr>
              <w:pStyle w:val="TableContents"/>
              <w:spacing w:lineRule="auto" w:line="268" w:before="0" w:after="0"/>
              <w:ind w:left="0" w:right="0" w:hanging="180"/>
              <w:jc w:val="both"/>
              <w:rPr/>
            </w:pPr>
            <w:r>
              <w:rPr>
                <w:color w:val="000000"/>
              </w:rPr>
              <w:t>•</w:t>
            </w:r>
            <w:r>
              <w:rPr>
                <w:rFonts w:ascii="Times New Roman;sans-serif" w:hAnsi="Times New Roman;sans-serif"/>
                <w:b w:val="false"/>
                <w:color w:val="000000"/>
                <w:sz w:val="20"/>
              </w:rPr>
              <w:t>We assessed the appropriateness of the disclosure of the assumptions used in the impairment assessment in the notes to the consolidated financial statements.</w:t>
            </w:r>
          </w:p>
          <w:p>
            <w:pPr>
              <w:pStyle w:val="TableContents"/>
              <w:spacing w:before="0" w:after="0"/>
              <w:jc w:val="both"/>
              <w:rPr/>
            </w:pPr>
            <w:r>
              <w:rPr/>
            </w:r>
          </w:p>
          <w:p>
            <w:pPr>
              <w:pStyle w:val="TableContents"/>
              <w:spacing w:before="0" w:after="0"/>
              <w:jc w:val="both"/>
              <w:rPr/>
            </w:pPr>
            <w:r>
              <w:rPr/>
            </w:r>
          </w:p>
        </w:tc>
      </w:tr>
    </w:tbl>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692265" cy="175260"/>
                <wp:effectExtent l="0" t="0" r="0" b="0"/>
                <wp:wrapNone/>
                <wp:docPr id="120" name="Frame11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drawing>
          <wp:inline distT="0" distB="63500" distL="0" distR="0">
            <wp:extent cx="1781175" cy="476250"/>
            <wp:effectExtent l="0" t="0" r="0" b="0"/>
            <wp:docPr id="1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 descr=""/>
                    <pic:cNvPicPr>
                      <a:picLocks noChangeAspect="1" noChangeArrowheads="1"/>
                    </pic:cNvPicPr>
                  </pic:nvPicPr>
                  <pic:blipFill>
                    <a:blip r:embed="rId10"/>
                    <a:stretch>
                      <a:fillRect/>
                    </a:stretch>
                  </pic:blipFill>
                  <pic:spPr bwMode="auto">
                    <a:xfrm>
                      <a:off x="0" y="0"/>
                      <a:ext cx="1781175" cy="476250"/>
                    </a:xfrm>
                    <a:prstGeom prst="rect">
                      <a:avLst/>
                    </a:prstGeom>
                  </pic:spPr>
                </pic:pic>
              </a:graphicData>
            </a:graphic>
          </wp:inline>
        </w:drawing>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Information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other information. The other information comprises the information included in the Management Discussion and Analysis (“MD&amp;A”) but does not include the consolidated financial statements and our auditors’ report thereon.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opinion on the consolidated financial statements does not cover the MD&amp;A and we do not express any form of assurance conclusion thereon.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audits of the consolidated financial statements, our responsibility is to read the MD&amp;A identified above and, in doing so, consider whether the MD&amp;A is materially inconsistent with the consolidated financial statements or our knowledge obtained in the audits, or otherwise appears to be materially misstated.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the MD&amp;A prior to the date of this auditors’ report. If, based on the work we have performed on this MD&amp;A, we conclude that there is a material misstatement of this MD&amp;A, we are required to report that fact in this auditors’ report. We have nothing to report in this regard. </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Responsibilities of Management and Those Charged with Governance for the Consolidated Financial Statements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the preparation and fair presentation of the consolidated financial statements in accordance with IFRS, and for such internal control as management determines is necessary to enable the preparation of consolidated financial statements that are free from material misstatement, whether due to fraud or error.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preparing the consolidated financial statements, management is responsible for assessing the Company’s ability to continue as a going concern, disclosing, as applicable, matters relating to going concern and using the going concern basis of accounting unless management either intends to liquidate the Company or to cease operations, or has no realistic alternative but to do so.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Those charged with governance are responsible for overseeing the Company’s financial reporting process.</w:t>
      </w:r>
    </w:p>
    <w:p>
      <w:pPr>
        <w:pStyle w:val="TextBody"/>
        <w:spacing w:before="0" w:after="0"/>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Auditors’ Responsibilities for the Audits of the Consolidated Financial Statements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GAAS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 As part of an audit in accordance with GAAS, we exercise professional judgment and maintain professional skepticism throughout the audits. We also:</w:t>
      </w:r>
    </w:p>
    <w:p>
      <w:pPr>
        <w:pStyle w:val="TextBody"/>
        <w:spacing w:before="0" w:after="0"/>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692265" cy="175260"/>
                <wp:effectExtent l="0" t="0" r="0" b="0"/>
                <wp:wrapNone/>
                <wp:docPr id="122" name="Frame11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drawing>
          <wp:inline distT="0" distB="63500" distL="0" distR="0">
            <wp:extent cx="1781175" cy="476250"/>
            <wp:effectExtent l="0" t="0" r="0" b="0"/>
            <wp:docPr id="1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 descr=""/>
                    <pic:cNvPicPr>
                      <a:picLocks noChangeAspect="1" noChangeArrowheads="1"/>
                    </pic:cNvPicPr>
                  </pic:nvPicPr>
                  <pic:blipFill>
                    <a:blip r:embed="rId11"/>
                    <a:stretch>
                      <a:fillRect/>
                    </a:stretch>
                  </pic:blipFill>
                  <pic:spPr bwMode="auto">
                    <a:xfrm>
                      <a:off x="0" y="0"/>
                      <a:ext cx="1781175" cy="476250"/>
                    </a:xfrm>
                    <a:prstGeom prst="rect">
                      <a:avLst/>
                    </a:prstGeom>
                  </pic:spPr>
                </pic:pic>
              </a:graphicData>
            </a:graphic>
          </wp:inline>
        </w:drawing>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Obtain an understanding of internal control relevant to the audits in order to design audit procedures that are appropriate in the circumstances, but not for the purposes of expressing an opinion on the effectiveness of the Company’s internal control. </w:t>
      </w:r>
    </w:p>
    <w:p>
      <w:pPr>
        <w:pStyle w:val="TextBody"/>
        <w:spacing w:before="0" w:after="0"/>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Evaluate the appropriateness of accounting policies used and the reasonableness of accounting estimates and related disclosures made by management. </w:t>
      </w:r>
    </w:p>
    <w:p>
      <w:pPr>
        <w:pStyle w:val="TextBody"/>
        <w:spacing w:before="0" w:after="0"/>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 </w:t>
      </w:r>
    </w:p>
    <w:p>
      <w:pPr>
        <w:pStyle w:val="TextBody"/>
        <w:spacing w:before="0" w:after="0"/>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Evaluate the overall presentation, structure and content of the consolidated financial statements, including the disclosures, and whether the consolidated financial statements represent the underlying transactions and events in a manner that achieves fair presentation. </w:t>
      </w:r>
    </w:p>
    <w:p>
      <w:pPr>
        <w:pStyle w:val="TextBody"/>
        <w:spacing w:before="0" w:after="0"/>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Obtain sufficient appropriate audits evidence regarding the financial information of the entities or business activities within the Company to express an opinion on the consolidated financial statements. We are responsible for the direction, supervision and performance of the group audits. We remain solely responsible for our audit opinion.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communicate with those charged with governance regarding, among other matters, the planned scope and timing of the audits and significant audit findings, including any significant deficiencies in internal control that we identify during our audits.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From the matters communicated with those charged with governance,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r>
        <w:rPr>
          <w:color w:val="000000"/>
        </w:rPr>
        <w:t xml:space="preserve">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engagement partner on the audits resulting in this independent auditors’ report is Laurence W. Zeifman, CPA, CA. </w:t>
      </w:r>
    </w:p>
    <w:p>
      <w:pPr>
        <w:pStyle w:val="TextBody"/>
        <w:spacing w:before="0" w:after="0"/>
        <w:jc w:val="both"/>
        <w:rPr/>
      </w:pPr>
      <w:r>
        <w:rPr/>
      </w:r>
    </w:p>
    <w:p>
      <w:pPr>
        <w:pStyle w:val="TextBody"/>
        <w:spacing w:before="0" w:after="0"/>
        <w:jc w:val="right"/>
        <w:rPr/>
      </w:pPr>
      <w:r>
        <w:rPr/>
        <w:drawing>
          <wp:inline distT="0" distB="63500" distL="0" distR="0">
            <wp:extent cx="1571625" cy="390525"/>
            <wp:effectExtent l="0" t="0" r="0" b="0"/>
            <wp:docPr id="1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 descr=""/>
                    <pic:cNvPicPr>
                      <a:picLocks noChangeAspect="1" noChangeArrowheads="1"/>
                    </pic:cNvPicPr>
                  </pic:nvPicPr>
                  <pic:blipFill>
                    <a:blip r:embed="rId12"/>
                    <a:stretch>
                      <a:fillRect/>
                    </a:stretch>
                  </pic:blipFill>
                  <pic:spPr bwMode="auto">
                    <a:xfrm>
                      <a:off x="0" y="0"/>
                      <a:ext cx="1571625" cy="390525"/>
                    </a:xfrm>
                    <a:prstGeom prst="rect">
                      <a:avLst/>
                    </a:prstGeom>
                  </pic:spPr>
                </pic:pic>
              </a:graphicData>
            </a:graphic>
          </wp:inline>
        </w:drawing>
      </w:r>
    </w:p>
    <w:tbl>
      <w:tblPr>
        <w:tblW w:w="5229" w:type="dxa"/>
        <w:jc w:val="left"/>
        <w:tblInd w:w="0" w:type="dxa"/>
        <w:tblCellMar>
          <w:top w:w="28" w:type="dxa"/>
          <w:left w:w="28" w:type="dxa"/>
          <w:bottom w:w="28" w:type="dxa"/>
          <w:right w:w="28" w:type="dxa"/>
        </w:tblCellMar>
      </w:tblPr>
      <w:tblGrid>
        <w:gridCol w:w="554"/>
        <w:gridCol w:w="487"/>
        <w:gridCol w:w="489"/>
        <w:gridCol w:w="109"/>
        <w:gridCol w:w="109"/>
        <w:gridCol w:w="109"/>
        <w:gridCol w:w="109"/>
        <w:gridCol w:w="109"/>
        <w:gridCol w:w="109"/>
        <w:gridCol w:w="892"/>
        <w:gridCol w:w="892"/>
        <w:gridCol w:w="1261"/>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Toronto, Ontario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Chartered Professional Accountants</w:t>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6/27/2023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Licensed Public Accountants</w:t>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692265" cy="175260"/>
                <wp:effectExtent l="0" t="0" r="0" b="0"/>
                <wp:wrapNone/>
                <wp:docPr id="125" name="Frame11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6015" w:type="dxa"/>
        <w:jc w:val="left"/>
        <w:tblInd w:w="0" w:type="dxa"/>
        <w:tblCellMar>
          <w:top w:w="28" w:type="dxa"/>
          <w:left w:w="28" w:type="dxa"/>
          <w:bottom w:w="28" w:type="dxa"/>
          <w:right w:w="28" w:type="dxa"/>
        </w:tblCellMar>
      </w:tblPr>
      <w:tblGrid>
        <w:gridCol w:w="1925"/>
        <w:gridCol w:w="1692"/>
        <w:gridCol w:w="2398"/>
      </w:tblGrid>
      <w:tr>
        <w:trPr/>
        <w:tc>
          <w:tcPr>
            <w:tcW w:w="1925"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2398" w:type="dxa"/>
            <w:tcBorders/>
            <w:shd w:fill="auto" w:val="clear"/>
            <w:vAlign w:val="center"/>
          </w:tcPr>
          <w:p>
            <w:pPr>
              <w:pStyle w:val="TableContents"/>
              <w:spacing w:before="0" w:after="283"/>
              <w:rPr>
                <w:sz w:val="4"/>
                <w:szCs w:val="4"/>
              </w:rPr>
            </w:pPr>
            <w:r>
              <w:rPr>
                <w:sz w:val="4"/>
                <w:szCs w:val="4"/>
              </w:rPr>
            </w:r>
          </w:p>
        </w:tc>
      </w:tr>
      <w:tr>
        <w:trPr/>
        <w:tc>
          <w:tcPr>
            <w:tcW w:w="6015"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0000"/>
                <w:sz w:val="24"/>
              </w:rPr>
            </w:pPr>
            <w:r>
              <w:rPr>
                <w:rFonts w:ascii="Calibri;sans-serif" w:hAnsi="Calibri;sans-serif"/>
                <w:b/>
                <w:color w:val="000000"/>
                <w:sz w:val="24"/>
              </w:rPr>
              <w:t xml:space="preserve">CYBIN INC. </w:t>
              <w:br/>
              <w:t xml:space="preserve">CONSOLIDATED STATEMENTS OF FINANCIAL POSITION </w:t>
              <w:br/>
              <w:t>(All amounts expressed in thousands of Canadian dollars)</w:t>
            </w:r>
          </w:p>
        </w:tc>
      </w:tr>
    </w:tbl>
    <w:tbl>
      <w:tblPr>
        <w:tblW w:w="7559" w:type="dxa"/>
        <w:jc w:val="left"/>
        <w:tblInd w:w="0" w:type="dxa"/>
        <w:tblCellMar>
          <w:top w:w="28" w:type="dxa"/>
          <w:left w:w="28" w:type="dxa"/>
          <w:bottom w:w="28" w:type="dxa"/>
          <w:right w:w="28" w:type="dxa"/>
        </w:tblCellMar>
      </w:tblPr>
      <w:tblGrid>
        <w:gridCol w:w="1607"/>
        <w:gridCol w:w="1421"/>
        <w:gridCol w:w="1456"/>
        <w:gridCol w:w="180"/>
        <w:gridCol w:w="180"/>
        <w:gridCol w:w="181"/>
        <w:gridCol w:w="414"/>
        <w:gridCol w:w="414"/>
        <w:gridCol w:w="416"/>
        <w:gridCol w:w="377"/>
        <w:gridCol w:w="377"/>
        <w:gridCol w:w="536"/>
      </w:tblGrid>
      <w:tr>
        <w:trPr/>
        <w:tc>
          <w:tcPr>
            <w:tcW w:w="1607"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18"/>
              </w:rPr>
            </w:pPr>
            <w:r>
              <w:rPr>
                <w:rFonts w:ascii="Arial;sans-serif" w:hAnsi="Arial;sans-serif"/>
                <w:b/>
                <w:color w:val="000000"/>
                <w:sz w:val="18"/>
              </w:rPr>
              <w:t>As at</w:t>
            </w:r>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Notes</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March 31, 2023</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March 31, 2022</w:t>
            </w:r>
          </w:p>
        </w:tc>
      </w:tr>
      <w:tr>
        <w:trPr/>
        <w:tc>
          <w:tcPr>
            <w:tcW w:w="44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Calibri;sans-serif" w:hAnsi="Calibri;sans-serif"/>
                <w:b/>
                <w:color w:val="000000"/>
                <w:sz w:val="18"/>
              </w:rPr>
            </w:pPr>
            <w:r>
              <w:rPr>
                <w:rFonts w:ascii="Calibri;sans-serif" w:hAnsi="Calibri;sans-serif"/>
                <w:b/>
                <w:color w:val="000000"/>
                <w:sz w:val="18"/>
              </w:rPr>
              <w:t>Current</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Cash</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16,633</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53,641</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Accounts receivable</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3,050</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2,102</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Prepaid expenses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1,733</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1,271</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Calibri;sans-serif" w:hAnsi="Calibri;sans-serif"/>
                <w:b w:val="false"/>
                <w:color w:val="000000"/>
                <w:sz w:val="18"/>
              </w:rPr>
              <w:t>Other current assets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1,769</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1,341</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color w:val="000000"/>
              </w:rPr>
            </w:pPr>
            <w:r>
              <w:rPr>
                <w:color w:val="000000"/>
              </w:rPr>
              <w:t> </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Total Current Assets</w:t>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23,185</w:t>
            </w:r>
            <w:r>
              <w:rPr>
                <w:color w:val="000000"/>
              </w:rPr>
              <w:t> </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58,355 </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Calibri;sans-serif" w:hAnsi="Calibri;sans-serif"/>
                <w:b/>
                <w:color w:val="000000"/>
                <w:sz w:val="18"/>
              </w:rPr>
            </w:pPr>
            <w:r>
              <w:rPr>
                <w:rFonts w:ascii="Calibri;sans-serif" w:hAnsi="Calibri;sans-serif"/>
                <w:b/>
                <w:color w:val="000000"/>
                <w:sz w:val="18"/>
              </w:rPr>
              <w:t>Non-current</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 xml:space="preserve">Investments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4</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242</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 xml:space="preserve">Equipment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5</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450</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491</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 xml:space="preserve">Intangible assets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6</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5,470</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2,083</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Goodwill</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7</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24,792</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22,892</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60"/>
              <w:jc w:val="left"/>
              <w:rPr>
                <w:color w:val="000000"/>
              </w:rPr>
            </w:pPr>
            <w:r>
              <w:rPr>
                <w:color w:val="000000"/>
              </w:rPr>
              <w:t> </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Total Non-Current Assets</w:t>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30,712</w:t>
            </w:r>
            <w:r>
              <w:rPr>
                <w:color w:val="000000"/>
              </w:rPr>
              <w:t> </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25,708 </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TOTAL ASSETS</w:t>
            </w:r>
          </w:p>
        </w:tc>
        <w:tc>
          <w:tcPr>
            <w:tcW w:w="541" w:type="dxa"/>
            <w:gridSpan w:val="3"/>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D9D9D9"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53,897</w:t>
            </w:r>
            <w:r>
              <w:rPr>
                <w:color w:val="000000"/>
              </w:rPr>
              <w:t> </w:t>
            </w:r>
          </w:p>
        </w:tc>
        <w:tc>
          <w:tcPr>
            <w:tcW w:w="416"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D9D9D9"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84,063 </w:t>
            </w:r>
          </w:p>
        </w:tc>
        <w:tc>
          <w:tcPr>
            <w:tcW w:w="536"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LIABILITIES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Calibri;sans-serif" w:hAnsi="Calibri;sans-serif"/>
                <w:b/>
                <w:color w:val="000000"/>
                <w:sz w:val="18"/>
              </w:rPr>
            </w:pPr>
            <w:r>
              <w:rPr>
                <w:rFonts w:ascii="Calibri;sans-serif" w:hAnsi="Calibri;sans-serif"/>
                <w:b/>
                <w:color w:val="000000"/>
                <w:sz w:val="18"/>
              </w:rPr>
              <w:t>Current</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Accounts payable and accrued liabilities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5,663</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5,262</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 xml:space="preserve">Current portion of contingent consideration payable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8</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2,646</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TOTAL LIABILITIES</w:t>
            </w:r>
          </w:p>
        </w:tc>
        <w:tc>
          <w:tcPr>
            <w:tcW w:w="541" w:type="dxa"/>
            <w:gridSpan w:val="3"/>
            <w:tcBorders>
              <w:top w:val="single" w:sz="4" w:space="0" w:color="000000"/>
            </w:tcBorders>
            <w:shd w:fill="D9D9D9"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5,663</w:t>
            </w:r>
            <w:r>
              <w:rPr>
                <w:color w:val="000000"/>
              </w:rPr>
              <w:t> </w:t>
            </w:r>
          </w:p>
        </w:tc>
        <w:tc>
          <w:tcPr>
            <w:tcW w:w="416" w:type="dxa"/>
            <w:tcBorders>
              <w:top w:val="single" w:sz="4" w:space="0" w:color="000000"/>
            </w:tcBorders>
            <w:shd w:fill="D9D9D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7,908 </w:t>
            </w:r>
          </w:p>
        </w:tc>
        <w:tc>
          <w:tcPr>
            <w:tcW w:w="536" w:type="dxa"/>
            <w:tcBorders>
              <w:top w:val="single" w:sz="4" w:space="0" w:color="000000"/>
            </w:tcBorders>
            <w:shd w:fill="D9D9D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SHAREHOLDERS' EQUITY</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 xml:space="preserve">Share capital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9</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158,162</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141,451</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Contributed surplus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2,102</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525</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 xml:space="preserve">Options reserve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9</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27,283</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23,783</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 xml:space="preserve">Warrants reserve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9</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10,873</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11,423</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Accumulated other comprehensive loss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(2,035)</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(366)</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540"/>
              <w:jc w:val="left"/>
              <w:rPr>
                <w:rFonts w:ascii="Calibri;sans-serif" w:hAnsi="Calibri;sans-serif"/>
                <w:b w:val="false"/>
                <w:color w:val="000000"/>
                <w:sz w:val="18"/>
              </w:rPr>
            </w:pPr>
            <w:r>
              <w:rPr>
                <w:rFonts w:ascii="Calibri;sans-serif" w:hAnsi="Calibri;sans-serif"/>
                <w:b w:val="false"/>
                <w:color w:val="000000"/>
                <w:sz w:val="18"/>
              </w:rPr>
              <w:t>Deficit</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(148,151)</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(100,661)</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color w:val="000000"/>
              </w:rPr>
            </w:pPr>
            <w:r>
              <w:rPr>
                <w:color w:val="000000"/>
              </w:rPr>
              <w:t> </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TOTAL SHAREHOLDERS' EQUITY</w:t>
            </w:r>
          </w:p>
        </w:tc>
        <w:tc>
          <w:tcPr>
            <w:tcW w:w="541" w:type="dxa"/>
            <w:gridSpan w:val="3"/>
            <w:tcBorders>
              <w:top w:val="single" w:sz="4" w:space="0" w:color="000000"/>
            </w:tcBorders>
            <w:shd w:fill="D9D9D9"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48,234</w:t>
            </w:r>
            <w:r>
              <w:rPr>
                <w:color w:val="000000"/>
              </w:rPr>
              <w:t> </w:t>
            </w:r>
          </w:p>
        </w:tc>
        <w:tc>
          <w:tcPr>
            <w:tcW w:w="416" w:type="dxa"/>
            <w:tcBorders>
              <w:top w:val="single" w:sz="4" w:space="0" w:color="000000"/>
            </w:tcBorders>
            <w:shd w:fill="D9D9D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76,155 </w:t>
            </w:r>
          </w:p>
        </w:tc>
        <w:tc>
          <w:tcPr>
            <w:tcW w:w="536" w:type="dxa"/>
            <w:tcBorders>
              <w:top w:val="single" w:sz="4" w:space="0" w:color="000000"/>
            </w:tcBorders>
            <w:shd w:fill="D9D9D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bottom w:val="single" w:sz="8" w:space="0" w:color="000000"/>
            </w:tcBorders>
            <w:shd w:fill="D9D9D9"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TOTAL LIABILITIES AND SHAREHOLDERS' EQUITY</w:t>
            </w:r>
          </w:p>
        </w:tc>
        <w:tc>
          <w:tcPr>
            <w:tcW w:w="541" w:type="dxa"/>
            <w:gridSpan w:val="3"/>
            <w:tcBorders>
              <w:bottom w:val="single" w:sz="8" w:space="0" w:color="000000"/>
            </w:tcBorders>
            <w:shd w:fill="D9D9D9" w:val="clear"/>
            <w:tcMar>
              <w:top w:w="0" w:type="dxa"/>
              <w:left w:w="0" w:type="dxa"/>
              <w:right w:w="0" w:type="dxa"/>
            </w:tcMar>
            <w:vAlign w:val="center"/>
          </w:tcPr>
          <w:p>
            <w:pPr>
              <w:pStyle w:val="TableContents"/>
              <w:spacing w:before="0" w:after="283"/>
              <w:rPr>
                <w:sz w:val="4"/>
                <w:szCs w:val="4"/>
              </w:rPr>
            </w:pPr>
            <w:r>
              <w:rPr>
                <w:sz w:val="4"/>
                <w:szCs w:val="4"/>
              </w:rPr>
            </w:r>
          </w:p>
        </w:tc>
        <w:tc>
          <w:tcPr>
            <w:tcW w:w="828" w:type="dxa"/>
            <w:gridSpan w:val="2"/>
            <w:tcBorders>
              <w:bottom w:val="single" w:sz="8" w:space="0" w:color="000000"/>
            </w:tcBorders>
            <w:shd w:fill="D9D9D9" w:val="clear"/>
            <w:tcMar>
              <w:top w:w="0" w:type="dxa"/>
              <w:left w:w="0" w:type="dxa"/>
              <w:bottom w:w="30" w:type="dxa"/>
              <w:right w:w="0" w:type="dxa"/>
            </w:tcMar>
            <w:vAlign w:val="center"/>
          </w:tcPr>
          <w:p>
            <w:pPr>
              <w:pStyle w:val="TableContents"/>
              <w:spacing w:lineRule="auto" w:line="240" w:before="0" w:after="283"/>
              <w:jc w:val="right"/>
              <w:rPr/>
            </w:pPr>
            <w:r>
              <w:rPr>
                <w:rFonts w:ascii="Calibri;sans-serif" w:hAnsi="Calibri;sans-serif"/>
                <w:b/>
                <w:color w:val="000000"/>
                <w:sz w:val="18"/>
              </w:rPr>
              <w:t>53,897</w:t>
            </w:r>
            <w:r>
              <w:rPr>
                <w:color w:val="000000"/>
              </w:rPr>
              <w:t> </w:t>
            </w:r>
          </w:p>
        </w:tc>
        <w:tc>
          <w:tcPr>
            <w:tcW w:w="416" w:type="dxa"/>
            <w:tcBorders>
              <w:bottom w:val="single" w:sz="8" w:space="0" w:color="000000"/>
            </w:tcBorders>
            <w:shd w:fill="D9D9D9"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54" w:type="dxa"/>
            <w:gridSpan w:val="2"/>
            <w:tcBorders>
              <w:bottom w:val="single" w:sz="8" w:space="0" w:color="000000"/>
            </w:tcBorders>
            <w:shd w:fill="D9D9D9"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84,063 </w:t>
            </w:r>
          </w:p>
        </w:tc>
        <w:tc>
          <w:tcPr>
            <w:tcW w:w="536" w:type="dxa"/>
            <w:tcBorders>
              <w:bottom w:val="single" w:sz="8" w:space="0" w:color="000000"/>
            </w:tcBorders>
            <w:shd w:fill="D9D9D9"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Calibri;sans-serif" w:hAnsi="Calibri;sans-serif"/>
          <w:b w:val="false"/>
          <w:i/>
          <w:color w:val="000000"/>
          <w:sz w:val="18"/>
        </w:rPr>
      </w:pPr>
      <w:r>
        <w:rPr>
          <w:rFonts w:ascii="Calibri;sans-serif" w:hAnsi="Calibri;sans-serif"/>
          <w:b w:val="false"/>
          <w:i/>
          <w:color w:val="000000"/>
          <w:sz w:val="18"/>
        </w:rPr>
        <w:t>Corporate information (note 1)</w:t>
      </w:r>
    </w:p>
    <w:p>
      <w:pPr>
        <w:pStyle w:val="TextBody"/>
        <w:spacing w:lineRule="auto" w:line="288" w:before="0" w:after="0"/>
        <w:jc w:val="both"/>
        <w:rPr>
          <w:rFonts w:ascii="Calibri;sans-serif" w:hAnsi="Calibri;sans-serif"/>
          <w:b w:val="false"/>
          <w:i/>
          <w:color w:val="000000"/>
          <w:sz w:val="18"/>
        </w:rPr>
      </w:pPr>
      <w:r>
        <w:rPr>
          <w:rFonts w:ascii="Calibri;sans-serif" w:hAnsi="Calibri;sans-serif"/>
          <w:b w:val="false"/>
          <w:i/>
          <w:color w:val="000000"/>
          <w:sz w:val="18"/>
        </w:rPr>
        <w:t>Contracts, commitments and contingencies (note 13)</w:t>
      </w:r>
    </w:p>
    <w:p>
      <w:pPr>
        <w:pStyle w:val="TextBody"/>
        <w:spacing w:lineRule="auto" w:line="288" w:before="0" w:after="0"/>
        <w:jc w:val="both"/>
        <w:rPr>
          <w:rFonts w:ascii="Calibri;sans-serif" w:hAnsi="Calibri;sans-serif"/>
          <w:b w:val="false"/>
          <w:i/>
          <w:color w:val="000000"/>
          <w:sz w:val="18"/>
        </w:rPr>
      </w:pPr>
      <w:r>
        <w:rPr>
          <w:rFonts w:ascii="Calibri;sans-serif" w:hAnsi="Calibri;sans-serif"/>
          <w:b w:val="false"/>
          <w:i/>
          <w:color w:val="000000"/>
          <w:sz w:val="18"/>
        </w:rPr>
        <w:t>Subsequent events (note 17)</w:t>
      </w:r>
    </w:p>
    <w:p>
      <w:pPr>
        <w:pStyle w:val="TextBody"/>
        <w:spacing w:lineRule="auto" w:line="288" w:before="200" w:after="283"/>
        <w:jc w:val="both"/>
        <w:rPr>
          <w:rFonts w:ascii="Calibri;sans-serif" w:hAnsi="Calibri;sans-serif"/>
          <w:b w:val="false"/>
          <w:i/>
          <w:color w:val="000000"/>
          <w:sz w:val="20"/>
        </w:rPr>
      </w:pPr>
      <w:r>
        <w:rPr>
          <w:rFonts w:ascii="Calibri;sans-serif" w:hAnsi="Calibri;sans-serif"/>
          <w:b w:val="false"/>
          <w:i/>
          <w:color w:val="000000"/>
          <w:sz w:val="20"/>
        </w:rPr>
        <w:t>The accompanying notes are an integral part of these consolidated financial statements.</w:t>
      </w:r>
    </w:p>
    <w:p>
      <w:pPr>
        <w:pStyle w:val="TextBody"/>
        <w:spacing w:lineRule="auto" w:line="288" w:before="140" w:after="283"/>
        <w:jc w:val="both"/>
        <w:rPr>
          <w:rFonts w:ascii="Calibri;sans-serif" w:hAnsi="Calibri;sans-serif"/>
          <w:b w:val="false"/>
          <w:color w:val="000000"/>
          <w:sz w:val="20"/>
        </w:rPr>
      </w:pPr>
      <w:r>
        <w:rPr>
          <w:rFonts w:ascii="Calibri;sans-serif" w:hAnsi="Calibri;sans-serif"/>
          <w:b w:val="false"/>
          <w:color w:val="000000"/>
          <w:sz w:val="20"/>
        </w:rPr>
        <w:t>These consolidated financial statements were approved for issue on June 27, 2023 by the board of directors and signed on its behalf by:</w:t>
      </w:r>
    </w:p>
    <w:p>
      <w:pPr>
        <w:pStyle w:val="TextBody"/>
        <w:spacing w:lineRule="auto" w:line="288" w:before="140" w:after="283"/>
        <w:rPr/>
      </w:pPr>
      <w:r>
        <w:rPr>
          <w:rFonts w:ascii="Calibri;sans-serif" w:hAnsi="Calibri;sans-serif"/>
          <w:b w:val="false"/>
          <w:i/>
          <w:color w:val="000000"/>
          <w:sz w:val="20"/>
        </w:rPr>
        <w:t>/s/ Paul Glavine</w:t>
      </w:r>
      <w:r>
        <w:rPr>
          <w:color w:val="000000"/>
        </w:rPr>
        <w:t xml:space="preserve"> </w:t>
      </w:r>
      <w:r>
        <w:rPr>
          <w:rFonts w:ascii="Calibri;sans-serif" w:hAnsi="Calibri;sans-serif"/>
          <w:b w:val="false"/>
          <w:color w:val="000000"/>
          <w:sz w:val="20"/>
        </w:rPr>
        <w:t xml:space="preserve">Director                                 </w:t>
      </w:r>
      <w:r>
        <w:rPr>
          <w:rFonts w:ascii="Calibri;sans-serif" w:hAnsi="Calibri;sans-serif"/>
          <w:b w:val="false"/>
          <w:i/>
          <w:color w:val="000000"/>
          <w:sz w:val="20"/>
        </w:rPr>
        <w:t>/s/ Eric So</w:t>
      </w:r>
      <w:r>
        <w:rPr>
          <w:color w:val="000000"/>
        </w:rPr>
        <w:t xml:space="preserve"> </w:t>
      </w:r>
      <w:r>
        <w:rPr>
          <w:rFonts w:ascii="Calibri;sans-serif" w:hAnsi="Calibri;sans-serif"/>
          <w:b w:val="false"/>
          <w:color w:val="000000"/>
          <w:sz w:val="20"/>
        </w:rPr>
        <w:t>Director</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692265" cy="175260"/>
                <wp:effectExtent l="0" t="0" r="0" b="0"/>
                <wp:wrapNone/>
                <wp:docPr id="126" name="Frame11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8970" w:type="dxa"/>
        <w:jc w:val="left"/>
        <w:tblInd w:w="0" w:type="dxa"/>
        <w:tblCellMar>
          <w:top w:w="28" w:type="dxa"/>
          <w:left w:w="28" w:type="dxa"/>
          <w:bottom w:w="28" w:type="dxa"/>
          <w:right w:w="28" w:type="dxa"/>
        </w:tblCellMar>
      </w:tblPr>
      <w:tblGrid>
        <w:gridCol w:w="2872"/>
        <w:gridCol w:w="2522"/>
        <w:gridCol w:w="3576"/>
      </w:tblGrid>
      <w:tr>
        <w:trPr/>
        <w:tc>
          <w:tcPr>
            <w:tcW w:w="2872"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3576" w:type="dxa"/>
            <w:tcBorders/>
            <w:shd w:fill="auto" w:val="clear"/>
            <w:vAlign w:val="center"/>
          </w:tcPr>
          <w:p>
            <w:pPr>
              <w:pStyle w:val="TableContents"/>
              <w:spacing w:before="0" w:after="283"/>
              <w:rPr>
                <w:sz w:val="4"/>
                <w:szCs w:val="4"/>
              </w:rPr>
            </w:pPr>
            <w:r>
              <w:rPr>
                <w:sz w:val="4"/>
                <w:szCs w:val="4"/>
              </w:rPr>
            </w:r>
          </w:p>
        </w:tc>
      </w:tr>
      <w:tr>
        <w:trPr/>
        <w:tc>
          <w:tcPr>
            <w:tcW w:w="8970"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283"/>
              <w:jc w:val="left"/>
              <w:rPr>
                <w:rFonts w:ascii="Calibri;sans-serif" w:hAnsi="Calibri;sans-serif"/>
                <w:b/>
                <w:color w:val="000000"/>
                <w:sz w:val="23"/>
              </w:rPr>
            </w:pPr>
            <w:r>
              <w:rPr>
                <w:rFonts w:ascii="Calibri;sans-serif" w:hAnsi="Calibri;sans-serif"/>
                <w:b/>
                <w:color w:val="000000"/>
                <w:sz w:val="23"/>
              </w:rPr>
              <w:t xml:space="preserve">CYBIN INC. </w:t>
              <w:br/>
              <w:t xml:space="preserve">CONSOLIDATED STATEMENTS OF LOSS AND COMPREHENSIVE LOSS </w:t>
              <w:br/>
              <w:t xml:space="preserve">(All amounts expressed in thousands of Canadian dollars, except share and per share amounts) </w:t>
            </w:r>
          </w:p>
        </w:tc>
      </w:tr>
    </w:tbl>
    <w:p>
      <w:pPr>
        <w:pStyle w:val="TextBody"/>
        <w:spacing w:before="0" w:after="0"/>
        <w:jc w:val="both"/>
        <w:rPr/>
      </w:pPr>
      <w:r>
        <w:rPr/>
      </w:r>
    </w:p>
    <w:tbl>
      <w:tblPr>
        <w:tblW w:w="8867" w:type="dxa"/>
        <w:jc w:val="left"/>
        <w:tblInd w:w="0" w:type="dxa"/>
        <w:tblCellMar>
          <w:top w:w="28" w:type="dxa"/>
          <w:left w:w="28" w:type="dxa"/>
          <w:bottom w:w="28" w:type="dxa"/>
          <w:right w:w="28" w:type="dxa"/>
        </w:tblCellMar>
      </w:tblPr>
      <w:tblGrid>
        <w:gridCol w:w="2190"/>
        <w:gridCol w:w="1920"/>
        <w:gridCol w:w="1949"/>
        <w:gridCol w:w="180"/>
        <w:gridCol w:w="180"/>
        <w:gridCol w:w="181"/>
        <w:gridCol w:w="409"/>
        <w:gridCol w:w="409"/>
        <w:gridCol w:w="269"/>
        <w:gridCol w:w="400"/>
        <w:gridCol w:w="400"/>
        <w:gridCol w:w="380"/>
      </w:tblGrid>
      <w:tr>
        <w:trPr/>
        <w:tc>
          <w:tcPr>
            <w:tcW w:w="2190"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20"/>
              </w:rPr>
            </w:pPr>
            <w:r>
              <w:rPr>
                <w:rFonts w:ascii="Calibri;sans-serif" w:hAnsi="Calibri;sans-serif"/>
                <w:b/>
                <w:color w:val="000000"/>
                <w:sz w:val="20"/>
              </w:rPr>
              <w:t>For the year ended</w:t>
              <w:br/>
              <w:t>March 31,</w:t>
            </w:r>
          </w:p>
        </w:tc>
      </w:tr>
      <w:tr>
        <w:trPr/>
        <w:tc>
          <w:tcPr>
            <w:tcW w:w="60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Notes</w:t>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2022</w:t>
            </w:r>
          </w:p>
        </w:tc>
      </w:tr>
      <w:tr>
        <w:trPr/>
        <w:tc>
          <w:tcPr>
            <w:tcW w:w="60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EXPENSES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Calibri;sans-serif" w:hAnsi="Calibri;sans-serif"/>
                <w:b w:val="false"/>
                <w:color w:val="000000"/>
                <w:sz w:val="18"/>
              </w:rPr>
            </w:pPr>
            <w:r>
              <w:rPr>
                <w:rFonts w:ascii="Calibri;sans-serif" w:hAnsi="Calibri;sans-serif"/>
                <w:b w:val="false"/>
                <w:color w:val="000000"/>
                <w:sz w:val="18"/>
              </w:rPr>
              <w:t>Research</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12</w:t>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25,491</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17,586</w:t>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Calibri;sans-serif" w:hAnsi="Calibri;sans-serif"/>
                <w:b w:val="false"/>
                <w:color w:val="000000"/>
                <w:sz w:val="18"/>
              </w:rPr>
            </w:pPr>
            <w:r>
              <w:rPr>
                <w:rFonts w:ascii="Calibri;sans-serif" w:hAnsi="Calibri;sans-serif"/>
                <w:b w:val="false"/>
                <w:color w:val="000000"/>
                <w:sz w:val="18"/>
              </w:rPr>
              <w:t xml:space="preserve">General and administrative costs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11</w:t>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21,341</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28,222</w:t>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Calibri;sans-serif" w:hAnsi="Calibri;sans-serif"/>
                <w:b w:val="false"/>
                <w:color w:val="000000"/>
                <w:sz w:val="18"/>
              </w:rPr>
            </w:pPr>
            <w:r>
              <w:rPr>
                <w:rFonts w:ascii="Calibri;sans-serif" w:hAnsi="Calibri;sans-serif"/>
                <w:b w:val="false"/>
                <w:color w:val="000000"/>
                <w:sz w:val="18"/>
              </w:rPr>
              <w:t xml:space="preserve">Share-based compensation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9, 10</w:t>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4,686</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18,030</w:t>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TOTAL EXPENSES</w:t>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51,518</w:t>
            </w:r>
          </w:p>
        </w:tc>
        <w:tc>
          <w:tcPr>
            <w:tcW w:w="118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63,838</w:t>
            </w:r>
          </w:p>
        </w:tc>
      </w:tr>
      <w:tr>
        <w:trPr/>
        <w:tc>
          <w:tcPr>
            <w:tcW w:w="6059"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OTHER INCOME (EXPENSES)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Calibri;sans-serif" w:hAnsi="Calibri;sans-serif"/>
                <w:b w:val="false"/>
                <w:color w:val="000000"/>
                <w:sz w:val="18"/>
              </w:rPr>
            </w:pPr>
            <w:r>
              <w:rPr>
                <w:rFonts w:ascii="Calibri;sans-serif" w:hAnsi="Calibri;sans-serif"/>
                <w:b w:val="false"/>
                <w:color w:val="000000"/>
                <w:sz w:val="18"/>
              </w:rPr>
              <w:t>Foreign currency translation gain (loss)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4,027</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(309)</w:t>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Calibri;sans-serif" w:hAnsi="Calibri;sans-serif"/>
                <w:b w:val="false"/>
                <w:color w:val="000000"/>
                <w:sz w:val="18"/>
              </w:rPr>
            </w:pPr>
            <w:r>
              <w:rPr>
                <w:rFonts w:ascii="Calibri;sans-serif" w:hAnsi="Calibri;sans-serif"/>
                <w:b w:val="false"/>
                <w:color w:val="000000"/>
                <w:sz w:val="18"/>
              </w:rPr>
              <w:t>Interest income</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603</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90"/>
              <w:jc w:val="right"/>
              <w:rPr>
                <w:rFonts w:ascii="Calibri;sans-serif" w:hAnsi="Calibri;sans-serif"/>
                <w:b w:val="false"/>
                <w:color w:val="000000"/>
                <w:sz w:val="18"/>
              </w:rPr>
            </w:pPr>
            <w:r>
              <w:rPr>
                <w:rFonts w:ascii="Calibri;sans-serif" w:hAnsi="Calibri;sans-serif"/>
                <w:b w:val="false"/>
                <w:color w:val="000000"/>
                <w:sz w:val="18"/>
              </w:rPr>
              <w:t>241</w:t>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Calibri;sans-serif" w:hAnsi="Calibri;sans-serif"/>
                <w:b w:val="false"/>
                <w:color w:val="000000"/>
                <w:sz w:val="18"/>
              </w:rPr>
              <w:t>Change in fair value of investments measured at fair value through profit or loss</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4, 15</w:t>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(260)</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w:t>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Calibri;sans-serif" w:hAnsi="Calibri;sans-serif"/>
                <w:b w:val="false"/>
                <w:color w:val="000000"/>
                <w:sz w:val="18"/>
              </w:rPr>
              <w:t>Contingent consideration accretion</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8</w:t>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(13)</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w:t>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Change in fair value of contingent consideration</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8</w:t>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(329)</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(3,380)</w:t>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TOTAL OTHER INCOME (EXPENSES)</w:t>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4,028</w:t>
            </w:r>
          </w:p>
        </w:tc>
        <w:tc>
          <w:tcPr>
            <w:tcW w:w="118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(3,793)</w:t>
            </w:r>
          </w:p>
        </w:tc>
      </w:tr>
      <w:tr>
        <w:trPr/>
        <w:tc>
          <w:tcPr>
            <w:tcW w:w="6059"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NET LOSS FOR THE YEAR</w:t>
            </w:r>
          </w:p>
        </w:tc>
        <w:tc>
          <w:tcPr>
            <w:tcW w:w="541" w:type="dxa"/>
            <w:gridSpan w:val="3"/>
            <w:tcBorders>
              <w:top w:val="single" w:sz="4" w:space="0" w:color="000000"/>
            </w:tcBorders>
            <w:shd w:fill="D9D9D9"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(47,490)</w:t>
            </w:r>
          </w:p>
        </w:tc>
        <w:tc>
          <w:tcPr>
            <w:tcW w:w="1180"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(67,631)</w:t>
            </w:r>
          </w:p>
        </w:tc>
      </w:tr>
      <w:tr>
        <w:trPr/>
        <w:tc>
          <w:tcPr>
            <w:tcW w:w="6059"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OTHER COMPREHENSIVE LOSS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Foreign currency translation differences for foreign operations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(1,669)</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(390)</w:t>
            </w:r>
          </w:p>
        </w:tc>
      </w:tr>
      <w:tr>
        <w:trPr/>
        <w:tc>
          <w:tcPr>
            <w:tcW w:w="6059"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COMPREHENSIVE LOSS FOR THE YEAR</w:t>
            </w:r>
          </w:p>
        </w:tc>
        <w:tc>
          <w:tcPr>
            <w:tcW w:w="541" w:type="dxa"/>
            <w:gridSpan w:val="3"/>
            <w:tcBorders>
              <w:top w:val="single" w:sz="4" w:space="0" w:color="000000"/>
            </w:tcBorders>
            <w:shd w:fill="D9D9D9"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(49,159)</w:t>
            </w:r>
          </w:p>
        </w:tc>
        <w:tc>
          <w:tcPr>
            <w:tcW w:w="1180"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(68,021)</w:t>
            </w:r>
          </w:p>
        </w:tc>
      </w:tr>
      <w:tr>
        <w:trPr/>
        <w:tc>
          <w:tcPr>
            <w:tcW w:w="60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Basic loss per share for the period attributable to common shareholders</w:t>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(0.26)</w:t>
            </w:r>
          </w:p>
        </w:tc>
        <w:tc>
          <w:tcPr>
            <w:tcW w:w="11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(0.40)</w:t>
            </w:r>
          </w:p>
        </w:tc>
      </w:tr>
      <w:tr>
        <w:trPr/>
        <w:tc>
          <w:tcPr>
            <w:tcW w:w="605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Weighted average number of common shares outstanding - basic</w:t>
            </w:r>
          </w:p>
        </w:tc>
        <w:tc>
          <w:tcPr>
            <w:tcW w:w="541" w:type="dxa"/>
            <w:gridSpan w:val="3"/>
            <w:tcBorders>
              <w:top w:val="single" w:sz="4" w:space="0" w:color="000000"/>
              <w:bottom w:val="single" w:sz="4"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185,428,767</w:t>
            </w:r>
          </w:p>
        </w:tc>
        <w:tc>
          <w:tcPr>
            <w:tcW w:w="1180"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167,287,240</w:t>
            </w:r>
          </w:p>
        </w:tc>
      </w:tr>
    </w:tbl>
    <w:p>
      <w:pPr>
        <w:pStyle w:val="TextBody"/>
        <w:spacing w:lineRule="auto" w:line="288" w:before="200" w:after="283"/>
        <w:jc w:val="both"/>
        <w:rPr>
          <w:rFonts w:ascii="Calibri;sans-serif" w:hAnsi="Calibri;sans-serif"/>
          <w:b w:val="false"/>
          <w:i/>
          <w:color w:val="000000"/>
          <w:sz w:val="20"/>
        </w:rPr>
      </w:pPr>
      <w:r>
        <w:rPr>
          <w:rFonts w:ascii="Calibri;sans-serif" w:hAnsi="Calibri;sans-serif"/>
          <w:b w:val="false"/>
          <w:i/>
          <w:color w:val="000000"/>
          <w:sz w:val="20"/>
        </w:rPr>
        <w:t>The accompanying notes are an integral part of these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692265" cy="175260"/>
                <wp:effectExtent l="0" t="0" r="0" b="0"/>
                <wp:wrapNone/>
                <wp:docPr id="127" name="Frame11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7364" w:type="dxa"/>
        <w:jc w:val="left"/>
        <w:tblInd w:w="0" w:type="dxa"/>
        <w:tblCellMar>
          <w:top w:w="28" w:type="dxa"/>
          <w:left w:w="28" w:type="dxa"/>
          <w:bottom w:w="28" w:type="dxa"/>
          <w:right w:w="28" w:type="dxa"/>
        </w:tblCellMar>
      </w:tblPr>
      <w:tblGrid>
        <w:gridCol w:w="2358"/>
        <w:gridCol w:w="2070"/>
        <w:gridCol w:w="2936"/>
      </w:tblGrid>
      <w:tr>
        <w:trPr/>
        <w:tc>
          <w:tcPr>
            <w:tcW w:w="2358"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2936" w:type="dxa"/>
            <w:tcBorders/>
            <w:shd w:fill="auto" w:val="clear"/>
            <w:vAlign w:val="center"/>
          </w:tcPr>
          <w:p>
            <w:pPr>
              <w:pStyle w:val="TableContents"/>
              <w:spacing w:before="0" w:after="283"/>
              <w:rPr>
                <w:sz w:val="4"/>
                <w:szCs w:val="4"/>
              </w:rPr>
            </w:pPr>
            <w:r>
              <w:rPr>
                <w:sz w:val="4"/>
                <w:szCs w:val="4"/>
              </w:rPr>
            </w:r>
          </w:p>
        </w:tc>
      </w:tr>
      <w:tr>
        <w:trPr/>
        <w:tc>
          <w:tcPr>
            <w:tcW w:w="7364"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CYBIN INC.</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CONSOLIDATED STATEMENTS OF CHANGES IN SHAREHOLDERS’ EQUITY</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For the years ended March 31, 2023 and 2022 </w:t>
            </w:r>
          </w:p>
          <w:p>
            <w:pPr>
              <w:pStyle w:val="TableContents"/>
              <w:spacing w:lineRule="auto" w:line="288" w:before="0" w:after="0"/>
              <w:jc w:val="left"/>
              <w:rPr>
                <w:rFonts w:ascii="Calibri;sans-serif" w:hAnsi="Calibri;sans-serif"/>
                <w:b/>
                <w:color w:val="000000"/>
                <w:sz w:val="20"/>
              </w:rPr>
            </w:pPr>
            <w:r>
              <w:rPr>
                <w:rFonts w:ascii="Calibri;sans-serif" w:hAnsi="Calibri;sans-serif"/>
                <w:b/>
                <w:color w:val="000000"/>
                <w:sz w:val="20"/>
              </w:rPr>
              <w:t>(All amounts expressed in thousands of Canadian dollars, except share amounts)</w:t>
            </w:r>
          </w:p>
        </w:tc>
      </w:tr>
    </w:tbl>
    <w:tbl>
      <w:tblPr>
        <w:tblW w:w="10539" w:type="dxa"/>
        <w:jc w:val="left"/>
        <w:tblInd w:w="0" w:type="dxa"/>
        <w:tblCellMar>
          <w:top w:w="28" w:type="dxa"/>
          <w:left w:w="28" w:type="dxa"/>
          <w:bottom w:w="28" w:type="dxa"/>
          <w:right w:w="28" w:type="dxa"/>
        </w:tblCellMar>
      </w:tblPr>
      <w:tblGrid>
        <w:gridCol w:w="744"/>
        <w:gridCol w:w="330"/>
        <w:gridCol w:w="333"/>
        <w:gridCol w:w="153"/>
        <w:gridCol w:w="153"/>
        <w:gridCol w:w="154"/>
        <w:gridCol w:w="109"/>
        <w:gridCol w:w="109"/>
        <w:gridCol w:w="109"/>
        <w:gridCol w:w="434"/>
        <w:gridCol w:w="356"/>
        <w:gridCol w:w="251"/>
        <w:gridCol w:w="229"/>
        <w:gridCol w:w="229"/>
        <w:gridCol w:w="233"/>
        <w:gridCol w:w="109"/>
        <w:gridCol w:w="109"/>
        <w:gridCol w:w="109"/>
        <w:gridCol w:w="245"/>
        <w:gridCol w:w="245"/>
        <w:gridCol w:w="246"/>
        <w:gridCol w:w="210"/>
        <w:gridCol w:w="210"/>
        <w:gridCol w:w="211"/>
        <w:gridCol w:w="341"/>
        <w:gridCol w:w="341"/>
        <w:gridCol w:w="342"/>
        <w:gridCol w:w="109"/>
        <w:gridCol w:w="109"/>
        <w:gridCol w:w="109"/>
        <w:gridCol w:w="244"/>
        <w:gridCol w:w="244"/>
        <w:gridCol w:w="251"/>
        <w:gridCol w:w="109"/>
        <w:gridCol w:w="109"/>
        <w:gridCol w:w="109"/>
        <w:gridCol w:w="489"/>
        <w:gridCol w:w="489"/>
        <w:gridCol w:w="490"/>
        <w:gridCol w:w="109"/>
        <w:gridCol w:w="109"/>
        <w:gridCol w:w="109"/>
        <w:gridCol w:w="202"/>
        <w:gridCol w:w="202"/>
        <w:gridCol w:w="303"/>
      </w:tblGrid>
      <w:tr>
        <w:trPr/>
        <w:tc>
          <w:tcPr>
            <w:tcW w:w="744"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1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2"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Share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20"/>
              </w:rPr>
            </w:pPr>
            <w:r>
              <w:rPr>
                <w:rFonts w:ascii="Calibri;sans-serif" w:hAnsi="Calibri;sans-serif"/>
                <w:b/>
                <w:color w:val="000000"/>
                <w:sz w:val="20"/>
              </w:rPr>
              <w:t>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Note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Number of shares</w:t>
            </w:r>
          </w:p>
        </w:tc>
        <w:tc>
          <w:tcPr>
            <w:tcW w:w="691"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Warrants</w:t>
            </w:r>
          </w:p>
        </w:tc>
        <w:tc>
          <w:tcPr>
            <w:tcW w:w="631"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Options</w:t>
            </w:r>
          </w:p>
        </w:tc>
        <w:tc>
          <w:tcPr>
            <w:tcW w:w="1024"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Contributed surplus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r>
      <w:tr>
        <w:trPr/>
        <w:tc>
          <w:tcPr>
            <w:tcW w:w="1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10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20"/>
              </w:rPr>
            </w:pPr>
            <w:r>
              <w:rPr>
                <w:rFonts w:ascii="Calibri;sans-serif" w:hAnsi="Calibri;sans-serif"/>
                <w:b/>
                <w:color w:val="000000"/>
                <w:sz w:val="20"/>
              </w:rPr>
              <w:t>$</w:t>
            </w:r>
          </w:p>
        </w:tc>
        <w:tc>
          <w:tcPr>
            <w:tcW w:w="7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1407" w:type="dxa"/>
            <w:gridSpan w:val="3"/>
            <w:tcBorders>
              <w:top w:val="single" w:sz="2" w:space="0" w:color="000000"/>
            </w:tcBorders>
            <w:shd w:fill="D9D9D9"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2021</w:t>
            </w:r>
          </w:p>
        </w:tc>
        <w:tc>
          <w:tcPr>
            <w:tcW w:w="460" w:type="dxa"/>
            <w:gridSpan w:val="3"/>
            <w:tcBorders>
              <w:top w:val="single" w:sz="2" w:space="0" w:color="000000"/>
            </w:tcBorders>
            <w:shd w:fill="D9D9D9"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157,454,415</w:t>
            </w:r>
          </w:p>
        </w:tc>
        <w:tc>
          <w:tcPr>
            <w:tcW w:w="691"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100,676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11,166</w:t>
            </w:r>
          </w:p>
        </w:tc>
        <w:tc>
          <w:tcPr>
            <w:tcW w:w="631"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7,158</w:t>
            </w:r>
          </w:p>
        </w:tc>
        <w:tc>
          <w:tcPr>
            <w:tcW w:w="1024"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(33,030)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86,118</w:t>
            </w:r>
          </w:p>
        </w:tc>
      </w:tr>
      <w:tr>
        <w:trPr/>
        <w:tc>
          <w:tcPr>
            <w:tcW w:w="14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Bought deal share offering - net of share issuance costs</w:t>
            </w:r>
          </w:p>
        </w:tc>
        <w:tc>
          <w:tcPr>
            <w:tcW w:w="4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10</w:t>
            </w:r>
          </w:p>
        </w:tc>
        <w:tc>
          <w:tcPr>
            <w:tcW w:w="327" w:type="dxa"/>
            <w:gridSpan w:val="3"/>
            <w:tcBorders>
              <w:top w:val="single" w:sz="8" w:space="0" w:color="929292"/>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10,147,600</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31,507</w:t>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31,507</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Shares issued on Adelia milestones</w:t>
            </w:r>
          </w:p>
        </w:tc>
        <w:tc>
          <w:tcPr>
            <w:tcW w:w="4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9, 10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2,690,078</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4,251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4,251</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Warrants exercised</w:t>
            </w:r>
          </w:p>
        </w:tc>
        <w:tc>
          <w:tcPr>
            <w:tcW w:w="4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3,231,261</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4,043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(1,115)</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2,928</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Options exercised</w:t>
            </w:r>
          </w:p>
        </w:tc>
        <w:tc>
          <w:tcPr>
            <w:tcW w:w="4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1,588,300</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2,306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(964)</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1,342</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Options forfeited</w:t>
            </w:r>
          </w:p>
        </w:tc>
        <w:tc>
          <w:tcPr>
            <w:tcW w:w="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(401)</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Finders' warrants</w:t>
            </w:r>
          </w:p>
        </w:tc>
        <w:tc>
          <w:tcPr>
            <w:tcW w:w="4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1,332</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Share-based compensation</w:t>
            </w:r>
          </w:p>
        </w:tc>
        <w:tc>
          <w:tcPr>
            <w:tcW w:w="4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10, 11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40</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17,990</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18,030</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Unrealized loss on translation of foreign operations</w:t>
            </w:r>
          </w:p>
        </w:tc>
        <w:tc>
          <w:tcPr>
            <w:tcW w:w="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(390)</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 for the period</w:t>
            </w:r>
          </w:p>
        </w:tc>
        <w:tc>
          <w:tcPr>
            <w:tcW w:w="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(67,631)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(67,631)</w:t>
            </w:r>
          </w:p>
        </w:tc>
      </w:tr>
      <w:tr>
        <w:trPr/>
        <w:tc>
          <w:tcPr>
            <w:tcW w:w="1407"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2022</w:t>
            </w:r>
          </w:p>
        </w:tc>
        <w:tc>
          <w:tcPr>
            <w:tcW w:w="460" w:type="dxa"/>
            <w:gridSpan w:val="3"/>
            <w:tcBorders>
              <w:top w:val="single" w:sz="4" w:space="0" w:color="000000"/>
            </w:tcBorders>
            <w:shd w:fill="D9D9D9"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175,111,654</w:t>
            </w:r>
          </w:p>
        </w:tc>
        <w:tc>
          <w:tcPr>
            <w:tcW w:w="691"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141,451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11,423</w:t>
            </w:r>
          </w:p>
        </w:tc>
        <w:tc>
          <w:tcPr>
            <w:tcW w:w="631"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23,783</w:t>
            </w:r>
          </w:p>
        </w:tc>
        <w:tc>
          <w:tcPr>
            <w:tcW w:w="1024"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525</w:t>
            </w:r>
          </w:p>
        </w:tc>
        <w:tc>
          <w:tcPr>
            <w:tcW w:w="327" w:type="dxa"/>
            <w:gridSpan w:val="3"/>
            <w:tcBorders>
              <w:top w:val="single" w:sz="4" w:space="0" w:color="000000"/>
            </w:tcBorders>
            <w:shd w:fill="D9D9D9"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(100,661)</w:t>
            </w:r>
          </w:p>
        </w:tc>
        <w:tc>
          <w:tcPr>
            <w:tcW w:w="327" w:type="dxa"/>
            <w:gridSpan w:val="3"/>
            <w:tcBorders>
              <w:top w:val="single" w:sz="4" w:space="0" w:color="000000"/>
            </w:tcBorders>
            <w:shd w:fill="D9D9D9"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(366)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76,155</w:t>
            </w:r>
          </w:p>
        </w:tc>
      </w:tr>
      <w:tr>
        <w:trPr/>
        <w:tc>
          <w:tcPr>
            <w:tcW w:w="1407" w:type="dxa"/>
            <w:gridSpan w:val="3"/>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At-the-market offering - net of share issuance costs</w:t>
            </w:r>
          </w:p>
        </w:tc>
        <w:tc>
          <w:tcPr>
            <w:tcW w:w="460"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9</w:t>
            </w:r>
          </w:p>
        </w:tc>
        <w:tc>
          <w:tcPr>
            <w:tcW w:w="327" w:type="dxa"/>
            <w:gridSpan w:val="3"/>
            <w:tcBorders>
              <w:top w:val="single" w:sz="8" w:space="0" w:color="929292"/>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20,754,120</w:t>
            </w:r>
          </w:p>
        </w:tc>
        <w:tc>
          <w:tcPr>
            <w:tcW w:w="691"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13,202</w:t>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13,202</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Shares issued on Adelia milestones</w:t>
            </w:r>
          </w:p>
        </w:tc>
        <w:tc>
          <w:tcPr>
            <w:tcW w:w="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8, 9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3,603,742</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2,988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2,988</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Warrants exercised</w:t>
            </w:r>
          </w:p>
        </w:tc>
        <w:tc>
          <w:tcPr>
            <w:tcW w:w="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1,164,638</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(165)</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362</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Options forfeited</w:t>
            </w:r>
          </w:p>
        </w:tc>
        <w:tc>
          <w:tcPr>
            <w:tcW w:w="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(1,180)</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1,180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Warrants expired</w:t>
            </w:r>
          </w:p>
        </w:tc>
        <w:tc>
          <w:tcPr>
            <w:tcW w:w="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(397)</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Finders' warrants</w:t>
            </w:r>
          </w:p>
        </w:tc>
        <w:tc>
          <w:tcPr>
            <w:tcW w:w="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Share-based compensation</w:t>
            </w:r>
          </w:p>
        </w:tc>
        <w:tc>
          <w:tcPr>
            <w:tcW w:w="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9, 10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4,680</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4,686</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Unrealized loss on translation of foreign operations</w:t>
            </w:r>
          </w:p>
        </w:tc>
        <w:tc>
          <w:tcPr>
            <w:tcW w:w="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(1,669)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(1,669)</w:t>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 for the period</w:t>
            </w:r>
          </w:p>
        </w:tc>
        <w:tc>
          <w:tcPr>
            <w:tcW w:w="4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(47,490)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(47,490)</w:t>
            </w:r>
          </w:p>
        </w:tc>
      </w:tr>
      <w:tr>
        <w:trPr/>
        <w:tc>
          <w:tcPr>
            <w:tcW w:w="1407"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2023</w:t>
            </w:r>
          </w:p>
        </w:tc>
        <w:tc>
          <w:tcPr>
            <w:tcW w:w="460"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200,634,154</w:t>
            </w:r>
          </w:p>
        </w:tc>
        <w:tc>
          <w:tcPr>
            <w:tcW w:w="691"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158,162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10,873</w:t>
            </w:r>
          </w:p>
        </w:tc>
        <w:tc>
          <w:tcPr>
            <w:tcW w:w="631"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27,283</w:t>
            </w:r>
          </w:p>
        </w:tc>
        <w:tc>
          <w:tcPr>
            <w:tcW w:w="1024"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2,102</w:t>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(148,151)</w:t>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(2,035)</w:t>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4" w:space="0" w:color="000000"/>
              <w:bottom w:val="single" w:sz="8" w:space="0" w:color="000000"/>
            </w:tcBorders>
            <w:shd w:fill="D9D9D9"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6"/>
              </w:rPr>
            </w:pPr>
            <w:r>
              <w:rPr>
                <w:rFonts w:ascii="Calibri;sans-serif" w:hAnsi="Calibri;sans-serif"/>
                <w:b/>
                <w:color w:val="000000"/>
                <w:sz w:val="16"/>
              </w:rPr>
              <w:t>48,234</w:t>
            </w:r>
          </w:p>
        </w:tc>
      </w:tr>
    </w:tbl>
    <w:p>
      <w:pPr>
        <w:pStyle w:val="TextBody"/>
        <w:spacing w:lineRule="auto" w:line="288" w:before="200" w:after="120"/>
        <w:jc w:val="both"/>
        <w:rPr>
          <w:rFonts w:ascii="Calibri;sans-serif" w:hAnsi="Calibri;sans-serif"/>
          <w:b w:val="false"/>
          <w:i/>
          <w:color w:val="000000"/>
          <w:sz w:val="20"/>
        </w:rPr>
      </w:pPr>
      <w:r>
        <w:rPr>
          <w:rFonts w:ascii="Calibri;sans-serif" w:hAnsi="Calibri;sans-serif"/>
          <w:b w:val="false"/>
          <w:i/>
          <w:color w:val="000000"/>
          <w:sz w:val="20"/>
        </w:rPr>
        <w:t>The accompanying notes are an integral part of these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692265" cy="175260"/>
                <wp:effectExtent l="0" t="0" r="0" b="0"/>
                <wp:wrapNone/>
                <wp:docPr id="128" name="Frame11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4799" w:type="dxa"/>
        <w:jc w:val="left"/>
        <w:tblInd w:w="0" w:type="dxa"/>
        <w:tblCellMar>
          <w:top w:w="28" w:type="dxa"/>
          <w:left w:w="28" w:type="dxa"/>
          <w:bottom w:w="28" w:type="dxa"/>
          <w:right w:w="28" w:type="dxa"/>
        </w:tblCellMar>
      </w:tblPr>
      <w:tblGrid>
        <w:gridCol w:w="1536"/>
        <w:gridCol w:w="1350"/>
        <w:gridCol w:w="1913"/>
      </w:tblGrid>
      <w:tr>
        <w:trPr/>
        <w:tc>
          <w:tcPr>
            <w:tcW w:w="1536"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CYBIN INC.</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CONSOLIDATED STATEMENT OF CASH FLOWS</w:t>
            </w:r>
          </w:p>
          <w:p>
            <w:pPr>
              <w:pStyle w:val="TableContents"/>
              <w:spacing w:lineRule="auto" w:line="288" w:before="0" w:after="0"/>
              <w:jc w:val="left"/>
              <w:rPr>
                <w:rFonts w:ascii="Calibri;sans-serif" w:hAnsi="Calibri;sans-serif"/>
                <w:b/>
                <w:color w:val="000000"/>
                <w:sz w:val="20"/>
              </w:rPr>
            </w:pPr>
            <w:r>
              <w:rPr>
                <w:rFonts w:ascii="Calibri;sans-serif" w:hAnsi="Calibri;sans-serif"/>
                <w:b/>
                <w:color w:val="000000"/>
                <w:sz w:val="20"/>
              </w:rPr>
              <w:t>(All amounts expressed in thousands of Canadian dollars)</w:t>
            </w:r>
          </w:p>
        </w:tc>
      </w:tr>
    </w:tbl>
    <w:tbl>
      <w:tblPr>
        <w:tblW w:w="8784" w:type="dxa"/>
        <w:jc w:val="left"/>
        <w:tblInd w:w="0" w:type="dxa"/>
        <w:tblCellMar>
          <w:top w:w="28" w:type="dxa"/>
          <w:left w:w="28" w:type="dxa"/>
          <w:bottom w:w="28" w:type="dxa"/>
          <w:right w:w="28" w:type="dxa"/>
        </w:tblCellMar>
      </w:tblPr>
      <w:tblGrid>
        <w:gridCol w:w="2388"/>
        <w:gridCol w:w="2100"/>
        <w:gridCol w:w="2111"/>
        <w:gridCol w:w="180"/>
        <w:gridCol w:w="180"/>
        <w:gridCol w:w="181"/>
        <w:gridCol w:w="248"/>
        <w:gridCol w:w="248"/>
        <w:gridCol w:w="248"/>
        <w:gridCol w:w="264"/>
        <w:gridCol w:w="264"/>
        <w:gridCol w:w="372"/>
      </w:tblGrid>
      <w:tr>
        <w:trPr/>
        <w:tc>
          <w:tcPr>
            <w:tcW w:w="2388" w:type="dxa"/>
            <w:tcBorders/>
            <w:shd w:fill="auto" w:val="clear"/>
            <w:vAlign w:val="center"/>
          </w:tcPr>
          <w:p>
            <w:pPr>
              <w:pStyle w:val="TableContents"/>
              <w:spacing w:before="0" w:after="283"/>
              <w:rPr>
                <w:sz w:val="4"/>
                <w:szCs w:val="4"/>
              </w:rPr>
            </w:pPr>
            <w:r>
              <w:rPr>
                <w:sz w:val="4"/>
                <w:szCs w:val="4"/>
              </w:rPr>
            </w:r>
          </w:p>
        </w:tc>
        <w:tc>
          <w:tcPr>
            <w:tcW w:w="2100" w:type="dxa"/>
            <w:tcBorders/>
            <w:shd w:fill="auto" w:val="clear"/>
            <w:vAlign w:val="center"/>
          </w:tcPr>
          <w:p>
            <w:pPr>
              <w:pStyle w:val="TableContents"/>
              <w:spacing w:before="0" w:after="283"/>
              <w:rPr>
                <w:sz w:val="4"/>
                <w:szCs w:val="4"/>
              </w:rPr>
            </w:pPr>
            <w:r>
              <w:rPr>
                <w:sz w:val="4"/>
                <w:szCs w:val="4"/>
              </w:rPr>
            </w:r>
          </w:p>
        </w:tc>
        <w:tc>
          <w:tcPr>
            <w:tcW w:w="211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 xml:space="preserve">For the year ended </w:t>
              <w:br/>
              <w:t xml:space="preserve">March 31, </w:t>
            </w:r>
          </w:p>
        </w:tc>
      </w:tr>
      <w:tr>
        <w:trPr/>
        <w:tc>
          <w:tcPr>
            <w:tcW w:w="65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Notes</w:t>
            </w:r>
          </w:p>
        </w:tc>
        <w:tc>
          <w:tcPr>
            <w:tcW w:w="7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9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2022</w:t>
            </w:r>
          </w:p>
        </w:tc>
      </w:tr>
      <w:tr>
        <w:trPr/>
        <w:tc>
          <w:tcPr>
            <w:tcW w:w="65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OPERATING ACTIVITIES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Net loss for the period</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(47,490)</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(67,631)</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Adjustments for items not affecting cash:</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income</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4, 15</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(18)</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Calibri;sans-serif" w:hAnsi="Calibri;sans-serif"/>
                <w:b w:val="false"/>
                <w:color w:val="000000"/>
                <w:sz w:val="18"/>
              </w:rPr>
              <w:t>Depreciation and amortization</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5, 6</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251</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Share-based compensation</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4,686</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450"/>
              <w:jc w:val="right"/>
              <w:rPr>
                <w:rFonts w:ascii="Calibri;sans-serif" w:hAnsi="Calibri;sans-serif"/>
                <w:b w:val="false"/>
                <w:color w:val="000000"/>
                <w:sz w:val="18"/>
              </w:rPr>
            </w:pPr>
            <w:r>
              <w:rPr>
                <w:rFonts w:ascii="Calibri;sans-serif" w:hAnsi="Calibri;sans-serif"/>
                <w:b w:val="false"/>
                <w:color w:val="000000"/>
                <w:sz w:val="18"/>
              </w:rPr>
              <w:t>18,030</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Calibri;sans-serif" w:hAnsi="Calibri;sans-serif"/>
                <w:b w:val="false"/>
                <w:color w:val="000000"/>
                <w:sz w:val="18"/>
              </w:rPr>
              <w:t>Change in fair value of investments measured at fair value through profit or loss</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4, 15</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260</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Contingent consideration accretion</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8</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13</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Change in fair value of contingent consideration</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8</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329</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3,380</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450"/>
              <w:jc w:val="left"/>
              <w:rPr>
                <w:rFonts w:ascii="Calibri;sans-serif" w:hAnsi="Calibri;sans-serif"/>
                <w:b w:val="false"/>
                <w:color w:val="000000"/>
                <w:sz w:val="18"/>
              </w:rPr>
            </w:pPr>
            <w:r>
              <w:rPr>
                <w:rFonts w:ascii="Calibri;sans-serif" w:hAnsi="Calibri;sans-serif"/>
                <w:b w:val="false"/>
                <w:color w:val="000000"/>
                <w:sz w:val="18"/>
              </w:rPr>
              <w:t>Unrealized foreign currency translation loss (gain)</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(4,025)</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309</w:t>
            </w:r>
          </w:p>
        </w:tc>
      </w:tr>
      <w:tr>
        <w:trPr/>
        <w:tc>
          <w:tcPr>
            <w:tcW w:w="65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(45,994)</w:t>
            </w:r>
          </w:p>
        </w:tc>
        <w:tc>
          <w:tcPr>
            <w:tcW w:w="9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(45,420)</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Net changes in non-cash working capital items: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Accounts receivable</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(948)</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(773)</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Prepaid expenses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(462)</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360"/>
              <w:jc w:val="right"/>
              <w:rPr>
                <w:rFonts w:ascii="Calibri;sans-serif" w:hAnsi="Calibri;sans-serif"/>
                <w:b w:val="false"/>
                <w:color w:val="000000"/>
                <w:sz w:val="18"/>
              </w:rPr>
            </w:pPr>
            <w:r>
              <w:rPr>
                <w:rFonts w:ascii="Calibri;sans-serif" w:hAnsi="Calibri;sans-serif"/>
                <w:b w:val="false"/>
                <w:color w:val="000000"/>
                <w:sz w:val="18"/>
              </w:rPr>
              <w:t>(142)</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current assets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(428)</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(1,341)</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Accounts payable and accrued liabilities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401</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2,469</w:t>
            </w:r>
          </w:p>
        </w:tc>
      </w:tr>
      <w:tr>
        <w:trPr/>
        <w:tc>
          <w:tcPr>
            <w:tcW w:w="65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Net cash flows used in operating activities</w:t>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(47,431)</w:t>
            </w:r>
          </w:p>
        </w:tc>
        <w:tc>
          <w:tcPr>
            <w:tcW w:w="9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(45,207)</w:t>
            </w:r>
          </w:p>
        </w:tc>
      </w:tr>
      <w:tr>
        <w:trPr/>
        <w:tc>
          <w:tcPr>
            <w:tcW w:w="65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INVESTING ACTIVITIES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 of investment</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4</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(250)</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 of intangible assets</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6</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(3,167)</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(415)</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Purchase of equipment</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5</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(142)</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r>
      <w:tr>
        <w:trPr/>
        <w:tc>
          <w:tcPr>
            <w:tcW w:w="65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Net cash flows used in investing activities</w:t>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(3,309)</w:t>
            </w:r>
          </w:p>
        </w:tc>
        <w:tc>
          <w:tcPr>
            <w:tcW w:w="9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(770)</w:t>
            </w:r>
          </w:p>
        </w:tc>
      </w:tr>
      <w:tr>
        <w:trPr/>
        <w:tc>
          <w:tcPr>
            <w:tcW w:w="65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FINANCING ACTIVITIES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on issuance of common shares, net</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9</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13,202</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31,507</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Shares issued for cash - warrant exercise</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9</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362</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2,928</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360"/>
              <w:jc w:val="left"/>
              <w:rPr>
                <w:rFonts w:ascii="Calibri;sans-serif" w:hAnsi="Calibri;sans-serif"/>
                <w:b w:val="false"/>
                <w:color w:val="000000"/>
                <w:sz w:val="18"/>
              </w:rPr>
            </w:pPr>
            <w:r>
              <w:rPr>
                <w:rFonts w:ascii="Calibri;sans-serif" w:hAnsi="Calibri;sans-serif"/>
                <w:b w:val="false"/>
                <w:color w:val="000000"/>
                <w:sz w:val="18"/>
              </w:rPr>
              <w:t>Shares issued for cash - options exercise</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i/>
                <w:color w:val="000000"/>
                <w:sz w:val="18"/>
              </w:rPr>
            </w:pPr>
            <w:r>
              <w:rPr>
                <w:rFonts w:ascii="Calibri;sans-serif" w:hAnsi="Calibri;sans-serif"/>
                <w:b w:val="false"/>
                <w:i/>
                <w:color w:val="000000"/>
                <w:sz w:val="18"/>
              </w:rPr>
              <w:t>9</w:t>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1,342</w:t>
            </w:r>
          </w:p>
        </w:tc>
      </w:tr>
      <w:tr>
        <w:trPr/>
        <w:tc>
          <w:tcPr>
            <w:tcW w:w="65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Net cash flows from financing activities</w:t>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13,564</w:t>
            </w:r>
          </w:p>
        </w:tc>
        <w:tc>
          <w:tcPr>
            <w:tcW w:w="9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35,777</w:t>
            </w:r>
          </w:p>
        </w:tc>
      </w:tr>
      <w:tr>
        <w:trPr/>
        <w:tc>
          <w:tcPr>
            <w:tcW w:w="65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firstLine="360"/>
              <w:jc w:val="left"/>
              <w:rPr>
                <w:color w:val="000000"/>
              </w:rPr>
            </w:pPr>
            <w:r>
              <w:rPr>
                <w:color w:val="000000"/>
              </w:rPr>
              <w:t> </w:t>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Effects of exchange rate changes on cash</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168</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w:t>
            </w:r>
          </w:p>
        </w:tc>
      </w:tr>
      <w:tr>
        <w:trPr/>
        <w:tc>
          <w:tcPr>
            <w:tcW w:w="65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firstLine="360"/>
              <w:jc w:val="left"/>
              <w:rPr>
                <w:color w:val="000000"/>
              </w:rPr>
            </w:pPr>
            <w:r>
              <w:rPr>
                <w:color w:val="000000"/>
              </w:rPr>
              <w:t> </w:t>
            </w:r>
          </w:p>
        </w:tc>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Net change in cash</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(37,008)</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(10,385)</w:t>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Cash, beginning of period</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53,641</w:t>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64,026</w:t>
            </w:r>
          </w:p>
        </w:tc>
      </w:tr>
      <w:tr>
        <w:trPr/>
        <w:tc>
          <w:tcPr>
            <w:tcW w:w="6599"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Cash, end of period</w:t>
            </w:r>
          </w:p>
        </w:tc>
        <w:tc>
          <w:tcPr>
            <w:tcW w:w="541"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6D6D6D"/>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16,633</w:t>
            </w:r>
          </w:p>
        </w:tc>
        <w:tc>
          <w:tcPr>
            <w:tcW w:w="900" w:type="dxa"/>
            <w:gridSpan w:val="3"/>
            <w:tcBorders>
              <w:top w:val="single" w:sz="8" w:space="0" w:color="6D6D6D"/>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53,641</w:t>
            </w:r>
          </w:p>
        </w:tc>
      </w:tr>
    </w:tbl>
    <w:p>
      <w:pPr>
        <w:pStyle w:val="TextBody"/>
        <w:spacing w:lineRule="auto" w:line="288" w:before="200" w:after="283"/>
        <w:ind w:left="0" w:right="0" w:hanging="360"/>
        <w:jc w:val="both"/>
        <w:rPr>
          <w:rFonts w:ascii="Calibri;sans-serif" w:hAnsi="Calibri;sans-serif"/>
          <w:b w:val="false"/>
          <w:i/>
          <w:color w:val="000000"/>
          <w:sz w:val="20"/>
        </w:rPr>
      </w:pPr>
      <w:r>
        <w:rPr>
          <w:rFonts w:ascii="Calibri;sans-serif" w:hAnsi="Calibri;sans-serif"/>
          <w:b w:val="false"/>
          <w:i/>
          <w:color w:val="000000"/>
          <w:sz w:val="20"/>
        </w:rPr>
        <w:t>The accompanying notes are an integral part of these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92265" cy="175260"/>
                <wp:effectExtent l="0" t="0" r="0" b="0"/>
                <wp:wrapNone/>
                <wp:docPr id="129" name="Frame11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1.    CORPORATE INFORMATION</w:t>
      </w:r>
    </w:p>
    <w:p>
      <w:pPr>
        <w:pStyle w:val="TextBody"/>
        <w:spacing w:lineRule="auto" w:line="288" w:before="20" w:after="283"/>
        <w:jc w:val="both"/>
        <w:rPr>
          <w:rFonts w:ascii="Calibri;sans-serif" w:hAnsi="Calibri;sans-serif"/>
          <w:b w:val="false"/>
          <w:color w:val="000000"/>
          <w:sz w:val="20"/>
        </w:rPr>
      </w:pPr>
      <w:r>
        <w:rPr>
          <w:rFonts w:ascii="Calibri;sans-serif" w:hAnsi="Calibri;sans-serif"/>
          <w:b w:val="false"/>
          <w:color w:val="000000"/>
          <w:sz w:val="20"/>
        </w:rPr>
        <w:t xml:space="preserve">Cybin Inc. (“Cybin”), was incorporated under the Business Corporations Act (British Columbia) on October 13, 2016. These consolidated financial statements include the accounts of Cybin’s six subsidiaries (together with Cybin, the “Company”): Cybin Corp., Natures Journey Inc. (“Journey”), Serenity Life Sciences Inc. (“Serenity”), Cybin US Holdings Inc. (“Cybin US”), Adelia Therapeutics Inc. (“Adelia”) and Cybin IRL Limited (“Cybin IRL”). Cybin’s head office, principal address and registered address and records office is 100 King Street West, Suite 5600, Toronto, Ontario M5X 1C9.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is a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These consolidated financial statements as at, and for the year ended, March 31, 2023 were approved and authorized for issue by the board of directors on June 27, 2023. </w:t>
      </w:r>
    </w:p>
    <w:p>
      <w:pPr>
        <w:pStyle w:val="TextBody"/>
        <w:spacing w:lineRule="auto" w:line="288" w:before="200" w:after="283"/>
        <w:rPr>
          <w:rFonts w:ascii="Calibri;sans-serif" w:hAnsi="Calibri;sans-serif"/>
          <w:b/>
          <w:i/>
          <w:color w:val="000000"/>
          <w:sz w:val="20"/>
          <w:u w:val="single"/>
        </w:rPr>
      </w:pPr>
      <w:r>
        <w:rPr>
          <w:rFonts w:ascii="Calibri;sans-serif" w:hAnsi="Calibri;sans-serif"/>
          <w:b/>
          <w:i/>
          <w:color w:val="000000"/>
          <w:sz w:val="20"/>
          <w:u w:val="single"/>
        </w:rPr>
        <w:t>Stock exchange listing</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Cybin’s common shares (“Common Shares”) are listed for trading on the Neo Exchange Inc., and NYSE American LLC under the symbol “CYBN” and are quoted on the Frankfurt Stock Exchange under the symbol “R7E1”.</w:t>
      </w:r>
    </w:p>
    <w:p>
      <w:pPr>
        <w:pStyle w:val="TextBody"/>
        <w:spacing w:lineRule="auto" w:line="288" w:before="200" w:after="283"/>
        <w:jc w:val="both"/>
        <w:rPr>
          <w:rFonts w:ascii="Calibri;sans-serif" w:hAnsi="Calibri;sans-serif"/>
          <w:b/>
          <w:i/>
          <w:color w:val="000000"/>
          <w:sz w:val="20"/>
          <w:u w:val="single"/>
        </w:rPr>
      </w:pPr>
      <w:r>
        <w:rPr>
          <w:rFonts w:ascii="Calibri;sans-serif" w:hAnsi="Calibri;sans-serif"/>
          <w:b/>
          <w:i/>
          <w:color w:val="000000"/>
          <w:sz w:val="20"/>
          <w:u w:val="single"/>
        </w:rPr>
        <w:t>Going Concern</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These consolidated financial statements are prepared on a going concern basis, which contemplates that the Company will continue in operation for the foreseeable future and will be able to realize its assets and discharge its liabilities in the normal course of business. At present, the Company’s operations do not generate cash flows and, as at March 31, 2023, the Company had an accumulated deficit of $148,151 (2022 - $100,661), cash of $16,633 (2022 - $53,641) and working capital of $17,522 (2022 - $50,447), and a net loss of $47,490 (2022 - $67,631) and negative cash flows from operations of $47,431 (2022 - $45,207) for the year then ended. In order to continue as a going concern and meet its corporate objectives, the Company is dependent on its ability to obtain additional financing. There is no assurance that the Company will be able to obtain adequate financing in the future or that such financing will be on terms advantageous to the Company. </w:t>
      </w:r>
    </w:p>
    <w:p>
      <w:pPr>
        <w:pStyle w:val="TextBody"/>
        <w:spacing w:lineRule="auto" w:line="268" w:before="200" w:after="283"/>
        <w:jc w:val="both"/>
        <w:rPr>
          <w:rFonts w:ascii="Calibri;sans-serif" w:hAnsi="Calibri;sans-serif"/>
          <w:b w:val="false"/>
          <w:color w:val="000000"/>
          <w:sz w:val="20"/>
        </w:rPr>
      </w:pPr>
      <w:r>
        <w:rPr>
          <w:rFonts w:ascii="Calibri;sans-serif" w:hAnsi="Calibri;sans-serif"/>
          <w:b w:val="false"/>
          <w:color w:val="000000"/>
          <w:sz w:val="20"/>
        </w:rPr>
        <w:t xml:space="preserve">These consolidated financial statements do not reflect the adjustments or reclassifications of assets and liabilities which would be necessary if the Company were unable to continue as a going concern and therefore were required to realize its assets and liquidate its liabilities and commitments in the normal course of business operations and at amounts different from those in the accompanying consolidated financial statements.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2.    SIGNIFICANT ACCOUNTING POLICIES AND BASIS OF PREPARATION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Calibri;sans-serif" w:hAnsi="Calibri;sans-serif"/>
          <w:b/>
          <w:i/>
          <w:color w:val="000000"/>
          <w:sz w:val="20"/>
          <w:u w:val="single"/>
        </w:rPr>
      </w:pPr>
      <w:r>
        <w:rPr>
          <w:rFonts w:ascii="Calibri;sans-serif" w:hAnsi="Calibri;sans-serif"/>
          <w:b/>
          <w:i/>
          <w:color w:val="000000"/>
          <w:sz w:val="20"/>
          <w:u w:val="single"/>
        </w:rPr>
        <w:t xml:space="preserve">Statement of compliance </w:t>
      </w:r>
    </w:p>
    <w:p>
      <w:pPr>
        <w:pStyle w:val="TextBody"/>
        <w:spacing w:before="0" w:after="0"/>
        <w:jc w:val="both"/>
        <w:rPr/>
      </w:pPr>
      <w:r>
        <w:rPr/>
      </w:r>
    </w:p>
    <w:p>
      <w:pPr>
        <w:pStyle w:val="TextBody"/>
        <w:spacing w:lineRule="auto" w:line="256" w:before="0" w:after="0"/>
        <w:jc w:val="both"/>
        <w:rPr/>
      </w:pPr>
      <w:r>
        <w:rPr>
          <w:rFonts w:ascii="Calibri;sans-serif" w:hAnsi="Calibri;sans-serif"/>
          <w:b w:val="false"/>
          <w:color w:val="000000"/>
          <w:sz w:val="20"/>
        </w:rPr>
        <w:t>The Company’s consolidated financial statements have been prepared in accordance with International Financial Reporting Standards (“IFRS”), as issued by the International Accounting Standards Board (“IASB”)</w:t>
      </w:r>
      <w:r>
        <w:rPr>
          <w:rFonts w:ascii="Calibri;sans-serif" w:hAnsi="Calibri;sans-serif"/>
          <w:b w:val="false"/>
          <w:i/>
          <w:color w:val="000000"/>
          <w:sz w:val="24"/>
        </w:rPr>
        <w:t xml:space="preserve">. </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692265" cy="154940"/>
                <wp:effectExtent l="0" t="0" r="0" b="0"/>
                <wp:wrapNone/>
                <wp:docPr id="130" name="Frame118"/>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120"/>
                              <w:jc w:val="center"/>
                              <w:rPr>
                                <w:rFonts w:ascii="Calibri;sans-serif" w:hAnsi="Calibri;sans-serif"/>
                                <w:b/>
                                <w:color w:val="000000"/>
                                <w:sz w:val="20"/>
                              </w:rPr>
                            </w:pPr>
                            <w:r>
                              <w:rPr>
                                <w:rFonts w:ascii="Calibri;sans-serif" w:hAnsi="Calibri;sans-serif"/>
                                <w:b/>
                                <w:color w:val="000000"/>
                                <w:sz w:val="20"/>
                              </w:rPr>
                              <w:t>Page 11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Calibri;sans-serif" w:hAnsi="Calibri;sans-serif"/>
                          <w:b/>
                          <w:color w:val="000000"/>
                          <w:sz w:val="20"/>
                        </w:rPr>
                      </w:pPr>
                      <w:r>
                        <w:rPr>
                          <w:rFonts w:ascii="Calibri;sans-serif" w:hAnsi="Calibri;sans-serif"/>
                          <w:b/>
                          <w:color w:val="000000"/>
                          <w:sz w:val="20"/>
                        </w:rPr>
                        <w:t>Page 11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56" w:before="200" w:after="283"/>
        <w:jc w:val="both"/>
        <w:rPr>
          <w:rFonts w:ascii="Calibri;sans-serif" w:hAnsi="Calibri;sans-serif"/>
          <w:b w:val="false"/>
          <w:color w:val="000000"/>
          <w:sz w:val="20"/>
        </w:rPr>
      </w:pPr>
      <w:r>
        <w:rPr>
          <w:rFonts w:ascii="Calibri;sans-serif" w:hAnsi="Calibri;sans-serif"/>
          <w:b w:val="false"/>
          <w:color w:val="000000"/>
          <w:sz w:val="20"/>
        </w:rPr>
        <w:t>The policies applied to these consolidated financial statements are based on IFRS, which have been applied consistently to all periods presented. These consolidated financial statements were issued and effective as at June 27, 2023, the date the Board of Directors approved these consolidated financial statements.</w:t>
      </w:r>
    </w:p>
    <w:p>
      <w:pPr>
        <w:pStyle w:val="TextBody"/>
        <w:spacing w:before="0" w:after="0"/>
        <w:jc w:val="both"/>
        <w:rPr/>
      </w:pPr>
      <w:r>
        <w:rPr/>
      </w:r>
    </w:p>
    <w:p>
      <w:pPr>
        <w:pStyle w:val="TextBody"/>
        <w:spacing w:lineRule="auto" w:line="268" w:before="0" w:after="0"/>
        <w:ind w:left="0" w:right="0" w:firstLine="360"/>
        <w:jc w:val="both"/>
        <w:rPr>
          <w:rFonts w:ascii="Calibri;sans-serif" w:hAnsi="Calibri;sans-serif"/>
          <w:b/>
          <w:i/>
          <w:color w:val="000000"/>
          <w:sz w:val="20"/>
          <w:u w:val="single"/>
        </w:rPr>
      </w:pPr>
      <w:r>
        <w:rPr>
          <w:rFonts w:ascii="Calibri;sans-serif" w:hAnsi="Calibri;sans-serif"/>
          <w:b/>
          <w:i/>
          <w:color w:val="000000"/>
          <w:sz w:val="20"/>
          <w:u w:val="single"/>
        </w:rPr>
        <w:t>Basis of measurement</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These consolidated financial statements have been prepared on a going concern basis, under the historical cost convention, except for certain financial instruments classified at fair value upon initial recognition.</w:t>
      </w:r>
    </w:p>
    <w:p>
      <w:pPr>
        <w:pStyle w:val="TextBody"/>
        <w:spacing w:before="0" w:after="0"/>
        <w:jc w:val="both"/>
        <w:rPr/>
      </w:pPr>
      <w:r>
        <w:rPr/>
      </w:r>
    </w:p>
    <w:p>
      <w:pPr>
        <w:pStyle w:val="TextBody"/>
        <w:spacing w:lineRule="auto" w:line="288" w:before="0" w:after="0"/>
        <w:ind w:left="0" w:right="0" w:firstLine="360"/>
        <w:rPr>
          <w:rFonts w:ascii="Calibri;sans-serif" w:hAnsi="Calibri;sans-serif"/>
          <w:b/>
          <w:i/>
          <w:color w:val="000000"/>
          <w:sz w:val="20"/>
          <w:u w:val="single"/>
        </w:rPr>
      </w:pPr>
      <w:r>
        <w:rPr>
          <w:rFonts w:ascii="Calibri;sans-serif" w:hAnsi="Calibri;sans-serif"/>
          <w:b/>
          <w:i/>
          <w:color w:val="000000"/>
          <w:sz w:val="20"/>
          <w:u w:val="single"/>
        </w:rPr>
        <w:t>Functional and presentation currency</w:t>
      </w:r>
    </w:p>
    <w:p>
      <w:pPr>
        <w:pStyle w:val="TextBody"/>
        <w:spacing w:lineRule="auto" w:line="264" w:before="200" w:after="283"/>
        <w:jc w:val="both"/>
        <w:rPr>
          <w:rFonts w:ascii="Calibri;sans-serif" w:hAnsi="Calibri;sans-serif"/>
          <w:b w:val="false"/>
          <w:color w:val="000000"/>
          <w:sz w:val="20"/>
        </w:rPr>
      </w:pPr>
      <w:r>
        <w:rPr>
          <w:rFonts w:ascii="Calibri;sans-serif" w:hAnsi="Calibri;sans-serif"/>
          <w:b w:val="false"/>
          <w:color w:val="000000"/>
          <w:sz w:val="20"/>
        </w:rPr>
        <w:t>The functional currency of a company is the currency of the primary economic environment in which the company operates. The presentation currency for a company is the currency in which the company chooses to present its financial statements.</w:t>
      </w:r>
    </w:p>
    <w:p>
      <w:pPr>
        <w:pStyle w:val="TextBody"/>
        <w:spacing w:lineRule="auto" w:line="264" w:before="200" w:after="283"/>
        <w:jc w:val="both"/>
        <w:rPr>
          <w:rFonts w:ascii="Calibri;sans-serif" w:hAnsi="Calibri;sans-serif"/>
          <w:b w:val="false"/>
          <w:color w:val="000000"/>
          <w:sz w:val="20"/>
        </w:rPr>
      </w:pPr>
      <w:r>
        <w:rPr>
          <w:rFonts w:ascii="Calibri;sans-serif" w:hAnsi="Calibri;sans-serif"/>
          <w:b w:val="false"/>
          <w:color w:val="000000"/>
          <w:sz w:val="20"/>
        </w:rPr>
        <w:t>These consolidated financial statements are presented in Canadian dollars, the Company’s presentation currency. The Company’s and its subsidiaries functional currencies are as follows:</w:t>
      </w:r>
    </w:p>
    <w:tbl>
      <w:tblPr>
        <w:tblW w:w="3525" w:type="dxa"/>
        <w:jc w:val="left"/>
        <w:tblInd w:w="0" w:type="dxa"/>
        <w:tblCellMar>
          <w:top w:w="28" w:type="dxa"/>
          <w:left w:w="28" w:type="dxa"/>
          <w:bottom w:w="28" w:type="dxa"/>
          <w:right w:w="28" w:type="dxa"/>
        </w:tblCellMar>
      </w:tblPr>
      <w:tblGrid>
        <w:gridCol w:w="379"/>
        <w:gridCol w:w="334"/>
        <w:gridCol w:w="337"/>
        <w:gridCol w:w="474"/>
        <w:gridCol w:w="474"/>
        <w:gridCol w:w="476"/>
        <w:gridCol w:w="307"/>
        <w:gridCol w:w="307"/>
        <w:gridCol w:w="437"/>
      </w:tblGrid>
      <w:tr>
        <w:trPr/>
        <w:tc>
          <w:tcPr>
            <w:tcW w:w="37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color w:val="000000"/>
                <w:sz w:val="20"/>
              </w:rPr>
            </w:pPr>
            <w:r>
              <w:rPr>
                <w:rFonts w:ascii="Calibri;sans-serif" w:hAnsi="Calibri;sans-serif"/>
                <w:b/>
                <w:color w:val="000000"/>
                <w:sz w:val="20"/>
              </w:rPr>
              <w:t>Entity</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color w:val="000000"/>
                <w:sz w:val="20"/>
              </w:rPr>
            </w:pPr>
            <w:r>
              <w:rPr>
                <w:rFonts w:ascii="Calibri;sans-serif" w:hAnsi="Calibri;sans-serif"/>
                <w:b/>
                <w:color w:val="000000"/>
                <w:sz w:val="20"/>
              </w:rPr>
              <w:t>Currency</w:t>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color w:val="000000"/>
                <w:sz w:val="20"/>
              </w:rPr>
            </w:pPr>
            <w:r>
              <w:rPr>
                <w:rFonts w:ascii="Calibri;sans-serif" w:hAnsi="Calibri;sans-serif"/>
                <w:b/>
                <w:color w:val="000000"/>
                <w:sz w:val="20"/>
              </w:rPr>
              <w:t>Ownership</w:t>
            </w:r>
          </w:p>
        </w:tc>
      </w:tr>
      <w:tr>
        <w:trPr/>
        <w:tc>
          <w:tcPr>
            <w:tcW w:w="10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Cybin Corp.</w:t>
            </w:r>
          </w:p>
        </w:tc>
        <w:tc>
          <w:tcPr>
            <w:tcW w:w="14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Canadian dollars</w:t>
            </w:r>
          </w:p>
        </w:tc>
        <w:tc>
          <w:tcPr>
            <w:tcW w:w="10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100%</w:t>
            </w:r>
          </w:p>
        </w:tc>
      </w:tr>
      <w:tr>
        <w:trPr/>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Journey</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Canadian dollars</w:t>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100%</w:t>
            </w:r>
          </w:p>
        </w:tc>
      </w:tr>
      <w:tr>
        <w:trPr/>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Serenity</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Canadian dollars</w:t>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100%</w:t>
            </w:r>
          </w:p>
        </w:tc>
      </w:tr>
      <w:tr>
        <w:trPr/>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Calibri;sans-serif" w:hAnsi="Calibri;sans-serif"/>
                <w:b w:val="false"/>
                <w:color w:val="000000"/>
                <w:sz w:val="20"/>
              </w:rPr>
              <w:t>Cybin US</w:t>
            </w:r>
            <w:r>
              <w:rPr>
                <w:rFonts w:ascii="Calibri;sans-serif" w:hAnsi="Calibri;sans-serif"/>
                <w:b w:val="false"/>
                <w:color w:val="000000"/>
                <w:sz w:val="13"/>
              </w:rPr>
              <w:t>1</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Canadian dollars</w:t>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100%</w:t>
            </w:r>
          </w:p>
        </w:tc>
      </w:tr>
      <w:tr>
        <w:trPr/>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Adelia</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U.S. dollars</w:t>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100%</w:t>
            </w:r>
          </w:p>
        </w:tc>
      </w:tr>
      <w:tr>
        <w:trPr/>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 xml:space="preserve">Cybin IRL </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U.S. dollars</w:t>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100%</w:t>
            </w:r>
          </w:p>
        </w:tc>
      </w:tr>
    </w:tbl>
    <w:p>
      <w:pPr>
        <w:pStyle w:val="TextBody"/>
        <w:spacing w:lineRule="auto" w:line="288" w:before="200" w:after="283"/>
        <w:rPr/>
      </w:pPr>
      <w:r>
        <w:rPr>
          <w:rFonts w:ascii="Calibri;sans-serif" w:hAnsi="Calibri;sans-serif"/>
          <w:b w:val="false"/>
          <w:color w:val="000000"/>
          <w:sz w:val="10"/>
        </w:rPr>
        <w:t>1</w:t>
      </w:r>
      <w:r>
        <w:rPr>
          <w:color w:val="000000"/>
        </w:rPr>
        <w:t xml:space="preserve"> </w:t>
      </w:r>
      <w:r>
        <w:rPr>
          <w:rFonts w:ascii="Calibri;sans-serif" w:hAnsi="Calibri;sans-serif"/>
          <w:b w:val="false"/>
          <w:color w:val="000000"/>
          <w:sz w:val="16"/>
        </w:rPr>
        <w:t>For accounting purposes, Cybin US is a wholly-owned subsidiary of Cybin. Certain Former Adelia Shareholders (as defined below) hold Class B Shares (defined below) in Cybin US.</w:t>
      </w:r>
    </w:p>
    <w:p>
      <w:pPr>
        <w:pStyle w:val="TextBody"/>
        <w:spacing w:before="0" w:after="0"/>
        <w:jc w:val="both"/>
        <w:rPr/>
      </w:pPr>
      <w:r>
        <w:rPr/>
      </w:r>
    </w:p>
    <w:p>
      <w:pPr>
        <w:pStyle w:val="TextBody"/>
        <w:spacing w:lineRule="auto" w:line="276" w:before="0" w:after="0"/>
        <w:jc w:val="both"/>
        <w:rPr>
          <w:rFonts w:ascii="Calibri;sans-serif" w:hAnsi="Calibri;sans-serif"/>
          <w:b/>
          <w:i/>
          <w:color w:val="000000"/>
          <w:sz w:val="20"/>
          <w:u w:val="single"/>
        </w:rPr>
      </w:pPr>
      <w:r>
        <w:rPr>
          <w:rFonts w:ascii="Calibri;sans-serif" w:hAnsi="Calibri;sans-serif"/>
          <w:b/>
          <w:i/>
          <w:color w:val="000000"/>
          <w:sz w:val="20"/>
          <w:u w:val="single"/>
        </w:rPr>
        <w:t xml:space="preserve">Basis of consolidation </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consolidates entities which it controls. Control exists when the Company has the power, directly and indirectly to govern the financial and operating policies of an entity and be exposed to the variable returns from its activities. The financial statements of the wholly owned subsidiaries are included in the consolidated financial statements from the date that control commences until the date that control ceases.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Intercompany balances, and any unrealized gains and losses or income and expenses arising from transactions with controlled entities are eliminated to the extent of the Company’s interest in the entity. </w:t>
      </w:r>
    </w:p>
    <w:p>
      <w:pPr>
        <w:pStyle w:val="TextBody"/>
        <w:spacing w:before="0" w:after="0"/>
        <w:rPr/>
      </w:pPr>
      <w:r>
        <w:rPr/>
      </w:r>
    </w:p>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Cash and cash equivalents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Cash and cash equivalents are comprised of cash on deposit and highly liquid short-term interest-bearing variable rate investments with an original maturity of three months or less, or which are readily convertible into a known amount of cash with no significant changes. As at March 31, 2023 and March 31, 2022 there were no cash equivalents.</w:t>
      </w:r>
    </w:p>
    <w:p>
      <w:pPr>
        <w:pStyle w:val="TextBody"/>
        <w:spacing w:before="0" w:after="0"/>
        <w:rPr/>
      </w:pPr>
      <w:r>
        <w:rPr/>
      </w:r>
    </w:p>
    <w:p>
      <w:pPr>
        <w:pStyle w:val="TextBody"/>
        <w:spacing w:lineRule="auto" w:line="268" w:before="0" w:after="0"/>
        <w:ind w:left="0" w:right="0" w:firstLine="360"/>
        <w:jc w:val="both"/>
        <w:rPr>
          <w:rFonts w:ascii="Calibri;sans-serif" w:hAnsi="Calibri;sans-serif"/>
          <w:b/>
          <w:i/>
          <w:color w:val="000000"/>
          <w:sz w:val="20"/>
          <w:u w:val="single"/>
        </w:rPr>
      </w:pPr>
      <w:r>
        <w:rPr>
          <w:rFonts w:ascii="Calibri;sans-serif" w:hAnsi="Calibri;sans-serif"/>
          <w:b/>
          <w:i/>
          <w:color w:val="000000"/>
          <w:sz w:val="20"/>
          <w:u w:val="single"/>
        </w:rPr>
        <w:t>Inventories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Inventories include raw materials and finished goods. Raw materials are stated at the lower of cost and replacement cost with cost determined on a first-in, first-out basis. The Company monitors the shelf life and </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692265" cy="154940"/>
                <wp:effectExtent l="0" t="0" r="0" b="0"/>
                <wp:wrapNone/>
                <wp:docPr id="131" name="Frame119"/>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12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12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expiry of finished goods to determine when inventory values are not recoverable and a write-down is necessary.</w:t>
      </w:r>
    </w:p>
    <w:p>
      <w:pPr>
        <w:pStyle w:val="TextBody"/>
        <w:spacing w:before="0" w:after="0"/>
        <w:rPr/>
      </w:pPr>
      <w:r>
        <w:rPr/>
      </w:r>
    </w:p>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Equipment</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Equipment consists of lab equipment and computer equipment and are recorded at cost less accumulated depreciation and accumulated impairment losses. Cost includes all expenditures incurred to bring the asset to the location and condition necessary for them to be operating in the manner intended by management.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Depreciation is recognized based on the cost of the item less its estimated residual value, over its estimated useful life on a straight-line basis at the following rates:</w:t>
      </w:r>
    </w:p>
    <w:p>
      <w:pPr>
        <w:pStyle w:val="TextBody"/>
        <w:spacing w:before="0" w:after="0"/>
        <w:rPr/>
      </w:pPr>
      <w:r>
        <w:rPr/>
      </w:r>
    </w:p>
    <w:p>
      <w:pPr>
        <w:pStyle w:val="TextBody"/>
        <w:spacing w:lineRule="auto" w:line="268" w:before="0" w:after="0"/>
        <w:jc w:val="both"/>
        <w:rPr/>
      </w:pPr>
      <w:r>
        <w:rPr>
          <w:color w:val="000000"/>
        </w:rPr>
        <w:t>•</w:t>
      </w:r>
      <w:r>
        <w:rPr>
          <w:rFonts w:ascii="Calibri;sans-serif" w:hAnsi="Calibri;sans-serif"/>
          <w:b w:val="false"/>
          <w:color w:val="000000"/>
          <w:sz w:val="20"/>
        </w:rPr>
        <w:t>Lab equipment – 5 years</w:t>
      </w:r>
    </w:p>
    <w:p>
      <w:pPr>
        <w:pStyle w:val="TextBody"/>
        <w:spacing w:lineRule="auto" w:line="268" w:before="0" w:after="0"/>
        <w:jc w:val="both"/>
        <w:rPr/>
      </w:pPr>
      <w:r>
        <w:rPr>
          <w:color w:val="000000"/>
        </w:rPr>
        <w:t>•</w:t>
      </w:r>
      <w:r>
        <w:rPr>
          <w:rFonts w:ascii="Calibri;sans-serif" w:hAnsi="Calibri;sans-serif"/>
          <w:b w:val="false"/>
          <w:color w:val="000000"/>
          <w:sz w:val="20"/>
        </w:rPr>
        <w:t>Computer equipment – 3 years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An item of equipment and any significant part initially recognized is derecognized upon disposal or when no future economic benefits are expected from its use. Any gain or loss arising on derecognition of the asset (calculated as the difference between the net disposal proceeds and the carrying amount of the asset) is included in the statement of loss and comprehensive loss when the asset is derecognized. The assets’ residual values, useful lives and methods of depreciation are reviewed at each reporting date and adjusted prospectively if appropriate. </w:t>
      </w:r>
    </w:p>
    <w:p>
      <w:pPr>
        <w:pStyle w:val="TextBody"/>
        <w:spacing w:before="0" w:after="0"/>
        <w:rPr/>
      </w:pPr>
      <w:r>
        <w:rPr/>
      </w:r>
    </w:p>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Intangible Assets</w:t>
      </w:r>
    </w:p>
    <w:p>
      <w:pPr>
        <w:pStyle w:val="TextBody"/>
        <w:spacing w:before="0" w:after="0"/>
        <w:rPr/>
      </w:pPr>
      <w:r>
        <w:rPr/>
      </w:r>
    </w:p>
    <w:p>
      <w:pPr>
        <w:pStyle w:val="TextBody"/>
        <w:spacing w:lineRule="auto" w:line="256" w:before="0" w:after="0"/>
        <w:jc w:val="both"/>
        <w:rPr>
          <w:rFonts w:ascii="Calibri;sans-serif" w:hAnsi="Calibri;sans-serif"/>
          <w:b w:val="false"/>
          <w:color w:val="000000"/>
          <w:sz w:val="20"/>
        </w:rPr>
      </w:pPr>
      <w:r>
        <w:rPr>
          <w:rFonts w:ascii="Calibri;sans-serif" w:hAnsi="Calibri;sans-serif"/>
          <w:b w:val="false"/>
          <w:color w:val="000000"/>
          <w:sz w:val="20"/>
        </w:rPr>
        <w:t xml:space="preserve">Intangible assets include expenditures related to obtaining patents, software related items and in-process research and development (“IPR&amp;D”). The amortization of software related items begins when the software is in use and will be amortized on a straight-line basis over a period of 3 years. The amortization of patent costs commences when the associated products are available for commercial sale and is amortized on a straight-line basis over its respective legal lives or economic life, if shorter. Patents have an estimated useful life of 17 years. Amortization methods, useful lives, and residual values are reviewed at each reporting date and adjusted if appropriate. Acquired IPR&amp;D is capitalized based on technical feasibility and remains on the balance sheet, subject to impairment. Acquired IPR&amp;D is initially measured at fair value and recognized as an indefinite-lived intangible asset until completion or abandonment of the related project. Amortization commences when the assets become available for use. Expenditures on research activities, undertaken with the prospect of gaining new scientific or technical knowledge and understanding, are recognized in operations as incurred.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Development activities involve a plan or design for the production of new, or substantially improved, products or processes related to the Company’s development of psychedelic-based therapeutics. Development expenditures are capitalized only if the relevant IFRS criteria are met. Capitalized development expenditures are amortized from the beginning of commercial production and sales and are amortized on a straight-line basis over the remaining useful life of the related patents. Development expenditures, in relation to the Company’s psychedelic-based therapeutics, have not satisfied the above criteria and are recognized in operations as incurred. </w:t>
      </w:r>
    </w:p>
    <w:p>
      <w:pPr>
        <w:pStyle w:val="TextBody"/>
        <w:spacing w:before="0" w:after="0"/>
        <w:jc w:val="both"/>
        <w:rPr/>
      </w:pPr>
      <w:r>
        <w:rPr/>
      </w:r>
    </w:p>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Goodwill</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Goodwill represents the excess of the consideration transferred for the acquisition of an entity over the fair value of the net identifiable assets. Goodwill is initially measured at cost, and subsequently recorded at cost less any accumulated impairment losses. For the purpose of impairment testing, goodwill acquired in a business combination is, from the acquisition date, allocated to each of the Company’s cash-generating units </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692265" cy="154940"/>
                <wp:effectExtent l="0" t="0" r="0" b="0"/>
                <wp:wrapNone/>
                <wp:docPr id="132" name="Frame120"/>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13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13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(“CGUs”) that are expected to benefit from the combination, irrespective of whether other assets or liabilities of the acquiree are assigned to those CGUs. The Company tests for impairment annually, or when indications of impairment exist. Impairment is determined for goodwill by assessing if the carrying value of CGUs, including goodwill, exceeds its recoverable amount determined as the greater of the estimated fair value less costs of disposal and the value in use. Impairment losses recognized in respect of the CGUs are first allocated to the carrying value of goodwill and any excess is allocated to the carrying amount of assets in the CGUs. Any goodwill impairment is recorded in the statement of income.</w:t>
      </w:r>
    </w:p>
    <w:p>
      <w:pPr>
        <w:pStyle w:val="TextBody"/>
        <w:spacing w:before="0" w:after="0"/>
        <w:rPr/>
      </w:pPr>
      <w:r>
        <w:rPr/>
      </w:r>
    </w:p>
    <w:p>
      <w:pPr>
        <w:pStyle w:val="TextBody"/>
        <w:spacing w:lineRule="auto" w:line="288" w:before="0" w:after="0"/>
        <w:rPr>
          <w:rFonts w:ascii="Calibri;sans-serif" w:hAnsi="Calibri;sans-serif"/>
          <w:b/>
          <w:i/>
          <w:color w:val="000000"/>
          <w:sz w:val="20"/>
          <w:u w:val="single"/>
        </w:rPr>
      </w:pPr>
      <w:r>
        <w:rPr>
          <w:rFonts w:ascii="Calibri;sans-serif" w:hAnsi="Calibri;sans-serif"/>
          <w:b/>
          <w:i/>
          <w:color w:val="000000"/>
          <w:sz w:val="20"/>
          <w:u w:val="single"/>
        </w:rPr>
        <w:t>Impairment of long-lived assets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Long-lived assets, including equipment and intangible assets, are reviewed for impairment at each statement of financial position date or whenever events or changes in circumstances indicate that the carrying amount of the asset exceeds its recoverable amount. Where the carrying value of an asset exceeds its recoverable amount, which is the higher of value in use and fair value less costs to sell, the asset is written down accordingly. Where it is not possible to estimate the recoverable amount of an individual asset, the impairment test is carried out on the asset’s cash-generating unit, which is the lowest group of assets in which the asset belongs for which there are separate cash inflows that are largely independent of the cash inflows from other assets. An impairment loss is charged to operations. </w:t>
      </w:r>
    </w:p>
    <w:p>
      <w:pPr>
        <w:pStyle w:val="TextBody"/>
        <w:spacing w:before="0" w:after="0"/>
        <w:rPr/>
      </w:pPr>
      <w:r>
        <w:rPr/>
      </w:r>
    </w:p>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Financial instruments</w:t>
      </w:r>
    </w:p>
    <w:p>
      <w:pPr>
        <w:pStyle w:val="TextBody"/>
        <w:spacing w:before="0" w:after="0"/>
        <w:rPr/>
      </w:pPr>
      <w:r>
        <w:rPr/>
      </w:r>
    </w:p>
    <w:p>
      <w:pPr>
        <w:pStyle w:val="TextBody"/>
        <w:spacing w:lineRule="auto" w:line="268" w:before="0" w:after="0"/>
        <w:jc w:val="both"/>
        <w:rPr>
          <w:rFonts w:ascii="Calibri;sans-serif" w:hAnsi="Calibri;sans-serif"/>
          <w:b/>
          <w:i/>
          <w:color w:val="000000"/>
          <w:sz w:val="20"/>
        </w:rPr>
      </w:pPr>
      <w:r>
        <w:rPr>
          <w:rFonts w:ascii="Calibri;sans-serif" w:hAnsi="Calibri;sans-serif"/>
          <w:b/>
          <w:i/>
          <w:color w:val="000000"/>
          <w:sz w:val="20"/>
        </w:rPr>
        <w:t>Recognition and initial measurement</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The Company initially recognizes financial instruments on the trade date, which is the date on which the Company becomes a party to the contractual provisions of the instrument. A financial asset or financial liability is measured initially at fair value plus/minus, for an item not at fair value through profit or loss (“FVTPL”), transaction costs that are directly attributable to its acquisition or use.</w:t>
      </w:r>
    </w:p>
    <w:p>
      <w:pPr>
        <w:pStyle w:val="TextBody"/>
        <w:spacing w:before="0" w:after="0"/>
        <w:rPr/>
      </w:pPr>
      <w:r>
        <w:rPr/>
      </w:r>
    </w:p>
    <w:p>
      <w:pPr>
        <w:pStyle w:val="TextBody"/>
        <w:spacing w:lineRule="auto" w:line="268" w:before="0" w:after="0"/>
        <w:jc w:val="both"/>
        <w:rPr>
          <w:rFonts w:ascii="Calibri;sans-serif" w:hAnsi="Calibri;sans-serif"/>
          <w:b/>
          <w:i/>
          <w:color w:val="000000"/>
          <w:sz w:val="20"/>
        </w:rPr>
      </w:pPr>
      <w:r>
        <w:rPr>
          <w:rFonts w:ascii="Calibri;sans-serif" w:hAnsi="Calibri;sans-serif"/>
          <w:b/>
          <w:i/>
          <w:color w:val="000000"/>
          <w:sz w:val="20"/>
        </w:rPr>
        <w:t>Classification</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Financial asset</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On initial recognition, a financial asset is classified as measured at: amortized cost, fair value through other comprehensive income (“FVOCI”), or FVTPL.</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A financial asset is measured at amortized cost if it meets both of the following conditions and is not designated as at FVTPL:</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The asset is held within a business model whose objective is to hold assets to collect contractual cash flows; and</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 xml:space="preserve">The contractual terms of the financial asset give rise on specified dates to cash flows that are solely payments of principal and interest on the principal amount outstanding.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currently does not measure any of its financial assets at amortized cost.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A debt instrument is measured at FVOCI only if it meets both of the following conditions and is not designated as at FVTPL: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692265" cy="154940"/>
                <wp:effectExtent l="0" t="0" r="0" b="0"/>
                <wp:wrapNone/>
                <wp:docPr id="133" name="Frame121"/>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14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14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 xml:space="preserve">The asset is held within a business model whose objective is achieved by both collecting contractual cash flows and selling financial assets; and </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 xml:space="preserve">The contractual terms of the financial asset give rise on specified dates to cash flows that are solely payments of principal and interest on the principal amount outstanding.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On initial recognition of an equity investment that is not held for trading, the Company may irrevocably elect to present subsequent changes in FVOCI. This election is made on an investment-by-investment basis. The Company has not elected to present any assets as FVOCI.</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Cash is measured at FVTPL.</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 addition, on initial recognition, the Company may irrevocably designate a financial asset that otherwise meets the requirements to be measured at amortized cost as FVOCI or FVTPL if doing so eliminates or significantly reduces an accounting mismatch that would otherwise arise. </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Business model assessment</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The Company makes an assessment of the objective of a business model in which an asset is held at a portfolio level because this best reflects the way the business is managed and information is provided to management. The information considered includes:</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The stated policies and objectives for the portfolio and the operation of those policies in practice. In particular, whether management’s strategy focuses on earning contractual interest revenue, maintaining a particular interest rate profile, matching the duration of the financial assets to the duration of the liabilities that are funding those assets or realizing cash flows through the sale of the assets;</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How the performance of the portfolio is evaluated and reported to the Company’s management;</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The risks that affect the performance of the business model (and the financial assets held within that business model) and how those risks are managed;</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How managers of the business are compensated (e.g. whether compensation is based on the fair value of the assets managed or the contractual cash flows collected); and</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 xml:space="preserve">The frequency, volume and timing of sales in prior periods, the reasons for such sales and its expectation about future sales activity. However, information about sales activity is not considered in isolation, but as part of an overall assessment of the Company’s stated objective for managing the financial asset is achieved and how cash flows are realized. </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Assessment whether contractual cash flows are solely payments of principal and interest</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For the purpose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profit margin.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In assessing whether the contractual cash flows are solely payments of principal and interest, the Company considers the contractual terms of the instrument. This includes assessing whether the financial asset contains a contractual term that could change the timing or amount of the contractual cash flows such that it would not meet this condition. In making the assessment, the Company considers:</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contingent events that would change the amount and timing of cash flows;</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692265" cy="154940"/>
                <wp:effectExtent l="0" t="0" r="0" b="0"/>
                <wp:wrapNone/>
                <wp:docPr id="134" name="Frame122"/>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15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15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leverage features;</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prepayment and extension terms;</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 xml:space="preserve">terms that limit the Company’s claim to cash flows from specified assets (e.g. non-recourse asset arrangements); and </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features that modify consideration of the time value of money – e.g. periodical rest of interest rates</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Reclassifications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would reclassify a financial asset when the Company changes its business model for managing the financial asset. All reclassifications are recorded at fair value at the date of the reclassification, which becomes the new carrying value.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Financial assets are not reclassified subsequent to their initial recognition, except in the period after the Company changes its business model for managing financial assets. </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Financial liabilities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classifies its financial liabilities at amortized cost or FVTPL. The Company currently measures accounts payable and accrued liabilities at amortized cost and contingent consideration payable at FVTPL. </w:t>
      </w:r>
    </w:p>
    <w:p>
      <w:pPr>
        <w:pStyle w:val="TextBody"/>
        <w:spacing w:before="0" w:after="0"/>
        <w:rPr/>
      </w:pPr>
      <w:r>
        <w:rPr/>
      </w:r>
    </w:p>
    <w:p>
      <w:pPr>
        <w:pStyle w:val="TextBody"/>
        <w:spacing w:lineRule="auto" w:line="268" w:before="0" w:after="0"/>
        <w:jc w:val="both"/>
        <w:rPr>
          <w:rFonts w:ascii="Calibri;sans-serif" w:hAnsi="Calibri;sans-serif"/>
          <w:b/>
          <w:color w:val="000000"/>
          <w:sz w:val="20"/>
        </w:rPr>
      </w:pPr>
      <w:r>
        <w:rPr>
          <w:rFonts w:ascii="Calibri;sans-serif" w:hAnsi="Calibri;sans-serif"/>
          <w:b/>
          <w:color w:val="000000"/>
          <w:sz w:val="20"/>
        </w:rPr>
        <w:t xml:space="preserve">Derecognition </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Financial assets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derecognizes a financial asset when the contractual rights to the cash flows from the financial asset expire, or it transfers the rights to receive the contractual cash flows in a transition in which substantially all of the risks and rewards of ownership of the financial asset are transferred or in which the Company neither transfers nor retains substantially all of the risks and rewards of ownership and it does not retain control of the financial asset.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On derecognition of a financial asset, the difference between the carrying amount of the asset (or the carrying amount allocated to the portion of the asset derecognized) and the sum of (i) the consideration received (including any new assets obtained less any new liability assumed) and (ii) cumulative gain or loss that had been recognized in other comprehensive income is recognized in profit or loss. </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 xml:space="preserve">Financial liabilities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derecognizes a financial liability when its contractual obligations are discharged or cancelled, or expire. </w:t>
      </w:r>
    </w:p>
    <w:p>
      <w:pPr>
        <w:pStyle w:val="TextBody"/>
        <w:spacing w:before="0" w:after="0"/>
        <w:rPr/>
      </w:pPr>
      <w:r>
        <w:rPr/>
      </w:r>
    </w:p>
    <w:p>
      <w:pPr>
        <w:pStyle w:val="TextBody"/>
        <w:spacing w:lineRule="auto" w:line="268" w:before="0" w:after="0"/>
        <w:jc w:val="both"/>
        <w:rPr>
          <w:rFonts w:ascii="Calibri;sans-serif" w:hAnsi="Calibri;sans-serif"/>
          <w:b/>
          <w:color w:val="000000"/>
          <w:sz w:val="20"/>
        </w:rPr>
      </w:pPr>
      <w:r>
        <w:rPr>
          <w:rFonts w:ascii="Calibri;sans-serif" w:hAnsi="Calibri;sans-serif"/>
          <w:b/>
          <w:color w:val="000000"/>
          <w:sz w:val="20"/>
        </w:rPr>
        <w:t xml:space="preserve">Modifications of financial assets and financial liabilities </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Financial assets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If the terms of a financial asset are modified, the Company evaluates whether the cash flows of the modified asset are substantially different. If the cash flows are substantially different, then the contractual rights to cash flows from the original financial asset are deemed to have expired. In this case, the original financial asset is derecognized and a new financial asset is recognized at fair value.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92265" cy="154940"/>
                <wp:effectExtent l="0" t="0" r="0" b="0"/>
                <wp:wrapNone/>
                <wp:docPr id="135" name="Frame123"/>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16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16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If the cash flows of the modified asset carried at amortized cost are not substantially different, then the modification does not result in derecognition of the financial asset. In this case, the Company recalculates the gross carrying amount of the financial asset and recognizes the amount arising from adjusting the gross carrying amount as a modification gain or loss in profit or loss. If such a modification is carried out because of financial difficulties of the borrower, then the gain or loss is presented together with impairment losses. In other cases, it is presented as interest income. </w:t>
      </w:r>
    </w:p>
    <w:p>
      <w:pPr>
        <w:pStyle w:val="TextBody"/>
        <w:spacing w:before="0" w:after="0"/>
        <w:jc w:val="both"/>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Financial liabilities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derecognizes a financial liability when its terms are modified and the cash flows of the modified liability are substantially different. In this case, a new financial liability based on the modified terms is recognized at fair value. The difference between the carrying amount of the financial liability extinguished and the new financial liability with modified terms is recognized in profit or loss. </w:t>
      </w:r>
    </w:p>
    <w:p>
      <w:pPr>
        <w:pStyle w:val="TextBody"/>
        <w:spacing w:before="0" w:after="0"/>
        <w:rPr/>
      </w:pPr>
      <w:r>
        <w:rPr/>
      </w:r>
    </w:p>
    <w:p>
      <w:pPr>
        <w:pStyle w:val="TextBody"/>
        <w:spacing w:lineRule="auto" w:line="268" w:before="0" w:after="0"/>
        <w:jc w:val="both"/>
        <w:rPr>
          <w:rFonts w:ascii="Calibri;sans-serif" w:hAnsi="Calibri;sans-serif"/>
          <w:b/>
          <w:color w:val="000000"/>
          <w:sz w:val="20"/>
        </w:rPr>
      </w:pPr>
      <w:r>
        <w:rPr>
          <w:rFonts w:ascii="Calibri;sans-serif" w:hAnsi="Calibri;sans-serif"/>
          <w:b/>
          <w:color w:val="000000"/>
          <w:sz w:val="20"/>
        </w:rPr>
        <w:t>Offsetting</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Financial assets and financial liabilities are offset and the net amount presented in the consolidated statement of financial position when, and only when, the Company currently has a legally enforceable right to set off the amounts and it intends either to settle them on a net basis or to realize the asset and settle the liability simultaneously.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Income and expenses are presented on a net basis only when permitted under IFRS, or for gains and losses arising from a group of similar transactions. </w:t>
      </w:r>
    </w:p>
    <w:p>
      <w:pPr>
        <w:pStyle w:val="TextBody"/>
        <w:spacing w:before="0" w:after="0"/>
        <w:rPr/>
      </w:pPr>
      <w:r>
        <w:rPr/>
      </w:r>
    </w:p>
    <w:p>
      <w:pPr>
        <w:pStyle w:val="TextBody"/>
        <w:spacing w:lineRule="auto" w:line="268" w:before="0" w:after="0"/>
        <w:jc w:val="both"/>
        <w:rPr>
          <w:rFonts w:ascii="Calibri;sans-serif" w:hAnsi="Calibri;sans-serif"/>
          <w:b/>
          <w:color w:val="000000"/>
          <w:sz w:val="20"/>
        </w:rPr>
      </w:pPr>
      <w:r>
        <w:rPr>
          <w:rFonts w:ascii="Calibri;sans-serif" w:hAnsi="Calibri;sans-serif"/>
          <w:b/>
          <w:color w:val="000000"/>
          <w:sz w:val="20"/>
        </w:rPr>
        <w:t>Fair value measurement</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Fair value is the price that would be received to sell an asset or paid to transfer a liability in an orderly transaction between market participants at the measurement date in the principal or, in its absence, the most advantageous market to which the Company has access at that date. The fair value of a liability reflects its non-performance risk.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When one is available, the Company measures the fair value of an instrument using the quoted price in an active market for that instrument. A market is regarded as active if transactions for the asset or liability take place with sufficient frequency and volume to provide pricing information on an ongoing basis.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If there is no quoted price in an active market, then the Company uses valuation techniques that maximize the use of relevant observable inputs and minimize the use of unobservable inputs. The chosen valuation technique incorporates all of the factors that market participants would take into account in pricing a transaction.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best evidence of the fair value of a financial instrument on initial recognition is normally the transaction price (i.e. the fair value of the consideration given or received). If the Company determines that the fair value on initial recognition differs from the transaction price and the fair value is evidenced neither by a quoted price in an active market for an identical asset or liability nor based on a valuation technique for which any observable inputs are judged to be insignificant in relation to the measurement, then the financial instrument is initially measured at fair value, adjusted to defer the difference between the fair value on initial recognition and the transaction price. Subsequently, that difference is recognized in profit or loss on an appropriate basis over the life of the instrument but no later than when the valuation is wholly supported by observable market data or the transaction is closed out. </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692265" cy="154940"/>
                <wp:effectExtent l="0" t="0" r="0" b="0"/>
                <wp:wrapNone/>
                <wp:docPr id="136" name="Frame124"/>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17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17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If an asset or a liability at fair value has a bid price and an ask price, then the Company measures assets and long positions at bid price and liabilities and short positions at an ask price.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Portfolio of financial assets and financial liabilities that are exposed to market risk and credit risk that are managed by the Company on the basis of the net exposure to either market or credit risk are measured on the basis of a price that would be received to sell a net long position (or paid to transfer a net short position) for the particular risk exposure. Portfolio-level adjustment e.g. bid-ask adjustment or credit risk adjustments that reflect the measurement on the basis of the net exposure are allocated to the individual assets and liabilities on the basis of the relative risk adjustment of each of the individual instruments in the portfolio.</w:t>
      </w:r>
    </w:p>
    <w:p>
      <w:pPr>
        <w:pStyle w:val="TextBody"/>
        <w:spacing w:before="0" w:after="0"/>
        <w:rPr/>
      </w:pPr>
      <w:r>
        <w:rPr/>
      </w:r>
    </w:p>
    <w:p>
      <w:pPr>
        <w:pStyle w:val="TextBody"/>
        <w:spacing w:lineRule="auto" w:line="268" w:before="0" w:after="0"/>
        <w:jc w:val="both"/>
        <w:rPr/>
      </w:pPr>
      <w:r>
        <w:rPr>
          <w:rFonts w:ascii="Calibri;sans-serif" w:hAnsi="Calibri;sans-serif"/>
          <w:b w:val="false"/>
          <w:color w:val="000000"/>
          <w:sz w:val="20"/>
        </w:rPr>
        <w:t>The fair value of a financial liability with a demand feature is not less than the amount payable on demand, discounted from the first date on which the amount could be required to be paid. The Company recognizes transfers between levels of the fair value hierarchy as of the end of the reporting period during which the change has occurred.</w:t>
      </w:r>
      <w:r>
        <w:rPr>
          <w:color w:val="000000"/>
        </w:rPr>
        <w:t xml:space="preserve"> </w:t>
      </w:r>
    </w:p>
    <w:p>
      <w:pPr>
        <w:pStyle w:val="TextBody"/>
        <w:spacing w:before="0" w:after="0"/>
        <w:rPr/>
      </w:pPr>
      <w:r>
        <w:rPr/>
      </w:r>
    </w:p>
    <w:p>
      <w:pPr>
        <w:pStyle w:val="TextBody"/>
        <w:spacing w:lineRule="auto" w:line="268" w:before="0" w:after="0"/>
        <w:jc w:val="both"/>
        <w:rPr>
          <w:rFonts w:ascii="Calibri;sans-serif" w:hAnsi="Calibri;sans-serif"/>
          <w:b/>
          <w:color w:val="000000"/>
          <w:sz w:val="20"/>
        </w:rPr>
      </w:pPr>
      <w:r>
        <w:rPr>
          <w:rFonts w:ascii="Calibri;sans-serif" w:hAnsi="Calibri;sans-serif"/>
          <w:b/>
          <w:color w:val="000000"/>
          <w:sz w:val="20"/>
        </w:rPr>
        <w:t>Impairment</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Credit-impaired financial assets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At each reporting date, the Company assesses whether financial assets carried at amortized costs and debt financial assets carried at FVOCI are credit-impaired. A financial asset is ‘credit-impaired’ when one or more events that have a detrimental impact on the estimated future cash flows of the financial asset have occurred.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Evidence that a financial asset is credit-impaired includes the following observable data: </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Significant financial difficulty of the borrower or issuer;</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A breach of contract such as a default of past due event;</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The restructuring of a loan or advance by the Company on terms that the Company would not consider otherwise;</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 xml:space="preserve">It is becoming probable that the borrower will enter bankruptcy or other financial reorganization; or </w:t>
      </w:r>
    </w:p>
    <w:p>
      <w:pPr>
        <w:pStyle w:val="TextBody"/>
        <w:spacing w:lineRule="auto" w:line="268" w:before="0" w:after="0"/>
        <w:ind w:left="0" w:right="0" w:hanging="360"/>
        <w:jc w:val="both"/>
        <w:rPr/>
      </w:pPr>
      <w:r>
        <w:rPr>
          <w:color w:val="000000"/>
        </w:rPr>
        <w:t>•</w:t>
      </w:r>
      <w:r>
        <w:rPr>
          <w:rFonts w:ascii="Calibri;sans-serif" w:hAnsi="Calibri;sans-serif"/>
          <w:b w:val="false"/>
          <w:color w:val="000000"/>
          <w:sz w:val="20"/>
        </w:rPr>
        <w:t xml:space="preserve">The disappearance of an active market for a security because of financial difficulties.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A loan that has been renegotiated due to a deterioration in the borrower’s condition is usually considered to be credit-impaired unless there is evidence that the risk of not receiving contractual cash flows has reduced significantly and there are no other indicators of impairment. </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Recognition of allowance of expected credit losses (“ECL”) in the consolidated statement of financial position</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recognizes a loss allowance for ECL on trade receivables that are measured at amortized cost. The Company’s applied the simplified approach for trade receivables and recognizes the lifetime ECL for these assets. The ECL on trade receivables is estimated using a provision matrix based on the Company’s historical credit loss experience, adjusted for factors that are specific to the customers, general economic conditions and an assessment of both the current as well as the forecast direction of conditions at the reporting date, including time value of money where appropriate.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For all other financial assets measured at amortized cost of FVOCI, the Company recognizes lifetime ECL only when there has been a significant increase in credit risk since initial recognition. If the credit risk on such financial instruments has not increased significantly since initial recognition, the Company measures the loss allowance on those financial instruments at an amount equal to 12-months ECL.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692265" cy="154940"/>
                <wp:effectExtent l="0" t="0" r="0" b="0"/>
                <wp:wrapNone/>
                <wp:docPr id="137" name="Frame125"/>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18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18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Lifetime ECL represents the ECL that will result from all possible default events over the expected life of a financial asset. In contrast, 12-month ECL represents the portion of lifetime ECL that is expected to result from default events on a financial asset that are possible within 12 months after the reporting date. In assessing whether the credit risk on a financial asset has increased significantly since initial recognition, the Company compares the risk of default occurring on the financial asset at the reporting date with the risk of default occurring at the initial recognition. The Company considers both quantitative and qualitative factors that are supportable, including historical experience and forward-looking information that is available without undue cost or effort.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Irrespective of the above assessment, the Company presumes that the credit risk on a financial asset has increased significantly since initial recognition when contractual payments are more than 30 days past due, unless the Company has reasonable and supportable information that demonstrates otherwise. Despite the foregoing, the Company presumes that the credit risk on a financial asset has not increased significantly since initial recognition if the financial asset is determined to have low credit risk at the reporting date.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 due. </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Definition of default:</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For internal credit risk management purposes, the Company considers a financial asset not recoverable if the customer balance owing is 180 days past due and information obtained from the customer and other external factors indicate that the customer is unlikely to pay its creditors in full.</w:t>
      </w:r>
    </w:p>
    <w:p>
      <w:pPr>
        <w:pStyle w:val="TextBody"/>
        <w:spacing w:before="0" w:after="0"/>
        <w:rPr/>
      </w:pPr>
      <w:r>
        <w:rPr/>
      </w:r>
    </w:p>
    <w:p>
      <w:pPr>
        <w:pStyle w:val="TextBody"/>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Write-off</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Financial assets are written off (either partially or in full) when there is no realistic prospect of recovery. This is generally the case when the Company determines that the counterparty does not have assets or sources of income that could general sufficient cash flows to repay the amounts subject to the write-off. However, financial assets that are written off could still be subject to enforcement activities in order to comply with the Company’s procedures for recovery of amounts due. </w:t>
      </w:r>
    </w:p>
    <w:p>
      <w:pPr>
        <w:pStyle w:val="TextBody"/>
        <w:spacing w:before="0" w:after="0"/>
        <w:rPr/>
      </w:pPr>
      <w:r>
        <w:rPr/>
      </w:r>
    </w:p>
    <w:p>
      <w:pPr>
        <w:pStyle w:val="TextBody"/>
        <w:spacing w:lineRule="auto" w:line="288" w:before="0" w:after="0"/>
        <w:rPr>
          <w:rFonts w:ascii="Calibri;sans-serif" w:hAnsi="Calibri;sans-serif"/>
          <w:b/>
          <w:i/>
          <w:color w:val="000000"/>
          <w:sz w:val="20"/>
          <w:u w:val="single"/>
        </w:rPr>
      </w:pPr>
      <w:r>
        <w:rPr>
          <w:rFonts w:ascii="Calibri;sans-serif" w:hAnsi="Calibri;sans-serif"/>
          <w:b/>
          <w:i/>
          <w:color w:val="000000"/>
          <w:sz w:val="20"/>
          <w:u w:val="single"/>
        </w:rPr>
        <w:t>Taxation</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Income tax comprises current and deferred tax. Income tax is recognized in the consolidated statement of loss and comprehensive loss except to the extent that it relates to items recognized directly in equity, in which case the income tax is also recognized directly in equity.</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Current income tax is the expected tax payable on the taxable income for the year, using tax rates enacted or substantively enacted, at the end of the reporting period, and any adjustment to tax payable in respect of previous years.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Provisions for taxes are made using the best estimate of the amount expected to be paid based on a qualitative assessment of all relevant factors. The Company reviews the adequacy of these provisions at the end of the reporting period. However, it is possible that at some future date an additional liability could result from audits by taxing authorities. Where the outcome of these tax-related matters is different from the amounts that were initially recorded, such differences will affect the tax provisions in the period in which such determination is made. </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692265" cy="154940"/>
                <wp:effectExtent l="0" t="0" r="0" b="0"/>
                <wp:wrapNone/>
                <wp:docPr id="138" name="Frame126"/>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19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19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Deferred income tax is recorded using the asset and liability method, providing for temporary differences between the carrying amounts of assets and liabilities for financial reporting purposes and the amounts used for taxation purposes. The following temporary differences do not result in deferred tax assets or liabilities: the initial recognized of assets or liabilities that affect neither accounting or taxable loss; or difference relating to investment in subsidiaries to the extent that they will probably not reverse in the foreseeable future. The amount of deferred tax provided is based on the expected manner of realization or settlement of the carrying amount of assets and liabilities, using tax rates enacted or substantively enacted at the statement of financial position date.</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A deferred tax asset is recognized only to the extent that it is probable that future taxable profits will be available against which the asset can be utilized.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Deferred tax assets and liabilities are offset when there is a legally enforceable right to set off current tax assets against current tax liabilities and when they relate to income taxes levied by the same taxation authority and the Company intends to settle its correct tax assets and liabilities on a net basis. </w:t>
      </w:r>
    </w:p>
    <w:p>
      <w:pPr>
        <w:pStyle w:val="TextBody"/>
        <w:spacing w:before="0" w:after="0"/>
        <w:jc w:val="both"/>
        <w:rPr/>
      </w:pPr>
      <w:r>
        <w:rPr/>
      </w:r>
    </w:p>
    <w:p>
      <w:pPr>
        <w:pStyle w:val="TextBody"/>
        <w:spacing w:lineRule="auto" w:line="276" w:before="0" w:after="0"/>
        <w:rPr>
          <w:rFonts w:ascii="Calibri;sans-serif" w:hAnsi="Calibri;sans-serif"/>
          <w:b/>
          <w:i/>
          <w:color w:val="000000"/>
          <w:sz w:val="20"/>
          <w:u w:val="single"/>
        </w:rPr>
      </w:pPr>
      <w:r>
        <w:rPr>
          <w:rFonts w:ascii="Calibri;sans-serif" w:hAnsi="Calibri;sans-serif"/>
          <w:b/>
          <w:i/>
          <w:color w:val="000000"/>
          <w:sz w:val="20"/>
          <w:u w:val="single"/>
        </w:rPr>
        <w:t>Share capital</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Equity instruments are contracts that give a residual interest in the net assets of the Company. Financial instruments issued by the Company are classified as equity only to the extent that they do not meet the definition of a financial liability or financial asset. The Common Shares and the Company’s Common Share purchase warrants, and options are classified as equity instruments.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Incremental costs directly attributable to the issue of new Common Shares or options are shown in equity as a deduction, net of tax, from the proceeds. </w:t>
      </w:r>
    </w:p>
    <w:p>
      <w:pPr>
        <w:pStyle w:val="TextBody"/>
        <w:spacing w:before="0" w:after="0"/>
        <w:jc w:val="both"/>
        <w:rPr/>
      </w:pPr>
      <w:r>
        <w:rPr/>
      </w:r>
    </w:p>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Share-based compensation</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Under the Company’s equity incentive plan, all stock options granted may have graded vesting periods and are exercisable up to a maximum of 10 years form the date of grant. Each tranche of an award with graded vesting periods is considered a separate grant at each grant date for the calculation of fair value, and the resulting fair value is amortized over the vesting period of the respective tranches. The fair value of the options granted is measured using the Black-Scholes option pricing model taking into account the terms and conditions upon which the options were granted, the estimated volatility, estimated risk free rate and estimated forfeitures.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If a grant of the share-based payments is cancelled or settled during the vesting period (other than a grant cancelled by forfeiture when the vesting conditions are not satisfied), the Company accounts for the cancellation or settlement as an acceleration of vesting, and recognizes immediately the amount that otherwise would have been recognized for services over the remainder of the vesting period.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amount recognized for goods or services received during the vesting period is based on the best available estimate of the number of equity instruments anticipated to vest. The Company revises that estimate, if necessary, if subsequent information indicates that the number of share options anticipated to vest differs from previous estimates. On the vesting date, the Company revises the estimate to equal the number of equity instrument that ultimately vested. After the vesting date, the Company makes no subsequent adjustment to total equity for goods or services received if the share options are later forfeited or they expire at the end of the share option’s life. </w:t>
      </w:r>
    </w:p>
    <w:p>
      <w:pPr>
        <w:pStyle w:val="TextBody"/>
        <w:spacing w:before="0" w:after="0"/>
        <w:rPr/>
      </w:pPr>
      <w:r>
        <w:rPr/>
      </w:r>
    </w:p>
    <w:p>
      <w:pPr>
        <w:pStyle w:val="TextBody"/>
        <w:spacing w:lineRule="auto" w:line="268" w:before="0" w:after="0"/>
        <w:jc w:val="both"/>
        <w:rPr/>
      </w:pPr>
      <w:r>
        <w:rPr>
          <w:rFonts w:ascii="Calibri;sans-serif" w:hAnsi="Calibri;sans-serif"/>
          <w:b w:val="false"/>
          <w:color w:val="000000"/>
          <w:sz w:val="20"/>
        </w:rPr>
        <w:t>If a grant of the share based payment is modified during the vesting period (other than a grant cancelled by forfeiture when</w:t>
      </w:r>
      <w:r>
        <w:rPr>
          <w:color w:val="000000"/>
        </w:rPr>
        <w:t xml:space="preserve"> </w:t>
      </w:r>
      <w:r>
        <w:rPr>
          <w:rFonts w:ascii="Calibri;sans-serif" w:hAnsi="Calibri;sans-serif"/>
          <w:b w:val="false"/>
          <w:color w:val="000000"/>
          <w:sz w:val="20"/>
        </w:rPr>
        <w:t xml:space="preserve">the vesting conditions are not satisfied) and the fair value of the new instruments is higher </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692265" cy="154940"/>
                <wp:effectExtent l="0" t="0" r="0" b="0"/>
                <wp:wrapNone/>
                <wp:docPr id="139" name="Frame127"/>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20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20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than the fair value of the original instrument, the incremental fair value granted is included in the measurement of the amount recognized for services received over the period from modification date until the date when the modified equity instruments vests, in addition to the amount based on the grant date fair value of the original equity instruments, which is recognized over the remainder of the original vesting period of the original instrument. </w:t>
      </w:r>
    </w:p>
    <w:p>
      <w:pPr>
        <w:pStyle w:val="TextBody"/>
        <w:spacing w:before="0" w:after="0"/>
        <w:rPr/>
      </w:pPr>
      <w:r>
        <w:rPr/>
      </w:r>
    </w:p>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Warrants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follows the relative fair value method with respect to the measurement of Common Shares and warrants issued as units. The proceeds from the issuance of units are allocated between share capital and warrants. The warrant component is recorded in equity reserve. Unit proceeds are allocated to Common Shares and warrants using the Black-Scholes option pricing model and the share price at the time of financing. If and when the warrants are exercised, consideration paid by the warrant holder, together with the amount previously recognized in warrant reserve, is recorded as an increase to share capital. A forfeiture rate is estimated on the grant date and is adjusted to reflect the actual number of warrants that vest. When stock options or warrants are cancelled, they are treated as if they have vested on the date of collation and any cost not yet recognized in profit or loss is immediately expensed. Upon expiration of warrants, the amount applicable to expired warrants is moved to contributed surplus. </w:t>
      </w:r>
    </w:p>
    <w:p>
      <w:pPr>
        <w:pStyle w:val="TextBody"/>
        <w:spacing w:before="0" w:after="0"/>
        <w:rPr/>
      </w:pPr>
      <w:r>
        <w:rPr/>
      </w:r>
    </w:p>
    <w:p>
      <w:pPr>
        <w:pStyle w:val="TextBody"/>
        <w:spacing w:lineRule="auto" w:line="276" w:before="0" w:after="0"/>
        <w:ind w:left="0" w:right="0" w:firstLine="360"/>
        <w:rPr>
          <w:rFonts w:ascii="Calibri;sans-serif" w:hAnsi="Calibri;sans-serif"/>
          <w:b/>
          <w:i/>
          <w:color w:val="000000"/>
          <w:sz w:val="20"/>
          <w:u w:val="single"/>
        </w:rPr>
      </w:pPr>
      <w:r>
        <w:rPr>
          <w:rFonts w:ascii="Calibri;sans-serif" w:hAnsi="Calibri;sans-serif"/>
          <w:b/>
          <w:i/>
          <w:color w:val="000000"/>
          <w:sz w:val="20"/>
          <w:u w:val="single"/>
        </w:rPr>
        <w:t>Loss per share</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Basic loss per share is calculated using the weighted-average number of shares outstanding during the period. The diluted earnings (loss) per share reflects the potential dilution of Common Share equivalents, such as outstanding stock options and warrants, in the weighted average number of Common Shares outstanding during the period, if they are dilutive.</w:t>
      </w:r>
    </w:p>
    <w:p>
      <w:pPr>
        <w:pStyle w:val="TextBody"/>
        <w:spacing w:before="0" w:after="0"/>
        <w:rPr/>
      </w:pPr>
      <w:r>
        <w:rPr/>
      </w:r>
    </w:p>
    <w:p>
      <w:pPr>
        <w:pStyle w:val="TextBody"/>
        <w:spacing w:lineRule="auto" w:line="268" w:before="0" w:after="0"/>
        <w:ind w:left="0" w:right="0" w:firstLine="360"/>
        <w:jc w:val="both"/>
        <w:rPr>
          <w:rFonts w:ascii="Calibri;sans-serif" w:hAnsi="Calibri;sans-serif"/>
          <w:b/>
          <w:i/>
          <w:color w:val="000000"/>
          <w:sz w:val="20"/>
          <w:u w:val="single"/>
        </w:rPr>
      </w:pPr>
      <w:r>
        <w:rPr>
          <w:rFonts w:ascii="Calibri;sans-serif" w:hAnsi="Calibri;sans-serif"/>
          <w:b/>
          <w:i/>
          <w:color w:val="000000"/>
          <w:sz w:val="20"/>
          <w:u w:val="single"/>
        </w:rPr>
        <w:t>Currency translation</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All figures presented in the consolidated financial statements are reflected in Canadian dollars unless otherwise noted.</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Foreign currency transactions are translated into Canadian dollars at exchange rates in effect on the date of the transactions. Monetary assets and liabilities denominated in foreign currencies at the statement of financial position date are translated to Canadian dollars at the foreign exchange rate applicable as that date. Realized and unrealized exchange gains and losses are recognized through profit or loss.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assets and liabilities of foreign operations are translated into Canadian dollars at period-end exchange rates. Income and expenses, and cash flows of foreign operations are translated into Canadian dollars using average exchange rates. Exchange differences resulting from translating foreign operations are recognized in other comprehensive income (loss) and accumulated in shareholders’ equity.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Foreign currency translation gains or losses arising from a monetary item receivable or payable to a foreign operation, the settlement of which is neither planned nor likely to occur in the foreseeable future and which in substance is considered to form part of the net investment in the foreign operation, are recognized in other comprehensive income (loss) in the translation reserve.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692265" cy="154940"/>
                <wp:effectExtent l="0" t="0" r="0" b="0"/>
                <wp:wrapNone/>
                <wp:docPr id="140" name="Frame128"/>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21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21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Provisions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Provisions are recorded when a present legal or constructive obligation exists as a result of past events where it is probable that an outflow of resources embodying economic benefits will be required to settle the obligation, and a reliable estimate of the amount of the obligation can be made.</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amount recognized as a provision is the best estimate of the consideration required to settle the present obligation at the statement of financial position date,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is expected to be recovered from a third party, the receivable is recognized as an asset if it is virtually certain that reimbursement will be received and the amount receivable can be measured reliably. </w:t>
      </w:r>
    </w:p>
    <w:p>
      <w:pPr>
        <w:pStyle w:val="TextBody"/>
        <w:spacing w:before="0" w:after="0"/>
        <w:jc w:val="both"/>
        <w:rPr/>
      </w:pPr>
      <w:r>
        <w:rPr/>
      </w:r>
    </w:p>
    <w:p>
      <w:pPr>
        <w:pStyle w:val="TextBody"/>
        <w:spacing w:lineRule="auto" w:line="268" w:before="0" w:after="0"/>
        <w:jc w:val="both"/>
        <w:rPr>
          <w:rFonts w:ascii="Calibri;sans-serif" w:hAnsi="Calibri;sans-serif"/>
          <w:b/>
          <w:i/>
          <w:color w:val="000000"/>
          <w:sz w:val="20"/>
          <w:u w:val="single"/>
        </w:rPr>
      </w:pPr>
      <w:r>
        <w:rPr>
          <w:rFonts w:ascii="Calibri;sans-serif" w:hAnsi="Calibri;sans-serif"/>
          <w:b/>
          <w:i/>
          <w:color w:val="000000"/>
          <w:sz w:val="20"/>
          <w:u w:val="single"/>
        </w:rPr>
        <w:t>New standards and interpretations not yet adopted</w:t>
      </w:r>
    </w:p>
    <w:p>
      <w:pPr>
        <w:pStyle w:val="TextBody"/>
        <w:spacing w:before="0" w:after="0"/>
        <w:rPr/>
      </w:pPr>
      <w:r>
        <w:rPr/>
      </w:r>
    </w:p>
    <w:p>
      <w:pPr>
        <w:pStyle w:val="TextBody"/>
        <w:spacing w:lineRule="auto" w:line="268" w:before="0" w:after="0"/>
        <w:rPr>
          <w:rFonts w:ascii="Calibri;sans-serif" w:hAnsi="Calibri;sans-serif"/>
          <w:b/>
          <w:color w:val="000000"/>
          <w:sz w:val="20"/>
        </w:rPr>
      </w:pPr>
      <w:r>
        <w:rPr>
          <w:rFonts w:ascii="Calibri;sans-serif" w:hAnsi="Calibri;sans-serif"/>
          <w:b/>
          <w:color w:val="000000"/>
          <w:sz w:val="20"/>
        </w:rPr>
        <w:t>IAS 1, Presentation of Financial Statements ("IAS 1") - Classification of Liabilities as Current or Non-Current</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In January 2020, the IASB issued amendments to IAS 1. The amendments aim to promote consistency in applying the requirements by helping companies determine whether, in the consolidated statements of financial position, debt and other liabilities with an uncertain settlement date should be classified as current (due or potentially due to be settled within one year) or non-current. The amendments include clarifying the classification requirements for debt a company might settle by converting it into equity. The amendments are effective for annual reporting periods beginning on or after January 1, 2024, with earlier application permitted. The Company is still assessing the impact of adopting these amendments on its consolidated financial statements.</w:t>
      </w:r>
    </w:p>
    <w:p>
      <w:pPr>
        <w:pStyle w:val="TextBody"/>
        <w:spacing w:before="0" w:after="0"/>
        <w:jc w:val="both"/>
        <w:rPr/>
      </w:pPr>
      <w:r>
        <w:rPr/>
      </w:r>
    </w:p>
    <w:p>
      <w:pPr>
        <w:pStyle w:val="TextBody"/>
        <w:spacing w:lineRule="auto" w:line="268" w:before="0" w:after="0"/>
        <w:rPr>
          <w:rFonts w:ascii="Calibri;sans-serif" w:hAnsi="Calibri;sans-serif"/>
          <w:b/>
          <w:color w:val="000000"/>
          <w:sz w:val="20"/>
        </w:rPr>
      </w:pPr>
      <w:r>
        <w:rPr>
          <w:rFonts w:ascii="Calibri;sans-serif" w:hAnsi="Calibri;sans-serif"/>
          <w:b/>
          <w:color w:val="000000"/>
          <w:sz w:val="20"/>
        </w:rPr>
        <w:t>Amendments to IAS 1 and IFRS Practice Statement 2</w:t>
      </w:r>
    </w:p>
    <w:p>
      <w:pPr>
        <w:pStyle w:val="TextBody"/>
        <w:spacing w:before="0" w:after="0"/>
        <w:ind w:left="0" w:right="0" w:firstLine="284"/>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 February 2021, the IASB issued amendments to IAS 1 and IFRS Practice Statement 2, Making Materiality Judgements, in which it provides guidance and examples to help entities apply materiality judgements to accounting policy disclosures. The amendments aim to help entities provide accounting policies disclosures that are more useful by replacing the requirement for entities to disclose "significant" accounting policies with a requirement to disclose their "material" accounting policies and adding guidance on how entities apply the concept of materiality in making decisions about accounting disclosures. The amendments to IAS 1 are applicable for annual periods beginning on or after January 1, 2023 with earlier application permitted. Since the amendments to IFRS Practice Statement 2 provide non-mandatory guidance on the application of the definition of material to accounting policy information, an effective date for these amendments is not necessary. The amendments are not expected to have a material impact on the Company’s consolidated financial statements. </w:t>
      </w:r>
    </w:p>
    <w:p>
      <w:pPr>
        <w:pStyle w:val="TextBody"/>
        <w:spacing w:before="0" w:after="0"/>
        <w:jc w:val="both"/>
        <w:rPr/>
      </w:pPr>
      <w:r>
        <w:rPr/>
      </w:r>
    </w:p>
    <w:p>
      <w:pPr>
        <w:pStyle w:val="TextBody"/>
        <w:spacing w:lineRule="auto" w:line="268" w:before="0" w:after="0"/>
        <w:jc w:val="both"/>
        <w:rPr>
          <w:rFonts w:ascii="Calibri;sans-serif" w:hAnsi="Calibri;sans-serif"/>
          <w:b/>
          <w:color w:val="000000"/>
          <w:sz w:val="20"/>
        </w:rPr>
      </w:pPr>
      <w:r>
        <w:rPr>
          <w:rFonts w:ascii="Calibri;sans-serif" w:hAnsi="Calibri;sans-serif"/>
          <w:b/>
          <w:color w:val="000000"/>
          <w:sz w:val="20"/>
        </w:rPr>
        <w:t xml:space="preserve">IAS 8, Accounting Policies, Changes in Accounting Estimates and Errors ("IAS 8") - Definition of Accounting Estimates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In February 2021, the IASB amendments to IAS 8. The amendment will require the disclosure of material accounting policy information rather than disclosing significant accounting policies and clarifies how to distinguish changes in accounting policies from changes in accounting estimates. Under the new definition, accounting estimates are "monetary amounts in financial statements that are subject to measurement uncertainty". The amendment provides clarification to help entities to distinguish between accounting policies and accounting estimates. The amendments are effective for annual periods beginning on or after January 1, 2023. The Company has determined that adoption of these amendments has no significant effect on the Company's consolidated financial statements</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692265" cy="154940"/>
                <wp:effectExtent l="0" t="0" r="0" b="0"/>
                <wp:wrapNone/>
                <wp:docPr id="141" name="Frame129"/>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22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22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before="0" w:after="0"/>
        <w:ind w:left="0" w:right="0" w:firstLine="284"/>
        <w:jc w:val="both"/>
        <w:rPr/>
      </w:pPr>
      <w:r>
        <w:rPr/>
      </w:r>
    </w:p>
    <w:p>
      <w:pPr>
        <w:pStyle w:val="TextBody"/>
        <w:spacing w:lineRule="auto" w:line="268" w:before="0" w:after="0"/>
        <w:jc w:val="both"/>
        <w:rPr>
          <w:rFonts w:ascii="Calibri;sans-serif" w:hAnsi="Calibri;sans-serif"/>
          <w:b/>
          <w:color w:val="000000"/>
          <w:sz w:val="20"/>
        </w:rPr>
      </w:pPr>
      <w:r>
        <w:rPr>
          <w:rFonts w:ascii="Calibri;sans-serif" w:hAnsi="Calibri;sans-serif"/>
          <w:b/>
          <w:color w:val="000000"/>
          <w:sz w:val="20"/>
        </w:rPr>
        <w:t>IAS 12, Income Taxes ("IAS 12") - Deferred Tax related to Assets and Liabilities Arising from a Single Transaction</w:t>
      </w:r>
    </w:p>
    <w:p>
      <w:pPr>
        <w:pStyle w:val="TextBody"/>
        <w:spacing w:lineRule="auto" w:line="268" w:before="0" w:after="0"/>
        <w:ind w:left="0" w:right="0" w:firstLine="284"/>
        <w:jc w:val="both"/>
        <w:rPr>
          <w:rFonts w:ascii="Calibri;sans-serif" w:hAnsi="Calibri;sans-serif"/>
          <w:b w:val="false"/>
          <w:color w:val="000000"/>
          <w:sz w:val="20"/>
        </w:rPr>
      </w:pPr>
      <w:r>
        <w:rPr>
          <w:rFonts w:ascii="Calibri;sans-serif" w:hAnsi="Calibri;sans-serif"/>
          <w:b w:val="false"/>
          <w:color w:val="000000"/>
          <w:sz w:val="20"/>
        </w:rPr>
        <w:t>In May 2021, the IASB issued amendments to IAS 12. The amendment narrows the scope of the initial recognition exemption so that it does not apply to transactions that give rise to equal taxable and deductible temporary differences. As a result, companies will need to recognize a deferred tax asset and deferred tax liability for temporary differences arising on initial recognition of transactions such as leases and decommissioning obligations. The amendments are effective for annual reporting periods beginning on or after January 1, 2023 and are to be applied retrospectively. The Company has determined that adoption of these amendments has no significant effect on the Company's consolidated financial statements.</w:t>
      </w:r>
    </w:p>
    <w:p>
      <w:pPr>
        <w:pStyle w:val="TextBody"/>
        <w:spacing w:before="0" w:after="0"/>
        <w:ind w:left="0" w:right="0" w:firstLine="284"/>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All other IFRSs and amendments issued but not yet effective have been assessed by the Company and are not expected to have a material impact on the Company's consolidated financial statements.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 xml:space="preserve">3. CRITICAL ACCOUNTING ESTIMATES AND JUDGEMENTS </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The preparation of these consolidated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These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Judgments, estimates and assumptions that have the most significant effect on the amounts recognized in the consolidated financial statements include warrants and fair value of share-based payments (note 9) and the fair value of financial instruments (note 15).</w:t>
      </w:r>
    </w:p>
    <w:p>
      <w:pPr>
        <w:pStyle w:val="TextBody"/>
        <w:spacing w:before="0" w:after="0"/>
        <w:rPr/>
      </w:pPr>
      <w:r>
        <w:rPr/>
      </w:r>
    </w:p>
    <w:p>
      <w:pPr>
        <w:pStyle w:val="TextBody"/>
        <w:spacing w:lineRule="auto" w:line="268" w:before="0" w:after="0"/>
        <w:jc w:val="both"/>
        <w:rPr>
          <w:rFonts w:ascii="Calibri;sans-serif" w:hAnsi="Calibri;sans-serif"/>
          <w:b/>
          <w:i/>
          <w:color w:val="000000"/>
          <w:sz w:val="20"/>
        </w:rPr>
      </w:pPr>
      <w:r>
        <w:rPr>
          <w:rFonts w:ascii="Calibri;sans-serif" w:hAnsi="Calibri;sans-serif"/>
          <w:b/>
          <w:i/>
          <w:color w:val="000000"/>
          <w:sz w:val="20"/>
        </w:rPr>
        <w:t>Ability to continue as a going concern</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 order to assess whether it is appropriate for the Company to continue as a going concern, management is required to apply judgment and make estimates with respect to future cash flow projections.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 arriving at this judgment, there were a number of assumptions and estimates involved in calculating these future cash flow projections. This includes making estimates regarding the timing and amounts of future expenditures and the ability and timing of raising additional financing. </w:t>
      </w:r>
    </w:p>
    <w:p>
      <w:pPr>
        <w:pStyle w:val="TextBody"/>
        <w:spacing w:before="0" w:after="0"/>
        <w:rPr/>
      </w:pPr>
      <w:r>
        <w:rPr/>
      </w:r>
    </w:p>
    <w:p>
      <w:pPr>
        <w:pStyle w:val="TextBody"/>
        <w:spacing w:lineRule="auto" w:line="268" w:before="0" w:after="0"/>
        <w:ind w:left="0" w:right="0" w:firstLine="360"/>
        <w:jc w:val="both"/>
        <w:rPr>
          <w:rFonts w:ascii="Calibri;sans-serif" w:hAnsi="Calibri;sans-serif"/>
          <w:b/>
          <w:i/>
          <w:color w:val="000000"/>
          <w:sz w:val="20"/>
        </w:rPr>
      </w:pPr>
      <w:r>
        <w:rPr>
          <w:rFonts w:ascii="Calibri;sans-serif" w:hAnsi="Calibri;sans-serif"/>
          <w:b/>
          <w:i/>
          <w:color w:val="000000"/>
          <w:sz w:val="20"/>
        </w:rPr>
        <w:t>Business combinations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A business combination is a transaction or event in which an acquirer obtains control of one or more businesses and is accounted for using the acquisition method. The total consideration paid for the acquisition is the aggregate of the fair values of assets given, liabilities incurred or assumed, and equity instruments issued in exchange for control of the acquiree at the acquisition date. The acquisition date is the date where the Company obtains control of the acquiree. The identifiable assets acquired and liabilities assumed are recognized at their acquisition date fair values, except for deferred taxes and share-based payment awards </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692265" cy="154940"/>
                <wp:effectExtent l="0" t="0" r="0" b="0"/>
                <wp:wrapNone/>
                <wp:docPr id="142" name="Frame130"/>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23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23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where IFRS provides exceptions to recording the amounts at fair value. Acquisition costs are expensed to profit or loss.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9, or IAS 37 Provisions, Contingent Liabilities and Contingent Assets, as appropriate, with the corresponding gain or loss being recognized in profit or loss.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Non-controlling interest in the acquiree, if any, is recognized either at fair value or at the non-controlling interest’s proportionate share of the acquiree’s net assets, determined on an acquisition-by-acquisition basis. For each acquisition, the excess of total consideration, the fair value of previously held equity interest prior to obtaining control and the non-controlling interest in the acquiree, over the fair value of the identifiable net asset acquired, is recorded as goodwill.</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Certain fair values may be estimated at the acquisition date pending confirmation or completion of the valuation process. Where provisional values are used in accounting for a business combination, they may be adjusted retrospectively in subsequent periods. The measurement period is the period from the acquisition date to the date complete information about facts and circumstances that existed as of the acquisition date is received. However, the measurement period does not exceed one year from the acquisition date. </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Acquisitions that do not meet the definition of a business combination are accounted for as an asset acquisition. Consideration paid for an asset acquisition is allocated to the individual identifiable assets acquired and liabilities assumed based on their relative fair values.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Calibri;sans-serif" w:hAnsi="Calibri;sans-serif"/>
          <w:b/>
          <w:i/>
          <w:color w:val="000000"/>
          <w:sz w:val="20"/>
        </w:rPr>
      </w:pPr>
      <w:r>
        <w:rPr>
          <w:rFonts w:ascii="Calibri;sans-serif" w:hAnsi="Calibri;sans-serif"/>
          <w:b/>
          <w:i/>
          <w:color w:val="000000"/>
          <w:sz w:val="20"/>
        </w:rPr>
        <w:t>Share based payments</w:t>
      </w:r>
    </w:p>
    <w:p>
      <w:pPr>
        <w:pStyle w:val="TextBody"/>
        <w:spacing w:before="0" w:after="0"/>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The fair value of share-based compensation expenses are estimated using the Black-Scholes option pricing model and rely on a number of estimates, such as the expected life of the option, the volatility of the underlying share price, the risk-free rate of return, and the estimated rate of forfeiture of options or warrants granted.</w:t>
      </w:r>
    </w:p>
    <w:p>
      <w:pPr>
        <w:pStyle w:val="TextBody"/>
        <w:spacing w:before="0" w:after="0"/>
        <w:jc w:val="both"/>
        <w:rPr/>
      </w:pPr>
      <w:r>
        <w:rPr/>
      </w:r>
    </w:p>
    <w:p>
      <w:pPr>
        <w:pStyle w:val="TextBody"/>
        <w:spacing w:lineRule="auto" w:line="268" w:before="0" w:after="0"/>
        <w:jc w:val="both"/>
        <w:rPr>
          <w:rFonts w:ascii="Calibri;sans-serif" w:hAnsi="Calibri;sans-serif"/>
          <w:b/>
          <w:i/>
          <w:color w:val="000000"/>
          <w:sz w:val="20"/>
        </w:rPr>
      </w:pPr>
      <w:r>
        <w:rPr>
          <w:rFonts w:ascii="Calibri;sans-serif" w:hAnsi="Calibri;sans-serif"/>
          <w:b/>
          <w:i/>
          <w:color w:val="000000"/>
          <w:sz w:val="20"/>
        </w:rPr>
        <w:t>Impairment of non-financial assets</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(“DCF”) model. The cash flows are derived from the forecast for the next ten years and do not include restructuring activities that the Company is not yet committed to or significant future investments that will enhance the performance of the assets of the CGU being tested. The determination of the Company’s CGUs is based on management’s judgement. The recoverable amount is sensitive to the discount rate used for the DCF model as well as the expected future cash-inflows and the growth rate used for extrapolation purposes. These estimates are most relevant to goodwill and other intangibles with indefinite useful lives recognized by the Company. Future events could cause the assumptions used in the impairment review to change with a consequential adverse effect on the results of the Company.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692265" cy="154940"/>
                <wp:effectExtent l="0" t="0" r="0" b="0"/>
                <wp:wrapNone/>
                <wp:docPr id="143" name="Frame131"/>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24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24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ind w:left="0" w:right="0" w:firstLine="360"/>
        <w:jc w:val="both"/>
        <w:rPr>
          <w:rFonts w:ascii="Calibri;sans-serif" w:hAnsi="Calibri;sans-serif"/>
          <w:b/>
          <w:i/>
          <w:color w:val="000000"/>
          <w:sz w:val="20"/>
        </w:rPr>
      </w:pPr>
      <w:r>
        <w:rPr>
          <w:rFonts w:ascii="Calibri;sans-serif" w:hAnsi="Calibri;sans-serif"/>
          <w:b/>
          <w:i/>
          <w:color w:val="000000"/>
          <w:sz w:val="20"/>
        </w:rPr>
        <w:t>Income Taxes</w:t>
      </w:r>
    </w:p>
    <w:p>
      <w:pPr>
        <w:pStyle w:val="TextBody"/>
        <w:spacing w:before="0" w:after="0"/>
        <w:ind w:left="0" w:right="0" w:firstLine="36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 Company computed an income tax provision in accordance with the applicable income tax laws. However, actual amounts of income tax expense only become final upon filing and acceptance of the tax return by the relevant authorities, which occurs subsequent to the issuance of the consolidated financial statements. Additionally, estimation of income taxes includes evaluation the recoverability of deferred tax assets based on an assessment of the ability to use the underlying future tax deductions before they expire against future taxable income. The assessment is based upon existing tax laws and estimates of future taxable income. The income tax provision is based on estimates of full-year earnings by jurisdiction. The average annual effective income tax rates are re-estimated at the end of each reporting period. To the extent that estimates and forecasts differ from actual results, adjustments are recorded in subsequent periods.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4.    INVESTMENTS</w:t>
      </w:r>
    </w:p>
    <w:p>
      <w:pPr>
        <w:pStyle w:val="TextBody"/>
        <w:spacing w:before="0" w:after="0"/>
        <w:jc w:val="both"/>
        <w:rPr/>
      </w:pPr>
      <w:r>
        <w:rPr/>
      </w:r>
    </w:p>
    <w:p>
      <w:pPr>
        <w:pStyle w:val="TextBody"/>
        <w:spacing w:lineRule="auto" w:line="276" w:before="0" w:after="0"/>
        <w:jc w:val="both"/>
        <w:rPr>
          <w:rFonts w:ascii="Calibri;sans-serif" w:hAnsi="Calibri;sans-serif"/>
          <w:b w:val="false"/>
          <w:color w:val="000000"/>
          <w:sz w:val="20"/>
        </w:rPr>
      </w:pPr>
      <w:r>
        <w:rPr>
          <w:rFonts w:ascii="Calibri;sans-serif" w:hAnsi="Calibri;sans-serif"/>
          <w:b w:val="false"/>
          <w:color w:val="000000"/>
          <w:sz w:val="20"/>
        </w:rPr>
        <w:t xml:space="preserve">On June 8, 2021, the Company entered into a subscription agreement with RxLive Limited (“RxLive”) whereby the Company purchased $250 of 10.0% unsecured convertible redeemable debentures (the “Rx Debentures”). RxLive is a UK-based online platform that connects pharmacists and patients through a secure app that allows for pharmacist consultations, initial or renewal prescription fulfilment and delivery of prescription medication. The Rx Debentures matured and became due on June 8, 2022. The Rx Debentures were to be exchangeable or convertible into units at a price of equal to 80% of the offering price of any equity financing completed by 1301376 B.C. Ltd. (“Finco”) concurrent with a go-public transaction. Each unit was to consist of one common share of Finco (a “Finco Share”) and one Finco Share purchase warrant, with each warrant being exercisable to acquire one Finco Share at a price equal to 125% of the conversion price (the “Rx Conversion Feature”). As a result of the transaction, the Company recorded a hybrid financial instrument representing the Rx Debentures and the Rx Conversion Feature (the “Rx Hybrid Instrument”). The initial fair value of the Rx Hybrid Instrument was $250 determined by the sum of the fair values of the Rx Debenture and Rx Conversion Feature derived respectively using the discounted cash flow approach and the Black-Scholes model. </w:t>
      </w:r>
    </w:p>
    <w:p>
      <w:pPr>
        <w:pStyle w:val="TextBody"/>
        <w:spacing w:before="0" w:after="0"/>
        <w:jc w:val="both"/>
        <w:rPr/>
      </w:pPr>
      <w:r>
        <w:rPr/>
      </w:r>
    </w:p>
    <w:p>
      <w:pPr>
        <w:pStyle w:val="TextBody"/>
        <w:spacing w:lineRule="auto" w:line="276" w:before="200" w:after="283"/>
        <w:jc w:val="both"/>
        <w:rPr>
          <w:rFonts w:ascii="Calibri;sans-serif" w:hAnsi="Calibri;sans-serif"/>
          <w:b w:val="false"/>
          <w:color w:val="000000"/>
          <w:sz w:val="20"/>
        </w:rPr>
      </w:pPr>
      <w:r>
        <w:rPr>
          <w:rFonts w:ascii="Calibri;sans-serif" w:hAnsi="Calibri;sans-serif"/>
          <w:b w:val="false"/>
          <w:color w:val="000000"/>
          <w:sz w:val="20"/>
        </w:rPr>
        <w:t>The go-public transaction did not occur, and the Rx Debentures did not convert into units prior to the initial maturity date. As a result, the maturity date of the Rx Debentures was amended to December 31, 2022. Furthermore, the Rx Debentures were amended to be convertible into units at a price of equal to 70% of the offering price of any equity financing. The Rx Debentures have not been repaid or converted into units. As at March 31, 2023, the amount of nil was determined to represent the fair value of the Rx Debentures (2022 - $242), and as a result recorded a loss of $260 in the statement of loss and comprehensive loss as a part of “Change in fair value of investments measured at fair value through profit or loss”. The investment may generate a positive gain or recovery at a later date based on future activities when more relevant information is available.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692265" cy="154940"/>
                <wp:effectExtent l="0" t="0" r="0" b="0"/>
                <wp:wrapNone/>
                <wp:docPr id="144" name="Frame132"/>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25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25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5.    EQUIPMENT</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Equipment consists as follows:</w:t>
      </w:r>
    </w:p>
    <w:tbl>
      <w:tblPr>
        <w:tblW w:w="6869" w:type="dxa"/>
        <w:jc w:val="left"/>
        <w:tblInd w:w="0" w:type="dxa"/>
        <w:tblCellMar>
          <w:top w:w="28" w:type="dxa"/>
          <w:left w:w="28" w:type="dxa"/>
          <w:bottom w:w="28" w:type="dxa"/>
          <w:right w:w="28" w:type="dxa"/>
        </w:tblCellMar>
      </w:tblPr>
      <w:tblGrid>
        <w:gridCol w:w="1122"/>
        <w:gridCol w:w="988"/>
        <w:gridCol w:w="995"/>
        <w:gridCol w:w="439"/>
        <w:gridCol w:w="439"/>
        <w:gridCol w:w="441"/>
        <w:gridCol w:w="629"/>
        <w:gridCol w:w="629"/>
        <w:gridCol w:w="631"/>
        <w:gridCol w:w="162"/>
        <w:gridCol w:w="162"/>
        <w:gridCol w:w="232"/>
      </w:tblGrid>
      <w:tr>
        <w:trPr/>
        <w:tc>
          <w:tcPr>
            <w:tcW w:w="112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Cost</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Lab Equipment</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Computer Equipment</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Total</w:t>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3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2021</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470</w:t>
            </w:r>
          </w:p>
        </w:tc>
        <w:tc>
          <w:tcPr>
            <w:tcW w:w="18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141</w:t>
            </w:r>
          </w:p>
        </w:tc>
        <w:tc>
          <w:tcPr>
            <w:tcW w:w="5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611</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Additions</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foreign exchange</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r>
      <w:tr>
        <w:trPr/>
        <w:tc>
          <w:tcPr>
            <w:tcW w:w="3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2022</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475</w:t>
            </w:r>
          </w:p>
        </w:tc>
        <w:tc>
          <w:tcPr>
            <w:tcW w:w="18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238</w:t>
            </w:r>
          </w:p>
        </w:tc>
        <w:tc>
          <w:tcPr>
            <w:tcW w:w="5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713</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Additions</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foreign exchange</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r>
      <w:tr>
        <w:trPr/>
        <w:tc>
          <w:tcPr>
            <w:tcW w:w="3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2023</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664</w:t>
            </w:r>
          </w:p>
        </w:tc>
        <w:tc>
          <w:tcPr>
            <w:tcW w:w="18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239</w:t>
            </w:r>
          </w:p>
        </w:tc>
        <w:tc>
          <w:tcPr>
            <w:tcW w:w="5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903</w:t>
            </w:r>
          </w:p>
        </w:tc>
      </w:tr>
      <w:tr>
        <w:trPr/>
        <w:tc>
          <w:tcPr>
            <w:tcW w:w="310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Accumulated Depreciation</w:t>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2021</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39</w:t>
            </w:r>
          </w:p>
        </w:tc>
        <w:tc>
          <w:tcPr>
            <w:tcW w:w="18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15</w:t>
            </w:r>
          </w:p>
        </w:tc>
        <w:tc>
          <w:tcPr>
            <w:tcW w:w="5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54</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charge</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foreign exchange</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2022</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138</w:t>
            </w:r>
          </w:p>
        </w:tc>
        <w:tc>
          <w:tcPr>
            <w:tcW w:w="18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84</w:t>
            </w:r>
          </w:p>
        </w:tc>
        <w:tc>
          <w:tcPr>
            <w:tcW w:w="5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222</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charge</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214</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foreign exchange</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r>
      <w:tr>
        <w:trPr/>
        <w:tc>
          <w:tcPr>
            <w:tcW w:w="3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2023</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290</w:t>
            </w:r>
          </w:p>
        </w:tc>
        <w:tc>
          <w:tcPr>
            <w:tcW w:w="18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163</w:t>
            </w:r>
          </w:p>
        </w:tc>
        <w:tc>
          <w:tcPr>
            <w:tcW w:w="5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453</w:t>
            </w:r>
          </w:p>
        </w:tc>
      </w:tr>
      <w:tr>
        <w:trPr/>
        <w:tc>
          <w:tcPr>
            <w:tcW w:w="310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Net book value as at March 31, 2022</w:t>
            </w:r>
          </w:p>
        </w:tc>
        <w:tc>
          <w:tcPr>
            <w:tcW w:w="13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337</w:t>
            </w:r>
          </w:p>
        </w:tc>
        <w:tc>
          <w:tcPr>
            <w:tcW w:w="18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154</w:t>
            </w:r>
          </w:p>
        </w:tc>
        <w:tc>
          <w:tcPr>
            <w:tcW w:w="5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491</w:t>
            </w:r>
          </w:p>
        </w:tc>
      </w:tr>
      <w:tr>
        <w:trPr/>
        <w:tc>
          <w:tcPr>
            <w:tcW w:w="3105"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Net book value as at March 31, 2023</w:t>
            </w:r>
          </w:p>
        </w:tc>
        <w:tc>
          <w:tcPr>
            <w:tcW w:w="131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374</w:t>
            </w:r>
          </w:p>
        </w:tc>
        <w:tc>
          <w:tcPr>
            <w:tcW w:w="188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76</w:t>
            </w:r>
          </w:p>
        </w:tc>
        <w:tc>
          <w:tcPr>
            <w:tcW w:w="55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450</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692265" cy="154940"/>
                <wp:effectExtent l="0" t="0" r="0" b="0"/>
                <wp:wrapNone/>
                <wp:docPr id="145" name="Frame133"/>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26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26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6.    INTANGIBLE ASSETS</w:t>
      </w:r>
    </w:p>
    <w:tbl>
      <w:tblPr>
        <w:tblW w:w="9483" w:type="dxa"/>
        <w:jc w:val="left"/>
        <w:tblInd w:w="0" w:type="dxa"/>
        <w:tblCellMar>
          <w:top w:w="28" w:type="dxa"/>
          <w:left w:w="28" w:type="dxa"/>
          <w:bottom w:w="28" w:type="dxa"/>
          <w:right w:w="28" w:type="dxa"/>
        </w:tblCellMar>
      </w:tblPr>
      <w:tblGrid>
        <w:gridCol w:w="1496"/>
        <w:gridCol w:w="1317"/>
        <w:gridCol w:w="1327"/>
        <w:gridCol w:w="794"/>
        <w:gridCol w:w="794"/>
        <w:gridCol w:w="796"/>
        <w:gridCol w:w="245"/>
        <w:gridCol w:w="245"/>
        <w:gridCol w:w="246"/>
        <w:gridCol w:w="255"/>
        <w:gridCol w:w="255"/>
        <w:gridCol w:w="256"/>
        <w:gridCol w:w="280"/>
        <w:gridCol w:w="280"/>
        <w:gridCol w:w="281"/>
        <w:gridCol w:w="179"/>
        <w:gridCol w:w="179"/>
        <w:gridCol w:w="258"/>
      </w:tblGrid>
      <w:tr>
        <w:trPr/>
        <w:tc>
          <w:tcPr>
            <w:tcW w:w="1496"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Cost</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IP Research &amp; Development</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Patents</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Licenses</w:t>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Software</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Total</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41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2021</w:t>
            </w:r>
          </w:p>
        </w:tc>
        <w:tc>
          <w:tcPr>
            <w:tcW w:w="23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1,604</w:t>
            </w:r>
          </w:p>
        </w:tc>
        <w:tc>
          <w:tcPr>
            <w:tcW w:w="7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97</w:t>
            </w:r>
          </w:p>
        </w:tc>
        <w:tc>
          <w:tcPr>
            <w:tcW w:w="7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1,701</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Additions</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341</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foreign exchange</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w:t>
            </w:r>
          </w:p>
        </w:tc>
      </w:tr>
      <w:tr>
        <w:trPr/>
        <w:tc>
          <w:tcPr>
            <w:tcW w:w="41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2022</w:t>
            </w:r>
          </w:p>
        </w:tc>
        <w:tc>
          <w:tcPr>
            <w:tcW w:w="23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1,566</w:t>
            </w:r>
          </w:p>
        </w:tc>
        <w:tc>
          <w:tcPr>
            <w:tcW w:w="7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443</w:t>
            </w:r>
          </w:p>
        </w:tc>
        <w:tc>
          <w:tcPr>
            <w:tcW w:w="7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74</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2,083</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Additions</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1,342</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1,330</w:t>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3,167</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foreign exchange</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w:t>
            </w:r>
          </w:p>
        </w:tc>
      </w:tr>
      <w:tr>
        <w:trPr/>
        <w:tc>
          <w:tcPr>
            <w:tcW w:w="41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2023</w:t>
            </w:r>
          </w:p>
        </w:tc>
        <w:tc>
          <w:tcPr>
            <w:tcW w:w="23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3,076</w:t>
            </w:r>
          </w:p>
        </w:tc>
        <w:tc>
          <w:tcPr>
            <w:tcW w:w="7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978</w:t>
            </w:r>
          </w:p>
        </w:tc>
        <w:tc>
          <w:tcPr>
            <w:tcW w:w="7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1,379</w:t>
            </w:r>
          </w:p>
        </w:tc>
        <w:tc>
          <w:tcPr>
            <w:tcW w:w="8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74</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5,507</w:t>
            </w:r>
          </w:p>
        </w:tc>
      </w:tr>
      <w:tr>
        <w:trPr/>
        <w:tc>
          <w:tcPr>
            <w:tcW w:w="414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Accumulated Amortization</w:t>
            </w:r>
          </w:p>
        </w:tc>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2021 and March 31, 2022</w:t>
            </w:r>
          </w:p>
        </w:tc>
        <w:tc>
          <w:tcPr>
            <w:tcW w:w="23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charge</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w:t>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w:t>
            </w:r>
          </w:p>
        </w:tc>
      </w:tr>
      <w:tr>
        <w:trPr/>
        <w:tc>
          <w:tcPr>
            <w:tcW w:w="41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2023</w:t>
            </w:r>
          </w:p>
        </w:tc>
        <w:tc>
          <w:tcPr>
            <w:tcW w:w="23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19</w:t>
            </w:r>
          </w:p>
        </w:tc>
        <w:tc>
          <w:tcPr>
            <w:tcW w:w="8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18</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37</w:t>
            </w:r>
          </w:p>
        </w:tc>
      </w:tr>
      <w:tr>
        <w:trPr/>
        <w:tc>
          <w:tcPr>
            <w:tcW w:w="414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Net book value as at March 31, 2022</w:t>
            </w:r>
          </w:p>
        </w:tc>
        <w:tc>
          <w:tcPr>
            <w:tcW w:w="23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1,566</w:t>
            </w:r>
          </w:p>
        </w:tc>
        <w:tc>
          <w:tcPr>
            <w:tcW w:w="7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443</w:t>
            </w:r>
          </w:p>
        </w:tc>
        <w:tc>
          <w:tcPr>
            <w:tcW w:w="7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74</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2,083</w:t>
            </w:r>
          </w:p>
        </w:tc>
      </w:tr>
      <w:tr>
        <w:trPr/>
        <w:tc>
          <w:tcPr>
            <w:tcW w:w="4140"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Net book value as at March 31, 2023</w:t>
            </w:r>
          </w:p>
        </w:tc>
        <w:tc>
          <w:tcPr>
            <w:tcW w:w="238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3,076</w:t>
            </w:r>
          </w:p>
        </w:tc>
        <w:tc>
          <w:tcPr>
            <w:tcW w:w="73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978</w:t>
            </w:r>
          </w:p>
        </w:tc>
        <w:tc>
          <w:tcPr>
            <w:tcW w:w="76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1,360</w:t>
            </w:r>
          </w:p>
        </w:tc>
        <w:tc>
          <w:tcPr>
            <w:tcW w:w="84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56</w:t>
            </w:r>
          </w:p>
        </w:tc>
        <w:tc>
          <w:tcPr>
            <w:tcW w:w="616"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5,470</w:t>
            </w:r>
          </w:p>
        </w:tc>
      </w:tr>
    </w:tbl>
    <w:p>
      <w:pPr>
        <w:pStyle w:val="TextBody"/>
        <w:spacing w:lineRule="auto" w:line="288" w:before="200" w:after="283"/>
        <w:rPr>
          <w:rFonts w:ascii="Calibri;sans-serif" w:hAnsi="Calibri;sans-serif"/>
          <w:b/>
          <w:i/>
          <w:color w:val="000000"/>
          <w:sz w:val="20"/>
        </w:rPr>
      </w:pPr>
      <w:r>
        <w:rPr>
          <w:rFonts w:ascii="Calibri;sans-serif" w:hAnsi="Calibri;sans-serif"/>
          <w:b/>
          <w:i/>
          <w:color w:val="000000"/>
          <w:sz w:val="20"/>
        </w:rPr>
        <w:t>IP Research &amp; Development</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July 11, 2022, the Company completed the acquisition of a Phase 1 N,N-dimethyltryptamine (“DMT”) study (the “Asset Acquisition”) from Entheon Biomedical Corp. to accelerate the clinical development path for CYB004, Cybin’s proprietary deuterated DMT molecule for the potential treatment of anxiety disorders. The Company paid $1,000 for the Asset Acquisition, and assumed liabilities of $342. </w:t>
      </w:r>
    </w:p>
    <w:p>
      <w:pPr>
        <w:pStyle w:val="TextBody"/>
        <w:spacing w:lineRule="auto" w:line="288" w:before="200" w:after="283"/>
        <w:rPr>
          <w:rFonts w:ascii="Calibri;sans-serif" w:hAnsi="Calibri;sans-serif"/>
          <w:b/>
          <w:i/>
          <w:color w:val="000000"/>
          <w:sz w:val="20"/>
        </w:rPr>
      </w:pPr>
      <w:r>
        <w:rPr>
          <w:rFonts w:ascii="Calibri;sans-serif" w:hAnsi="Calibri;sans-serif"/>
          <w:b/>
          <w:i/>
          <w:color w:val="000000"/>
          <w:sz w:val="20"/>
        </w:rPr>
        <w:t>Licenses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During the year ended March 31, 2023, the Company entered into multiple licensing agreements that provide Cybin with additional access to IP from over 15 more patents or patent applications, including the acquisition of an exclusive license to a targeted class of tryptamine-based molecules from Mindset Pharma Inc. (“Mindset”), for which it paid a one-time license fee of $680 (US$500). The licensing agreements collectively provide the Company with access to a broad range of preclinical molecule combinations for its library of psychedelic derivative drug development candidates. In addition to the exclusive license with Mindset, the Company spent an additional $650 on a licensing agreement.</w:t>
      </w:r>
    </w:p>
    <w:p>
      <w:pPr>
        <w:pStyle w:val="TextBody"/>
        <w:spacing w:lineRule="auto" w:line="288" w:before="200" w:after="283"/>
        <w:rPr>
          <w:rFonts w:ascii="Calibri;sans-serif" w:hAnsi="Calibri;sans-serif"/>
          <w:b/>
          <w:color w:val="000000"/>
          <w:sz w:val="20"/>
        </w:rPr>
      </w:pPr>
      <w:r>
        <w:rPr>
          <w:rFonts w:ascii="Calibri;sans-serif" w:hAnsi="Calibri;sans-serif"/>
          <w:b/>
          <w:color w:val="000000"/>
          <w:sz w:val="20"/>
        </w:rPr>
        <w:t>Impairment</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The Company performed its annual impairment test of intangible assets not yet in use at March 31, 2023. The recoverable amount was determined based on the relief from royalty method to arrive at the value-in-use (“VIU”). The Company considered an estimate of future revenues and a reasonable royalty rate to apply to financial projections based on the current budget and future commercialization plans. In assessing the VIU, estimated future cash flows are discounted to their present value using a discount rate that reflects reflects the assessment of royalty and business opportunities and risk as well as the market potential. The VIU </w:t>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692265" cy="154940"/>
                <wp:effectExtent l="0" t="0" r="0" b="0"/>
                <wp:wrapNone/>
                <wp:docPr id="146" name="Frame134"/>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27 of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27 of 45</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calculations were performed using a pre-tax discount rate of 15.7% and an estimated useful life of 15 years. Based on the Company’s assessment, the recoverable amount is higher than the carrying value and therefore no impairment loss was recorded during the year ended March 31,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7.    GOODWILL</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Goodwill is recognized at the acquisition date when total consideration exceeds the net identifiable assets acquired. </w:t>
      </w:r>
    </w:p>
    <w:p>
      <w:pPr>
        <w:pStyle w:val="TextBody"/>
        <w:spacing w:before="0" w:after="0"/>
        <w:rPr/>
      </w:pPr>
      <w:r>
        <w:rPr/>
      </w:r>
    </w:p>
    <w:tbl>
      <w:tblPr>
        <w:tblW w:w="3195" w:type="dxa"/>
        <w:jc w:val="left"/>
        <w:tblInd w:w="0" w:type="dxa"/>
        <w:tblCellMar>
          <w:top w:w="28" w:type="dxa"/>
          <w:left w:w="28" w:type="dxa"/>
          <w:bottom w:w="28" w:type="dxa"/>
          <w:right w:w="28" w:type="dxa"/>
        </w:tblCellMar>
      </w:tblPr>
      <w:tblGrid>
        <w:gridCol w:w="893"/>
        <w:gridCol w:w="785"/>
        <w:gridCol w:w="796"/>
        <w:gridCol w:w="211"/>
        <w:gridCol w:w="211"/>
        <w:gridCol w:w="299"/>
      </w:tblGrid>
      <w:tr>
        <w:trPr/>
        <w:tc>
          <w:tcPr>
            <w:tcW w:w="89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Cost</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247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Balance as at March 31, 2021</w:t>
            </w:r>
          </w:p>
        </w:tc>
        <w:tc>
          <w:tcPr>
            <w:tcW w:w="7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23,370</w:t>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foreign exchange</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(478)</w:t>
            </w:r>
          </w:p>
        </w:tc>
      </w:tr>
      <w:tr>
        <w:trPr/>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Balance as at March 31, 2022</w:t>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22,892</w:t>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foreign exchange</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1,900</w:t>
            </w:r>
          </w:p>
        </w:tc>
      </w:tr>
      <w:tr>
        <w:trPr/>
        <w:tc>
          <w:tcPr>
            <w:tcW w:w="2474" w:type="dxa"/>
            <w:gridSpan w:val="3"/>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2023</w:t>
            </w:r>
          </w:p>
        </w:tc>
        <w:tc>
          <w:tcPr>
            <w:tcW w:w="721"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24,792</w:t>
            </w:r>
          </w:p>
        </w:tc>
      </w:tr>
    </w:tbl>
    <w:p>
      <w:pPr>
        <w:pStyle w:val="TextBody"/>
        <w:spacing w:lineRule="auto" w:line="288" w:before="200" w:after="283"/>
        <w:ind w:left="0" w:right="0" w:firstLine="180"/>
        <w:rPr>
          <w:rFonts w:ascii="Calibri;sans-serif" w:hAnsi="Calibri;sans-serif"/>
          <w:b/>
          <w:color w:val="000000"/>
          <w:sz w:val="20"/>
        </w:rPr>
      </w:pPr>
      <w:r>
        <w:rPr>
          <w:rFonts w:ascii="Calibri;sans-serif" w:hAnsi="Calibri;sans-serif"/>
          <w:b/>
          <w:color w:val="000000"/>
          <w:sz w:val="20"/>
        </w:rPr>
        <w:t>Impairment</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For purposes of the Company’s goodwill impairment testing, the Company has grouped certain CGUs to test at the lowest level at which management monitors goodwill for internal management purposes, which is the Company wide level.</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The Company performed its annual impairment test of goodwill at March 31, 2023. The recoverable amount was determined based on value-in-use (“VIU”) and considered the cash flows of the group of CGUs based on the current budget and future commercialization plans. In assessing the VIU, estimated future cash flows are discounted to their present value using a discount rate that reflects market assessments of the time value of money and the risks specific to the CGUs. The VIU calculations were performed using a pre-tax discount rate of 15.7%. The Company determined the terminal value as an estimate of the present value of the future cash flows in the terminal period, applying a terminal growth rate of 2%. Based on the Company’s assessment, the recoverable amount is higher than the carrying value and therefore no impairment loss was recorded for the year ended March 31,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8.    CONTINGENT CONSIDERATION PAYABLE</w:t>
      </w:r>
    </w:p>
    <w:p>
      <w:pPr>
        <w:pStyle w:val="TextBody"/>
        <w:spacing w:lineRule="auto" w:line="288" w:before="200" w:after="283"/>
        <w:rPr>
          <w:rFonts w:ascii="Calibri;sans-serif" w:hAnsi="Calibri;sans-serif"/>
          <w:b/>
          <w:color w:val="000000"/>
          <w:sz w:val="20"/>
        </w:rPr>
      </w:pPr>
      <w:r>
        <w:rPr>
          <w:rFonts w:ascii="Calibri;sans-serif" w:hAnsi="Calibri;sans-serif"/>
          <w:b/>
          <w:color w:val="000000"/>
          <w:sz w:val="20"/>
        </w:rPr>
        <w:t xml:space="preserve">Former Adelia Shareholders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had commitments to the former shareholders of Adelia (“Former Adelia Shareholders”) based on the achievement of certain milestones (the “Milestones”) as set out in the contribution agreement entered in connection with Cybin’s acquisition of Adelia (the “Contribution Agreement”). These Milestones were paid in class B common shares of Cybin US (“Class B Shares”) at a price per Class B Share equal to ten times the current trading price of the Common Shares on the relevant pricing date (note 9). The final Milestone was achieved on August 31, 2022. The Company does not have any further commitments to the Former Adelia Shareholders as it relates to the issuance of Class B Shares for the achievement of Milestones, other than the exchange of such Class B Shares into Common Shares in accordance with their terms.</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692265" cy="154940"/>
                <wp:effectExtent l="0" t="0" r="0" b="0"/>
                <wp:wrapNone/>
                <wp:docPr id="147" name="Frame135"/>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28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28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following table presents the change in the carrying value of the contingent consideration for the years ended March 31, 2022 and March 31, 2023:</w:t>
      </w:r>
    </w:p>
    <w:tbl>
      <w:tblPr>
        <w:tblW w:w="3319" w:type="dxa"/>
        <w:jc w:val="left"/>
        <w:tblInd w:w="0" w:type="dxa"/>
        <w:tblCellMar>
          <w:top w:w="28" w:type="dxa"/>
          <w:left w:w="28" w:type="dxa"/>
          <w:bottom w:w="28" w:type="dxa"/>
          <w:right w:w="28" w:type="dxa"/>
        </w:tblCellMar>
      </w:tblPr>
      <w:tblGrid>
        <w:gridCol w:w="896"/>
        <w:gridCol w:w="786"/>
        <w:gridCol w:w="793"/>
        <w:gridCol w:w="344"/>
        <w:gridCol w:w="346"/>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24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Balance as at March 31, 2021</w:t>
            </w:r>
          </w:p>
        </w:tc>
        <w:tc>
          <w:tcPr>
            <w:tcW w:w="690"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pPr>
            <w:r>
              <w:rPr>
                <w:rFonts w:ascii="Calibri;sans-serif" w:hAnsi="Calibri;sans-serif"/>
                <w:b/>
                <w:color w:val="000000"/>
                <w:sz w:val="20"/>
              </w:rPr>
              <w:t>3,201</w:t>
            </w:r>
            <w:r>
              <w:rPr>
                <w:color w:val="000000"/>
              </w:rPr>
              <w:t> </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Milestone achieved</w:t>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(4,251)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Change in fair value</w:t>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Accretion expense</w:t>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Calibri;sans-serif" w:hAnsi="Calibri;sans-serif"/>
                <w:b/>
                <w:color w:val="000000"/>
                <w:sz w:val="20"/>
              </w:rPr>
            </w:pPr>
            <w:r>
              <w:rPr>
                <w:rFonts w:ascii="Calibri;sans-serif" w:hAnsi="Calibri;sans-serif"/>
                <w:b/>
                <w:color w:val="000000"/>
                <w:sz w:val="20"/>
              </w:rPr>
              <w:t>Balance as at March 31, 2022</w:t>
            </w:r>
          </w:p>
        </w:tc>
        <w:tc>
          <w:tcPr>
            <w:tcW w:w="690"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pPr>
            <w:r>
              <w:rPr>
                <w:rFonts w:ascii="Calibri;sans-serif" w:hAnsi="Calibri;sans-serif"/>
                <w:b/>
                <w:color w:val="000000"/>
                <w:sz w:val="20"/>
              </w:rPr>
              <w:t>2,646</w:t>
            </w:r>
            <w:r>
              <w:rPr>
                <w:color w:val="000000"/>
              </w:rPr>
              <w:t> </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Milestone achieved</w:t>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Change in fair value</w:t>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Accretion expense</w:t>
            </w:r>
          </w:p>
        </w:tc>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w:t>
            </w:r>
          </w:p>
        </w:tc>
      </w:tr>
      <w:tr>
        <w:trPr/>
        <w:tc>
          <w:tcPr>
            <w:tcW w:w="2475"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0"/>
              <w:jc w:val="left"/>
              <w:rPr>
                <w:rFonts w:ascii="Calibri;sans-serif" w:hAnsi="Calibri;sans-serif"/>
                <w:b/>
                <w:color w:val="000000"/>
                <w:sz w:val="20"/>
              </w:rPr>
            </w:pPr>
            <w:r>
              <w:rPr>
                <w:rFonts w:ascii="Calibri;sans-serif" w:hAnsi="Calibri;sans-serif"/>
                <w:b/>
                <w:color w:val="000000"/>
                <w:sz w:val="20"/>
              </w:rPr>
              <w:t>Balance as at March 31, 2023</w:t>
            </w:r>
          </w:p>
        </w:tc>
        <w:tc>
          <w:tcPr>
            <w:tcW w:w="844"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 result of changes in fair value of the contingent consideration, for the year ended March 31, 2023, the Company recorded an expense of $329 in the statement of loss and comprehensive loss as “change in fair value of contingent consideration”(2022 - $3,380) . In addition, for the year ended March 31, 2023, the Company recorded an accretion expense of $13 in the statement of loss and comprehensive loss as “contingent consideration accretion” (2022 - $316).</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9.    SHARE CAPITAL</w:t>
      </w:r>
    </w:p>
    <w:p>
      <w:pPr>
        <w:pStyle w:val="TextBody"/>
        <w:spacing w:lineRule="auto" w:line="288" w:before="200" w:after="283"/>
        <w:ind w:left="0" w:right="0" w:hanging="360"/>
        <w:rPr/>
      </w:pPr>
      <w:r>
        <w:rPr>
          <w:rFonts w:ascii="Calibri;sans-serif" w:hAnsi="Calibri;sans-serif"/>
          <w:b/>
          <w:color w:val="000000"/>
          <w:sz w:val="20"/>
        </w:rPr>
        <w:t>a)</w:t>
      </w:r>
      <w:r>
        <w:rPr>
          <w:rFonts w:ascii="Calibri;sans-serif" w:hAnsi="Calibri;sans-serif"/>
          <w:b/>
          <w:color w:val="000000"/>
          <w:sz w:val="20"/>
          <w:u w:val="single"/>
        </w:rPr>
        <w:t>Authorized share capital</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authorized share capital of Cybin consists of an unlimited number of Common Shares and an unlimited number of preferred shares without par value. The board of directors of Cybin would determine the designation, rights, privileges, and conditions attached to any preferred shares prior to issuance.</w:t>
      </w:r>
    </w:p>
    <w:p>
      <w:pPr>
        <w:pStyle w:val="TextBody"/>
        <w:spacing w:lineRule="auto" w:line="288" w:before="200" w:after="283"/>
        <w:ind w:left="0" w:right="0" w:hanging="360"/>
        <w:rPr/>
      </w:pPr>
      <w:r>
        <w:rPr>
          <w:rFonts w:ascii="Calibri;sans-serif" w:hAnsi="Calibri;sans-serif"/>
          <w:b/>
          <w:color w:val="000000"/>
          <w:sz w:val="20"/>
        </w:rPr>
        <w:t>b)</w:t>
      </w:r>
      <w:r>
        <w:rPr>
          <w:rFonts w:ascii="Calibri;sans-serif" w:hAnsi="Calibri;sans-serif"/>
          <w:b/>
          <w:color w:val="000000"/>
          <w:sz w:val="20"/>
          <w:u w:val="single"/>
        </w:rPr>
        <w:t>Issued share capital</w:t>
      </w:r>
    </w:p>
    <w:p>
      <w:pPr>
        <w:pStyle w:val="TextBody"/>
        <w:spacing w:lineRule="auto" w:line="288" w:before="200" w:after="283"/>
        <w:jc w:val="both"/>
        <w:rPr>
          <w:rFonts w:ascii="Calibri;sans-serif" w:hAnsi="Calibri;sans-serif"/>
          <w:b/>
          <w:i/>
          <w:color w:val="000000"/>
          <w:sz w:val="20"/>
        </w:rPr>
      </w:pPr>
      <w:r>
        <w:rPr>
          <w:rFonts w:ascii="Calibri;sans-serif" w:hAnsi="Calibri;sans-serif"/>
          <w:b/>
          <w:i/>
          <w:color w:val="000000"/>
          <w:sz w:val="20"/>
        </w:rPr>
        <w:t>Common Shares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at March 31, 2023, the Company has no Common Shares held in escrow (2022 - 12,545,767).</w:t>
      </w:r>
    </w:p>
    <w:p>
      <w:pPr>
        <w:pStyle w:val="TextBody"/>
        <w:spacing w:lineRule="auto" w:line="288" w:before="200" w:after="283"/>
        <w:jc w:val="both"/>
        <w:rPr>
          <w:rFonts w:ascii="Calibri;sans-serif" w:hAnsi="Calibri;sans-serif"/>
          <w:b/>
          <w:i/>
          <w:color w:val="000000"/>
          <w:sz w:val="20"/>
        </w:rPr>
      </w:pPr>
      <w:r>
        <w:rPr>
          <w:rFonts w:ascii="Calibri;sans-serif" w:hAnsi="Calibri;sans-serif"/>
          <w:b/>
          <w:i/>
          <w:color w:val="000000"/>
          <w:sz w:val="20"/>
        </w:rPr>
        <w:t>During the year ended March 31, 2023, the Company completed the following share issuances: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August 8, 2022, the Company established an at-the-market equity program (the “ATM Program”) that allows the Company to issue and sell up to US$35,000 of Common Shares from treasury to the public, from time to time. Distributions of Common Shares under the ATM Program are made pursuant to the terms and conditions of an at-the-market equity distribution agreement (the “Distribution Agreement”) dated August 8, 2022 among the Company, Cantor Fitzgerald Canada Corporation and Cantor Fitzgerald &amp; Co. The ATM Program is effective until the earlier of the issuance and sale of all of the Common Shares issuable pursuant to the ATM Program and August 5, 2023 unless earlier terminated in accordance with the terms of the Distribution Agreement.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Up to March 31, 2023, the Company had sold 20,754,120 Common Shares under the ATM program at an average price of $0.6819 (US$0.5079) per Common Share, for aggregate gross proceeds of $14,152 (US$10,541). Share issuance costs for the year ended March 31, 2023 were $950.</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692265" cy="154940"/>
                <wp:effectExtent l="0" t="0" r="0" b="0"/>
                <wp:wrapNone/>
                <wp:docPr id="148" name="Frame136"/>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29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29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i/>
          <w:color w:val="000000"/>
          <w:sz w:val="20"/>
        </w:rPr>
      </w:pPr>
      <w:r>
        <w:rPr>
          <w:rFonts w:ascii="Calibri;sans-serif" w:hAnsi="Calibri;sans-serif"/>
          <w:b/>
          <w:i/>
          <w:color w:val="000000"/>
          <w:sz w:val="20"/>
        </w:rPr>
        <w:t>During the year ended March 31, 2022, the Company completed the following share issuances: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On August 3, 2021, Cybin completed a public offering of 10,147,600 Common Shares at a price of $3.40 per Common Share for gross proceeds of $34,502 (the “August 2021 Offering”).</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In connection with the August 2021 Offering, Cybin paid the underwriters a cash commission of $2,240 and issued 658,860 compensation Common Share purchase warrants of Cybin, with each compensation Common Share purchase warrant being exercisable to acquire one Common Share at a price of $3.40 for a period of 24 months. In addition, the Company incurred additional share issuance costs related to professional fees of $754.</w:t>
      </w:r>
    </w:p>
    <w:p>
      <w:pPr>
        <w:pStyle w:val="TextBody"/>
        <w:spacing w:lineRule="auto" w:line="288" w:before="200" w:after="283"/>
        <w:jc w:val="both"/>
        <w:rPr>
          <w:rFonts w:ascii="Calibri;sans-serif" w:hAnsi="Calibri;sans-serif"/>
          <w:b/>
          <w:i/>
          <w:color w:val="000000"/>
          <w:sz w:val="20"/>
        </w:rPr>
      </w:pPr>
      <w:r>
        <w:rPr>
          <w:rFonts w:ascii="Calibri;sans-serif" w:hAnsi="Calibri;sans-serif"/>
          <w:b/>
          <w:i/>
          <w:color w:val="000000"/>
          <w:sz w:val="20"/>
        </w:rPr>
        <w:t>Preferred Shares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at March 31, 2023, the Company has nil preferred shares outstanding (March 31, 2022 - nil).</w:t>
      </w:r>
    </w:p>
    <w:p>
      <w:pPr>
        <w:pStyle w:val="TextBody"/>
        <w:spacing w:lineRule="auto" w:line="288" w:before="200" w:after="283"/>
        <w:jc w:val="both"/>
        <w:rPr>
          <w:rFonts w:ascii="Calibri;sans-serif" w:hAnsi="Calibri;sans-serif"/>
          <w:b/>
          <w:i/>
          <w:color w:val="000000"/>
          <w:sz w:val="20"/>
        </w:rPr>
      </w:pPr>
      <w:r>
        <w:rPr>
          <w:rFonts w:ascii="Calibri;sans-serif" w:hAnsi="Calibri;sans-serif"/>
          <w:b/>
          <w:i/>
          <w:color w:val="000000"/>
          <w:sz w:val="20"/>
        </w:rPr>
        <w:t>Cybin US Class B Shares</w:t>
      </w:r>
    </w:p>
    <w:tbl>
      <w:tblPr>
        <w:tblW w:w="5218" w:type="dxa"/>
        <w:jc w:val="left"/>
        <w:tblInd w:w="0" w:type="dxa"/>
        <w:tblCellMar>
          <w:top w:w="28" w:type="dxa"/>
          <w:left w:w="28" w:type="dxa"/>
          <w:bottom w:w="28" w:type="dxa"/>
          <w:right w:w="28" w:type="dxa"/>
        </w:tblCellMar>
      </w:tblPr>
      <w:tblGrid>
        <w:gridCol w:w="1084"/>
        <w:gridCol w:w="954"/>
        <w:gridCol w:w="961"/>
        <w:gridCol w:w="649"/>
        <w:gridCol w:w="649"/>
        <w:gridCol w:w="921"/>
      </w:tblGrid>
      <w:tr>
        <w:trPr/>
        <w:tc>
          <w:tcPr>
            <w:tcW w:w="108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Number of Class B Shares</w:t>
            </w:r>
          </w:p>
        </w:tc>
      </w:tr>
      <w:tr>
        <w:trPr/>
        <w:tc>
          <w:tcPr>
            <w:tcW w:w="29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2021</w:t>
            </w:r>
          </w:p>
        </w:tc>
        <w:tc>
          <w:tcPr>
            <w:tcW w:w="129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962,243.3</w:t>
            </w:r>
            <w:r>
              <w:rPr>
                <w:color w:val="000000"/>
              </w:rPr>
              <w:t> </w:t>
            </w:r>
          </w:p>
        </w:tc>
        <w:tc>
          <w:tcPr>
            <w:tcW w:w="92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Issued on achievement of milestones</w:t>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269,007.8 </w:t>
            </w:r>
          </w:p>
        </w:tc>
        <w:tc>
          <w:tcPr>
            <w:tcW w:w="9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Converted into Common Shares</w:t>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(184,116.0)</w:t>
            </w:r>
          </w:p>
        </w:tc>
        <w:tc>
          <w:tcPr>
            <w:tcW w:w="9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2022</w:t>
            </w:r>
          </w:p>
        </w:tc>
        <w:tc>
          <w:tcPr>
            <w:tcW w:w="129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1,047,135.1</w:t>
            </w:r>
            <w:r>
              <w:rPr>
                <w:color w:val="000000"/>
              </w:rPr>
              <w:t> </w:t>
            </w:r>
          </w:p>
        </w:tc>
        <w:tc>
          <w:tcPr>
            <w:tcW w:w="92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Issued on achievement of milestones</w:t>
            </w:r>
          </w:p>
        </w:tc>
        <w:tc>
          <w:tcPr>
            <w:tcW w:w="12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360,374.2 </w:t>
            </w:r>
          </w:p>
        </w:tc>
        <w:tc>
          <w:tcPr>
            <w:tcW w:w="9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Converted into Common Shares</w:t>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(876,967.2)</w:t>
            </w:r>
          </w:p>
        </w:tc>
        <w:tc>
          <w:tcPr>
            <w:tcW w:w="9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Balance as at March 31, 2023</w:t>
            </w:r>
          </w:p>
        </w:tc>
        <w:tc>
          <w:tcPr>
            <w:tcW w:w="1298" w:type="dxa"/>
            <w:gridSpan w:val="2"/>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Calibri;sans-serif" w:hAnsi="Calibri;sans-serif"/>
                <w:b/>
                <w:color w:val="000000"/>
                <w:sz w:val="20"/>
              </w:rPr>
              <w:t>530,542.1</w:t>
            </w:r>
            <w:r>
              <w:rPr>
                <w:color w:val="000000"/>
              </w:rPr>
              <w:t> </w:t>
            </w:r>
          </w:p>
        </w:tc>
        <w:tc>
          <w:tcPr>
            <w:tcW w:w="92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at March 31, 2023, 530,542.1 Class B Shares were outstanding, and will be exchangeable for a total of 5,305,421, Common Shares as of December 14, 2023. These consolidated financial statements reflect all of the issued Class B Shares on an as-converted basis.</w:t>
      </w:r>
    </w:p>
    <w:p>
      <w:pPr>
        <w:pStyle w:val="TextBody"/>
        <w:spacing w:lineRule="auto" w:line="268" w:before="200" w:after="283"/>
        <w:jc w:val="both"/>
        <w:rPr>
          <w:rFonts w:ascii="Calibri;sans-serif" w:hAnsi="Calibri;sans-serif"/>
          <w:b/>
          <w:i/>
          <w:color w:val="000000"/>
          <w:sz w:val="20"/>
        </w:rPr>
      </w:pPr>
      <w:r>
        <w:rPr>
          <w:rFonts w:ascii="Calibri;sans-serif" w:hAnsi="Calibri;sans-serif"/>
          <w:b/>
          <w:i/>
          <w:color w:val="000000"/>
          <w:sz w:val="20"/>
        </w:rPr>
        <w:t>During the year ended March 31, 2023, the Company issued Class B Shares as follows: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On April 1, 2022, 22,428.3 Class B Shares were issued to Former Adelia Shareholders due to the achievement of the Milestone identified as Year 2 Q2 (iv),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pStyle w:val="TextBody"/>
        <w:spacing w:lineRule="auto" w:line="268" w:before="200" w:after="283"/>
        <w:jc w:val="both"/>
        <w:rPr>
          <w:rFonts w:ascii="Calibri;sans-serif" w:hAnsi="Calibri;sans-serif"/>
          <w:b w:val="false"/>
          <w:color w:val="000000"/>
          <w:sz w:val="20"/>
        </w:rPr>
      </w:pPr>
      <w:r>
        <w:rPr>
          <w:rFonts w:ascii="Calibri;sans-serif" w:hAnsi="Calibri;sans-serif"/>
          <w:b w:val="false"/>
          <w:color w:val="000000"/>
          <w:sz w:val="20"/>
        </w:rPr>
        <w:t xml:space="preserve">On June 24, 2022, 266,933.1 Class B Shares were issued to Former Adelia Shareholders due to the achievement of certain Milestones identified as Y2, Q2 (i), (vi), Y2, Q3 (ii), Year 2 Q4 (i) and Year 3 Q1 (i), (ii), (iii), having an aggregate value of $2,034 at a price per Class B Share of $7.62. These Class B Shares are exchangeable for a total of 2,669,331 Common Shares, representing an effective issue price of $0.76 per Common Share.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June 27, 2022, 37,366.2 Class B Shares were issued to Former Adelia Shareholders due to the achievement of the Milestone identified as Y2, Q3 (i), having an aggregate value of $280 at a price per Class B Share of </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692265" cy="154940"/>
                <wp:effectExtent l="0" t="0" r="0" b="0"/>
                <wp:wrapNone/>
                <wp:docPr id="149" name="Frame137"/>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30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30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$7.50. These Class B Shares are exchangeable for a total of 373,662 Common Shares, representing an effective issue price of $0.75 per Common Share.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August 31, 2022, 33,190.1 Class B Shares were issued to Former Adelia Shareholders due to the achievement of the Milestone identified as Y2, Q4 (ii), having an aggregate value of $468 at a price per Class B Share of $14.10. These Class B Shares are exchangeable for a total of 331,901 Common Shares, representing an effective issue price of $1.41 per Common Share.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With the fulfillment of all of the remaining milestones during the year ended March 31, 2023, it is not anticipated that any additional Class B Shares will be issued.</w:t>
      </w:r>
    </w:p>
    <w:p>
      <w:pPr>
        <w:pStyle w:val="TextBody"/>
        <w:spacing w:lineRule="auto" w:line="268" w:before="200" w:after="283"/>
        <w:jc w:val="both"/>
        <w:rPr>
          <w:rFonts w:ascii="Calibri;sans-serif" w:hAnsi="Calibri;sans-serif"/>
          <w:b/>
          <w:i/>
          <w:color w:val="000000"/>
          <w:sz w:val="20"/>
        </w:rPr>
      </w:pPr>
      <w:r>
        <w:rPr>
          <w:rFonts w:ascii="Calibri;sans-serif" w:hAnsi="Calibri;sans-serif"/>
          <w:b/>
          <w:i/>
          <w:color w:val="000000"/>
          <w:sz w:val="20"/>
        </w:rPr>
        <w:t>During the year ended March 31, 2022, the Company issued Class B Shares as follows:</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On June 28, 2021, pursuant to the terms of the Contribution Agreement, 15,771.1 Class B Shares were issued to the Former Adelia Shareholders due to the achievement of the remaining requirements of the second Milestone, amounting to $458. The Class B Shares are exchangeable for a total of 157,771 Common Shares, representing an effective issue price of $2.90 per Common Share.</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On August 17, 2021, pursuant to the terms of the Contribution Agreement, an additional 18,788.5 Class B Shares were issued to the Former Adelia Shareholders due to the achievement of certain requirements of the third and fourth Milestones, amounting to $633. The Class B Shares are exchangeable for a total of 187,886 Common Shares, representing an effective issue price of $3.37 per Common Share. </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On August 31, 2021, pursuant to the terms of the Contribution Agreement, the remaining requirements of the third Milestone were achieved. Accordingly, 9,392.6 Class B Shares were issued to the Former Adelia Shareholders, amounting to $317. The Class B Shares are exchangeable for a total of 93,926 Common Shares, representing an effective issue price of $3.38 per Common Share. </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On November 18, 2021, pursuant to the terms of the Contribution Agreement, an additional 28,903.0 Class B Shares were issued to the Former Adelia Shareholders due to the achievement of certain requirements of the fourth and fifth Milestones, amounting to $706. These Class B Shares are exchangeable for a total of 289,030 Common Shares, representing an effective issue price of $2.44 per Common Share.</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On November 29, 2021, pursuant to the terms of the Contribution Agreement, an additional 31,721.5 Class B Shares were issued to the Former Adelia Shareholders due to the achievement of certain requirements of the fourth and fifth Milestones, amounting to $629. These Class B Shares are exchangeable for a total of 317,215 Common Shares, representing an effective issue price of $1.98 per Common Share.</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On January 6, 2022, pursuant to the terms of the Contribution Agreement, an additional 15,611.4 Class B Shares were issued to the Former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On February 14, 2022, pursuant to the terms of the Contribution Agreement, an additional 41,028.2 Class B Shares were issued to the Former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On February 18, 2022, pursuant to the terms of the Contribution Agreement, an additional 17,239.5 Class B Shares were issued to the Former Adelia Shareholders due to the achievement of certain Milestones identified </w:t>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92265" cy="154940"/>
                <wp:effectExtent l="0" t="0" r="0" b="0"/>
                <wp:wrapNone/>
                <wp:docPr id="150" name="Frame138"/>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31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31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pStyle w:val="TextBody"/>
        <w:spacing w:before="0" w:after="0"/>
        <w:jc w:val="both"/>
        <w:rPr/>
      </w:pPr>
      <w:r>
        <w:rPr/>
      </w:r>
    </w:p>
    <w:p>
      <w:pPr>
        <w:pStyle w:val="TextBody"/>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On March 25, 2022, pursuant to the terms of the Contribution Agreement, an additional 90,546.0 Class B Shares were issued to Former Adelia Shareholders due to the achievement of certain Milestones identified as Year 1 Q4 (vi); Year 2 Q2 (ii); Year 2 Q2 (v) and Year 2, Q3 (iii), as contemplated by the terms of the Contribution Agreement, having an aggregate value of $905 at a price per Class B Share of $9.99. These Class B Shares are exchangeable for a total of 905,460 Common Shares, representing an effective issue price of $1.00 per Common Share.</w:t>
      </w:r>
    </w:p>
    <w:p>
      <w:pPr>
        <w:pStyle w:val="TextBody"/>
        <w:spacing w:lineRule="auto" w:line="268" w:before="200" w:after="283"/>
        <w:ind w:left="0" w:right="0" w:hanging="360"/>
        <w:jc w:val="both"/>
        <w:rPr/>
      </w:pPr>
      <w:r>
        <w:rPr>
          <w:rFonts w:ascii="Calibri;sans-serif" w:hAnsi="Calibri;sans-serif"/>
          <w:b/>
          <w:i/>
          <w:color w:val="000000"/>
          <w:sz w:val="20"/>
        </w:rPr>
        <w:t>c)</w:t>
      </w:r>
      <w:r>
        <w:rPr>
          <w:rFonts w:ascii="Calibri;sans-serif" w:hAnsi="Calibri;sans-serif"/>
          <w:b/>
          <w:color w:val="000000"/>
          <w:sz w:val="20"/>
          <w:u w:val="single"/>
        </w:rPr>
        <w:t>Warrants</w:t>
      </w:r>
    </w:p>
    <w:p>
      <w:pPr>
        <w:pStyle w:val="TextBody"/>
        <w:spacing w:before="0" w:after="0"/>
        <w:rPr/>
      </w:pPr>
      <w:r>
        <w:rPr/>
      </w:r>
    </w:p>
    <w:p>
      <w:pPr>
        <w:pStyle w:val="TextBody"/>
        <w:spacing w:lineRule="auto" w:line="276" w:before="0" w:after="0"/>
        <w:jc w:val="both"/>
        <w:rPr>
          <w:rFonts w:ascii="Calibri;sans-serif" w:hAnsi="Calibri;sans-serif"/>
          <w:b w:val="false"/>
          <w:color w:val="000000"/>
          <w:sz w:val="20"/>
        </w:rPr>
      </w:pPr>
      <w:r>
        <w:rPr>
          <w:rFonts w:ascii="Calibri;sans-serif" w:hAnsi="Calibri;sans-serif"/>
          <w:b w:val="false"/>
          <w:color w:val="000000"/>
          <w:sz w:val="20"/>
        </w:rPr>
        <w:t xml:space="preserve">The continuity of the outstanding warrants for the years ended March 31, 2023 and March 31, 2022, are as follows: </w:t>
      </w:r>
    </w:p>
    <w:tbl>
      <w:tblPr>
        <w:tblW w:w="7602" w:type="dxa"/>
        <w:jc w:val="left"/>
        <w:tblInd w:w="0" w:type="dxa"/>
        <w:tblCellMar>
          <w:top w:w="28" w:type="dxa"/>
          <w:left w:w="28" w:type="dxa"/>
          <w:bottom w:w="28" w:type="dxa"/>
          <w:right w:w="28" w:type="dxa"/>
        </w:tblCellMar>
      </w:tblPr>
      <w:tblGrid>
        <w:gridCol w:w="1076"/>
        <w:gridCol w:w="943"/>
        <w:gridCol w:w="950"/>
        <w:gridCol w:w="604"/>
        <w:gridCol w:w="604"/>
        <w:gridCol w:w="606"/>
        <w:gridCol w:w="824"/>
        <w:gridCol w:w="824"/>
        <w:gridCol w:w="1171"/>
      </w:tblGrid>
      <w:tr>
        <w:trPr/>
        <w:tc>
          <w:tcPr>
            <w:tcW w:w="107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Number of Warrants</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Weighted average exercise price</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i/>
                <w:color w:val="000000"/>
                <w:sz w:val="20"/>
              </w:rPr>
            </w:pPr>
            <w:r>
              <w:rPr>
                <w:rFonts w:ascii="Calibri;sans-serif" w:hAnsi="Calibri;sans-serif"/>
                <w:b/>
                <w:i/>
                <w:color w:val="000000"/>
                <w:sz w:val="20"/>
              </w:rPr>
              <w:t>Common Share Purchase Warrants</w:t>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 at March 31, 2021</w:t>
            </w:r>
          </w:p>
        </w:tc>
        <w:tc>
          <w:tcPr>
            <w:tcW w:w="18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28,696,237</w:t>
            </w:r>
          </w:p>
        </w:tc>
        <w:tc>
          <w:tcPr>
            <w:tcW w:w="281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Issued</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658,860</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Exercised</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(3,231,261)</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0.91</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(575,000)</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0.54</w:t>
            </w:r>
          </w:p>
        </w:tc>
      </w:tr>
      <w:tr>
        <w:trPr/>
        <w:tc>
          <w:tcPr>
            <w:tcW w:w="29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 at March 31, 2022</w:t>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25,548,836</w:t>
            </w:r>
          </w:p>
        </w:tc>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Exercised</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(1,164,638)</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0.31</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Expired</w:t>
            </w:r>
          </w:p>
        </w:tc>
        <w:tc>
          <w:tcPr>
            <w:tcW w:w="12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(1,153,713)</w:t>
            </w:r>
          </w:p>
        </w:tc>
        <w:tc>
          <w:tcPr>
            <w:tcW w:w="6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r>
      <w:tr>
        <w:trPr/>
        <w:tc>
          <w:tcPr>
            <w:tcW w:w="29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Outstanding as at March 31, 2023</w:t>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23,230,485</w:t>
            </w:r>
          </w:p>
        </w:tc>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1.29</w:t>
            </w:r>
          </w:p>
        </w:tc>
      </w:tr>
      <w:tr>
        <w:trPr/>
        <w:tc>
          <w:tcPr>
            <w:tcW w:w="29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Exercisable as at March 31, 2023</w:t>
            </w:r>
          </w:p>
        </w:tc>
        <w:tc>
          <w:tcPr>
            <w:tcW w:w="18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23,230,485</w:t>
            </w:r>
          </w:p>
        </w:tc>
        <w:tc>
          <w:tcPr>
            <w:tcW w:w="28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1.29</w:t>
            </w:r>
          </w:p>
        </w:tc>
      </w:tr>
      <w:tr>
        <w:trPr/>
        <w:tc>
          <w:tcPr>
            <w:tcW w:w="29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i/>
                <w:color w:val="000000"/>
                <w:sz w:val="20"/>
              </w:rPr>
              <w:t>Unit Purchase Warrants</w:t>
            </w:r>
            <w:r>
              <w:rPr>
                <w:rFonts w:ascii="Calibri;sans-serif" w:hAnsi="Calibri;sans-serif"/>
                <w:b/>
                <w:i/>
                <w:color w:val="000000"/>
                <w:sz w:val="13"/>
              </w:rPr>
              <w:t>(1)</w:t>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 at March 31, 2021</w:t>
            </w:r>
          </w:p>
        </w:tc>
        <w:tc>
          <w:tcPr>
            <w:tcW w:w="18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868,740</w:t>
            </w:r>
          </w:p>
        </w:tc>
        <w:tc>
          <w:tcPr>
            <w:tcW w:w="281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Exercised</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 at March 31, 2022</w:t>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868,740</w:t>
            </w:r>
          </w:p>
        </w:tc>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Exercised</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Outstanding as at March 31, 2023</w:t>
            </w:r>
          </w:p>
        </w:tc>
        <w:tc>
          <w:tcPr>
            <w:tcW w:w="18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868,740</w:t>
            </w:r>
          </w:p>
        </w:tc>
        <w:tc>
          <w:tcPr>
            <w:tcW w:w="28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2.25</w:t>
            </w:r>
          </w:p>
        </w:tc>
      </w:tr>
      <w:tr>
        <w:trPr/>
        <w:tc>
          <w:tcPr>
            <w:tcW w:w="2969"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Exercisable as at March 31, 2023</w:t>
            </w:r>
          </w:p>
        </w:tc>
        <w:tc>
          <w:tcPr>
            <w:tcW w:w="1814"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868,740</w:t>
            </w:r>
          </w:p>
        </w:tc>
        <w:tc>
          <w:tcPr>
            <w:tcW w:w="2819"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2.25</w:t>
            </w:r>
          </w:p>
        </w:tc>
      </w:tr>
    </w:tbl>
    <w:p>
      <w:pPr>
        <w:pStyle w:val="TextBody"/>
        <w:spacing w:lineRule="auto" w:line="288" w:before="0" w:after="0"/>
        <w:jc w:val="both"/>
        <w:rPr/>
      </w:pPr>
      <w:r>
        <w:rPr>
          <w:rFonts w:ascii="Calibri;sans-serif" w:hAnsi="Calibri;sans-serif"/>
          <w:b w:val="false"/>
          <w:i/>
          <w:color w:val="000000"/>
          <w:sz w:val="12"/>
        </w:rPr>
        <w:t>(1)</w:t>
      </w:r>
      <w:r>
        <w:rPr>
          <w:color w:val="000000"/>
        </w:rPr>
        <w:t xml:space="preserve"> </w:t>
      </w:r>
      <w:r>
        <w:rPr>
          <w:rFonts w:ascii="Calibri;sans-serif" w:hAnsi="Calibri;sans-serif"/>
          <w:b w:val="false"/>
          <w:i/>
          <w:color w:val="000000"/>
          <w:sz w:val="18"/>
        </w:rPr>
        <w:t>Each unit consists of one Common Share and one half of one Common Share purchase warrant, with each Common Share purchase warrant being exercisable to acquire one Common Share at an exercise price of $3.25 per Common Share.</w:t>
      </w:r>
    </w:p>
    <w:p>
      <w:pPr>
        <w:pStyle w:val="TextBody"/>
        <w:spacing w:lineRule="auto" w:line="276" w:before="200" w:after="283"/>
        <w:jc w:val="both"/>
        <w:rPr>
          <w:rFonts w:ascii="Calibri;sans-serif" w:hAnsi="Calibri;sans-serif"/>
          <w:b/>
          <w:i/>
          <w:color w:val="000000"/>
          <w:sz w:val="20"/>
        </w:rPr>
      </w:pPr>
      <w:r>
        <w:rPr>
          <w:rFonts w:ascii="Calibri;sans-serif" w:hAnsi="Calibri;sans-serif"/>
          <w:b/>
          <w:i/>
          <w:color w:val="000000"/>
          <w:sz w:val="20"/>
        </w:rPr>
        <w:t>During the year ended March 31, 2023, the Company had the following movement in warrants: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During the year ended March 31, 2023, 1,164,638 Common Share purchase warrants (March 31, 2022 - 3,231,261) were exercised by various holders for aggregate proceeds to the Company of $362 (March 31, 2022 - $2,928). </w:t>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692265" cy="154940"/>
                <wp:effectExtent l="0" t="0" r="0" b="0"/>
                <wp:wrapNone/>
                <wp:docPr id="151" name="Frame139"/>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32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32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76" w:before="200" w:after="283"/>
        <w:jc w:val="both"/>
        <w:rPr>
          <w:rFonts w:ascii="Calibri;sans-serif" w:hAnsi="Calibri;sans-serif"/>
          <w:b w:val="false"/>
          <w:color w:val="000000"/>
          <w:sz w:val="20"/>
        </w:rPr>
      </w:pPr>
      <w:r>
        <w:rPr>
          <w:rFonts w:ascii="Calibri;sans-serif" w:hAnsi="Calibri;sans-serif"/>
          <w:b w:val="false"/>
          <w:color w:val="000000"/>
          <w:sz w:val="20"/>
        </w:rPr>
        <w:t>During the year ended March 31, 2023, 1,153,713 warrants with a weighted average exercise price of $0.75 expired.</w:t>
      </w:r>
    </w:p>
    <w:p>
      <w:pPr>
        <w:pStyle w:val="TextBody"/>
        <w:spacing w:lineRule="auto" w:line="276" w:before="200" w:after="283"/>
        <w:jc w:val="both"/>
        <w:rPr>
          <w:rFonts w:ascii="Calibri;sans-serif" w:hAnsi="Calibri;sans-serif"/>
          <w:b/>
          <w:i/>
          <w:color w:val="000000"/>
          <w:sz w:val="20"/>
        </w:rPr>
      </w:pPr>
      <w:r>
        <w:rPr>
          <w:rFonts w:ascii="Calibri;sans-serif" w:hAnsi="Calibri;sans-serif"/>
          <w:b/>
          <w:i/>
          <w:color w:val="000000"/>
          <w:sz w:val="20"/>
        </w:rPr>
        <w:t>During the year ended March 31, 2022, the Company completed the following warrant issuances and modifications: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In connection with the August 2021 Offering, the Company issued 658,860 compensation Common Share purchase warrants, with each compensation Common Share purchase warrant being exercisable to acquire one Common Share at a price of $3.40 for a period of 24 months. The Company estimated the aggregate fair value of the compensation Common Share purchase warrants issued on August 3, 2021 using the Black-Scholes option pricing model to be $1,299 with the following assumptions:</w:t>
      </w:r>
    </w:p>
    <w:p>
      <w:pPr>
        <w:pStyle w:val="TextBody"/>
        <w:spacing w:before="0" w:after="0"/>
        <w:jc w:val="both"/>
        <w:rPr/>
      </w:pPr>
      <w:r>
        <w:rPr/>
      </w:r>
    </w:p>
    <w:tbl>
      <w:tblPr>
        <w:tblW w:w="5597" w:type="dxa"/>
        <w:jc w:val="left"/>
        <w:tblInd w:w="0" w:type="dxa"/>
        <w:tblCellMar>
          <w:top w:w="28" w:type="dxa"/>
          <w:left w:w="28" w:type="dxa"/>
          <w:bottom w:w="28" w:type="dxa"/>
          <w:right w:w="28" w:type="dxa"/>
        </w:tblCellMar>
      </w:tblPr>
      <w:tblGrid>
        <w:gridCol w:w="1741"/>
        <w:gridCol w:w="1527"/>
        <w:gridCol w:w="1532"/>
        <w:gridCol w:w="255"/>
        <w:gridCol w:w="256"/>
        <w:gridCol w:w="286"/>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0.42 </w:t>
            </w:r>
          </w:p>
        </w:tc>
        <w:tc>
          <w:tcPr>
            <w:tcW w:w="286"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51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85 </w:t>
            </w:r>
          </w:p>
        </w:tc>
        <w:tc>
          <w:tcPr>
            <w:tcW w:w="286"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797"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2</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797"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797"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$3.83</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79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$3.40</w:t>
            </w:r>
          </w:p>
        </w:tc>
      </w:tr>
    </w:tbl>
    <w:p>
      <w:pPr>
        <w:pStyle w:val="TextBody"/>
        <w:spacing w:lineRule="auto" w:line="276" w:before="200" w:after="283"/>
        <w:jc w:val="both"/>
        <w:rPr>
          <w:rFonts w:ascii="Calibri;sans-serif" w:hAnsi="Calibri;sans-serif"/>
          <w:b w:val="false"/>
          <w:color w:val="000000"/>
          <w:sz w:val="20"/>
        </w:rPr>
      </w:pPr>
      <w:r>
        <w:rPr>
          <w:rFonts w:ascii="Calibri;sans-serif" w:hAnsi="Calibri;sans-serif"/>
          <w:b w:val="false"/>
          <w:color w:val="000000"/>
          <w:sz w:val="20"/>
        </w:rPr>
        <w:t xml:space="preserve">On November 10, 2021, the Company approved the amendment of the terms of 1,150,000 Common Share purchase warrants such that the expiry date was extended from June 15, 2025 to November 15, 2025. The incremental fair value using the Black-Scholes option pricing model results in additional share-based payment compensation of $12 for the year ended March 31, 2022. </w:t>
      </w:r>
    </w:p>
    <w:p>
      <w:pPr>
        <w:pStyle w:val="TextBody"/>
        <w:spacing w:lineRule="auto" w:line="276" w:before="200" w:after="283"/>
        <w:jc w:val="both"/>
        <w:rPr>
          <w:rFonts w:ascii="Calibri;sans-serif" w:hAnsi="Calibri;sans-serif"/>
          <w:b w:val="false"/>
          <w:color w:val="000000"/>
          <w:sz w:val="20"/>
        </w:rPr>
      </w:pPr>
      <w:r>
        <w:rPr>
          <w:rFonts w:ascii="Calibri;sans-serif" w:hAnsi="Calibri;sans-serif"/>
          <w:b w:val="false"/>
          <w:color w:val="000000"/>
          <w:sz w:val="20"/>
        </w:rPr>
        <w:t>The following summarizes information about warrants outstanding at March 31, 2023:</w:t>
      </w:r>
    </w:p>
    <w:tbl>
      <w:tblPr>
        <w:tblW w:w="10539" w:type="dxa"/>
        <w:jc w:val="left"/>
        <w:tblInd w:w="0" w:type="dxa"/>
        <w:tblCellMar>
          <w:top w:w="28" w:type="dxa"/>
          <w:left w:w="28" w:type="dxa"/>
          <w:bottom w:w="28" w:type="dxa"/>
          <w:right w:w="28" w:type="dxa"/>
        </w:tblCellMar>
      </w:tblPr>
      <w:tblGrid>
        <w:gridCol w:w="723"/>
        <w:gridCol w:w="527"/>
        <w:gridCol w:w="488"/>
        <w:gridCol w:w="629"/>
        <w:gridCol w:w="529"/>
        <w:gridCol w:w="465"/>
        <w:gridCol w:w="609"/>
        <w:gridCol w:w="534"/>
        <w:gridCol w:w="445"/>
        <w:gridCol w:w="624"/>
        <w:gridCol w:w="624"/>
        <w:gridCol w:w="626"/>
        <w:gridCol w:w="535"/>
        <w:gridCol w:w="528"/>
        <w:gridCol w:w="530"/>
        <w:gridCol w:w="619"/>
        <w:gridCol w:w="619"/>
        <w:gridCol w:w="885"/>
      </w:tblGrid>
      <w:tr>
        <w:trPr/>
        <w:tc>
          <w:tcPr>
            <w:tcW w:w="723"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1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Date of Expiry</w:t>
            </w:r>
          </w:p>
        </w:tc>
        <w:tc>
          <w:tcPr>
            <w:tcW w:w="16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Warrants outstanding</w:t>
            </w:r>
          </w:p>
        </w:tc>
        <w:tc>
          <w:tcPr>
            <w:tcW w:w="158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Warrants exercisable</w:t>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Weighted average of exercisable price</w:t>
            </w:r>
          </w:p>
        </w:tc>
        <w:tc>
          <w:tcPr>
            <w:tcW w:w="159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Estimated grant date fair value</w:t>
            </w:r>
          </w:p>
        </w:tc>
        <w:tc>
          <w:tcPr>
            <w:tcW w:w="21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Weighted average remaining contractual life</w:t>
            </w:r>
          </w:p>
        </w:tc>
      </w:tr>
      <w:tr>
        <w:trPr/>
        <w:tc>
          <w:tcPr>
            <w:tcW w:w="1738"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23"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88"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74"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1593"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$000’s</w:t>
            </w:r>
          </w:p>
        </w:tc>
        <w:tc>
          <w:tcPr>
            <w:tcW w:w="2123"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Years</w:t>
            </w:r>
          </w:p>
        </w:tc>
      </w:tr>
      <w:tr>
        <w:trPr/>
        <w:tc>
          <w:tcPr>
            <w:tcW w:w="173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i/>
                <w:color w:val="000000"/>
                <w:sz w:val="20"/>
              </w:rPr>
            </w:pPr>
            <w:r>
              <w:rPr>
                <w:rFonts w:ascii="Calibri;sans-serif" w:hAnsi="Calibri;sans-serif"/>
                <w:b/>
                <w:i/>
                <w:color w:val="000000"/>
                <w:sz w:val="20"/>
              </w:rPr>
              <w:t>Common Share Purchase Warrants</w:t>
            </w:r>
          </w:p>
        </w:tc>
        <w:tc>
          <w:tcPr>
            <w:tcW w:w="162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August 3, 2023</w:t>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658,860 </w:t>
            </w:r>
          </w:p>
        </w:tc>
        <w:tc>
          <w:tcPr>
            <w:tcW w:w="4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658,860 </w:t>
            </w:r>
          </w:p>
        </w:tc>
        <w:tc>
          <w:tcPr>
            <w:tcW w:w="4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w:t>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1,229 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0.34</w:t>
            </w:r>
          </w:p>
        </w:tc>
      </w:tr>
      <w:tr>
        <w:trPr/>
        <w:tc>
          <w:tcPr>
            <w:tcW w:w="1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February 1, 2024</w:t>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7,146,500 </w:t>
            </w:r>
          </w:p>
        </w:tc>
        <w:tc>
          <w:tcPr>
            <w:tcW w:w="4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7,146,500 </w:t>
            </w:r>
          </w:p>
        </w:tc>
        <w:tc>
          <w:tcPr>
            <w:tcW w:w="4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3.25</w:t>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5,454 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0.84</w:t>
            </w:r>
          </w:p>
        </w:tc>
      </w:tr>
      <w:tr>
        <w:trPr/>
        <w:tc>
          <w:tcPr>
            <w:tcW w:w="1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June 15, 2025</w:t>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12,800,000 </w:t>
            </w:r>
          </w:p>
        </w:tc>
        <w:tc>
          <w:tcPr>
            <w:tcW w:w="4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12,800,000 </w:t>
            </w:r>
          </w:p>
        </w:tc>
        <w:tc>
          <w:tcPr>
            <w:tcW w:w="4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0.25</w:t>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2,318 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w:t>
            </w:r>
          </w:p>
        </w:tc>
      </w:tr>
      <w:tr>
        <w:trPr/>
        <w:tc>
          <w:tcPr>
            <w:tcW w:w="1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August 20, 2025</w:t>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1,475,125 </w:t>
            </w:r>
          </w:p>
        </w:tc>
        <w:tc>
          <w:tcPr>
            <w:tcW w:w="4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1,475,125 </w:t>
            </w:r>
          </w:p>
        </w:tc>
        <w:tc>
          <w:tcPr>
            <w:tcW w:w="4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0.64</w:t>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682 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w:t>
            </w:r>
          </w:p>
        </w:tc>
      </w:tr>
      <w:tr>
        <w:trPr/>
        <w:tc>
          <w:tcPr>
            <w:tcW w:w="1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15, 2025</w:t>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1,150,000 </w:t>
            </w:r>
          </w:p>
        </w:tc>
        <w:tc>
          <w:tcPr>
            <w:tcW w:w="4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1,150,000 </w:t>
            </w:r>
          </w:p>
        </w:tc>
        <w:tc>
          <w:tcPr>
            <w:tcW w:w="4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0.25</w:t>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2.63</w:t>
            </w:r>
          </w:p>
        </w:tc>
      </w:tr>
      <w:tr>
        <w:trPr/>
        <w:tc>
          <w:tcPr>
            <w:tcW w:w="17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23,230,485</w:t>
            </w:r>
            <w:r>
              <w:rPr>
                <w:color w:val="000000"/>
              </w:rPr>
              <w:t> </w:t>
            </w:r>
          </w:p>
        </w:tc>
        <w:tc>
          <w:tcPr>
            <w:tcW w:w="4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23,230,485</w:t>
            </w:r>
            <w:r>
              <w:rPr>
                <w:color w:val="000000"/>
              </w:rPr>
              <w:t> </w:t>
            </w:r>
          </w:p>
        </w:tc>
        <w:tc>
          <w:tcPr>
            <w:tcW w:w="4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1.29</w:t>
            </w:r>
          </w:p>
        </w:tc>
        <w:tc>
          <w:tcPr>
            <w:tcW w:w="106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9,903</w:t>
            </w:r>
            <w:r>
              <w:rPr>
                <w:color w:val="000000"/>
              </w:rPr>
              <w:t> </w:t>
            </w:r>
          </w:p>
        </w:tc>
        <w:tc>
          <w:tcPr>
            <w:tcW w:w="53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1.77</w:t>
            </w:r>
          </w:p>
        </w:tc>
      </w:tr>
      <w:tr>
        <w:trPr/>
        <w:tc>
          <w:tcPr>
            <w:tcW w:w="17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i/>
                <w:color w:val="000000"/>
                <w:sz w:val="20"/>
              </w:rPr>
              <w:t>Unit Purchase Warrants</w:t>
            </w:r>
            <w:r>
              <w:rPr>
                <w:rFonts w:ascii="Calibri;sans-serif" w:hAnsi="Calibri;sans-serif"/>
                <w:b/>
                <w:i/>
                <w:color w:val="000000"/>
                <w:sz w:val="13"/>
              </w:rPr>
              <w:t>(1)</w:t>
            </w:r>
          </w:p>
        </w:tc>
        <w:tc>
          <w:tcPr>
            <w:tcW w:w="1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February 4, 2024</w:t>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868,740 </w:t>
            </w:r>
          </w:p>
        </w:tc>
        <w:tc>
          <w:tcPr>
            <w:tcW w:w="4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868,740 </w:t>
            </w:r>
          </w:p>
        </w:tc>
        <w:tc>
          <w:tcPr>
            <w:tcW w:w="4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w:t>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970 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0.85</w:t>
            </w:r>
          </w:p>
        </w:tc>
      </w:tr>
      <w:tr>
        <w:trPr/>
        <w:tc>
          <w:tcPr>
            <w:tcW w:w="1738"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868,740</w:t>
            </w:r>
          </w:p>
        </w:tc>
        <w:tc>
          <w:tcPr>
            <w:tcW w:w="15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868,740</w:t>
            </w:r>
          </w:p>
        </w:tc>
        <w:tc>
          <w:tcPr>
            <w:tcW w:w="18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2.25</w:t>
            </w:r>
          </w:p>
        </w:tc>
        <w:tc>
          <w:tcPr>
            <w:tcW w:w="15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970</w:t>
            </w:r>
          </w:p>
        </w:tc>
        <w:tc>
          <w:tcPr>
            <w:tcW w:w="21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0.85</w:t>
            </w:r>
          </w:p>
        </w:tc>
      </w:tr>
    </w:tbl>
    <w:p>
      <w:pPr>
        <w:pStyle w:val="TextBody"/>
        <w:spacing w:lineRule="auto" w:line="288" w:before="0" w:after="0"/>
        <w:jc w:val="both"/>
        <w:rPr/>
      </w:pPr>
      <w:r>
        <w:rPr>
          <w:rFonts w:ascii="Calibri;sans-serif" w:hAnsi="Calibri;sans-serif"/>
          <w:b w:val="false"/>
          <w:i/>
          <w:color w:val="000000"/>
          <w:sz w:val="12"/>
        </w:rPr>
        <w:t>(1)</w:t>
      </w:r>
      <w:r>
        <w:rPr>
          <w:color w:val="000000"/>
        </w:rPr>
        <w:t xml:space="preserve"> </w:t>
      </w:r>
      <w:r>
        <w:rPr>
          <w:rFonts w:ascii="Calibri;sans-serif" w:hAnsi="Calibri;sans-serif"/>
          <w:b w:val="false"/>
          <w:i/>
          <w:color w:val="000000"/>
          <w:sz w:val="18"/>
        </w:rPr>
        <w:t>Each unit consists of one Common Share and one half of one Common Share purchase warrant, with each Common Share purchase warrant being exercisable to acquire one Common Share at an exercise price of $3.25 per Common Share.</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92265" cy="154940"/>
                <wp:effectExtent l="0" t="0" r="0" b="0"/>
                <wp:wrapNone/>
                <wp:docPr id="152" name="Frame140"/>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33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33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at March 31, 2023, the Company has no Common Share purchase warrants held in escrow (2022 - 3,125,032).</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The Company recognized share-based payments compensation related to the issuance of Common Share purchase warrants for the year ended March 31, 2023 of $6 (2022 - $40). </w:t>
      </w:r>
    </w:p>
    <w:p>
      <w:pPr>
        <w:pStyle w:val="TextBody"/>
        <w:spacing w:lineRule="auto" w:line="288" w:before="200" w:after="283"/>
        <w:ind w:left="0" w:right="0" w:hanging="360"/>
        <w:rPr/>
      </w:pPr>
      <w:r>
        <w:rPr>
          <w:rFonts w:ascii="Calibri;sans-serif" w:hAnsi="Calibri;sans-serif"/>
          <w:b/>
          <w:color w:val="000000"/>
          <w:sz w:val="20"/>
        </w:rPr>
        <w:t>d)</w:t>
      </w:r>
      <w:r>
        <w:rPr>
          <w:rFonts w:ascii="Calibri;sans-serif" w:hAnsi="Calibri;sans-serif"/>
          <w:b/>
          <w:color w:val="000000"/>
          <w:sz w:val="20"/>
          <w:u w:val="single"/>
        </w:rPr>
        <w:t>Stock options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On November 5, 2020, Cybin adopted an equity incentive plan. Under the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16, 2021, the board of directors and the shareholders approved an amendment to the equity incentive plan to modify certain provisions for awards granted to residents of the United States, to increase the fixed number of Incentive Stock Options (as defined in the plan) and certain other housekeeping amendments.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The changes in options for the years ended March 31, 2023 and March 31, 2022 are as follows: </w:t>
      </w:r>
    </w:p>
    <w:tbl>
      <w:tblPr>
        <w:tblW w:w="7378" w:type="dxa"/>
        <w:jc w:val="left"/>
        <w:tblInd w:w="0" w:type="dxa"/>
        <w:tblCellMar>
          <w:top w:w="28" w:type="dxa"/>
          <w:left w:w="28" w:type="dxa"/>
          <w:bottom w:w="28" w:type="dxa"/>
          <w:right w:w="28" w:type="dxa"/>
        </w:tblCellMar>
      </w:tblPr>
      <w:tblGrid>
        <w:gridCol w:w="1035"/>
        <w:gridCol w:w="913"/>
        <w:gridCol w:w="917"/>
        <w:gridCol w:w="564"/>
        <w:gridCol w:w="564"/>
        <w:gridCol w:w="566"/>
        <w:gridCol w:w="824"/>
        <w:gridCol w:w="824"/>
        <w:gridCol w:w="1171"/>
      </w:tblGrid>
      <w:tr>
        <w:trPr/>
        <w:tc>
          <w:tcPr>
            <w:tcW w:w="103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Number of Options</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Weighted average exercise price</w:t>
            </w:r>
          </w:p>
        </w:tc>
      </w:tr>
      <w:tr>
        <w:trPr/>
        <w:tc>
          <w:tcPr>
            <w:tcW w:w="286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286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 at March 31, 2021</w:t>
            </w:r>
          </w:p>
        </w:tc>
        <w:tc>
          <w:tcPr>
            <w:tcW w:w="169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22,032,452</w:t>
            </w:r>
          </w:p>
        </w:tc>
        <w:tc>
          <w:tcPr>
            <w:tcW w:w="281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9,144,600</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Exercised</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(1,588,300)</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0.83</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(683,750)</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Cancelled</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w:t>
            </w:r>
          </w:p>
        </w:tc>
      </w:tr>
      <w:tr>
        <w:trPr/>
        <w:tc>
          <w:tcPr>
            <w:tcW w:w="286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 at March 31, 2022</w:t>
            </w:r>
          </w:p>
        </w:tc>
        <w:tc>
          <w:tcPr>
            <w:tcW w:w="16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28,885,002</w:t>
            </w:r>
          </w:p>
        </w:tc>
        <w:tc>
          <w:tcPr>
            <w:tcW w:w="28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2,475,000 </w:t>
            </w:r>
          </w:p>
        </w:tc>
        <w:tc>
          <w:tcPr>
            <w:tcW w:w="5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0.91</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Forfeited/Expired</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(1,790,202)</w:t>
            </w:r>
          </w:p>
        </w:tc>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w:t>
            </w:r>
          </w:p>
        </w:tc>
      </w:tr>
      <w:tr>
        <w:trPr/>
        <w:tc>
          <w:tcPr>
            <w:tcW w:w="286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Outstanding as at March 31, 2023</w:t>
            </w:r>
          </w:p>
        </w:tc>
        <w:tc>
          <w:tcPr>
            <w:tcW w:w="16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29,569,800</w:t>
            </w:r>
          </w:p>
        </w:tc>
        <w:tc>
          <w:tcPr>
            <w:tcW w:w="28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1.36</w:t>
            </w:r>
          </w:p>
        </w:tc>
      </w:tr>
      <w:tr>
        <w:trPr/>
        <w:tc>
          <w:tcPr>
            <w:tcW w:w="2865"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Exercisable as at March 31, 2023</w:t>
            </w:r>
          </w:p>
        </w:tc>
        <w:tc>
          <w:tcPr>
            <w:tcW w:w="1694"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27,234,025</w:t>
            </w:r>
          </w:p>
        </w:tc>
        <w:tc>
          <w:tcPr>
            <w:tcW w:w="2819"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1.33</w:t>
            </w:r>
          </w:p>
        </w:tc>
      </w:tr>
    </w:tbl>
    <w:p>
      <w:pPr>
        <w:pStyle w:val="TextBody"/>
        <w:spacing w:lineRule="auto" w:line="288" w:before="200" w:after="283"/>
        <w:jc w:val="both"/>
        <w:rPr>
          <w:rFonts w:ascii="Calibri;sans-serif" w:hAnsi="Calibri;sans-serif"/>
          <w:b/>
          <w:i/>
          <w:color w:val="000000"/>
          <w:sz w:val="20"/>
        </w:rPr>
      </w:pPr>
      <w:r>
        <w:rPr>
          <w:rFonts w:ascii="Calibri;sans-serif" w:hAnsi="Calibri;sans-serif"/>
          <w:b/>
          <w:i/>
          <w:color w:val="000000"/>
          <w:sz w:val="20"/>
        </w:rPr>
        <w:t>During the year ended March 31, 2023, the Company completed the following option issuances: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June 30, 2022, the Company granted options to purchase up to: 65,000 Common Shares to employees, with an exercise price of $1.00 per Common Share and vesting over two years. The options expire on June 30, 2027. The aggregate estimated grant date fair value was determined to be $32, calculated using the Black-Scholes option pricing model with the following assumptions: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692265" cy="154940"/>
                <wp:effectExtent l="0" t="0" r="0" b="0"/>
                <wp:wrapNone/>
                <wp:docPr id="153" name="Frame141"/>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34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34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0.72</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r>
    </w:tbl>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June 30, 2022, the Company granted options to purchase up to 500,000 Common Shares to consultants, with an exercise price of $0.90 per Common Share. The options vested immediately and expire on June 30, 2025. The estimated grant date fair value was determined to be $183,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0.72</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0.90</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August 15, 2022, the Company granted options to purchase up to 800,000 Common Shares to consultants, with an exercise price of $1.00 per Common Share and vesting over two years. The options expire on August 15, 2025. The estimated grant date fair value was determined to be $429,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0.97</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August 15, 2022, the Company granted options to purchase up to 20,000 Common Shares to an employee, with an exercise price of $1.00 per Common Share and vesting over two years. The options expire on August 15, 2027. The estimated grant date fair value was determined to be $14,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2.88%</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0.97</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r>
    </w:tbl>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692265" cy="154940"/>
                <wp:effectExtent l="0" t="0" r="0" b="0"/>
                <wp:wrapNone/>
                <wp:docPr id="154" name="Frame142"/>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35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35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September 30, 2022, the Company granted options to purchase up to 270,000 Common Shares to consultants, with an exercise price of $0.75 per Common Share and vesting over two years. The options expire on September 30, 2025. The estimated grant date fair value was determined to be $102,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3.72%</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0.67</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September 30, 2022, the Company granted options to purchase up to 245,000 Common Shares to employees, with an exercise price of $1.00 per Common Share and vesting over two years. The options expire on September 30, 2027. The estimated grant date fair value was determined to be $98,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0.67</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November 16, 2022, the Company granted options to purchase up to 200,000 Common Shares to a consultant with an exercise price of $0.91 per Common Share. The options vested immediately and expire on November 15, 2025. The estimated grant date fair value was determined to be $53,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3.78%</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0.58</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0.91</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November 16, 2022, the Company granted options to purchase up to 375,000 Common Shares to consultants with an exercise price of $0.75 per Common Share. The options vested immediately and expire on November 15, 2025. The estimated grant date fair value was determined to be $110, calculated using the Black-Scholes option pricing model with the following assumptions: </w:t>
      </w: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692265" cy="154940"/>
                <wp:effectExtent l="0" t="0" r="0" b="0"/>
                <wp:wrapNone/>
                <wp:docPr id="155" name="Frame143"/>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36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36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3.78%</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0.58</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r>
    </w:tbl>
    <w:p>
      <w:pPr>
        <w:pStyle w:val="TextBody"/>
        <w:spacing w:lineRule="auto" w:line="288" w:before="200" w:after="283"/>
        <w:jc w:val="both"/>
        <w:rPr>
          <w:rFonts w:ascii="Calibri;sans-serif" w:hAnsi="Calibri;sans-serif"/>
          <w:b/>
          <w:i/>
          <w:color w:val="000000"/>
          <w:sz w:val="20"/>
        </w:rPr>
      </w:pPr>
      <w:r>
        <w:rPr>
          <w:rFonts w:ascii="Calibri;sans-serif" w:hAnsi="Calibri;sans-serif"/>
          <w:b/>
          <w:i/>
          <w:color w:val="000000"/>
          <w:sz w:val="20"/>
        </w:rPr>
        <w:t>During the year ended March 31, 2022, the Company completed the following option issuances:</w:t>
      </w:r>
    </w:p>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June 28, 2021, the Company granted options to purchase up to: 1,975,000 Common Shares to executive officers, 1,090,000 Common Shares to employees, and 194,000 Common Shares to consultants, with an exercise price of $2.90 per Common Share and vesting over two years. On the same date, the Company granted options to purchase 550,000 Common Shares to consultants with an exercise price of $2.90 per Common Share and vesting over one year. In addition, the Company granted options to purchase up to 25,000 Common Shares to a consultant that vested immediately with an exercise price of $2.90 per Common Share. The options expire on June 28, 2026. The aggregate estimated grant date fair value was determined to be $7,994, calculated using the Black-Scholes option pricing model with the following assumptions: </w:t>
      </w:r>
    </w:p>
    <w:p>
      <w:pPr>
        <w:pStyle w:val="TextBody"/>
        <w:spacing w:before="0" w:after="0"/>
        <w:jc w:val="both"/>
        <w:rPr/>
      </w:pPr>
      <w:r>
        <w:rPr/>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0.98%</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w:t>
            </w:r>
          </w:p>
        </w:tc>
      </w:tr>
    </w:tbl>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August 16, 2021, the Company granted options to purchase up to: 165,000 Common Shares to employees, and 50,000 Common Shares to consultants, with an exercise price of $2.48 per Common Share, and vesting over two years. The options expire on August 16, 2026. The estimated grant date fair value was determined to be $383,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0.81%</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2.48</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2.48</w:t>
            </w:r>
          </w:p>
        </w:tc>
      </w:tr>
    </w:tbl>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August 18, 2021, the Company granted options to purchase up to 300,000 Common Shares to an executive officer with an exercise price of $2.48 per Common Share and vesting over two years. The options expire on August 18, 2026. The estimated grant date fair value was determined to be $519, calculated using the Black-Scholes option pricing model with the following assumptions: </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692265" cy="154940"/>
                <wp:effectExtent l="0" t="0" r="0" b="0"/>
                <wp:wrapNone/>
                <wp:docPr id="156" name="Frame144"/>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37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37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0.82%</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2.48</w:t>
            </w:r>
          </w:p>
        </w:tc>
      </w:tr>
    </w:tbl>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September 27, 2021, the Company granted options to purchase up to 585,000 Common Shares to employees with an exercise price of $3.15 per Common Share and vesting over two years. The options expire on September 27, 2026. The estimated grant date fair value was determined to be $1,186,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r>
    </w:tbl>
    <w:p>
      <w:pPr>
        <w:pStyle w:val="TextBody"/>
        <w:spacing w:before="0" w:after="0"/>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September 27, 2021, the Company granted options to purchase up to 195,000 Common Shares to a director with an exercise price of $2.87 per Common Share and vesting over two years. The options expire on September 27, 2026. The estimated grant date fair value was determined to be $403,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w:t>
            </w:r>
          </w:p>
        </w:tc>
      </w:tr>
    </w:tbl>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September 30, 2021, the Company granted options to purchase up to 450,000 Common Shares to employees with an exercise price of $3.15 per Common Share and vesting over two years. The options expire on September 30, 2026. The estimated grant date fair value was determined to be $878,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692265" cy="154940"/>
                <wp:effectExtent l="0" t="0" r="0" b="0"/>
                <wp:wrapNone/>
                <wp:docPr id="157" name="Frame145"/>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38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38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September 30, 2021, the Company granted options to purchase up to 40,000 Common Shares to a consultant with an exercise price of $2.78 per Common Share and vesting over one year. The options expire on June 30, 2023. The estimated grant date fair value was determined to be $48,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0.53%</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w:t>
            </w:r>
          </w:p>
        </w:tc>
      </w:tr>
    </w:tbl>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September 30, 2021, the Company granted options to purchase up to 700,000 Common Shares to consultants with an exercise price of $2.78 per Common Share and vesting over one year. The options expire on December 31, 2022. The estimated grant date fair value was determined to be $715, calculated using the Black-Scholes option pricing model with the following assumptions: </w:t>
      </w:r>
    </w:p>
    <w:p>
      <w:pPr>
        <w:pStyle w:val="TextBody"/>
        <w:spacing w:before="0" w:after="0"/>
        <w:jc w:val="both"/>
        <w:rPr/>
      </w:pPr>
      <w:r>
        <w:rPr/>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0.41%</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w:t>
            </w:r>
          </w:p>
        </w:tc>
      </w:tr>
    </w:tbl>
    <w:p>
      <w:pPr>
        <w:pStyle w:val="TextBody"/>
        <w:spacing w:before="0" w:after="0"/>
        <w:jc w:val="both"/>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December 31, 2021, the Company granted options to purchase up to 40,000 Common Shares to employees with an exercise price of $3.15 per Common Share and vesting over two years. The options expire on December 31, 2026. The estimated grant date fair value was determined to be $36,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r>
    </w:tbl>
    <w:p>
      <w:pPr>
        <w:pStyle w:val="TextBody"/>
        <w:spacing w:before="0" w:after="0"/>
        <w:rPr/>
      </w:pPr>
      <w:r>
        <w:rPr/>
      </w:r>
    </w:p>
    <w:p>
      <w:pPr>
        <w:pStyle w:val="TextBody"/>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On December 31, 2021, the Company granted options to purchase up to 1,250,000 Common Shares to consultants with an exercise price of $1.50 per Common Share and vesting over two years. The options expire on December 31, 2026. The estimated grant date fair value was determined to be $1,352, calculated using the Black-Company option pricing model with the following assumptions: </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692265" cy="154940"/>
                <wp:effectExtent l="0" t="0" r="0" b="0"/>
                <wp:wrapNone/>
                <wp:docPr id="158" name="Frame146"/>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39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39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March 4, 2022, the Company granted options to purchase up to: 1,035,600 Common Shares to executive officers and 40,000 Common Shares to consultants, with an exercise price of $1.13 per Common Share and vesting over two years. The options expire on March 4, 2027. The estimated grant date fair value was determined to be $878,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March 4, 2022, the Company granted options to purchase up to 60,000 Common Shares to employees with an exercise price of $3.15 per Common Share and vesting over two years. The options expire on March 4, 2027. The estimated grant date fair value was determined to be $38,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On March 8, 2022, the Company granted options to purchase up to 400,000 Common Shares to a consultant with an exercise price of $1.02 per Common Share and vesting over two months. The options expire on March 8, 2027. The estimated grant date fair value was determined to be $295, calculated using the Black-Scholes option pricing model with the following assumptions: </w:t>
      </w:r>
    </w:p>
    <w:tbl>
      <w:tblPr>
        <w:tblW w:w="5644" w:type="dxa"/>
        <w:jc w:val="left"/>
        <w:tblInd w:w="0" w:type="dxa"/>
        <w:tblCellMar>
          <w:top w:w="28" w:type="dxa"/>
          <w:left w:w="28" w:type="dxa"/>
          <w:bottom w:w="28" w:type="dxa"/>
          <w:right w:w="28" w:type="dxa"/>
        </w:tblCellMar>
      </w:tblPr>
      <w:tblGrid>
        <w:gridCol w:w="1741"/>
        <w:gridCol w:w="1527"/>
        <w:gridCol w:w="1532"/>
        <w:gridCol w:w="333"/>
        <w:gridCol w:w="227"/>
        <w:gridCol w:w="284"/>
      </w:tblGrid>
      <w:tr>
        <w:trPr/>
        <w:tc>
          <w:tcPr>
            <w:tcW w:w="174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annual volatility, based on comparable companies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life (in years)</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price</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w:t>
            </w:r>
          </w:p>
        </w:tc>
      </w:tr>
      <w:tr>
        <w:trPr/>
        <w:tc>
          <w:tcPr>
            <w:tcW w:w="4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 price</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w:t>
            </w:r>
          </w:p>
        </w:tc>
      </w:tr>
    </w:tbl>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692265" cy="154940"/>
                <wp:effectExtent l="0" t="0" r="0" b="0"/>
                <wp:wrapNone/>
                <wp:docPr id="159" name="Frame147"/>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40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40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During the year ended March 31, 2022, the Company amended the vesting and expiry dates of certain options with former employees of the Company, resulting in a modification of terms. As a result of the modifications, the Company calculated the incremental fair value using the Black-Scholes option pricing model. The fair value of the options after modification was determined to be less than the fair value prior to modification and therefore the original fair value of the grant was used and is being recognized over the new vesting schedule.</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accelerated the vesting schedule of 1,031,250 options issued to certain consultants to a date during the year ended March 31, 2022. As a result, an additional share-based payment compensation expense of $168 was recorded in the consolidated statement of loss and other comprehensive loss.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following summarizes information about stock options outstanding on March 31, 2023:</w:t>
      </w:r>
    </w:p>
    <w:tbl>
      <w:tblPr>
        <w:tblW w:w="10539" w:type="dxa"/>
        <w:jc w:val="left"/>
        <w:tblInd w:w="0" w:type="dxa"/>
        <w:tblCellMar>
          <w:top w:w="28" w:type="dxa"/>
          <w:left w:w="28" w:type="dxa"/>
          <w:bottom w:w="28" w:type="dxa"/>
          <w:right w:w="28" w:type="dxa"/>
        </w:tblCellMar>
      </w:tblPr>
      <w:tblGrid>
        <w:gridCol w:w="555"/>
        <w:gridCol w:w="425"/>
        <w:gridCol w:w="376"/>
        <w:gridCol w:w="329"/>
        <w:gridCol w:w="329"/>
        <w:gridCol w:w="331"/>
        <w:gridCol w:w="755"/>
        <w:gridCol w:w="627"/>
        <w:gridCol w:w="628"/>
        <w:gridCol w:w="755"/>
        <w:gridCol w:w="607"/>
        <w:gridCol w:w="609"/>
        <w:gridCol w:w="617"/>
        <w:gridCol w:w="617"/>
        <w:gridCol w:w="619"/>
        <w:gridCol w:w="689"/>
        <w:gridCol w:w="689"/>
        <w:gridCol w:w="982"/>
      </w:tblGrid>
      <w:tr>
        <w:trPr/>
        <w:tc>
          <w:tcPr>
            <w:tcW w:w="55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r>
      <w:tr>
        <w:trPr/>
        <w:tc>
          <w:tcPr>
            <w:tcW w:w="135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Exercise Price</w:t>
            </w:r>
          </w:p>
        </w:tc>
        <w:tc>
          <w:tcPr>
            <w:tcW w:w="2010"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Number of options outstanding</w:t>
            </w:r>
          </w:p>
        </w:tc>
        <w:tc>
          <w:tcPr>
            <w:tcW w:w="1971"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Number of options exercisable</w:t>
            </w:r>
          </w:p>
        </w:tc>
        <w:tc>
          <w:tcPr>
            <w:tcW w:w="1853"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Weighted average remaining life</w:t>
            </w:r>
          </w:p>
        </w:tc>
        <w:tc>
          <w:tcPr>
            <w:tcW w:w="2360"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Recognized estimated grant date fair value</w:t>
            </w:r>
          </w:p>
        </w:tc>
      </w:tr>
      <w:tr>
        <w:trPr/>
        <w:tc>
          <w:tcPr>
            <w:tcW w:w="13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Expiry date</w:t>
            </w:r>
          </w:p>
        </w:tc>
        <w:tc>
          <w:tcPr>
            <w:tcW w:w="9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201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Years</w:t>
            </w:r>
          </w:p>
        </w:tc>
        <w:tc>
          <w:tcPr>
            <w:tcW w:w="236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$000’s</w:t>
            </w:r>
          </w:p>
        </w:tc>
      </w:tr>
      <w:tr>
        <w:trPr/>
        <w:tc>
          <w:tcPr>
            <w:tcW w:w="13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23, 2023</w:t>
            </w:r>
          </w:p>
        </w:tc>
        <w:tc>
          <w:tcPr>
            <w:tcW w:w="9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138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2,500 </w:t>
            </w:r>
          </w:p>
        </w:tc>
        <w:tc>
          <w:tcPr>
            <w:tcW w:w="62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2,500 </w:t>
            </w:r>
          </w:p>
        </w:tc>
        <w:tc>
          <w:tcPr>
            <w:tcW w:w="6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37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98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23,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23,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23,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2.03</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23,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91,875 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91,875 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June 30,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5,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156,250 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156,250 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326 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31,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31,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65,625 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65,625 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31, 2023</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31, 2024</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56,250 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56,250 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June 15,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June 30,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August 14,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September 30,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223,125 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12,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1,607 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4,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2,985 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13,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0.88</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15,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0.91</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2.63</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15,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2.63</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11,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740 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14,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2,259,100 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2,259,100 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2,804 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28, 2025</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1,027 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2.76</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February 15,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2.03</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2.88</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218 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February 16,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2.03</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2.88</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218 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10,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1,257,600 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1,257,600 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1,257 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15,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360 </w:t>
            </w:r>
          </w:p>
        </w:tc>
        <w:tc>
          <w:tcPr>
            <w:tcW w:w="9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692265" cy="154940"/>
                <wp:effectExtent l="0" t="0" r="0" b="0"/>
                <wp:wrapNone/>
                <wp:docPr id="160" name="Frame148"/>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41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41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tbl>
      <w:tblPr>
        <w:tblW w:w="10539" w:type="dxa"/>
        <w:jc w:val="left"/>
        <w:tblInd w:w="0" w:type="dxa"/>
        <w:tblCellMar>
          <w:top w:w="28" w:type="dxa"/>
          <w:left w:w="28" w:type="dxa"/>
          <w:bottom w:w="28" w:type="dxa"/>
          <w:right w:w="28" w:type="dxa"/>
        </w:tblCellMar>
      </w:tblPr>
      <w:tblGrid>
        <w:gridCol w:w="574"/>
        <w:gridCol w:w="404"/>
        <w:gridCol w:w="379"/>
        <w:gridCol w:w="329"/>
        <w:gridCol w:w="329"/>
        <w:gridCol w:w="331"/>
        <w:gridCol w:w="755"/>
        <w:gridCol w:w="627"/>
        <w:gridCol w:w="628"/>
        <w:gridCol w:w="755"/>
        <w:gridCol w:w="607"/>
        <w:gridCol w:w="609"/>
        <w:gridCol w:w="617"/>
        <w:gridCol w:w="617"/>
        <w:gridCol w:w="619"/>
        <w:gridCol w:w="689"/>
        <w:gridCol w:w="689"/>
        <w:gridCol w:w="981"/>
      </w:tblGrid>
      <w:tr>
        <w:trPr/>
        <w:tc>
          <w:tcPr>
            <w:tcW w:w="57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1357"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Exercise Price</w:t>
            </w:r>
          </w:p>
        </w:tc>
        <w:tc>
          <w:tcPr>
            <w:tcW w:w="2010"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Number of options outstanding</w:t>
            </w:r>
          </w:p>
        </w:tc>
        <w:tc>
          <w:tcPr>
            <w:tcW w:w="1971"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Number of options exercisable</w:t>
            </w:r>
          </w:p>
        </w:tc>
        <w:tc>
          <w:tcPr>
            <w:tcW w:w="1853"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Weighted average remaining life</w:t>
            </w:r>
          </w:p>
        </w:tc>
        <w:tc>
          <w:tcPr>
            <w:tcW w:w="235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Recognized estimated grant date fair value</w:t>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28,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1,575,000 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2.99</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1,540 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29,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31,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243 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June 28,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3,180,000 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2,854,375 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6,629 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August 16,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2.48</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188,125 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August 18,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2.48</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262,500 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3.39</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510 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September 27,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408,750 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1,050 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September 27,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170,625 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396 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September 30,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371 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31,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31, 2026</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425,000 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1,038 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4, 2027</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1,075,600 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806,700 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3.93</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822 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4, 2027</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3.93</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8, 2027</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June 30, 2027</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32,500 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4.25</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August 14, 2027</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10,000 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4.38</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September 30, 2027</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13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220,000 </w:t>
            </w:r>
          </w:p>
        </w:tc>
        <w:tc>
          <w:tcPr>
            <w:tcW w:w="6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83,125 </w:t>
            </w:r>
          </w:p>
        </w:tc>
        <w:tc>
          <w:tcPr>
            <w:tcW w:w="6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4.50</w:t>
            </w:r>
          </w:p>
        </w:tc>
        <w:tc>
          <w:tcPr>
            <w:tcW w:w="13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68 </w:t>
            </w:r>
          </w:p>
        </w:tc>
        <w:tc>
          <w:tcPr>
            <w:tcW w:w="9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7" w:type="dxa"/>
            <w:gridSpan w:val="3"/>
            <w:tcBorders>
              <w:top w:val="single" w:sz="8"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29,569,800</w:t>
            </w:r>
          </w:p>
        </w:tc>
        <w:tc>
          <w:tcPr>
            <w:tcW w:w="1971"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27,234,025</w:t>
            </w:r>
          </w:p>
        </w:tc>
        <w:tc>
          <w:tcPr>
            <w:tcW w:w="1853"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2.56</w:t>
            </w:r>
          </w:p>
        </w:tc>
        <w:tc>
          <w:tcPr>
            <w:tcW w:w="2359"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27,283</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at March 31, 2023, the Company has no options held in escrow (2022 - 2,981,250).</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recognized share-based payments expense related to the issuance of stock options for the year ended March 31, 2023 of $4,680 (2022 - $17,990).</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outstanding options and warrants disclosed above were anti-dilutive for the year ended March 31, 2023 and did not impact the calculation of the loss per share.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10.    RELATED PARTY TRANSACTIONS AND BALANCES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Key management personnel include persons having the authority and responsibility for planning, directing, and controlling the activities of the Company as a whole. The Company has determined its key management personnel to be executive officers and directors of the Company.</w:t>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692265" cy="154940"/>
                <wp:effectExtent l="0" t="0" r="0" b="0"/>
                <wp:wrapNone/>
                <wp:docPr id="161" name="Frame149"/>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42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42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The remuneration of key management personnel for the years ended March 31, 2022 and 2023 are as follows: </w:t>
      </w:r>
    </w:p>
    <w:tbl>
      <w:tblPr>
        <w:tblW w:w="5663" w:type="dxa"/>
        <w:jc w:val="left"/>
        <w:tblInd w:w="0" w:type="dxa"/>
        <w:tblCellMar>
          <w:top w:w="28" w:type="dxa"/>
          <w:left w:w="28" w:type="dxa"/>
          <w:bottom w:w="28" w:type="dxa"/>
          <w:right w:w="28" w:type="dxa"/>
        </w:tblCellMar>
      </w:tblPr>
      <w:tblGrid>
        <w:gridCol w:w="998"/>
        <w:gridCol w:w="877"/>
        <w:gridCol w:w="884"/>
        <w:gridCol w:w="109"/>
        <w:gridCol w:w="109"/>
        <w:gridCol w:w="109"/>
        <w:gridCol w:w="109"/>
        <w:gridCol w:w="109"/>
        <w:gridCol w:w="109"/>
        <w:gridCol w:w="460"/>
        <w:gridCol w:w="304"/>
        <w:gridCol w:w="304"/>
        <w:gridCol w:w="449"/>
        <w:gridCol w:w="304"/>
        <w:gridCol w:w="429"/>
      </w:tblGrid>
      <w:tr>
        <w:trPr/>
        <w:tc>
          <w:tcPr>
            <w:tcW w:w="998"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Year ended March 31,</w:t>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2023</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2022</w:t>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275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20"/>
              </w:rPr>
              <w:t>Payroll, consulting and benefits</w:t>
            </w:r>
            <w:r>
              <w:rPr>
                <w:rFonts w:ascii="Calibri;sans-serif" w:hAnsi="Calibri;sans-serif"/>
                <w:b w:val="false"/>
                <w:color w:val="000000"/>
                <w:sz w:val="13"/>
              </w:rPr>
              <w:t>(1)</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5,966</w:t>
            </w:r>
            <w:r>
              <w:rPr>
                <w:color w:val="000000"/>
              </w:rPr>
              <w:t> </w:t>
            </w:r>
          </w:p>
        </w:tc>
        <w:tc>
          <w:tcPr>
            <w:tcW w:w="30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6,569 </w:t>
            </w:r>
          </w:p>
        </w:tc>
        <w:tc>
          <w:tcPr>
            <w:tcW w:w="42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2,346</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8,813 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3</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Total</w:t>
            </w:r>
          </w:p>
        </w:tc>
        <w:tc>
          <w:tcPr>
            <w:tcW w:w="327"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Calibri;sans-serif" w:hAnsi="Calibri;sans-serif"/>
                <w:b/>
                <w:color w:val="000000"/>
                <w:sz w:val="20"/>
              </w:rPr>
              <w:t>8,315</w:t>
            </w:r>
            <w:r>
              <w:rPr>
                <w:color w:val="000000"/>
              </w:rPr>
              <w:t> </w:t>
            </w:r>
          </w:p>
        </w:tc>
        <w:tc>
          <w:tcPr>
            <w:tcW w:w="304" w:type="dxa"/>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15,491 </w:t>
            </w:r>
          </w:p>
        </w:tc>
        <w:tc>
          <w:tcPr>
            <w:tcW w:w="429" w:type="dxa"/>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Calibri;sans-serif" w:hAnsi="Calibri;sans-serif"/>
          <w:b w:val="false"/>
          <w:i/>
          <w:color w:val="000000"/>
          <w:sz w:val="12"/>
        </w:rPr>
        <w:t>(1)</w:t>
      </w:r>
      <w:r>
        <w:rPr>
          <w:color w:val="000000"/>
        </w:rPr>
        <w:t xml:space="preserve"> </w:t>
      </w:r>
      <w:r>
        <w:rPr>
          <w:rFonts w:ascii="Calibri;sans-serif" w:hAnsi="Calibri;sans-serif"/>
          <w:b w:val="false"/>
          <w:i/>
          <w:color w:val="000000"/>
          <w:sz w:val="18"/>
        </w:rPr>
        <w:t xml:space="preserve">For the year ended March 31, 2023, includes $2,651 presented in the statement of loss and comprehensive loss as a part of “General and administrative costs” and $3,315 presented in the statement of loss and comprehensive loss as a part of “Research”.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200" w:after="283"/>
        <w:ind w:left="0" w:right="0" w:hanging="360"/>
        <w:rPr/>
      </w:pPr>
      <w:r>
        <w:rPr/>
      </w: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11.    GENERAL AND ADMINISTRATIVE EXPENSES</w:t>
      </w:r>
    </w:p>
    <w:tbl>
      <w:tblPr>
        <w:tblW w:w="5548" w:type="dxa"/>
        <w:jc w:val="left"/>
        <w:tblInd w:w="0" w:type="dxa"/>
        <w:tblCellMar>
          <w:top w:w="28" w:type="dxa"/>
          <w:left w:w="28" w:type="dxa"/>
          <w:bottom w:w="28" w:type="dxa"/>
          <w:right w:w="28" w:type="dxa"/>
        </w:tblCellMar>
      </w:tblPr>
      <w:tblGrid>
        <w:gridCol w:w="962"/>
        <w:gridCol w:w="845"/>
        <w:gridCol w:w="848"/>
        <w:gridCol w:w="109"/>
        <w:gridCol w:w="109"/>
        <w:gridCol w:w="109"/>
        <w:gridCol w:w="109"/>
        <w:gridCol w:w="109"/>
        <w:gridCol w:w="109"/>
        <w:gridCol w:w="449"/>
        <w:gridCol w:w="304"/>
        <w:gridCol w:w="304"/>
        <w:gridCol w:w="449"/>
        <w:gridCol w:w="304"/>
        <w:gridCol w:w="429"/>
      </w:tblGrid>
      <w:tr>
        <w:trPr/>
        <w:tc>
          <w:tcPr>
            <w:tcW w:w="96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Year ended March 31,</w:t>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2023</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2022</w:t>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265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Payroll, consulting and benefits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6,272 </w:t>
            </w:r>
          </w:p>
        </w:tc>
        <w:tc>
          <w:tcPr>
            <w:tcW w:w="30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7,468 </w:t>
            </w:r>
          </w:p>
        </w:tc>
        <w:tc>
          <w:tcPr>
            <w:tcW w:w="42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Capital 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6,323 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7,277 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Office and administration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3,731 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3,999 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Professional and consulting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2,142 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3,275 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Investor relations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984 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1,981 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Marketing media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881 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1,466 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Business 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654 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2,223 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Listing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533 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Total</w:t>
            </w:r>
          </w:p>
        </w:tc>
        <w:tc>
          <w:tcPr>
            <w:tcW w:w="327" w:type="dxa"/>
            <w:gridSpan w:val="3"/>
            <w:tcBorders>
              <w:top w:val="single" w:sz="8"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21,341</w:t>
            </w:r>
          </w:p>
        </w:tc>
        <w:tc>
          <w:tcPr>
            <w:tcW w:w="1182"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28,222</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12.    RESEARCH EXPENSES</w:t>
      </w:r>
    </w:p>
    <w:p>
      <w:pPr>
        <w:pStyle w:val="TextBody"/>
        <w:spacing w:before="0" w:after="0"/>
        <w:rPr/>
      </w:pPr>
      <w:r>
        <w:rPr/>
      </w:r>
    </w:p>
    <w:tbl>
      <w:tblPr>
        <w:tblW w:w="6268" w:type="dxa"/>
        <w:jc w:val="left"/>
        <w:tblInd w:w="0" w:type="dxa"/>
        <w:tblCellMar>
          <w:top w:w="28" w:type="dxa"/>
          <w:left w:w="28" w:type="dxa"/>
          <w:bottom w:w="28" w:type="dxa"/>
          <w:right w:w="28" w:type="dxa"/>
        </w:tblCellMar>
      </w:tblPr>
      <w:tblGrid>
        <w:gridCol w:w="1195"/>
        <w:gridCol w:w="1049"/>
        <w:gridCol w:w="1055"/>
        <w:gridCol w:w="109"/>
        <w:gridCol w:w="109"/>
        <w:gridCol w:w="109"/>
        <w:gridCol w:w="109"/>
        <w:gridCol w:w="109"/>
        <w:gridCol w:w="109"/>
        <w:gridCol w:w="525"/>
        <w:gridCol w:w="304"/>
        <w:gridCol w:w="304"/>
        <w:gridCol w:w="449"/>
        <w:gridCol w:w="304"/>
        <w:gridCol w:w="429"/>
      </w:tblGrid>
      <w:tr>
        <w:trPr/>
        <w:tc>
          <w:tcPr>
            <w:tcW w:w="1195"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5"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Year ended March 31,</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2023</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2022</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3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Advancement of development programs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14,360 </w:t>
            </w:r>
          </w:p>
        </w:tc>
        <w:tc>
          <w:tcPr>
            <w:tcW w:w="30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8,744 </w:t>
            </w:r>
          </w:p>
        </w:tc>
        <w:tc>
          <w:tcPr>
            <w:tcW w:w="42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Payroll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8,830 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6,989 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Professional and consulting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1,159 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1,555 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Lab and administration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1,142 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298 </w:t>
            </w:r>
          </w:p>
        </w:tc>
        <w:tc>
          <w:tcPr>
            <w:tcW w:w="4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Total</w:t>
            </w:r>
          </w:p>
        </w:tc>
        <w:tc>
          <w:tcPr>
            <w:tcW w:w="327" w:type="dxa"/>
            <w:gridSpan w:val="3"/>
            <w:tcBorders>
              <w:top w:val="single" w:sz="8"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25,491</w:t>
            </w:r>
          </w:p>
        </w:tc>
        <w:tc>
          <w:tcPr>
            <w:tcW w:w="1182" w:type="dxa"/>
            <w:gridSpan w:val="3"/>
            <w:tcBorders>
              <w:top w:val="single" w:sz="8"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17,586</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692265" cy="154940"/>
                <wp:effectExtent l="0" t="0" r="0" b="0"/>
                <wp:wrapNone/>
                <wp:docPr id="162" name="Frame150"/>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43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43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13.    CONTRACTS, COMMITMENTS AND CONTINGENCIES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As at March 31, 2023, the Company had entered into agreements for various studies which may require the Company to spend up to an additional $12,074. The Company expects to pay this amount within the 12 months ending March 31, 2024,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In addition to the above, the Company has entered into an exclusive license agreement with Mindset to acquire a class of tryptamine-based molecules. Upon the successful completion of certain milestones contemplated in the agreement, the Company may have to pay additional consideration of up to $12,857 (US$9,500). At the sole discretion of Cybin, the milestones may be paid in cash or in Common Shares, or a combination thereof, subject to the approval of the Neo Exchange Inc.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In the normal course of business, the Company may be subject to legal proceedings and claims. As at March 31, 2023, there was no ongoing litigation and therefore no contingent liabilities have been recorded.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14.    CAPITAL MANAGEMENT</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Company’s capital management objectives, policies and processes generally remained unchanged during the year ended March 31, 2023.</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requires capital to fund existing and future operations and meet regulatory capital requirements. The Company’s policy is to maintain adequate levels of capital at all times.</w:t>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92265" cy="154940"/>
                <wp:effectExtent l="0" t="0" r="0" b="0"/>
                <wp:wrapNone/>
                <wp:docPr id="163" name="Frame151"/>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44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44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Company’s capital structure includes the following:</w:t>
      </w:r>
    </w:p>
    <w:tbl>
      <w:tblPr>
        <w:tblW w:w="6014" w:type="dxa"/>
        <w:jc w:val="left"/>
        <w:tblInd w:w="0" w:type="dxa"/>
        <w:tblCellMar>
          <w:top w:w="28" w:type="dxa"/>
          <w:left w:w="28" w:type="dxa"/>
          <w:bottom w:w="28" w:type="dxa"/>
          <w:right w:w="28" w:type="dxa"/>
        </w:tblCellMar>
      </w:tblPr>
      <w:tblGrid>
        <w:gridCol w:w="1162"/>
        <w:gridCol w:w="1021"/>
        <w:gridCol w:w="1027"/>
        <w:gridCol w:w="459"/>
        <w:gridCol w:w="459"/>
        <w:gridCol w:w="461"/>
        <w:gridCol w:w="416"/>
        <w:gridCol w:w="416"/>
        <w:gridCol w:w="593"/>
      </w:tblGrid>
      <w:tr>
        <w:trPr/>
        <w:tc>
          <w:tcPr>
            <w:tcW w:w="116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As at</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March 31, 2023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March 31, 2022</w:t>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32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Shareholders’ equity comprised of:</w:t>
            </w:r>
          </w:p>
        </w:tc>
        <w:tc>
          <w:tcPr>
            <w:tcW w:w="137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capital</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158,162</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141,451</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Contributed surplus</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2,102</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525</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Options reserve</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27,283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23,783</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Warrants reserve</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10,873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11,423</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Accumulated other comprehensive loss</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(2,035)</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(366)</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Deficit</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(148,151)</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(100,661)</w:t>
            </w:r>
          </w:p>
        </w:tc>
      </w:tr>
      <w:tr>
        <w:trPr/>
        <w:tc>
          <w:tcPr>
            <w:tcW w:w="3210"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Total</w:t>
            </w:r>
          </w:p>
        </w:tc>
        <w:tc>
          <w:tcPr>
            <w:tcW w:w="137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48,234</w:t>
            </w:r>
          </w:p>
        </w:tc>
        <w:tc>
          <w:tcPr>
            <w:tcW w:w="1425"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76,155</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15.    FINANCIAL INSTRUMENTS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Company’s financial instruments are exposed to certain financial risks, which include currency risk, credit risk, liquidity risk and interest rate risk.</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has classified its financial instruments as follows:</w:t>
      </w:r>
    </w:p>
    <w:tbl>
      <w:tblPr>
        <w:tblW w:w="6823" w:type="dxa"/>
        <w:jc w:val="left"/>
        <w:tblInd w:w="0" w:type="dxa"/>
        <w:tblCellMar>
          <w:top w:w="28" w:type="dxa"/>
          <w:left w:w="28" w:type="dxa"/>
          <w:bottom w:w="28" w:type="dxa"/>
          <w:right w:w="28" w:type="dxa"/>
        </w:tblCellMar>
      </w:tblPr>
      <w:tblGrid>
        <w:gridCol w:w="1457"/>
        <w:gridCol w:w="1278"/>
        <w:gridCol w:w="1284"/>
        <w:gridCol w:w="459"/>
        <w:gridCol w:w="459"/>
        <w:gridCol w:w="461"/>
        <w:gridCol w:w="416"/>
        <w:gridCol w:w="416"/>
        <w:gridCol w:w="593"/>
      </w:tblGrid>
      <w:tr>
        <w:trPr/>
        <w:tc>
          <w:tcPr>
            <w:tcW w:w="1457"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As at</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March 31, 2023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March 31, 2022</w:t>
            </w:r>
          </w:p>
        </w:tc>
      </w:tr>
      <w:tr>
        <w:trPr/>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w:t>
            </w:r>
          </w:p>
        </w:tc>
      </w:tr>
      <w:tr>
        <w:trPr/>
        <w:tc>
          <w:tcPr>
            <w:tcW w:w="401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Financial assets, measured at fair value:</w:t>
            </w:r>
          </w:p>
        </w:tc>
        <w:tc>
          <w:tcPr>
            <w:tcW w:w="137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Cash </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16,633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53,641</w:t>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Investments</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w:t>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Financial assets, measured at amortized cost:</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42</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w:t>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Financial liabilities, measured at fair value:</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Contingent consideration payable</w:t>
            </w:r>
          </w:p>
        </w:tc>
        <w:tc>
          <w:tcPr>
            <w:tcW w:w="9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2,646</w:t>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Financial liabilities, measured at amortized cost:</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 and accrued liabilities</w:t>
            </w:r>
          </w:p>
        </w:tc>
        <w:tc>
          <w:tcPr>
            <w:tcW w:w="137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5,663</w:t>
            </w:r>
          </w:p>
        </w:tc>
        <w:tc>
          <w:tcPr>
            <w:tcW w:w="1425"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5,262</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carrying value of the Company’s financial instruments approximate their fair value.</w:t>
      </w:r>
    </w:p>
    <w:p>
      <w:pPr>
        <w:pStyle w:val="TextBody"/>
        <w:spacing w:lineRule="auto" w:line="288" w:before="200" w:after="283"/>
        <w:rPr>
          <w:rFonts w:ascii="Calibri;sans-serif" w:hAnsi="Calibri;sans-serif"/>
          <w:b/>
          <w:color w:val="000000"/>
          <w:sz w:val="20"/>
          <w:u w:val="single"/>
        </w:rPr>
      </w:pPr>
      <w:r>
        <w:rPr>
          <w:rFonts w:ascii="Calibri;sans-serif" w:hAnsi="Calibri;sans-serif"/>
          <w:b/>
          <w:color w:val="000000"/>
          <w:sz w:val="20"/>
          <w:u w:val="single"/>
        </w:rPr>
        <w:t>Fair value Hierarchy of Financial Instruments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has categorized its financial instruments that are carried at fair value, based on the priority of the inputs to the valuation techniques used to measure fair value, into a three-level fair value hierarchy as follows:</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Level 1: Fair value is based on unadjusted quoted prices for identical assets or liabilities in an active market. The types of assets and liabilities classified as Level 1 generally included cash.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Level 2: Fair value is based on quoted prices for similar assets or liabilities in active markets, valuation that is based on significant observable inputs, or inputs that are derived principally from or corroborated with </w:t>
      </w: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692265" cy="154940"/>
                <wp:effectExtent l="0" t="0" r="0" b="0"/>
                <wp:wrapNone/>
                <wp:docPr id="164" name="Frame152"/>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45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45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observable market data through correlation or other means. Currently, the Company has no financial instruments that would be classified as Level 2.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investments and the contingent liabilities are classified as Level 3.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There were no transfers between levels of the fair value hierarchy for the year ended March 31, 2023.</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following table presents the changes in level 3 financial instruments for the for the years ended March 31, 2023 and March 31, 2022:</w:t>
      </w:r>
    </w:p>
    <w:tbl>
      <w:tblPr>
        <w:tblW w:w="7054" w:type="dxa"/>
        <w:jc w:val="left"/>
        <w:tblInd w:w="0" w:type="dxa"/>
        <w:tblCellMar>
          <w:top w:w="28" w:type="dxa"/>
          <w:left w:w="28" w:type="dxa"/>
          <w:bottom w:w="28" w:type="dxa"/>
          <w:right w:w="28" w:type="dxa"/>
        </w:tblCellMar>
      </w:tblPr>
      <w:tblGrid>
        <w:gridCol w:w="2330"/>
        <w:gridCol w:w="2043"/>
        <w:gridCol w:w="2061"/>
        <w:gridCol w:w="233"/>
        <w:gridCol w:w="233"/>
        <w:gridCol w:w="154"/>
      </w:tblGrid>
      <w:tr>
        <w:trPr/>
        <w:tc>
          <w:tcPr>
            <w:tcW w:w="2330" w:type="dxa"/>
            <w:tcBorders/>
            <w:shd w:fill="auto" w:val="clear"/>
            <w:vAlign w:val="center"/>
          </w:tcPr>
          <w:p>
            <w:pPr>
              <w:pStyle w:val="TableContents"/>
              <w:spacing w:before="0" w:after="283"/>
              <w:rPr>
                <w:sz w:val="4"/>
                <w:szCs w:val="4"/>
              </w:rPr>
            </w:pPr>
            <w:r>
              <w:rPr>
                <w:sz w:val="4"/>
                <w:szCs w:val="4"/>
              </w:rPr>
            </w:r>
          </w:p>
        </w:tc>
        <w:tc>
          <w:tcPr>
            <w:tcW w:w="2043"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shd w:fill="auto" w:val="clear"/>
            <w:tcMar>
              <w:top w:w="0" w:type="dxa"/>
              <w:left w:w="0" w:type="dxa"/>
              <w:bottom w:w="0" w:type="dxa"/>
              <w:right w:w="0" w:type="dxa"/>
            </w:tcMar>
            <w:vAlign w:val="center"/>
          </w:tcPr>
          <w:p>
            <w:pPr>
              <w:pStyle w:val="TableContents"/>
              <w:spacing w:lineRule="auto" w:line="268" w:before="0" w:after="0"/>
              <w:jc w:val="right"/>
              <w:rPr>
                <w:rFonts w:ascii="Calibri;sans-serif" w:hAnsi="Calibri;sans-serif"/>
                <w:b/>
                <w:color w:val="000000"/>
                <w:sz w:val="20"/>
              </w:rPr>
            </w:pPr>
            <w:r>
              <w:rPr>
                <w:rFonts w:ascii="Calibri;sans-serif" w:hAnsi="Calibri;sans-serif"/>
                <w:b/>
                <w:color w:val="000000"/>
                <w:sz w:val="20"/>
              </w:rPr>
              <w:t>$</w:t>
            </w:r>
          </w:p>
        </w:tc>
      </w:tr>
      <w:tr>
        <w:trPr/>
        <w:tc>
          <w:tcPr>
            <w:tcW w:w="64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Balance as at March 31, 2021</w:t>
            </w:r>
          </w:p>
        </w:tc>
        <w:tc>
          <w:tcPr>
            <w:tcW w:w="46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Additions</w:t>
            </w:r>
          </w:p>
        </w:tc>
        <w:tc>
          <w:tcPr>
            <w:tcW w:w="466"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250 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Interest income</w:t>
            </w:r>
          </w:p>
        </w:tc>
        <w:tc>
          <w:tcPr>
            <w:tcW w:w="466"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21 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Change in fair value of investments measured at fair value through profit or loss</w:t>
            </w:r>
          </w:p>
        </w:tc>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w:t>
            </w:r>
          </w:p>
        </w:tc>
      </w:tr>
      <w:tr>
        <w:trPr/>
        <w:tc>
          <w:tcPr>
            <w:tcW w:w="64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Balance as at March 31, 2022</w:t>
            </w:r>
          </w:p>
        </w:tc>
        <w:tc>
          <w:tcPr>
            <w:tcW w:w="46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Calibri;sans-serif" w:hAnsi="Calibri;sans-serif"/>
                <w:b w:val="false"/>
                <w:color w:val="000000"/>
                <w:sz w:val="20"/>
              </w:rPr>
            </w:pPr>
            <w:r>
              <w:rPr>
                <w:rFonts w:ascii="Calibri;sans-serif" w:hAnsi="Calibri;sans-serif"/>
                <w:b w:val="false"/>
                <w:color w:val="000000"/>
                <w:sz w:val="20"/>
              </w:rPr>
              <w:t>242 </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Interest income</w:t>
            </w:r>
          </w:p>
        </w:tc>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w:t>
            </w:r>
          </w:p>
        </w:tc>
      </w:tr>
      <w:tr>
        <w:trPr/>
        <w:tc>
          <w:tcPr>
            <w:tcW w:w="643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20"/>
              </w:rPr>
            </w:pPr>
            <w:r>
              <w:rPr>
                <w:rFonts w:ascii="Calibri;sans-serif" w:hAnsi="Calibri;sans-serif"/>
                <w:b w:val="false"/>
                <w:color w:val="000000"/>
                <w:sz w:val="20"/>
              </w:rPr>
              <w:t>Change in fair value of investments measured at fair value through profit or loss</w:t>
            </w:r>
          </w:p>
        </w:tc>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(260)</w:t>
            </w:r>
          </w:p>
        </w:tc>
      </w:tr>
      <w:tr>
        <w:trPr/>
        <w:tc>
          <w:tcPr>
            <w:tcW w:w="6434"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Balance as at March 31, 2023</w:t>
            </w:r>
          </w:p>
        </w:tc>
        <w:tc>
          <w:tcPr>
            <w:tcW w:w="466" w:type="dxa"/>
            <w:gridSpan w:val="2"/>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Calibri;sans-serif" w:hAnsi="Calibri;sans-serif"/>
          <w:b/>
          <w:color w:val="000000"/>
          <w:sz w:val="20"/>
          <w:u w:val="single"/>
        </w:rPr>
      </w:pPr>
      <w:r>
        <w:rPr>
          <w:rFonts w:ascii="Calibri;sans-serif" w:hAnsi="Calibri;sans-serif"/>
          <w:b/>
          <w:color w:val="000000"/>
          <w:sz w:val="20"/>
          <w:u w:val="single"/>
        </w:rPr>
        <w:t>Financial risk management</w:t>
      </w:r>
    </w:p>
    <w:p>
      <w:pPr>
        <w:pStyle w:val="TextBody"/>
        <w:spacing w:lineRule="auto" w:line="288" w:before="200" w:after="283"/>
        <w:rPr>
          <w:rFonts w:ascii="Calibri;sans-serif" w:hAnsi="Calibri;sans-serif"/>
          <w:b/>
          <w:color w:val="000000"/>
          <w:sz w:val="20"/>
        </w:rPr>
      </w:pPr>
      <w:r>
        <w:rPr>
          <w:rFonts w:ascii="Calibri;sans-serif" w:hAnsi="Calibri;sans-serif"/>
          <w:b/>
          <w:color w:val="000000"/>
          <w:sz w:val="20"/>
        </w:rPr>
        <w:t>Credit risk</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 worthiness. As at March 31, 2023, the Company’s maximum exposure to credit risk is the carrying value of its financial assets. </w:t>
      </w:r>
    </w:p>
    <w:p>
      <w:pPr>
        <w:pStyle w:val="TextBody"/>
        <w:spacing w:lineRule="auto" w:line="288" w:before="200" w:after="283"/>
        <w:rPr>
          <w:rFonts w:ascii="Calibri;sans-serif" w:hAnsi="Calibri;sans-serif"/>
          <w:b/>
          <w:color w:val="000000"/>
          <w:sz w:val="20"/>
        </w:rPr>
      </w:pPr>
      <w:r>
        <w:rPr>
          <w:rFonts w:ascii="Calibri;sans-serif" w:hAnsi="Calibri;sans-serif"/>
          <w:b/>
          <w:color w:val="000000"/>
          <w:sz w:val="20"/>
        </w:rPr>
        <w:t>Liquidity risk</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Liquidity risk is the risk that an entity will encounter difficulty in raising funds to meet commitments associated with financial instruments. The Company manages liquidity by maintaining adequate cash balances to meet liabilities as they become due.</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 xml:space="preserve">As at March 31, 2023, the Company had cash of $16,633 (March 31, 2022 - $53,641) in order to meet current liabilities. Accounts payable and accrued liabilities include trade payables and other obligations of $5,663 (March 31, 2022 - $5,262), all amounts are due within the next 12 months. </w:t>
      </w:r>
    </w:p>
    <w:p>
      <w:pPr>
        <w:pStyle w:val="TextBody"/>
        <w:spacing w:lineRule="auto" w:line="288" w:before="200" w:after="283"/>
        <w:rPr>
          <w:rFonts w:ascii="Calibri;sans-serif" w:hAnsi="Calibri;sans-serif"/>
          <w:b/>
          <w:color w:val="000000"/>
          <w:sz w:val="20"/>
        </w:rPr>
      </w:pPr>
      <w:r>
        <w:rPr>
          <w:rFonts w:ascii="Calibri;sans-serif" w:hAnsi="Calibri;sans-serif"/>
          <w:b/>
          <w:color w:val="000000"/>
          <w:sz w:val="20"/>
        </w:rPr>
        <w:t>Market risk</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significant market risks to which the Company is exposed are interest rate risk and currency risk.</w:t>
      </w:r>
    </w:p>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692265" cy="154940"/>
                <wp:effectExtent l="0" t="0" r="0" b="0"/>
                <wp:wrapNone/>
                <wp:docPr id="165" name="Frame153"/>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46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46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rPr>
          <w:rFonts w:ascii="Calibri;sans-serif" w:hAnsi="Calibri;sans-serif"/>
          <w:b w:val="false"/>
          <w:i/>
          <w:color w:val="000000"/>
          <w:sz w:val="20"/>
          <w:u w:val="single"/>
        </w:rPr>
      </w:pPr>
      <w:r>
        <w:rPr>
          <w:rFonts w:ascii="Calibri;sans-serif" w:hAnsi="Calibri;sans-serif"/>
          <w:b w:val="false"/>
          <w:i/>
          <w:color w:val="000000"/>
          <w:sz w:val="20"/>
          <w:u w:val="single"/>
        </w:rPr>
        <w:t>Interest rate risk</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Interest rate risk is the risk that the fair value or the future cash flows of a financial instrument will fluctuate because of changes in market interest rate. In seeking to minimize the risks from interest rate fluctuations, the Company manages exposure through its normal operating and financing activities. As at March 31, 2023, the Company has determined its exposure to interest rate risk is minimal.</w:t>
      </w:r>
    </w:p>
    <w:p>
      <w:pPr>
        <w:pStyle w:val="TextBody"/>
        <w:spacing w:lineRule="auto" w:line="288" w:before="200" w:after="283"/>
        <w:rPr>
          <w:rFonts w:ascii="Calibri;sans-serif" w:hAnsi="Calibri;sans-serif"/>
          <w:b w:val="false"/>
          <w:i/>
          <w:color w:val="000000"/>
          <w:sz w:val="20"/>
          <w:u w:val="single"/>
        </w:rPr>
      </w:pPr>
      <w:r>
        <w:rPr>
          <w:rFonts w:ascii="Calibri;sans-serif" w:hAnsi="Calibri;sans-serif"/>
          <w:b w:val="false"/>
          <w:i/>
          <w:color w:val="000000"/>
          <w:sz w:val="20"/>
          <w:u w:val="single"/>
        </w:rPr>
        <w:t>Currency risk</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Company is exposed to currency risk to the extent that monetary operational expenses are denominated in both CAD and USD while functional currency of CAD in used for reporting. The Company has not entered into any foreign currency contracts to mitigate this risk.</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At March 31, 2023, the Company had the following balances in monetary assets and monetary liabilities which are subject to fluctuation against CAD:</w:t>
      </w:r>
    </w:p>
    <w:tbl>
      <w:tblPr>
        <w:tblW w:w="6568" w:type="dxa"/>
        <w:jc w:val="left"/>
        <w:tblInd w:w="0" w:type="dxa"/>
        <w:tblCellMar>
          <w:top w:w="28" w:type="dxa"/>
          <w:left w:w="28" w:type="dxa"/>
          <w:bottom w:w="28" w:type="dxa"/>
          <w:right w:w="28" w:type="dxa"/>
        </w:tblCellMar>
      </w:tblPr>
      <w:tblGrid>
        <w:gridCol w:w="1396"/>
        <w:gridCol w:w="1228"/>
        <w:gridCol w:w="1230"/>
        <w:gridCol w:w="225"/>
        <w:gridCol w:w="514"/>
        <w:gridCol w:w="116"/>
        <w:gridCol w:w="241"/>
        <w:gridCol w:w="550"/>
        <w:gridCol w:w="124"/>
        <w:gridCol w:w="235"/>
        <w:gridCol w:w="537"/>
        <w:gridCol w:w="172"/>
      </w:tblGrid>
      <w:tr>
        <w:trPr/>
        <w:tc>
          <w:tcPr>
            <w:tcW w:w="1396"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Denominated in:</w:t>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US$000’s</w:t>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GBP 000’s</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EUR 000’s</w:t>
            </w:r>
          </w:p>
        </w:tc>
      </w:tr>
      <w:tr>
        <w:trPr/>
        <w:tc>
          <w:tcPr>
            <w:tcW w:w="38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w:t>
            </w:r>
          </w:p>
        </w:tc>
        <w:tc>
          <w:tcPr>
            <w:tcW w:w="7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646 </w:t>
            </w:r>
          </w:p>
        </w:tc>
        <w:tc>
          <w:tcPr>
            <w:tcW w:w="116"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616 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762 </w:t>
            </w:r>
          </w:p>
        </w:tc>
        <w:tc>
          <w:tcPr>
            <w:tcW w:w="17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 and accrued liabilities</w:t>
            </w:r>
          </w:p>
        </w:tc>
        <w:tc>
          <w:tcPr>
            <w:tcW w:w="7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(162)</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(597)</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484</w:t>
            </w:r>
            <w:r>
              <w:rPr>
                <w:color w:val="000000"/>
              </w:rPr>
              <w:t> </w:t>
            </w:r>
          </w:p>
        </w:tc>
        <w:tc>
          <w:tcPr>
            <w:tcW w:w="116"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534</w:t>
            </w:r>
            <w:r>
              <w:rPr>
                <w:color w:val="000000"/>
              </w:rPr>
              <w:t>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165</w:t>
            </w:r>
            <w:r>
              <w:rPr>
                <w:color w:val="000000"/>
              </w:rPr>
              <w:t> </w:t>
            </w:r>
          </w:p>
        </w:tc>
        <w:tc>
          <w:tcPr>
            <w:tcW w:w="17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Foreign currency rate</w:t>
            </w:r>
          </w:p>
        </w:tc>
        <w:tc>
          <w:tcPr>
            <w:tcW w:w="7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1.3533 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1.6726 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1.4708 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Equivalent in Canadian dollars</w:t>
            </w:r>
          </w:p>
        </w:tc>
        <w:tc>
          <w:tcPr>
            <w:tcW w:w="225"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w:t>
            </w:r>
          </w:p>
        </w:tc>
        <w:tc>
          <w:tcPr>
            <w:tcW w:w="51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655</w:t>
            </w:r>
            <w:r>
              <w:rPr>
                <w:color w:val="000000"/>
              </w:rPr>
              <w:t> </w:t>
            </w:r>
          </w:p>
        </w:tc>
        <w:tc>
          <w:tcPr>
            <w:tcW w:w="116"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w:t>
            </w:r>
          </w:p>
        </w:tc>
        <w:tc>
          <w:tcPr>
            <w:tcW w:w="55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893</w:t>
            </w:r>
            <w:r>
              <w:rPr>
                <w:color w:val="000000"/>
              </w:rPr>
              <w:t>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w:t>
            </w:r>
          </w:p>
        </w:tc>
        <w:tc>
          <w:tcPr>
            <w:tcW w:w="537"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20"/>
              </w:rPr>
              <w:t>243</w:t>
            </w:r>
            <w:r>
              <w:rPr>
                <w:color w:val="000000"/>
              </w:rPr>
              <w:t> </w:t>
            </w:r>
          </w:p>
        </w:tc>
        <w:tc>
          <w:tcPr>
            <w:tcW w:w="17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Impact of 10% change in foreign currency rate</w:t>
            </w:r>
          </w:p>
        </w:tc>
        <w:tc>
          <w:tcPr>
            <w:tcW w:w="225"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w:t>
            </w:r>
          </w:p>
        </w:tc>
        <w:tc>
          <w:tcPr>
            <w:tcW w:w="514"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Calibri;sans-serif" w:hAnsi="Calibri;sans-serif"/>
                <w:b/>
                <w:color w:val="000000"/>
                <w:sz w:val="20"/>
              </w:rPr>
              <w:t>66</w:t>
            </w:r>
            <w:r>
              <w:rPr>
                <w:color w:val="000000"/>
              </w:rPr>
              <w:t> </w:t>
            </w:r>
          </w:p>
        </w:tc>
        <w:tc>
          <w:tcPr>
            <w:tcW w:w="116"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w:t>
            </w:r>
          </w:p>
        </w:tc>
        <w:tc>
          <w:tcPr>
            <w:tcW w:w="550"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Calibri;sans-serif" w:hAnsi="Calibri;sans-serif"/>
                <w:b/>
                <w:color w:val="000000"/>
                <w:sz w:val="20"/>
              </w:rPr>
              <w:t>89</w:t>
            </w:r>
            <w:r>
              <w:rPr>
                <w:color w:val="000000"/>
              </w:rPr>
              <w:t> </w:t>
            </w:r>
          </w:p>
        </w:tc>
        <w:tc>
          <w:tcPr>
            <w:tcW w:w="124"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5"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w:t>
            </w:r>
          </w:p>
        </w:tc>
        <w:tc>
          <w:tcPr>
            <w:tcW w:w="537"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Calibri;sans-serif" w:hAnsi="Calibri;sans-serif"/>
                <w:b/>
                <w:color w:val="000000"/>
                <w:sz w:val="20"/>
              </w:rPr>
              <w:t>24</w:t>
            </w:r>
            <w:r>
              <w:rPr>
                <w:color w:val="000000"/>
              </w:rPr>
              <w:t> </w:t>
            </w:r>
          </w:p>
        </w:tc>
        <w:tc>
          <w:tcPr>
            <w:tcW w:w="172"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Based on the above net exposures as at March 31, 2023, and assuming that all other variables remain constant, a 10% change of the USD, GBP and EUR, against the CAD would impact net loss by approximately by $179.</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 xml:space="preserve">16.    INCOME TAX </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Major items causing the Company’s income tax rate to differ from the Canadian statutory rate of approximately 26.50% are as follows:</w:t>
      </w:r>
    </w:p>
    <w:tbl>
      <w:tblPr>
        <w:tblW w:w="6787" w:type="dxa"/>
        <w:jc w:val="left"/>
        <w:tblInd w:w="0" w:type="dxa"/>
        <w:tblCellMar>
          <w:top w:w="28" w:type="dxa"/>
          <w:left w:w="28" w:type="dxa"/>
          <w:bottom w:w="28" w:type="dxa"/>
          <w:right w:w="28" w:type="dxa"/>
        </w:tblCellMar>
      </w:tblPr>
      <w:tblGrid>
        <w:gridCol w:w="1514"/>
        <w:gridCol w:w="1331"/>
        <w:gridCol w:w="1339"/>
        <w:gridCol w:w="109"/>
        <w:gridCol w:w="109"/>
        <w:gridCol w:w="109"/>
        <w:gridCol w:w="109"/>
        <w:gridCol w:w="109"/>
        <w:gridCol w:w="109"/>
        <w:gridCol w:w="304"/>
        <w:gridCol w:w="304"/>
        <w:gridCol w:w="304"/>
        <w:gridCol w:w="304"/>
        <w:gridCol w:w="304"/>
        <w:gridCol w:w="429"/>
      </w:tblGrid>
      <w:tr>
        <w:trPr/>
        <w:tc>
          <w:tcPr>
            <w:tcW w:w="1514"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Year ended March 31,</w:t>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2023</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2022</w:t>
            </w:r>
          </w:p>
        </w:tc>
      </w:tr>
      <w:tr>
        <w:trPr/>
        <w:tc>
          <w:tcPr>
            <w:tcW w:w="41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before income taxes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47,490</w:t>
            </w:r>
          </w:p>
        </w:tc>
        <w:tc>
          <w:tcPr>
            <w:tcW w:w="103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67,631</w:t>
            </w:r>
          </w:p>
        </w:tc>
      </w:tr>
      <w:tr>
        <w:trPr/>
        <w:tc>
          <w:tcPr>
            <w:tcW w:w="418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recovery at statutory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12,585</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17,922</w:t>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(1,242)</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(4,778)</w:t>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321</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794</w:t>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Difference between Canadian and foreign tax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(4,032)</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(3,542)</w:t>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exchange on unbooked deferred tax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438</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Non-deductible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(338)</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(1,256)</w:t>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unrecognized deferred tax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(7,732)</w:t>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(9,140)</w:t>
            </w:r>
          </w:p>
        </w:tc>
      </w:tr>
      <w:tr>
        <w:trPr/>
        <w:tc>
          <w:tcPr>
            <w:tcW w:w="4184"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Income tax recovery</w:t>
            </w:r>
          </w:p>
        </w:tc>
        <w:tc>
          <w:tcPr>
            <w:tcW w:w="327"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1037"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r>
    </w:tbl>
    <w:p>
      <w:pPr>
        <w:pStyle w:val="HorizontalLine"/>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692265" cy="154940"/>
                <wp:effectExtent l="0" t="0" r="0" b="0"/>
                <wp:wrapNone/>
                <wp:docPr id="166" name="Frame154"/>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47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47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 significant components of the Company’s deferred tax assets, resulting from temporary differences, unused tax credits and unused tax losses, that have not been included on the consolidated statements of financial position, are as follows:</w:t>
      </w:r>
    </w:p>
    <w:tbl>
      <w:tblPr>
        <w:tblW w:w="5339" w:type="dxa"/>
        <w:jc w:val="left"/>
        <w:tblInd w:w="0" w:type="dxa"/>
        <w:tblCellMar>
          <w:top w:w="28" w:type="dxa"/>
          <w:left w:w="28" w:type="dxa"/>
          <w:bottom w:w="28" w:type="dxa"/>
          <w:right w:w="28" w:type="dxa"/>
        </w:tblCellMar>
      </w:tblPr>
      <w:tblGrid>
        <w:gridCol w:w="917"/>
        <w:gridCol w:w="808"/>
        <w:gridCol w:w="810"/>
        <w:gridCol w:w="459"/>
        <w:gridCol w:w="459"/>
        <w:gridCol w:w="461"/>
        <w:gridCol w:w="416"/>
        <w:gridCol w:w="416"/>
        <w:gridCol w:w="593"/>
      </w:tblGrid>
      <w:tr>
        <w:trPr/>
        <w:tc>
          <w:tcPr>
            <w:tcW w:w="917"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As at</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March 31, 2023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March 31, 2022</w:t>
            </w:r>
          </w:p>
        </w:tc>
      </w:tr>
      <w:tr>
        <w:trPr/>
        <w:tc>
          <w:tcPr>
            <w:tcW w:w="25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Non-capital loss carryforwards</w:t>
            </w:r>
          </w:p>
        </w:tc>
        <w:tc>
          <w:tcPr>
            <w:tcW w:w="13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20,248</w:t>
            </w:r>
          </w:p>
        </w:tc>
        <w:tc>
          <w:tcPr>
            <w:tcW w:w="14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13,256</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compensation</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1,089</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1,146</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R&amp;D expenditures</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1,053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Share issuance costs</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1,303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1,526</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Depreciation/CCA differences</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(6)</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6</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w:t>
            </w:r>
          </w:p>
        </w:tc>
      </w:tr>
      <w:tr>
        <w:trPr/>
        <w:tc>
          <w:tcPr>
            <w:tcW w:w="25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23,693</w:t>
            </w:r>
          </w:p>
        </w:tc>
        <w:tc>
          <w:tcPr>
            <w:tcW w:w="14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15,961</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Valuation allowance</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(23,693)</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(15,961)</w:t>
            </w:r>
          </w:p>
        </w:tc>
      </w:tr>
      <w:tr>
        <w:trPr/>
        <w:tc>
          <w:tcPr>
            <w:tcW w:w="2535"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1425"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These deferred tax assets have not been recognized because it is not probable that future taxable profit will be available against which the Company will be able to use these potential benefits.</w:t>
      </w:r>
    </w:p>
    <w:p>
      <w:pPr>
        <w:pStyle w:val="TextBody"/>
        <w:spacing w:lineRule="auto" w:line="288" w:before="200" w:after="283"/>
        <w:jc w:val="both"/>
        <w:rPr>
          <w:rFonts w:ascii="Calibri;sans-serif" w:hAnsi="Calibri;sans-serif"/>
          <w:b/>
          <w:color w:val="000000"/>
          <w:sz w:val="20"/>
        </w:rPr>
      </w:pPr>
      <w:r>
        <w:rPr>
          <w:rFonts w:ascii="Calibri;sans-serif" w:hAnsi="Calibri;sans-serif"/>
          <w:b/>
          <w:color w:val="000000"/>
          <w:sz w:val="20"/>
        </w:rPr>
        <w:t>Non-capital loss balance</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at March 31, 2023, the Company has non-capital losses in Canada, which under certain circumstances can be used to reduce the taxable income of future years. The non-capital losses expire as follows:</w:t>
      </w:r>
    </w:p>
    <w:tbl>
      <w:tblPr>
        <w:tblW w:w="1935" w:type="dxa"/>
        <w:jc w:val="left"/>
        <w:tblInd w:w="0" w:type="dxa"/>
        <w:tblCellMar>
          <w:top w:w="28" w:type="dxa"/>
          <w:left w:w="28" w:type="dxa"/>
          <w:bottom w:w="28" w:type="dxa"/>
          <w:right w:w="28" w:type="dxa"/>
        </w:tblCellMar>
      </w:tblPr>
      <w:tblGrid>
        <w:gridCol w:w="440"/>
        <w:gridCol w:w="386"/>
        <w:gridCol w:w="388"/>
        <w:gridCol w:w="210"/>
        <w:gridCol w:w="210"/>
        <w:gridCol w:w="301"/>
      </w:tblGrid>
      <w:tr>
        <w:trPr/>
        <w:tc>
          <w:tcPr>
            <w:tcW w:w="44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Year of expiry</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12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2040</w:t>
            </w:r>
          </w:p>
        </w:tc>
        <w:tc>
          <w:tcPr>
            <w:tcW w:w="7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740</w:t>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2041</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19,193</w:t>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2042</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12,234</w:t>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2043</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10,704</w:t>
            </w:r>
          </w:p>
        </w:tc>
      </w:tr>
      <w:tr>
        <w:trPr/>
        <w:tc>
          <w:tcPr>
            <w:tcW w:w="1214"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42,871</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at March 31, 2023, the Company has non-capital losses in the United States, which under certain circumstances can be used to reduce the taxable income of future years. The non-capital losses, stated in Canadian dollars, that will expire as follows:</w:t>
      </w:r>
    </w:p>
    <w:tbl>
      <w:tblPr>
        <w:tblW w:w="7110" w:type="dxa"/>
        <w:jc w:val="left"/>
        <w:tblInd w:w="0" w:type="dxa"/>
        <w:tblCellMar>
          <w:top w:w="28" w:type="dxa"/>
          <w:left w:w="28" w:type="dxa"/>
          <w:bottom w:w="28" w:type="dxa"/>
          <w:right w:w="28" w:type="dxa"/>
        </w:tblCellMar>
      </w:tblPr>
      <w:tblGrid>
        <w:gridCol w:w="2310"/>
        <w:gridCol w:w="2028"/>
        <w:gridCol w:w="2051"/>
        <w:gridCol w:w="209"/>
        <w:gridCol w:w="209"/>
        <w:gridCol w:w="303"/>
      </w:tblGrid>
      <w:tr>
        <w:trPr/>
        <w:tc>
          <w:tcPr>
            <w:tcW w:w="2310"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Year of expiry</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63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2041 - Pre-acquisition loss generated up to December 4, 2020</w:t>
            </w:r>
          </w:p>
        </w:tc>
        <w:tc>
          <w:tcPr>
            <w:tcW w:w="7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992</w:t>
            </w:r>
          </w:p>
        </w:tc>
      </w:tr>
      <w:tr>
        <w:trPr/>
        <w:tc>
          <w:tcPr>
            <w:tcW w:w="6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2041 - Loss generated in the period from December 4, 2020 to March 31, 2021</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1,323</w:t>
            </w:r>
          </w:p>
        </w:tc>
      </w:tr>
      <w:tr>
        <w:trPr/>
        <w:tc>
          <w:tcPr>
            <w:tcW w:w="6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2042 - Loss generated in the year ended March 31, 2022</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7,131</w:t>
            </w:r>
          </w:p>
        </w:tc>
      </w:tr>
      <w:tr>
        <w:trPr/>
        <w:tc>
          <w:tcPr>
            <w:tcW w:w="6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2043 - Loss generated in the year ended March 31, 2023</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2,902</w:t>
            </w:r>
          </w:p>
        </w:tc>
      </w:tr>
      <w:tr>
        <w:trPr/>
        <w:tc>
          <w:tcPr>
            <w:tcW w:w="6389"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12,348</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Although the US federal losses carryforward indefinitely, they are subject to restrictions on their deductibility. The deductibility of the pre-acquisition loss and the post-acquisition loss is restricted to 80% of taxable income in the year of deduction. The pre-acquisition loss is further restricted to an annual limitation under Section 382. As at March 31, 2023, the annual limitation was $144.</w:t>
      </w: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692265" cy="154940"/>
                <wp:effectExtent l="0" t="0" r="0" b="0"/>
                <wp:wrapNone/>
                <wp:docPr id="167" name="Frame155"/>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48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48 of 49</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3373"/>
        <w:gridCol w:w="2964"/>
        <w:gridCol w:w="4202"/>
      </w:tblGrid>
      <w:tr>
        <w:trPr/>
        <w:tc>
          <w:tcPr>
            <w:tcW w:w="3373"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bottom w:val="single" w:sz="8" w:space="0" w:color="404040"/>
            </w:tcBorders>
            <w:shd w:fill="auto" w:val="clear"/>
            <w:tcMar>
              <w:top w:w="0" w:type="dxa"/>
              <w:left w:w="0" w:type="dxa"/>
              <w:bottom w:w="30" w:type="dxa"/>
              <w:right w:w="0" w:type="dxa"/>
            </w:tcMar>
            <w:vAlign w:val="center"/>
          </w:tcPr>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CYBIN INC.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 xml:space="preserve">NOTES TO THE CONSOLIDATED FINANCIAL STATEMENTS </w:t>
            </w:r>
          </w:p>
          <w:p>
            <w:pPr>
              <w:pStyle w:val="TableContents"/>
              <w:spacing w:lineRule="auto" w:line="288" w:before="0" w:after="0"/>
              <w:jc w:val="left"/>
              <w:rPr>
                <w:rFonts w:ascii="Calibri;sans-serif" w:hAnsi="Calibri;sans-serif"/>
                <w:b/>
                <w:color w:val="000000"/>
                <w:sz w:val="24"/>
              </w:rPr>
            </w:pPr>
            <w:r>
              <w:rPr>
                <w:rFonts w:ascii="Calibri;sans-serif" w:hAnsi="Calibri;sans-serif"/>
                <w:b/>
                <w:color w:val="000000"/>
                <w:sz w:val="24"/>
              </w:rPr>
              <w:t>March 31, 2023 and March 31, 2022</w:t>
            </w:r>
          </w:p>
          <w:p>
            <w:pPr>
              <w:pStyle w:val="TableContents"/>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(All amounts expressed in thousands of Canadian dollars, except share and per share amounts, and those amounts indicated as being in US dollars, which are in thousands of US dollars) </w:t>
            </w:r>
          </w:p>
        </w:tc>
      </w:tr>
    </w:tbl>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Massachusetts allows for a 20-year carryforward period for restricted and unrestricted losses without limitation.</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As at March 31, 2023, the Company has non-capital losses in Ireland, which under certain circumstances can be used to reduce the taxable income of future years. The non-capital losses, stated in Canadian dollars, expire as follows:</w:t>
      </w:r>
    </w:p>
    <w:tbl>
      <w:tblPr>
        <w:tblW w:w="1935" w:type="dxa"/>
        <w:jc w:val="left"/>
        <w:tblInd w:w="0" w:type="dxa"/>
        <w:tblCellMar>
          <w:top w:w="28" w:type="dxa"/>
          <w:left w:w="28" w:type="dxa"/>
          <w:bottom w:w="28" w:type="dxa"/>
          <w:right w:w="28" w:type="dxa"/>
        </w:tblCellMar>
      </w:tblPr>
      <w:tblGrid>
        <w:gridCol w:w="440"/>
        <w:gridCol w:w="386"/>
        <w:gridCol w:w="388"/>
        <w:gridCol w:w="211"/>
        <w:gridCol w:w="211"/>
        <w:gridCol w:w="299"/>
      </w:tblGrid>
      <w:tr>
        <w:trPr/>
        <w:tc>
          <w:tcPr>
            <w:tcW w:w="44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Calibri;sans-serif" w:hAnsi="Calibri;sans-serif"/>
                <w:b w:val="false"/>
                <w:color w:val="000000"/>
                <w:sz w:val="20"/>
              </w:rPr>
            </w:pPr>
            <w:r>
              <w:rPr>
                <w:rFonts w:ascii="Calibri;sans-serif" w:hAnsi="Calibri;sans-serif"/>
                <w:b w:val="false"/>
                <w:color w:val="000000"/>
                <w:sz w:val="20"/>
              </w:rPr>
              <w:t>Year of expiry</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12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Calibri;sans-serif" w:hAnsi="Calibri;sans-serif"/>
                <w:b w:val="false"/>
                <w:color w:val="000000"/>
                <w:sz w:val="20"/>
              </w:rPr>
            </w:pPr>
            <w:r>
              <w:rPr>
                <w:rFonts w:ascii="Calibri;sans-serif" w:hAnsi="Calibri;sans-serif"/>
                <w:b w:val="false"/>
                <w:color w:val="000000"/>
                <w:sz w:val="20"/>
              </w:rPr>
              <w:t>2042</w:t>
            </w:r>
          </w:p>
        </w:tc>
        <w:tc>
          <w:tcPr>
            <w:tcW w:w="7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22,965</w:t>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Calibri;sans-serif" w:hAnsi="Calibri;sans-serif"/>
                <w:b w:val="false"/>
                <w:color w:val="000000"/>
                <w:sz w:val="20"/>
              </w:rPr>
            </w:pPr>
            <w:r>
              <w:rPr>
                <w:rFonts w:ascii="Calibri;sans-serif" w:hAnsi="Calibri;sans-serif"/>
                <w:b w:val="false"/>
                <w:color w:val="000000"/>
                <w:sz w:val="20"/>
              </w:rPr>
              <w:t>2043</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23,017</w:t>
            </w:r>
          </w:p>
        </w:tc>
      </w:tr>
      <w:tr>
        <w:trPr/>
        <w:tc>
          <w:tcPr>
            <w:tcW w:w="1214"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20"/>
              </w:rPr>
            </w:pPr>
            <w:r>
              <w:rPr>
                <w:rFonts w:ascii="Calibri;sans-serif" w:hAnsi="Calibri;sans-serif"/>
                <w:b/>
                <w:color w:val="000000"/>
                <w:sz w:val="20"/>
              </w:rPr>
              <w:t>45,982</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Calibri;sans-serif" w:hAnsi="Calibri;sans-serif"/>
          <w:b/>
          <w:color w:val="2D5F91"/>
          <w:sz w:val="20"/>
        </w:rPr>
      </w:pPr>
      <w:r>
        <w:rPr>
          <w:rFonts w:ascii="Calibri;sans-serif" w:hAnsi="Calibri;sans-serif"/>
          <w:b/>
          <w:color w:val="2D5F91"/>
          <w:sz w:val="20"/>
        </w:rPr>
        <w:t>17.    SUBSEQUENT EVENTS</w:t>
      </w:r>
    </w:p>
    <w:p>
      <w:pPr>
        <w:pStyle w:val="TextBody"/>
        <w:spacing w:lineRule="auto" w:line="268" w:before="200" w:after="283"/>
        <w:rPr>
          <w:rFonts w:ascii="Calibri;sans-serif" w:hAnsi="Calibri;sans-serif"/>
          <w:b/>
          <w:color w:val="000000"/>
          <w:sz w:val="20"/>
        </w:rPr>
      </w:pPr>
      <w:r>
        <w:rPr>
          <w:rFonts w:ascii="Calibri;sans-serif" w:hAnsi="Calibri;sans-serif"/>
          <w:b/>
          <w:color w:val="000000"/>
          <w:sz w:val="20"/>
        </w:rPr>
        <w:t>(a) ATM Program</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During the period from April 1, 2023 to June 27, 2023, the Company sold 8,533,269 Common Shares, at an average price of US$0.2896 per Common Share, for aggregate gross proceeds of US$2,471, through its ATM Program.</w:t>
      </w:r>
    </w:p>
    <w:p>
      <w:pPr>
        <w:pStyle w:val="TextBody"/>
        <w:spacing w:lineRule="auto" w:line="268" w:before="200" w:after="283"/>
        <w:rPr>
          <w:rFonts w:ascii="Calibri;sans-serif" w:hAnsi="Calibri;sans-serif"/>
          <w:b/>
          <w:color w:val="000000"/>
          <w:sz w:val="20"/>
        </w:rPr>
      </w:pPr>
      <w:r>
        <w:rPr>
          <w:rFonts w:ascii="Calibri;sans-serif" w:hAnsi="Calibri;sans-serif"/>
          <w:b/>
          <w:color w:val="000000"/>
          <w:sz w:val="20"/>
        </w:rPr>
        <w:t>(b) Common Share Purchase Agreement</w:t>
      </w:r>
    </w:p>
    <w:p>
      <w:pPr>
        <w:pStyle w:val="TextBody"/>
        <w:spacing w:lineRule="auto" w:line="288" w:before="200" w:after="283"/>
        <w:jc w:val="both"/>
        <w:rPr/>
      </w:pPr>
      <w:r>
        <w:rPr>
          <w:rFonts w:ascii="Calibri;sans-serif" w:hAnsi="Calibri;sans-serif"/>
          <w:b w:val="false"/>
          <w:color w:val="000000"/>
          <w:sz w:val="20"/>
        </w:rPr>
        <w:t>On May 30, 2023, the Company entered into a common share purchase agreement (the “</w:t>
      </w:r>
      <w:r>
        <w:rPr>
          <w:rFonts w:ascii="Calibri;sans-serif" w:hAnsi="Calibri;sans-serif"/>
          <w:b/>
          <w:color w:val="000000"/>
          <w:sz w:val="20"/>
        </w:rPr>
        <w:t>LPC Purchase Agreement</w:t>
      </w:r>
      <w:r>
        <w:rPr>
          <w:color w:val="000000"/>
        </w:rPr>
        <w:t>”</w:t>
      </w:r>
      <w:r>
        <w:rPr>
          <w:rFonts w:ascii="Calibri;sans-serif" w:hAnsi="Calibri;sans-serif"/>
          <w:b w:val="false"/>
          <w:color w:val="000000"/>
          <w:sz w:val="20"/>
        </w:rPr>
        <w:t>) with Lincoln Park Capital Fund, LLC (“</w:t>
      </w:r>
      <w:r>
        <w:rPr>
          <w:rFonts w:ascii="Calibri;sans-serif" w:hAnsi="Calibri;sans-serif"/>
          <w:b/>
          <w:color w:val="000000"/>
          <w:sz w:val="20"/>
        </w:rPr>
        <w:t>LPC</w:t>
      </w:r>
      <w:r>
        <w:rPr>
          <w:color w:val="000000"/>
        </w:rPr>
        <w:t>”</w:t>
      </w:r>
      <w:r>
        <w:rPr>
          <w:rFonts w:ascii="Calibri;sans-serif" w:hAnsi="Calibri;sans-serif"/>
          <w:b w:val="false"/>
          <w:color w:val="000000"/>
          <w:sz w:val="20"/>
        </w:rPr>
        <w:t>).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 During the period from May 30, 2023 to June 27, 2023, the Company sold 1,925,000 Common Shares, at an average price of US$0.2417 per Common Shares, for aggregate gross proceeds of US$465 pursuant to the LPC Purchase Agreement. As of June 27, 2023, Cybin is entitled to issue additional Common Shares for aggregate proceeds of up to US$29,535 under the LPC Purchase Agreement.</w:t>
      </w:r>
    </w:p>
    <w:p>
      <w:pPr>
        <w:pStyle w:val="TextBody"/>
        <w:spacing w:lineRule="auto" w:line="288" w:before="200" w:after="283"/>
        <w:jc w:val="both"/>
        <w:rPr>
          <w:rFonts w:ascii="Calibri;sans-serif" w:hAnsi="Calibri;sans-serif"/>
          <w:b w:val="false"/>
          <w:color w:val="000000"/>
          <w:sz w:val="20"/>
        </w:rPr>
      </w:pPr>
      <w:r>
        <w:rPr>
          <w:rFonts w:ascii="Calibri;sans-serif" w:hAnsi="Calibri;sans-serif"/>
          <w:b w:val="false"/>
          <w:color w:val="000000"/>
          <w:sz w:val="20"/>
        </w:rPr>
        <w:t>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2,538,844 Common Shares to LPC as a commitment fee on May 30, 2023. The Purchase Agreement provides that Cybin may not issue or sell any Common Shares to LPC under the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2"/>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692265" cy="154940"/>
                <wp:effectExtent l="0" t="0" r="0" b="0"/>
                <wp:wrapNone/>
                <wp:docPr id="168" name="Frame156"/>
                <a:graphic xmlns:a="http://schemas.openxmlformats.org/drawingml/2006/main">
                  <a:graphicData uri="http://schemas.microsoft.com/office/word/2010/wordprocessingShape">
                    <wps:wsp>
                      <wps:cNvSpPr txBox="1"/>
                      <wps:spPr>
                        <a:xfrm>
                          <a:off x="0" y="0"/>
                          <a:ext cx="6692265" cy="154940"/>
                        </a:xfrm>
                        <a:prstGeom prst="rect"/>
                      </wps:spPr>
                      <wps:txb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49 of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Page 49 of 49</w:t>
                      </w:r>
                    </w:p>
                  </w:txbxContent>
                </v:textbox>
              </v:rect>
            </w:pict>
          </mc:Fallback>
        </mc:AlternateContent>
      </w:r>
    </w:p>
    <w:p>
      <w:pPr>
        <w:pStyle w:val="TextBody"/>
        <w:spacing w:lineRule="auto" w:line="288" w:before="0" w:after="240"/>
        <w:jc w:val="both"/>
        <w:rPr>
          <w:color w:val="000000"/>
        </w:rPr>
      </w:pPr>
      <w:r>
        <w:rPr>
          <w:color w:val="000000"/>
        </w:rPr>
        <w:t>    </w:t>
      </w:r>
    </w:p>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pStyle w:val="TextBody"/>
        <w:spacing w:before="0" w:after="2"/>
        <w:jc w:val="center"/>
        <w:rPr/>
      </w:pPr>
      <w:r>
        <w:rPr/>
      </w:r>
    </w:p>
    <w:p>
      <w:pPr>
        <w:pStyle w:val="TextBody"/>
        <w:spacing w:before="0" w:after="2"/>
        <w:jc w:val="center"/>
        <w:rPr/>
      </w:pPr>
      <w:r>
        <w:rPr/>
      </w:r>
    </w:p>
    <w:p>
      <w:pPr>
        <w:pStyle w:val="TextBody"/>
        <w:spacing w:before="0" w:after="2"/>
        <w:jc w:val="center"/>
        <w:rPr/>
      </w:pPr>
      <w:r>
        <w:rPr/>
      </w:r>
    </w:p>
    <w:p>
      <w:pPr>
        <w:pStyle w:val="TextBody"/>
        <w:spacing w:before="0" w:after="2"/>
        <w:jc w:val="center"/>
        <w:rPr/>
      </w:pPr>
      <w:r>
        <w:rPr/>
      </w:r>
    </w:p>
    <w:p>
      <w:pPr>
        <w:pStyle w:val="TextBody"/>
        <w:spacing w:before="0" w:after="2"/>
        <w:jc w:val="center"/>
        <w:rPr/>
      </w:pPr>
      <w:r>
        <w:rPr/>
      </w:r>
    </w:p>
    <w:p>
      <w:pPr>
        <w:pStyle w:val="TextBody"/>
        <w:spacing w:before="0" w:after="2"/>
        <w:jc w:val="center"/>
        <w:rPr/>
      </w:pPr>
      <w:r>
        <w:rPr/>
      </w:r>
    </w:p>
    <w:p>
      <w:pPr>
        <w:pStyle w:val="TextBody"/>
        <w:spacing w:before="0" w:after="2"/>
        <w:jc w:val="center"/>
        <w:rPr/>
      </w:pPr>
      <w:r>
        <w:rPr/>
        <w:drawing>
          <wp:inline distT="0" distB="63500" distL="0" distR="0">
            <wp:extent cx="1619250" cy="942975"/>
            <wp:effectExtent l="0" t="0" r="0" b="0"/>
            <wp:docPr id="16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 descr=""/>
                    <pic:cNvPicPr>
                      <a:picLocks noChangeAspect="1" noChangeArrowheads="1"/>
                    </pic:cNvPicPr>
                  </pic:nvPicPr>
                  <pic:blipFill>
                    <a:blip r:embed="rId13"/>
                    <a:stretch>
                      <a:fillRect/>
                    </a:stretch>
                  </pic:blipFill>
                  <pic:spPr bwMode="auto">
                    <a:xfrm>
                      <a:off x="0" y="0"/>
                      <a:ext cx="1619250" cy="942975"/>
                    </a:xfrm>
                    <a:prstGeom prst="rect">
                      <a:avLst/>
                    </a:prstGeom>
                  </pic:spPr>
                </pic:pic>
              </a:graphicData>
            </a:graphic>
          </wp:inline>
        </w:drawing>
      </w:r>
    </w:p>
    <w:p>
      <w:pPr>
        <w:pStyle w:val="TextBody"/>
        <w:spacing w:before="0" w:after="2"/>
        <w:jc w:val="center"/>
        <w:rPr/>
      </w:pPr>
      <w:r>
        <w:rPr/>
      </w:r>
    </w:p>
    <w:p>
      <w:pPr>
        <w:pStyle w:val="TextBody"/>
        <w:spacing w:before="0" w:after="2"/>
        <w:jc w:val="center"/>
        <w:rPr/>
      </w:pPr>
      <w:r>
        <w:rPr/>
      </w:r>
    </w:p>
    <w:p>
      <w:pPr>
        <w:pStyle w:val="TextBody"/>
        <w:spacing w:before="0" w:after="2"/>
        <w:jc w:val="center"/>
        <w:rPr/>
      </w:pPr>
      <w:r>
        <w:rPr/>
      </w:r>
    </w:p>
    <w:p>
      <w:pPr>
        <w:pStyle w:val="TextBody"/>
        <w:spacing w:lineRule="auto" w:line="288" w:before="0" w:after="240"/>
        <w:jc w:val="center"/>
        <w:rPr/>
      </w:pPr>
      <w:r>
        <w:rPr>
          <w:rFonts w:ascii="Times New Roman;sans-serif" w:hAnsi="Times New Roman;sans-serif"/>
          <w:b/>
          <w:color w:val="000000"/>
          <w:sz w:val="22"/>
        </w:rPr>
        <w:t>Cybin Inc.</w:t>
      </w:r>
      <w:r>
        <w:rPr>
          <w:color w:val="000000"/>
        </w:rPr>
        <w:t xml:space="preserve"> </w:t>
      </w:r>
    </w:p>
    <w:p>
      <w:pPr>
        <w:pStyle w:val="TextBody"/>
        <w:spacing w:lineRule="auto" w:line="288" w:before="0" w:after="2"/>
        <w:jc w:val="center"/>
        <w:rPr/>
      </w:pPr>
      <w:r>
        <w:rPr>
          <w:rFonts w:ascii="Times New Roman;sans-serif" w:hAnsi="Times New Roman;sans-serif"/>
          <w:b w:val="false"/>
          <w:color w:val="000000"/>
          <w:sz w:val="24"/>
        </w:rPr>
        <w:br/>
      </w:r>
      <w:r>
        <w:rPr>
          <w:rFonts w:ascii="Times New Roman;sans-serif" w:hAnsi="Times New Roman;sans-serif"/>
          <w:b w:val="false"/>
          <w:color w:val="000000"/>
          <w:sz w:val="22"/>
        </w:rPr>
        <w:t xml:space="preserve">Management’s Discussion and Analysis </w:t>
      </w:r>
    </w:p>
    <w:p>
      <w:pPr>
        <w:pStyle w:val="TextBody"/>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of Financial Condition and Operating Performance</w:t>
      </w:r>
    </w:p>
    <w:p>
      <w:pPr>
        <w:pStyle w:val="TextBody"/>
        <w:spacing w:lineRule="auto" w:line="288"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For the year ended March 31, 2023</w:t>
      </w:r>
    </w:p>
    <w:p>
      <w:pPr>
        <w:pStyle w:val="TextBody"/>
        <w:spacing w:before="0" w:after="2"/>
        <w:jc w:val="center"/>
        <w:rPr/>
      </w:pPr>
      <w:r>
        <w:rPr/>
      </w:r>
    </w:p>
    <w:p>
      <w:pPr>
        <w:pStyle w:val="TextBody"/>
        <w:spacing w:lineRule="auto" w:line="288" w:before="0" w:after="240"/>
        <w:jc w:val="center"/>
        <w:rPr/>
      </w:pPr>
      <w:r>
        <w:rPr>
          <w:rFonts w:ascii="Times New Roman;sans-serif" w:hAnsi="Times New Roman;sans-serif"/>
          <w:b w:val="false"/>
          <w:color w:val="000000"/>
          <w:sz w:val="22"/>
        </w:rPr>
        <w:t>Date: June 27, 2023</w:t>
      </w:r>
      <w:r>
        <w:rPr>
          <w:color w:val="000000"/>
        </w:rPr>
        <w:t xml:space="preserve"> </w:t>
      </w:r>
    </w:p>
    <w:p>
      <w:pPr>
        <w:pStyle w:val="TextBody"/>
        <w:spacing w:before="0" w:after="240"/>
        <w:jc w:val="center"/>
        <w:rPr/>
      </w:pPr>
      <w:r>
        <w:rPr/>
      </w:r>
    </w:p>
    <w:p>
      <w:pPr>
        <w:pStyle w:val="TextBody"/>
        <w:spacing w:before="0" w:after="240"/>
        <w:jc w:val="both"/>
        <w:rPr/>
      </w:pPr>
      <w:r>
        <w:rPr/>
      </w:r>
    </w:p>
    <w:p>
      <w:pPr>
        <w:pStyle w:val="TextBody"/>
        <w:spacing w:before="0" w:after="240"/>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692265" cy="175260"/>
                <wp:effectExtent l="0" t="0" r="0" b="0"/>
                <wp:wrapNone/>
                <wp:docPr id="170" name="Frame15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jc w:val="both"/>
                        <w:rPr/>
                      </w:pPr>
                      <w:r>
                        <w:rPr/>
                      </w:r>
                    </w:p>
                  </w:txbxContent>
                </v:textbox>
              </v:rect>
            </w:pict>
          </mc:Fallback>
        </mc:AlternateContent>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CYBIN INC.</w:t>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Management’s Discussion and Analysis</w:t>
      </w:r>
    </w:p>
    <w:p>
      <w:pPr>
        <w:pStyle w:val="TextBody"/>
        <w:spacing w:lineRule="auto" w:line="288" w:before="0" w:after="2"/>
        <w:jc w:val="both"/>
        <w:rPr/>
      </w:pPr>
      <w:r>
        <w:rPr>
          <w:rFonts w:ascii="Times New Roman;sans-serif" w:hAnsi="Times New Roman;sans-serif"/>
          <w:b w:val="false"/>
          <w:color w:val="000000"/>
          <w:sz w:val="22"/>
        </w:rPr>
        <w:t>This Management’s Discussion and Analysis (“MD&amp;A”) has been prepared by management of Cybin Inc. (“Cybin” or the “Company”) and should be read in conjunction with Cybin’s audited consolidated financial statements and notes as at and for the year ended March 31, 2023 (the “Financial Statements”). This MD&amp;A does not address all of the changes to the Company and its business, such changes are addressed in the Company’s most recently filed annual information form (the “AIF”) on SEDAR. The Financial Statements have been prepared using International Financial Reporting Standards ("IFRS") as issued by the International Accounting Standards Board. All amounts are in Canadian dollars unless otherwise indicated. The Financial Statements may be viewed on the SEDAR profile of Cybin at</w:t>
      </w:r>
      <w:r>
        <w:rPr>
          <w:color w:val="3051F2"/>
          <w:u w:val="single"/>
        </w:rPr>
        <w:t xml:space="preserve"> </w:t>
      </w:r>
      <w:r>
        <w:rPr>
          <w:rFonts w:ascii="Times New Roman;sans-serif" w:hAnsi="Times New Roman;sans-serif"/>
          <w:b w:val="false"/>
          <w:i/>
          <w:color w:val="3051F2"/>
          <w:sz w:val="22"/>
          <w:u w:val="single"/>
        </w:rPr>
        <w:t>www.sedar.com.</w:t>
      </w:r>
    </w:p>
    <w:p>
      <w:pPr>
        <w:pStyle w:val="TextBody"/>
        <w:spacing w:before="0" w:after="0"/>
        <w:jc w:val="both"/>
        <w:rPr/>
      </w:pPr>
      <w:r>
        <w:rPr/>
      </w:r>
    </w:p>
    <w:p>
      <w:pPr>
        <w:pStyle w:val="TextBody"/>
        <w:spacing w:lineRule="auto" w:line="288" w:before="0" w:after="240"/>
        <w:jc w:val="both"/>
        <w:rPr/>
      </w:pPr>
      <w:r>
        <w:rPr>
          <w:rFonts w:ascii="Times New Roman;sans-serif" w:hAnsi="Times New Roman;sans-serif"/>
          <w:b w:val="false"/>
          <w:color w:val="000000"/>
          <w:sz w:val="22"/>
        </w:rPr>
        <w:t>This MD&amp;A contains disclosure related to Cybin occurring up to and including June 27, 2023. Unless otherwise indicated, all amounts in this MD&amp;A are in thousands of Canadian dollars.</w:t>
      </w:r>
      <w:r>
        <w:rPr>
          <w:color w:val="000000"/>
        </w:rPr>
        <w:t xml:space="preserve"> </w:t>
      </w:r>
    </w:p>
    <w:p>
      <w:pPr>
        <w:pStyle w:val="TextBody"/>
        <w:spacing w:lineRule="auto" w:line="288" w:before="0" w:after="240"/>
        <w:jc w:val="both"/>
        <w:rPr/>
      </w:pPr>
      <w:r>
        <w:rPr>
          <w:rFonts w:ascii="Times New Roman;sans-serif" w:hAnsi="Times New Roman;sans-serif"/>
          <w:b w:val="false"/>
          <w:color w:val="000000"/>
          <w:sz w:val="22"/>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sans-serif" w:hAnsi="Times New Roman;sans-serif"/>
          <w:b/>
          <w:color w:val="000000"/>
          <w:sz w:val="22"/>
        </w:rPr>
        <w:t>SubCo</w:t>
      </w:r>
      <w:r>
        <w:rPr>
          <w:color w:val="000000"/>
        </w:rPr>
        <w:t>”</w:t>
      </w:r>
      <w:r>
        <w:rPr>
          <w:rFonts w:ascii="Times New Roman;sans-serif" w:hAnsi="Times New Roman;sans-serif"/>
          <w:b w:val="false"/>
          <w:color w:val="000000"/>
          <w:sz w:val="22"/>
        </w:rPr>
        <w:t>), a wholly-owned subsidiary of the Company (the “</w:t>
      </w:r>
      <w:r>
        <w:rPr>
          <w:rFonts w:ascii="Times New Roman;sans-serif" w:hAnsi="Times New Roman;sans-serif"/>
          <w:b/>
          <w:color w:val="000000"/>
          <w:sz w:val="22"/>
        </w:rPr>
        <w:t>Reverse Takeover</w:t>
      </w:r>
      <w:r>
        <w:rPr>
          <w:color w:val="000000"/>
        </w:rPr>
        <w:t>”</w:t>
      </w:r>
      <w:r>
        <w:rPr>
          <w:rFonts w:ascii="Times New Roman;sans-serif" w:hAnsi="Times New Roman;sans-serif"/>
          <w:b w:val="false"/>
          <w:color w:val="000000"/>
          <w:sz w:val="22"/>
        </w:rPr>
        <w:t xml:space="preserve">). The Reverse Takeover was completed by way of a “three-cornered” amalgamation pursuant to the provisions of the </w:t>
      </w:r>
      <w:r>
        <w:rPr>
          <w:rFonts w:ascii="Times New Roman;sans-serif" w:hAnsi="Times New Roman;sans-serif"/>
          <w:b w:val="false"/>
          <w:i/>
          <w:color w:val="000000"/>
          <w:sz w:val="22"/>
        </w:rPr>
        <w:t xml:space="preserve">Business Corporations Act </w:t>
      </w:r>
      <w:r>
        <w:rPr>
          <w:rFonts w:ascii="Times New Roman;sans-serif" w:hAnsi="Times New Roman;sans-serif"/>
          <w:b w:val="false"/>
          <w:color w:val="000000"/>
          <w:sz w:val="22"/>
        </w:rPr>
        <w:t>(Ontario)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 </w:t>
      </w:r>
    </w:p>
    <w:p>
      <w:pPr>
        <w:pStyle w:val="TextBody"/>
        <w:spacing w:lineRule="auto" w:line="288" w:before="0" w:after="240"/>
        <w:jc w:val="both"/>
        <w:rPr/>
      </w:pPr>
      <w:r>
        <w:rPr>
          <w:rFonts w:ascii="Times New Roman;sans-serif" w:hAnsi="Times New Roman;sans-serif"/>
          <w:b w:val="false"/>
          <w:color w:val="000000"/>
          <w:sz w:val="22"/>
        </w:rPr>
        <w:t>Some of the risks which could affect future results and could cause results to differ materially from those expressed in the forward-looking statements contained herein include:</w:t>
      </w:r>
      <w:r>
        <w:rPr>
          <w:color w:val="000000"/>
        </w:rPr>
        <w:t xml:space="preserve"> </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2"/>
        </w:rPr>
        <w:t>novel coronavirus “COVID-19”;</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2"/>
        </w:rPr>
        <w:t>limited operating history;</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2"/>
        </w:rPr>
        <w:t>achieving publicly announced milestones;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2"/>
        </w:rPr>
        <w:t>speculative nature of investment risk;</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2"/>
        </w:rPr>
        <w:t>early stage of the industry and product development;</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2"/>
        </w:rPr>
        <w:t>regulatory risks and uncertainties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2"/>
        </w:rPr>
        <w:t>risks of operating in European countries;</w:t>
      </w:r>
    </w:p>
    <w:p>
      <w:pPr>
        <w:pStyle w:val="TextBody"/>
        <w:spacing w:lineRule="auto" w:line="288" w:before="0" w:after="2"/>
        <w:ind w:left="0" w:right="0" w:hanging="720"/>
        <w:jc w:val="both"/>
        <w:rPr/>
      </w:pPr>
      <w:r>
        <w:rPr>
          <w:color w:val="000000"/>
        </w:rPr>
        <w:t>•“</w:t>
      </w:r>
      <w:r>
        <w:rPr>
          <w:rFonts w:ascii="Times New Roman;sans-serif" w:hAnsi="Times New Roman;sans-serif"/>
          <w:b w:val="false"/>
          <w:color w:val="000000"/>
          <w:sz w:val="22"/>
        </w:rPr>
        <w:t>foreign private issuer” status under the U.S. Securities Laws;</w:t>
      </w:r>
    </w:p>
    <w:p>
      <w:pPr>
        <w:pStyle w:val="TextBody"/>
        <w:spacing w:lineRule="auto" w:line="288" w:before="0" w:after="2"/>
        <w:ind w:left="0" w:right="0" w:hanging="720"/>
        <w:jc w:val="both"/>
        <w:rPr/>
      </w:pPr>
      <w:r>
        <w:rPr>
          <w:color w:val="000000"/>
        </w:rPr>
        <w:t>•</w:t>
      </w:r>
      <w:r>
        <w:rPr>
          <w:rFonts w:ascii="Times New Roman;sans-serif" w:hAnsi="Times New Roman;sans-serif"/>
          <w:b w:val="false"/>
          <w:color w:val="000000"/>
          <w:sz w:val="22"/>
        </w:rPr>
        <w:t>plans for growth;</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692265" cy="160655"/>
                <wp:effectExtent l="0" t="0" r="0" b="0"/>
                <wp:wrapNone/>
                <wp:docPr id="171" name="Frame158"/>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2"/>
        </w:rPr>
        <w:t>limited products;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limited marketing and sales capabilities;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no assurance of commercial success;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no profits or significant revenues;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reliance on third parties for clinical development activities;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risks related to third party relationships;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reliance on contract manufacturers;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safety and efficacy of products;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clinical testing and commercializing products;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completion of clinical trials;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commercial grade product manufacturing;</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nature of regulatory approvals;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unfavourable publicity or consumer perception;</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social media;</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biotechnology and pharmaceutical market competition;</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reliance on key executives and scientists;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employee misconduct;</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business expansion and growth;</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negative results of external clinical trials or studies;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product liability;</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enforcing contracts;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product recalls;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distribution and supply chain interruption;</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difficulty to forecast;</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promoting the brand;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product viability;</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success of quality control systems;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reliance on key inputs;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liability arising from fraudulent or illegal activity;</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operating risk and insurance coverage;</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costs of operating as public company;</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management of growth;</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conflicts of interest;</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foreign operations;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cybersecurity and privacy risk;</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environmental regulation and risks;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 xml:space="preserve">decriminalisation of psychedelics;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forward-looking statements may prove to be inaccurate;</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 xml:space="preserve">effects of inflation;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political and economic conditions;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application and interpretation of tax laws;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enforcement of civil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Intellectual Property:</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trademark protection;</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trade secrets;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patent law reform;</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patent litigation and intellectual property;</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protection of intellectual property;</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third-party licences;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Financial and Accounting Risks: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substantial number of authorized but unissued Common Shares (as defined herein);</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dilution;</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negative cash flow from operating activities;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additional capital requirements;</w:t>
      </w:r>
    </w:p>
    <w:p>
      <w:pPr>
        <w:pStyle w:val="TextBody"/>
        <w:spacing w:lineRule="auto" w:line="288"/>
        <w:ind w:left="0" w:right="0" w:hanging="720"/>
        <w:rPr/>
      </w:pPr>
      <w:r>
        <w:rPr>
          <w:color w:val="000000"/>
        </w:rPr>
        <w:t>•</w:t>
      </w:r>
      <w:r>
        <w:rPr>
          <w:rFonts w:ascii="Times New Roman;sans-serif" w:hAnsi="Times New Roman;sans-serif"/>
          <w:b w:val="false"/>
          <w:color w:val="000000"/>
          <w:sz w:val="22"/>
        </w:rPr>
        <w:t>lack of significant product revenue;</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692265" cy="160655"/>
                <wp:effectExtent l="0" t="0" r="0" b="0"/>
                <wp:wrapNone/>
                <wp:docPr id="172" name="Frame159"/>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estimates or judgments relating to critical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Risks related to the Common Shares: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market for the Common Shares;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significant sales of Common Shares;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volatile market price for the Common Shares;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tax issues;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2"/>
        </w:rPr>
        <w:t>no dividends.</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 </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substantial fluctuation of losses from quarter to quarter and year to year due to numerous external risk factors, and anticipation that we will continue to incur significant losses in the future;</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uncertainty as to the Company’s ability to raise additional funding to support operations;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 xml:space="preserve">the Company’s ability to access additional funding; </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fluctuation of foreign exchange rates;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duration of COVID-19 and the extent of its economic and social impact;</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risks associated with the development of the Company’s product candidates which are at early stages of development;</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reliance upon industry publications as the Company’s primary sources for third-party industry data and forecasts;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reliance on third parties to plan, conduct and monitor the Company’s preclinical studies and clinical trials;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reliance on third party contract manufacturers to deliver quality clinical and preclinical materials;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Company’s product candidates may fail to demonstrate safety and efficacy to the satisfaction of regulatory authorities or may not otherwise produce positive results;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risks related to filing investigational new drug applications to commence clinical trials and to continue clinical trials if approved;</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risks of delays and inability to complete clinical trials due to difficulties enrolling patients;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competition from other biotechnology and pharmaceutical companies;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Company’s reliance on the capabilities and experience of the Company’s key executives and scientists and the resulting loss of any of these individuals;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Company’s ability to fully realize the benefits of acquisitions;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Company’s ability to adequately protect the Company’s intellectual property and trade secrets;</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risk of patent-related or other litigation; and</w:t>
      </w:r>
    </w:p>
    <w:p>
      <w:pPr>
        <w:pStyle w:val="TextBody"/>
        <w:spacing w:lineRule="auto" w:line="288" w:before="0" w:after="0"/>
        <w:ind w:left="0" w:right="0" w:hanging="357"/>
        <w:jc w:val="both"/>
        <w:rPr/>
      </w:pPr>
      <w:r>
        <w:rPr>
          <w:color w:val="000000"/>
        </w:rPr>
        <w:t>•</w:t>
      </w:r>
      <w:r>
        <w:rPr>
          <w:rFonts w:ascii="Times New Roman;sans-serif" w:hAnsi="Times New Roman;sans-serif"/>
          <w:b w:val="false"/>
          <w:color w:val="000000"/>
          <w:sz w:val="22"/>
        </w:rPr>
        <w:t>the risk of unforeseen changes to the laws or regulations in the United States (the “</w:t>
      </w:r>
      <w:r>
        <w:rPr>
          <w:rFonts w:ascii="Times New Roman;sans-serif" w:hAnsi="Times New Roman;sans-serif"/>
          <w:b/>
          <w:color w:val="000000"/>
          <w:sz w:val="22"/>
        </w:rPr>
        <w:t>United States</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U.S.</w:t>
      </w:r>
      <w:r>
        <w:rPr>
          <w:color w:val="000000"/>
        </w:rPr>
        <w:t>”</w:t>
      </w:r>
      <w:r>
        <w:rPr>
          <w:rFonts w:ascii="Times New Roman;sans-serif" w:hAnsi="Times New Roman;sans-serif"/>
          <w:b w:val="false"/>
          <w:color w:val="000000"/>
          <w:sz w:val="22"/>
        </w:rPr>
        <w:t>), the United Kingdom (the “</w:t>
      </w:r>
      <w:r>
        <w:rPr>
          <w:rFonts w:ascii="Times New Roman;sans-serif" w:hAnsi="Times New Roman;sans-serif"/>
          <w:b/>
          <w:color w:val="000000"/>
          <w:sz w:val="22"/>
        </w:rPr>
        <w:t>United Kingdom</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UK</w:t>
      </w:r>
      <w:r>
        <w:rPr>
          <w:color w:val="000000"/>
        </w:rPr>
        <w:t>”</w:t>
      </w:r>
      <w:r>
        <w:rPr>
          <w:rFonts w:ascii="Times New Roman;sans-serif" w:hAnsi="Times New Roman;sans-serif"/>
          <w:b w:val="false"/>
          <w:color w:val="000000"/>
          <w:sz w:val="22"/>
        </w:rPr>
        <w:t>), Canada, the Netherlands, Ireland and other jurisdictions in which the Company operates.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692265" cy="160655"/>
                <wp:effectExtent l="0" t="0" r="0" b="0"/>
                <wp:wrapNone/>
                <wp:docPr id="173" name="Frame16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risks that cause actions, events or results not to be anticipated, estimated or intended. Accordingly, readers should not place any undue reliance on forward-looking statements.</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Corporate Structure Overview</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a clinical-stage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pStyle w:val="TextBody"/>
        <w:spacing w:lineRule="auto" w:line="288" w:before="0" w:after="0"/>
        <w:jc w:val="both"/>
        <w:rPr/>
      </w:pPr>
      <w:r>
        <w:rPr>
          <w:rFonts w:ascii="Times New Roman;sans-serif" w:hAnsi="Times New Roman;sans-serif"/>
          <w:b w:val="false"/>
          <w:color w:val="000000"/>
          <w:sz w:val="22"/>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sans-serif" w:hAnsi="Times New Roman;sans-serif"/>
          <w:b w:val="false"/>
          <w:i/>
          <w:color w:val="000000"/>
          <w:sz w:val="22"/>
        </w:rPr>
        <w:t xml:space="preserve">Business Corporations Act </w:t>
      </w:r>
      <w:r>
        <w:rPr>
          <w:rFonts w:ascii="Times New Roman;sans-serif" w:hAnsi="Times New Roman;sans-serif"/>
          <w:b w:val="false"/>
          <w:color w:val="000000"/>
          <w:sz w:val="22"/>
        </w:rPr>
        <w:t xml:space="preserve">(Ontario) whereby Cybin Corp. amalgamated with SubCo to form an amalgamated corporation and a wholly owned subsidiary of the Company.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Immediately prior to the completion of the Reverse Takeover, the Company completed a consolidation of all of its issued and outstanding common shares (the “</w:t>
      </w:r>
      <w:r>
        <w:rPr>
          <w:rFonts w:ascii="Times New Roman;sans-serif" w:hAnsi="Times New Roman;sans-serif"/>
          <w:b/>
          <w:color w:val="000000"/>
          <w:sz w:val="22"/>
        </w:rPr>
        <w:t>Common Shares</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on the basis of 6.672 old Common Shares into one new Common Share. All Common Share and per Common Share amounts expressed herein reflect the post-consolidation Common Shares.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In connection with the Reverse Takeover, Clarmin Explorations Inc. (“</w:t>
      </w:r>
      <w:r>
        <w:rPr>
          <w:rFonts w:ascii="Times New Roman;sans-serif" w:hAnsi="Times New Roman;sans-serif"/>
          <w:b/>
          <w:color w:val="000000"/>
          <w:sz w:val="22"/>
        </w:rPr>
        <w:t>Clarmin</w:t>
      </w:r>
      <w:r>
        <w:rPr>
          <w:color w:val="000000"/>
        </w:rPr>
        <w:t>”</w:t>
      </w:r>
      <w:r>
        <w:rPr>
          <w:rFonts w:ascii="Times New Roman;sans-serif" w:hAnsi="Times New Roman;sans-serif"/>
          <w:b w:val="false"/>
          <w:color w:val="000000"/>
          <w:sz w:val="22"/>
        </w:rPr>
        <w:t>) changed its name to “Cybin Inc.” and the Common Shares became listed for trading on the Neo Exchange Inc. (the “</w:t>
      </w:r>
      <w:r>
        <w:rPr>
          <w:rFonts w:ascii="Times New Roman;sans-serif" w:hAnsi="Times New Roman;sans-serif"/>
          <w:b/>
          <w:color w:val="000000"/>
          <w:sz w:val="22"/>
        </w:rPr>
        <w:t>Exchange</w:t>
      </w:r>
      <w:r>
        <w:rPr>
          <w:color w:val="000000"/>
        </w:rPr>
        <w:t>”</w:t>
      </w:r>
      <w:r>
        <w:rPr>
          <w:rFonts w:ascii="Times New Roman;sans-serif" w:hAnsi="Times New Roman;sans-serif"/>
          <w:b w:val="false"/>
          <w:color w:val="000000"/>
          <w:sz w:val="22"/>
        </w:rPr>
        <w:t xml:space="preserve">) under the trading symbol “CYBN”. In accordance with IFRS 3, </w:t>
      </w:r>
      <w:r>
        <w:rPr>
          <w:rFonts w:ascii="Times New Roman;sans-serif" w:hAnsi="Times New Roman;sans-serif"/>
          <w:b w:val="false"/>
          <w:i/>
          <w:color w:val="000000"/>
          <w:sz w:val="22"/>
        </w:rPr>
        <w:t>Business Combinations</w:t>
      </w:r>
      <w:r>
        <w:rPr>
          <w:rFonts w:ascii="Times New Roman;sans-serif" w:hAnsi="Times New Roman;sans-serif"/>
          <w:b w:val="false"/>
          <w:color w:val="000000"/>
          <w:sz w:val="22"/>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consolidated statement of financial position is presented as a continuation of Cybin Corp. and comparative figures presented in the consolidated financial statements after the Reverse Takeover are those of Cybin Corp.</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completing the Reverse Takeover, and during fiscal 2020, the Company was inactive and evaluating business opportunities.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sans-serif" w:hAnsi="Times New Roman;sans-serif"/>
          <w:b/>
          <w:color w:val="000000"/>
          <w:sz w:val="22"/>
        </w:rPr>
        <w:t>Cybin Ireland</w:t>
      </w:r>
      <w:r>
        <w:rPr>
          <w:color w:val="000000"/>
        </w:rPr>
        <w:t>”</w:t>
      </w:r>
      <w:r>
        <w:rPr>
          <w:rFonts w:ascii="Times New Roman;sans-serif" w:hAnsi="Times New Roman;sans-serif"/>
          <w:b w:val="false"/>
          <w:color w:val="000000"/>
          <w:sz w:val="22"/>
        </w:rPr>
        <w:t xml:space="preserve">). </w:t>
      </w:r>
    </w:p>
    <w:p>
      <w:pPr>
        <w:pStyle w:val="TextBody"/>
        <w:spacing w:before="0" w:after="2"/>
        <w:jc w:val="both"/>
        <w:rPr/>
      </w:pPr>
      <w:r>
        <w:rPr/>
      </w:r>
    </w:p>
    <w:p>
      <w:pPr>
        <w:pStyle w:val="TextBody"/>
        <w:spacing w:lineRule="auto" w:line="288" w:before="0" w:after="240"/>
        <w:jc w:val="both"/>
        <w:rPr/>
      </w:pPr>
      <w:r>
        <w:rPr>
          <w:rFonts w:ascii="Times New Roman;sans-serif" w:hAnsi="Times New Roman;sans-serif"/>
          <w:b w:val="false"/>
          <w:color w:val="000000"/>
          <w:sz w:val="22"/>
        </w:rPr>
        <w:t>On August 5, 2021, the Common Shares commenced trading on the NYSE American LLC stock exchange (the “</w:t>
      </w:r>
      <w:r>
        <w:rPr>
          <w:rFonts w:ascii="Times New Roman;sans-serif" w:hAnsi="Times New Roman;sans-serif"/>
          <w:b/>
          <w:color w:val="000000"/>
          <w:sz w:val="22"/>
        </w:rPr>
        <w:t>NYSE American</w:t>
      </w:r>
      <w:r>
        <w:rPr>
          <w:color w:val="000000"/>
        </w:rPr>
        <w:t>”</w:t>
      </w:r>
      <w:r>
        <w:rPr>
          <w:rFonts w:ascii="Times New Roman;sans-serif" w:hAnsi="Times New Roman;sans-serif"/>
          <w:b w:val="false"/>
          <w:color w:val="000000"/>
          <w:sz w:val="22"/>
        </w:rPr>
        <w:t xml:space="preserve">) under the symbol “CYBN”. Concurrent with the commencement of trading on the NYSE American, the Common Shares ceased to be quoted on the OTCQB® Venture Market. </w:t>
      </w:r>
    </w:p>
    <w:p>
      <w:pPr>
        <w:pStyle w:val="TextBody"/>
        <w:spacing w:lineRule="auto" w:line="288" w:before="0" w:after="2"/>
        <w:jc w:val="both"/>
        <w:rPr/>
      </w:pPr>
      <w:r>
        <w:rPr>
          <w:rFonts w:ascii="Times New Roman;sans-serif" w:hAnsi="Times New Roman;sans-serif"/>
          <w:b w:val="false"/>
          <w:color w:val="000000"/>
          <w:sz w:val="22"/>
        </w:rPr>
        <w:t xml:space="preserve">Please refer to “General Development of the Business” in the AIF for additional information on the background and operational highlights of Cybin. The AIF may be viewed under the SEDAR profile of Cybin at </w:t>
      </w:r>
      <w:r>
        <w:rPr>
          <w:rFonts w:ascii="Times New Roman;sans-serif" w:hAnsi="Times New Roman;sans-serif"/>
          <w:b w:val="false"/>
          <w:i/>
          <w:color w:val="0563C1"/>
          <w:sz w:val="22"/>
          <w:u w:val="single"/>
        </w:rPr>
        <w:t>www.sedar.com</w:t>
      </w:r>
      <w:r>
        <w:rPr>
          <w:rFonts w:ascii="Times New Roman;sans-serif" w:hAnsi="Times New Roman;sans-serif"/>
          <w:b w:val="false"/>
          <w:color w:val="000000"/>
          <w:sz w:val="22"/>
        </w:rPr>
        <w:t>.</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Business Overview</w:t>
      </w:r>
    </w:p>
    <w:p>
      <w:pPr>
        <w:pStyle w:val="TextBody"/>
        <w:spacing w:before="0" w:after="0"/>
        <w:jc w:val="both"/>
        <w:rPr/>
      </w:pPr>
      <w:r>
        <w:rPr/>
      </w:r>
    </w:p>
    <w:p>
      <w:pPr>
        <w:pStyle w:val="TextBody"/>
        <w:spacing w:lineRule="auto" w:line="25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is a clinical-stage biopharmaceutical company on a mission to create safe and effective psychedelic-based therapeutics to address the unmet need for new and innovative treatment options for people who suffer from mental health conditions. Cybin’s goal of revolutionizing mental healthcare is supported by a network of world-class partners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692265" cy="160655"/>
                <wp:effectExtent l="0" t="0" r="0" b="0"/>
                <wp:wrapNone/>
                <wp:docPr id="174" name="Frame16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56" w:before="0" w:after="0"/>
        <w:jc w:val="both"/>
        <w:rPr/>
      </w:pPr>
      <w:r>
        <w:rPr>
          <w:rFonts w:ascii="Times New Roman;sans-serif" w:hAnsi="Times New Roman;sans-serif"/>
          <w:b w:val="false"/>
          <w:color w:val="000000"/>
          <w:sz w:val="22"/>
        </w:rPr>
        <w:t>and internationally recognized scientists aimed at progressing proprietary drug discovery platforms, innovative drug delivery systems, and novel formulation approaches and treatment regimens.</w:t>
      </w:r>
      <w:r>
        <w:rPr>
          <w:rFonts w:ascii="Times New Roman;sans-serif" w:hAnsi="Times New Roman;sans-serif"/>
          <w:b w:val="false"/>
          <w:color w:val="000000"/>
          <w:sz w:val="14"/>
        </w:rPr>
        <w:t>1</w:t>
      </w:r>
      <w:r>
        <w:rPr>
          <w:color w:val="000000"/>
        </w:rPr>
        <w:t xml:space="preserve"> </w:t>
      </w:r>
    </w:p>
    <w:p>
      <w:pPr>
        <w:pStyle w:val="TextBody"/>
        <w:spacing w:before="0" w:after="0"/>
        <w:jc w:val="both"/>
        <w:rPr/>
      </w:pPr>
      <w:r>
        <w:rPr/>
      </w:r>
    </w:p>
    <w:p>
      <w:pPr>
        <w:pStyle w:val="TextBody"/>
        <w:spacing w:lineRule="auto" w:line="268" w:before="0" w:after="0"/>
        <w:rPr/>
      </w:pPr>
      <w:r>
        <w:rPr>
          <w:rFonts w:ascii="Times New Roman;sans-serif" w:hAnsi="Times New Roman;sans-serif"/>
          <w:b w:val="false"/>
          <w:color w:val="000000"/>
          <w:sz w:val="22"/>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sans-serif" w:hAnsi="Times New Roman;sans-serif"/>
          <w:b/>
          <w:color w:val="000000"/>
          <w:sz w:val="22"/>
        </w:rPr>
        <w:t>IP"</w:t>
      </w:r>
      <w:r>
        <w:rPr>
          <w:rFonts w:ascii="Times New Roman;sans-serif" w:hAnsi="Times New Roman;sans-serif"/>
          <w:b w:val="false"/>
          <w:color w:val="000000"/>
          <w:sz w:val="22"/>
        </w:rPr>
        <w:t>) focused on developing the Company’s platform technology, the progression of clinical development programs including CYB003, a deuterated psilocybin analog, CYB004, a deuterated version of N, N-dimethyltryptamine (“</w:t>
      </w:r>
      <w:r>
        <w:rPr>
          <w:rFonts w:ascii="Times New Roman;sans-serif" w:hAnsi="Times New Roman;sans-serif"/>
          <w:b/>
          <w:color w:val="000000"/>
          <w:sz w:val="24"/>
        </w:rPr>
        <w:t>DMT</w:t>
      </w:r>
      <w:r>
        <w:rPr>
          <w:color w:val="000000"/>
        </w:rPr>
        <w:t>”</w:t>
      </w:r>
      <w:r>
        <w:rPr>
          <w:rFonts w:ascii="Times New Roman;sans-serif" w:hAnsi="Times New Roman;sans-serif"/>
          <w:b w:val="false"/>
          <w:color w:val="000000"/>
          <w:sz w:val="22"/>
        </w:rPr>
        <w:t>), CYB005, phenethylamine derivatives, and an expansive list of preclinical molecules to facilitate future drug development opportunities.</w:t>
        <w:br/>
        <w:br/>
        <w:t>Cybin currently has more than 50 pending patent applications across 6 patent families spanning 7 research programs</w:t>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through a combination of internal filings and external licensing agreements.</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Advancement of Mental Healthcare</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w:t>
      </w:r>
    </w:p>
    <w:p>
      <w:pPr>
        <w:pStyle w:val="TextBody"/>
        <w:spacing w:lineRule="auto" w:line="288" w:before="0" w:after="240"/>
        <w:jc w:val="both"/>
        <w:rPr/>
      </w:pPr>
      <w:r>
        <w:rPr>
          <w:rFonts w:ascii="Times New Roman;sans-serif" w:hAnsi="Times New Roman;sans-serif"/>
          <w:b w:val="false"/>
          <w:color w:val="000000"/>
          <w:sz w:val="22"/>
        </w:rPr>
        <w:t>Across its extensive research and development programs, Cybin is evaluating a wide array of novel, synthetic psychedelic active pharmaceutical ingredients (“</w:t>
      </w:r>
      <w:r>
        <w:rPr>
          <w:rFonts w:ascii="Times New Roman;sans-serif" w:hAnsi="Times New Roman;sans-serif"/>
          <w:b/>
          <w:color w:val="000000"/>
          <w:sz w:val="22"/>
        </w:rPr>
        <w:t>API</w:t>
      </w:r>
      <w:r>
        <w:rPr>
          <w:color w:val="000000"/>
        </w:rPr>
        <w:t>”</w:t>
      </w:r>
      <w:r>
        <w:rPr>
          <w:rFonts w:ascii="Times New Roman;sans-serif" w:hAnsi="Times New Roman;sans-serif"/>
          <w:b w:val="false"/>
          <w:color w:val="000000"/>
          <w:sz w:val="22"/>
        </w:rPr>
        <w:t>) intended to be delivered through innovative drug delivery systems including orally disintegrating tablets (“</w:t>
      </w:r>
      <w:r>
        <w:rPr>
          <w:rFonts w:ascii="Times New Roman;sans-serif" w:hAnsi="Times New Roman;sans-serif"/>
          <w:b/>
          <w:color w:val="000000"/>
          <w:sz w:val="22"/>
        </w:rPr>
        <w:t>ODT</w:t>
      </w:r>
      <w:r>
        <w:rPr>
          <w:color w:val="000000"/>
        </w:rPr>
        <w:t>”</w:t>
      </w:r>
      <w:r>
        <w:rPr>
          <w:rFonts w:ascii="Times New Roman;sans-serif" w:hAnsi="Times New Roman;sans-serif"/>
          <w:b w:val="false"/>
          <w:color w:val="000000"/>
          <w:sz w:val="22"/>
        </w:rPr>
        <w:t>)</w:t>
      </w:r>
      <w:r>
        <w:rPr>
          <w:rFonts w:ascii="Times New Roman;sans-serif" w:hAnsi="Times New Roman;sans-serif"/>
          <w:b w:val="false"/>
          <w:color w:val="000000"/>
          <w:sz w:val="14"/>
        </w:rPr>
        <w:t>2</w:t>
      </w:r>
      <w:r>
        <w:rPr>
          <w:rFonts w:ascii="Times New Roman;sans-serif" w:hAnsi="Times New Roman;sans-serif"/>
          <w:b w:val="false"/>
          <w:color w:val="000000"/>
          <w:sz w:val="22"/>
        </w:rPr>
        <w:t>, via inhalation, via intravenous (“</w:t>
      </w:r>
      <w:r>
        <w:rPr>
          <w:rFonts w:ascii="Times New Roman;sans-serif" w:hAnsi="Times New Roman;sans-serif"/>
          <w:b/>
          <w:color w:val="000000"/>
          <w:sz w:val="22"/>
        </w:rPr>
        <w:t>IV</w:t>
      </w:r>
      <w:r>
        <w:rPr>
          <w:color w:val="000000"/>
        </w:rPr>
        <w:t>”</w:t>
      </w:r>
      <w:r>
        <w:rPr>
          <w:rFonts w:ascii="Times New Roman;sans-serif" w:hAnsi="Times New Roman;sans-serif"/>
          <w:b w:val="false"/>
          <w:color w:val="000000"/>
          <w:sz w:val="22"/>
        </w:rPr>
        <w:t>), and intramuscular, or subcutaneous ("</w:t>
      </w:r>
      <w:r>
        <w:rPr>
          <w:rFonts w:ascii="Times New Roman;sans-serif" w:hAnsi="Times New Roman;sans-serif"/>
          <w:b/>
          <w:color w:val="000000"/>
          <w:sz w:val="22"/>
        </w:rPr>
        <w:t>SC</w:t>
      </w:r>
      <w:r>
        <w:rPr>
          <w:rFonts w:ascii="Times New Roman;sans-serif" w:hAnsi="Times New Roman;sans-serif"/>
          <w:b w:val="false"/>
          <w:color w:val="000000"/>
          <w:sz w:val="22"/>
        </w:rPr>
        <w:t>") administration</w:t>
      </w:r>
      <w:r>
        <w:rPr>
          <w:rFonts w:ascii="Times New Roman;sans-serif" w:hAnsi="Times New Roman;sans-serif"/>
          <w:b w:val="false"/>
          <w:color w:val="000000"/>
          <w:sz w:val="14"/>
        </w:rPr>
        <w:t>3.</w:t>
      </w:r>
      <w:r>
        <w:rPr>
          <w:color w:val="000000"/>
        </w:rPr>
        <w:t xml:space="preserve"> </w:t>
      </w:r>
    </w:p>
    <w:p>
      <w:pPr>
        <w:pStyle w:val="TextBody"/>
        <w:spacing w:lineRule="auto" w:line="268" w:before="0" w:after="0"/>
        <w:jc w:val="both"/>
        <w:rPr/>
      </w:pPr>
      <w:r>
        <w:rPr>
          <w:rFonts w:ascii="Times New Roman;sans-serif" w:hAnsi="Times New Roman;sans-serif"/>
          <w:b w:val="false"/>
          <w:color w:val="000000"/>
          <w:sz w:val="22"/>
        </w:rPr>
        <w:t>The Company intends to apply for regulatory approval for therapies targeting indications such as major depressive disorder (“</w:t>
      </w:r>
      <w:r>
        <w:rPr>
          <w:rFonts w:ascii="Times New Roman;sans-serif" w:hAnsi="Times New Roman;sans-serif"/>
          <w:b/>
          <w:color w:val="000000"/>
          <w:sz w:val="22"/>
        </w:rPr>
        <w:t>MDD</w:t>
      </w:r>
      <w:r>
        <w:rPr>
          <w:color w:val="000000"/>
        </w:rPr>
        <w:t>”</w:t>
      </w:r>
      <w:r>
        <w:rPr>
          <w:rFonts w:ascii="Times New Roman;sans-serif" w:hAnsi="Times New Roman;sans-serif"/>
          <w:b w:val="false"/>
          <w:color w:val="000000"/>
          <w:sz w:val="22"/>
        </w:rPr>
        <w:t>), alcohol use disorder (“</w:t>
      </w:r>
      <w:r>
        <w:rPr>
          <w:rFonts w:ascii="Times New Roman;sans-serif" w:hAnsi="Times New Roman;sans-serif"/>
          <w:b/>
          <w:color w:val="000000"/>
          <w:sz w:val="22"/>
        </w:rPr>
        <w:t>AUD</w:t>
      </w:r>
      <w:r>
        <w:rPr>
          <w:color w:val="000000"/>
        </w:rPr>
        <w:t>”</w:t>
      </w:r>
      <w:r>
        <w:rPr>
          <w:rFonts w:ascii="Times New Roman;sans-serif" w:hAnsi="Times New Roman;sans-serif"/>
          <w:b w:val="false"/>
          <w:color w:val="000000"/>
          <w:sz w:val="22"/>
        </w:rPr>
        <w:t>), generalized anxiety disorder ("</w:t>
      </w:r>
      <w:r>
        <w:rPr>
          <w:rFonts w:ascii="Times New Roman;sans-serif" w:hAnsi="Times New Roman;sans-serif"/>
          <w:b/>
          <w:color w:val="000000"/>
          <w:sz w:val="22"/>
        </w:rPr>
        <w:t>GAD</w:t>
      </w:r>
      <w:r>
        <w:rPr>
          <w:rFonts w:ascii="Times New Roman;sans-serif" w:hAnsi="Times New Roman;sans-serif"/>
          <w:b w:val="false"/>
          <w:color w:val="000000"/>
          <w:sz w:val="22"/>
        </w:rPr>
        <w:t>") and potentially other various mental health conditions</w:t>
      </w:r>
      <w:r>
        <w:rPr>
          <w:rFonts w:ascii="Times New Roman;sans-serif" w:hAnsi="Times New Roman;sans-serif"/>
          <w:b w:val="false"/>
          <w:color w:val="000000"/>
          <w:sz w:val="14"/>
        </w:rPr>
        <w:t>4</w:t>
      </w:r>
      <w:r>
        <w:rPr>
          <w:rFonts w:ascii="Times New Roman;sans-serif" w:hAnsi="Times New Roman;sans-serif"/>
          <w:b w:val="false"/>
          <w:color w:val="000000"/>
          <w:sz w:val="22"/>
        </w:rPr>
        <w:t>. The Company is also developing compounds that may have the potential to address neuroinflammation</w:t>
      </w:r>
      <w:r>
        <w:rPr>
          <w:rFonts w:ascii="Times New Roman;sans-serif" w:hAnsi="Times New Roman;sans-serif"/>
          <w:b w:val="false"/>
          <w:color w:val="000000"/>
          <w:sz w:val="14"/>
        </w:rPr>
        <w:t>5</w:t>
      </w:r>
      <w:r>
        <w:rPr>
          <w:rFonts w:ascii="Times New Roman;sans-serif" w:hAnsi="Times New Roman;sans-serif"/>
          <w:b w:val="false"/>
          <w:color w:val="000000"/>
          <w:sz w:val="22"/>
        </w:rPr>
        <w:t>, central nervous system (“</w:t>
      </w:r>
      <w:r>
        <w:rPr>
          <w:rFonts w:ascii="Times New Roman;sans-serif" w:hAnsi="Times New Roman;sans-serif"/>
          <w:b/>
          <w:color w:val="000000"/>
          <w:sz w:val="22"/>
        </w:rPr>
        <w:t>CNS</w:t>
      </w:r>
      <w:r>
        <w:rPr>
          <w:color w:val="000000"/>
        </w:rPr>
        <w:t>”</w:t>
      </w:r>
      <w:r>
        <w:rPr>
          <w:rFonts w:ascii="Times New Roman;sans-serif" w:hAnsi="Times New Roman;sans-serif"/>
          <w:b w:val="false"/>
          <w:color w:val="000000"/>
          <w:sz w:val="22"/>
        </w:rPr>
        <w:t>) disorders, and psychiatric disorders</w:t>
      </w:r>
      <w:r>
        <w:rPr>
          <w:rFonts w:ascii="Times New Roman;sans-serif" w:hAnsi="Times New Roman;sans-serif"/>
          <w:b w:val="false"/>
          <w:color w:val="000000"/>
          <w:sz w:val="14"/>
        </w:rPr>
        <w:t>6</w:t>
      </w:r>
      <w:r>
        <w:rPr>
          <w:rFonts w:ascii="Times New Roman;sans-serif" w:hAnsi="Times New Roman;sans-serif"/>
          <w:b w:val="false"/>
          <w:color w:val="000000"/>
          <w:sz w:val="22"/>
        </w:rPr>
        <w:t>.</w:t>
      </w:r>
    </w:p>
    <w:p>
      <w:pPr>
        <w:pStyle w:val="TextBody"/>
        <w:spacing w:before="0" w:after="2"/>
        <w:rPr/>
      </w:pPr>
      <w:r>
        <w:rPr/>
      </w:r>
    </w:p>
    <w:p>
      <w:pPr>
        <w:pStyle w:val="TextBody"/>
        <w:spacing w:lineRule="auto" w:line="288" w:before="0" w:after="240"/>
        <w:jc w:val="both"/>
        <w:rPr/>
      </w:pPr>
      <w:r>
        <w:rPr>
          <w:rFonts w:ascii="Times New Roman;sans-serif" w:hAnsi="Times New Roman;sans-serif"/>
          <w:b w:val="false"/>
          <w:color w:val="000000"/>
          <w:sz w:val="22"/>
        </w:rPr>
        <w:t>Further, over the next 12-month period, the Company will continue to seek to establish strategic partnerships that advance the Company’s scientific research and IP for new psychedelic-based compounds and novel delivery mechanisms</w:t>
      </w:r>
      <w:r>
        <w:rPr>
          <w:rFonts w:ascii="Times New Roman;sans-serif" w:hAnsi="Times New Roman;sans-serif"/>
          <w:b w:val="false"/>
          <w:color w:val="000000"/>
          <w:sz w:val="14"/>
        </w:rPr>
        <w:t>7</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Company will also continue to sponsor select internal and partner-related clinical trials that advance the understanding of safety and efficacy for various psychedelic agents that target mental health conditions</w:t>
      </w:r>
      <w:r>
        <w:rPr>
          <w:rFonts w:ascii="Times New Roman;sans-serif" w:hAnsi="Times New Roman;sans-serif"/>
          <w:b w:val="false"/>
          <w:color w:val="000000"/>
          <w:sz w:val="14"/>
        </w:rPr>
        <w:t>8</w:t>
      </w:r>
      <w:r>
        <w:rPr>
          <w:rFonts w:ascii="Times New Roman;sans-serif" w:hAnsi="Times New Roman;sans-serif"/>
          <w:b w:val="false"/>
          <w:color w:val="000000"/>
          <w:sz w:val="22"/>
        </w:rPr>
        <w:t>.</w:t>
      </w:r>
    </w:p>
    <w:p>
      <w:pPr>
        <w:pStyle w:val="TextBody"/>
        <w:spacing w:lineRule="auto" w:line="300" w:before="0" w:after="160"/>
        <w:rPr>
          <w:rFonts w:ascii="Times New Roman;sans-serif" w:hAnsi="Times New Roman;sans-serif"/>
          <w:b/>
          <w:i/>
          <w:color w:val="000000"/>
          <w:sz w:val="22"/>
        </w:rPr>
      </w:pPr>
      <w:r>
        <w:rPr>
          <w:rFonts w:ascii="Times New Roman;sans-serif" w:hAnsi="Times New Roman;sans-serif"/>
          <w:b/>
          <w:i/>
          <w:color w:val="000000"/>
          <w:sz w:val="22"/>
        </w:rPr>
        <w:t xml:space="preserve">Stage of Development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Like most life sciences and pharmaceutical companies, the Company's psychedelic business is focused on research and development and any future revenue will be dependent on a number of factors, including the outcome of the Company’s clinical trials and the receipt of all necessary regulatory approvals.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order to establish its business operations, Cybin intends to leverage the extensive professional network of its management to build working partnerships with (i) existing producers of psychedelic products based in Canada, the United States, the EU and the UK to source the psychedelic pharmaceutical products the Company intends to develop </w:t>
      </w:r>
    </w:p>
    <w:p>
      <w:pPr>
        <w:pStyle w:val="TextBody"/>
        <w:spacing w:lineRule="auto" w:line="252"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p>
    <w:p>
      <w:pPr>
        <w:pStyle w:val="TextBody"/>
        <w:spacing w:lineRule="auto" w:line="252"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See footnote 1. </w:t>
      </w:r>
    </w:p>
    <w:p>
      <w:pPr>
        <w:pStyle w:val="TextBody"/>
        <w:spacing w:lineRule="auto" w:line="252"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 xml:space="preserve">See footnote 1. </w:t>
      </w:r>
    </w:p>
    <w:p>
      <w:pPr>
        <w:pStyle w:val="TextBody"/>
        <w:spacing w:lineRule="auto" w:line="252"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18"/>
        </w:rPr>
        <w:t xml:space="preserve">See footnote 1. </w:t>
      </w:r>
    </w:p>
    <w:p>
      <w:pPr>
        <w:pStyle w:val="TextBody"/>
        <w:spacing w:lineRule="auto" w:line="252" w:before="0" w:after="2"/>
        <w:jc w:val="both"/>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18"/>
        </w:rPr>
        <w:t>See footnote 1.</w:t>
      </w:r>
    </w:p>
    <w:p>
      <w:pPr>
        <w:pStyle w:val="TextBody"/>
        <w:spacing w:lineRule="auto" w:line="288" w:before="0" w:after="2"/>
        <w:jc w:val="both"/>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18"/>
        </w:rPr>
        <w:t>See footnote 1.</w:t>
      </w:r>
    </w:p>
    <w:p>
      <w:pPr>
        <w:pStyle w:val="TextBody"/>
        <w:spacing w:lineRule="auto" w:line="252" w:before="0" w:after="0"/>
        <w:jc w:val="both"/>
        <w:rPr/>
      </w:pPr>
      <w:r>
        <w:rPr>
          <w:rFonts w:ascii="Times New Roman;sans-serif" w:hAnsi="Times New Roman;sans-serif"/>
          <w:b w:val="false"/>
          <w:color w:val="000000"/>
          <w:sz w:val="13"/>
        </w:rPr>
        <w:t xml:space="preserve">7 </w:t>
      </w:r>
      <w:r>
        <w:rPr>
          <w:rFonts w:ascii="Times New Roman;sans-serif" w:hAnsi="Times New Roman;sans-serif"/>
          <w:b w:val="false"/>
          <w:color w:val="000000"/>
          <w:sz w:val="18"/>
        </w:rPr>
        <w:t>A material factor and assumption underlying this forward-looking statement is that the Company will be able to successfully negotiate strategic partnerships.</w:t>
      </w:r>
    </w:p>
    <w:p>
      <w:pPr>
        <w:pStyle w:val="TextBody"/>
        <w:spacing w:lineRule="auto" w:line="252"/>
        <w:jc w:val="both"/>
        <w:rPr/>
      </w:pPr>
      <w:r>
        <w:rPr>
          <w:rFonts w:ascii="Times New Roman;sans-serif" w:hAnsi="Times New Roman;sans-serif"/>
          <w:b w:val="false"/>
          <w:color w:val="000000"/>
          <w:sz w:val="13"/>
        </w:rPr>
        <w:t xml:space="preserve">8 </w:t>
      </w:r>
      <w:r>
        <w:rPr>
          <w:rFonts w:ascii="Times New Roman;sans-serif" w:hAnsi="Times New Roman;sans-serif"/>
          <w:b w:val="false"/>
          <w:color w:val="000000"/>
          <w:sz w:val="18"/>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692265" cy="160655"/>
                <wp:effectExtent l="0" t="0" r="0" b="0"/>
                <wp:wrapNone/>
                <wp:docPr id="175" name="Frame162"/>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and distribute under its specific brand, and (ii) to explore options to facilitate the development and distribution and sale of its specific brand of psychedelic pharmaceutical products.</w:t>
      </w:r>
      <w:r>
        <w:rPr>
          <w:rFonts w:ascii="Times New Roman;sans-serif" w:hAnsi="Times New Roman;sans-serif"/>
          <w:b w:val="false"/>
          <w:color w:val="000000"/>
          <w:sz w:val="14"/>
        </w:rPr>
        <w:t>9</w:t>
      </w:r>
    </w:p>
    <w:p>
      <w:pPr>
        <w:pStyle w:val="TextBody"/>
        <w:spacing w:lineRule="auto" w:line="288" w:before="0" w:after="240"/>
        <w:jc w:val="both"/>
        <w:rPr/>
      </w:pPr>
      <w:r>
        <w:rPr>
          <w:rFonts w:ascii="Times New Roman;sans-serif" w:hAnsi="Times New Roman;sans-serif"/>
          <w:b w:val="false"/>
          <w:color w:val="000000"/>
          <w:sz w:val="22"/>
        </w:rPr>
        <w:t xml:space="preserve">Prescription drugs are classified and regulated under the federal </w:t>
      </w:r>
      <w:r>
        <w:rPr>
          <w:rFonts w:ascii="Times New Roman;sans-serif" w:hAnsi="Times New Roman;sans-serif"/>
          <w:b w:val="false"/>
          <w:i/>
          <w:color w:val="000000"/>
          <w:sz w:val="22"/>
        </w:rPr>
        <w:t>Food and Drugs Act</w:t>
      </w:r>
      <w:r>
        <w:rPr>
          <w:color w:val="000000"/>
        </w:rPr>
        <w:t xml:space="preserve"> </w:t>
      </w:r>
      <w:r>
        <w:rPr>
          <w:rFonts w:ascii="Times New Roman;sans-serif" w:hAnsi="Times New Roman;sans-serif"/>
          <w:b w:val="false"/>
          <w:color w:val="000000"/>
          <w:sz w:val="22"/>
        </w:rPr>
        <w:t>(Canada) (the “</w:t>
      </w:r>
      <w:r>
        <w:rPr>
          <w:rFonts w:ascii="Times New Roman;sans-serif" w:hAnsi="Times New Roman;sans-serif"/>
          <w:b/>
          <w:color w:val="000000"/>
          <w:sz w:val="22"/>
        </w:rPr>
        <w:t>Canadian FDA</w:t>
      </w:r>
      <w:r>
        <w:rPr>
          <w:color w:val="000000"/>
        </w:rPr>
        <w:t>”</w:t>
      </w:r>
      <w:r>
        <w:rPr>
          <w:rFonts w:ascii="Times New Roman;sans-serif" w:hAnsi="Times New Roman;sans-serif"/>
          <w:b w:val="false"/>
          <w:color w:val="000000"/>
          <w:sz w:val="22"/>
        </w:rPr>
        <w:t xml:space="preserve">). Labeling, marketing and selling of any prescription drug must comply with the Canadian FDA, including by ensuring that the Company’s products are not packaged or marketed in a manner that is misleading or deceptive to a consumer. </w:t>
      </w:r>
    </w:p>
    <w:p>
      <w:pPr>
        <w:pStyle w:val="TextBody"/>
        <w:spacing w:lineRule="auto" w:line="288" w:before="0" w:after="240"/>
        <w:jc w:val="both"/>
        <w:rPr/>
      </w:pPr>
      <w:r>
        <w:rPr>
          <w:rFonts w:ascii="Times New Roman;sans-serif" w:hAnsi="Times New Roman;sans-serif"/>
          <w:b w:val="false"/>
          <w:color w:val="000000"/>
          <w:sz w:val="22"/>
        </w:rPr>
        <w:t xml:space="preserve">In the United States, foods, drugs and dietary supplements are subject to extensive regulation. The </w:t>
      </w:r>
      <w:r>
        <w:rPr>
          <w:rFonts w:ascii="Times New Roman;sans-serif" w:hAnsi="Times New Roman;sans-serif"/>
          <w:b w:val="false"/>
          <w:i/>
          <w:color w:val="000000"/>
          <w:sz w:val="22"/>
        </w:rPr>
        <w:t xml:space="preserve">Federal Food, Drug, and Cosmetic Act </w:t>
      </w:r>
      <w:r>
        <w:rPr>
          <w:rFonts w:ascii="Times New Roman;sans-serif" w:hAnsi="Times New Roman;sans-serif"/>
          <w:b w:val="false"/>
          <w:color w:val="000000"/>
          <w:sz w:val="22"/>
        </w:rPr>
        <w:t>(the “</w:t>
      </w:r>
      <w:r>
        <w:rPr>
          <w:rFonts w:ascii="Times New Roman;sans-serif" w:hAnsi="Times New Roman;sans-serif"/>
          <w:b/>
          <w:color w:val="000000"/>
          <w:sz w:val="22"/>
        </w:rPr>
        <w:t>FFDCA</w:t>
      </w:r>
      <w:r>
        <w:rPr>
          <w:color w:val="000000"/>
        </w:rPr>
        <w:t>”</w:t>
      </w:r>
      <w:r>
        <w:rPr>
          <w:rFonts w:ascii="Times New Roman;sans-serif" w:hAnsi="Times New Roman;sans-serif"/>
          <w:b w:val="false"/>
          <w:color w:val="000000"/>
          <w:sz w:val="22"/>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sans-serif" w:hAnsi="Times New Roman;sans-serif"/>
          <w:b/>
          <w:color w:val="000000"/>
          <w:sz w:val="22"/>
        </w:rPr>
        <w:t>FDA</w:t>
      </w:r>
      <w:r>
        <w:rPr>
          <w:color w:val="000000"/>
        </w:rPr>
        <w:t>”</w:t>
      </w:r>
      <w:r>
        <w:rPr>
          <w:rFonts w:ascii="Times New Roman;sans-serif" w:hAnsi="Times New Roman;sans-serif"/>
          <w:b w:val="false"/>
          <w:color w:val="000000"/>
          <w:sz w:val="22"/>
        </w:rPr>
        <w:t xml:space="preserve">). </w:t>
      </w:r>
    </w:p>
    <w:p>
      <w:pPr>
        <w:pStyle w:val="TextBody"/>
        <w:spacing w:lineRule="auto" w:line="288" w:before="0" w:after="0"/>
        <w:jc w:val="both"/>
        <w:rPr/>
      </w:pPr>
      <w:r>
        <w:rPr>
          <w:rFonts w:ascii="Times New Roman;sans-serif" w:hAnsi="Times New Roman;sans-serif"/>
          <w:b w:val="false"/>
          <w:color w:val="000000"/>
          <w:sz w:val="22"/>
        </w:rPr>
        <w:t>On November 4, 2021, the Company announced that it had been granted a Schedule I manufacturing license from the U.S. Drug Enforcement Administration (“</w:t>
      </w:r>
      <w:r>
        <w:rPr>
          <w:rFonts w:ascii="Times New Roman;sans-serif" w:hAnsi="Times New Roman;sans-serif"/>
          <w:b/>
          <w:color w:val="000000"/>
          <w:sz w:val="22"/>
        </w:rPr>
        <w:t>DEA</w:t>
      </w:r>
      <w:r>
        <w:rPr>
          <w:color w:val="000000"/>
        </w:rPr>
        <w:t>”</w:t>
      </w:r>
      <w:r>
        <w:rPr>
          <w:rFonts w:ascii="Times New Roman;sans-serif" w:hAnsi="Times New Roman;sans-serif"/>
          <w:b w:val="false"/>
          <w:color w:val="000000"/>
          <w:sz w:val="22"/>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pStyle w:val="TextBody"/>
        <w:spacing w:before="0" w:after="2"/>
        <w:jc w:val="both"/>
        <w:rPr/>
      </w:pPr>
      <w:r>
        <w:rPr/>
      </w:r>
    </w:p>
    <w:p>
      <w:pPr>
        <w:pStyle w:val="TextBody"/>
        <w:spacing w:lineRule="auto" w:line="288" w:before="0" w:after="240"/>
        <w:jc w:val="both"/>
        <w:rPr/>
      </w:pPr>
      <w:r>
        <w:rPr>
          <w:rFonts w:ascii="Times New Roman;sans-serif" w:hAnsi="Times New Roman;sans-serif"/>
          <w:b/>
          <w:i/>
          <w:color w:val="000000"/>
          <w:sz w:val="22"/>
        </w:rPr>
        <w:t>Non-Revenue Generating Projects</w:t>
      </w:r>
      <w:r>
        <w:rPr>
          <w:rFonts w:ascii="Times New Roman;sans-serif" w:hAnsi="Times New Roman;sans-serif"/>
          <w:b/>
          <w:i/>
          <w:color w:val="000000"/>
          <w:sz w:val="14"/>
        </w:rPr>
        <w:t>10</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currently has four significant projects, which have not yet generated revenue:</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1.Deuterated Psilocybin Analog Program (CYB003)</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2.Deuterated Dimethyltryptamine Program (CYB004)</w:t>
      </w:r>
    </w:p>
    <w:p>
      <w:pPr>
        <w:pStyle w:val="TextBody"/>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3.Phenethylamine Derivatives Program (CYB005)</w:t>
      </w:r>
    </w:p>
    <w:p>
      <w:pPr>
        <w:pStyle w:val="TextBody"/>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4.Technology Programs </w:t>
      </w:r>
    </w:p>
    <w:p>
      <w:pPr>
        <w:pStyle w:val="TextBody"/>
        <w:spacing w:lineRule="auto" w:line="268" w:before="0" w:after="2"/>
        <w:jc w:val="both"/>
        <w:rPr/>
      </w:pPr>
      <w:r>
        <w:rPr>
          <w:rFonts w:ascii="Times New Roman;sans-serif" w:hAnsi="Times New Roman;sans-serif"/>
          <w:b w:val="false"/>
          <w:color w:val="000000"/>
          <w:sz w:val="22"/>
        </w:rPr>
        <w:t>The Company has developed EMBARK, a psychological support model that integrates leading clinical approaches to promote supportive healing with psychedelic medicine. EMBARK’s six clinical domains (</w:t>
      </w:r>
      <w:r>
        <w:rPr>
          <w:rFonts w:ascii="Times New Roman;sans-serif" w:hAnsi="Times New Roman;sans-serif"/>
          <w:b/>
          <w:color w:val="000000"/>
          <w:sz w:val="22"/>
        </w:rPr>
        <w:t>E</w:t>
      </w:r>
      <w:r>
        <w:rPr>
          <w:rFonts w:ascii="Times New Roman;sans-serif" w:hAnsi="Times New Roman;sans-serif"/>
          <w:b w:val="false"/>
          <w:color w:val="000000"/>
          <w:sz w:val="22"/>
        </w:rPr>
        <w:t xml:space="preserve">xistential-Spiritual, </w:t>
      </w:r>
      <w:r>
        <w:rPr>
          <w:rFonts w:ascii="Times New Roman;sans-serif" w:hAnsi="Times New Roman;sans-serif"/>
          <w:b/>
          <w:color w:val="000000"/>
          <w:sz w:val="22"/>
        </w:rPr>
        <w:t>M</w:t>
      </w:r>
      <w:r>
        <w:rPr>
          <w:rFonts w:ascii="Times New Roman;sans-serif" w:hAnsi="Times New Roman;sans-serif"/>
          <w:b w:val="false"/>
          <w:color w:val="000000"/>
          <w:sz w:val="22"/>
        </w:rPr>
        <w:t xml:space="preserve">indfulness, </w:t>
      </w:r>
      <w:r>
        <w:rPr>
          <w:rFonts w:ascii="Times New Roman;sans-serif" w:hAnsi="Times New Roman;sans-serif"/>
          <w:b/>
          <w:color w:val="000000"/>
          <w:sz w:val="22"/>
        </w:rPr>
        <w:t>B</w:t>
      </w:r>
      <w:r>
        <w:rPr>
          <w:rFonts w:ascii="Times New Roman;sans-serif" w:hAnsi="Times New Roman;sans-serif"/>
          <w:b w:val="false"/>
          <w:color w:val="000000"/>
          <w:sz w:val="22"/>
        </w:rPr>
        <w:t xml:space="preserve">ody Aware, </w:t>
      </w:r>
      <w:r>
        <w:rPr>
          <w:rFonts w:ascii="Times New Roman;sans-serif" w:hAnsi="Times New Roman;sans-serif"/>
          <w:b/>
          <w:color w:val="000000"/>
          <w:sz w:val="22"/>
        </w:rPr>
        <w:t>A</w:t>
      </w:r>
      <w:r>
        <w:rPr>
          <w:rFonts w:ascii="Times New Roman;sans-serif" w:hAnsi="Times New Roman;sans-serif"/>
          <w:b w:val="false"/>
          <w:color w:val="000000"/>
          <w:sz w:val="22"/>
        </w:rPr>
        <w:t xml:space="preserve">ffective-Cognitive, </w:t>
      </w:r>
      <w:r>
        <w:rPr>
          <w:rFonts w:ascii="Times New Roman;sans-serif" w:hAnsi="Times New Roman;sans-serif"/>
          <w:b/>
          <w:color w:val="000000"/>
          <w:sz w:val="22"/>
        </w:rPr>
        <w:t>R</w:t>
      </w:r>
      <w:r>
        <w:rPr>
          <w:rFonts w:ascii="Times New Roman;sans-serif" w:hAnsi="Times New Roman;sans-serif"/>
          <w:b w:val="false"/>
          <w:color w:val="000000"/>
          <w:sz w:val="22"/>
        </w:rPr>
        <w:t xml:space="preserve">elational, </w:t>
      </w:r>
      <w:r>
        <w:rPr>
          <w:rFonts w:ascii="Times New Roman;sans-serif" w:hAnsi="Times New Roman;sans-serif"/>
          <w:b/>
          <w:color w:val="000000"/>
          <w:sz w:val="22"/>
        </w:rPr>
        <w:t>K</w:t>
      </w:r>
      <w:r>
        <w:rPr>
          <w:rFonts w:ascii="Times New Roman;sans-serif" w:hAnsi="Times New Roman;sans-serif"/>
          <w:b w:val="false"/>
          <w:color w:val="000000"/>
          <w:sz w:val="22"/>
        </w:rPr>
        <w:t>eeping Momentum) represent the broad spectrum of ways in which therapeutic benefits may arise in psychedelic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a free online foundational training course for psychedelic facilitation. EMBARK Open Access is the first and only free massive open online course that offers psychedelic facilitation training for healthcare professionals and people interested in offering psychological support.</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description of each program, including a description of the Company’s plan for such programs, the status of the objectives related to the Company’s plan for such program and anticipated expenditures to advance the program to the next stage of pipeline development.</w: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u w:val="single"/>
        </w:rPr>
      </w:pPr>
      <w:r>
        <w:rPr>
          <w:rFonts w:ascii="Times New Roman;sans-serif" w:hAnsi="Times New Roman;sans-serif"/>
          <w:b/>
          <w:color w:val="000000"/>
          <w:sz w:val="22"/>
          <w:u w:val="single"/>
        </w:rPr>
        <w:t>Deuterated Psilocybin Analog Program (CYB003)</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w:t>
      </w:r>
    </w:p>
    <w:p>
      <w:pPr>
        <w:pStyle w:val="TextBody"/>
        <w:spacing w:lineRule="auto" w:line="252" w:before="0" w:after="0"/>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18"/>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pStyle w:val="TextBody"/>
        <w:spacing w:lineRule="auto" w:line="252"/>
        <w:jc w:val="both"/>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18"/>
        </w:rPr>
        <w:t>All quarter references in this section are based on calendar year-end.</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692265" cy="160655"/>
                <wp:effectExtent l="0" t="0" r="0" b="0"/>
                <wp:wrapNone/>
                <wp:docPr id="176" name="Frame163"/>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tryptamine derivative molecules with selected drug delivery methods, including but not limited to oral, inhalation methods, IV and intramuscular delivery.</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lead program, CYB003, is an orally delivered deuterated psilocybin analog that aims to address the limitations of oral psilocybin, including side effects, scalability and accessibility of treatment.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preclinical studies, CYB003 demonstrated several advantages compared to oral psilocybin, including faster onset of action, shorter duration of effect, less variability in plasma levels, and improved brain penetration. These preclinical results could potentially translate into therapeutic benefits, such as shorter treatment duration, more predictable dosing, lower doses to achieve efficacy, and fewer side effects for patients.</w:t>
      </w:r>
    </w:p>
    <w:p>
      <w:pPr>
        <w:pStyle w:val="TextBody"/>
        <w:spacing w:before="0" w:after="2"/>
        <w:jc w:val="both"/>
        <w:rPr/>
      </w:pPr>
      <w:r>
        <w:rPr/>
      </w:r>
    </w:p>
    <w:p>
      <w:pPr>
        <w:pStyle w:val="TextBody"/>
        <w:spacing w:lineRule="auto" w:line="288" w:before="0" w:after="2"/>
        <w:jc w:val="both"/>
        <w:rPr/>
      </w:pPr>
      <w:r>
        <w:rPr>
          <w:rFonts w:ascii="Times New Roman;sans-serif" w:hAnsi="Times New Roman;sans-serif"/>
          <w:b w:val="false"/>
          <w:color w:val="000000"/>
          <w:sz w:val="22"/>
        </w:rPr>
        <w:t>The Company completed its CYB003 Investigational New Drug ("</w:t>
      </w:r>
      <w:r>
        <w:rPr>
          <w:rFonts w:ascii="Times New Roman;sans-serif" w:hAnsi="Times New Roman;sans-serif"/>
          <w:b/>
          <w:color w:val="000000"/>
          <w:sz w:val="22"/>
        </w:rPr>
        <w:t>IND</w:t>
      </w:r>
      <w:r>
        <w:rPr>
          <w:rFonts w:ascii="Times New Roman;sans-serif" w:hAnsi="Times New Roman;sans-serif"/>
          <w:b w:val="false"/>
          <w:color w:val="000000"/>
          <w:sz w:val="22"/>
        </w:rPr>
        <w:t>")-enabling preclinical studies and Chemistry, Manufacturing and Control ("</w:t>
      </w:r>
      <w:r>
        <w:rPr>
          <w:rFonts w:ascii="Times New Roman;sans-serif" w:hAnsi="Times New Roman;sans-serif"/>
          <w:b/>
          <w:color w:val="000000"/>
          <w:sz w:val="22"/>
        </w:rPr>
        <w:t>CMC</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sans-serif" w:hAnsi="Times New Roman;sans-serif"/>
          <w:b/>
          <w:color w:val="000000"/>
          <w:sz w:val="22"/>
        </w:rPr>
        <w:t>IRB</w:t>
      </w:r>
      <w:r>
        <w:rPr>
          <w:color w:val="000000"/>
        </w:rPr>
        <w:t>”</w:t>
      </w:r>
      <w:r>
        <w:rPr>
          <w:rFonts w:ascii="Times New Roman;sans-serif" w:hAnsi="Times New Roman;sans-serif"/>
          <w:b w:val="false"/>
          <w:color w:val="000000"/>
          <w:sz w:val="22"/>
        </w:rPr>
        <w:t>) approval in the U.S. to commence its first-in-human Phase 1/2a study of CYB003 in participants with moderate to severe MDD. The Company has engaged Clinilabs Drug Development Corporation (“</w:t>
      </w:r>
      <w:r>
        <w:rPr>
          <w:rFonts w:ascii="Times New Roman;sans-serif" w:hAnsi="Times New Roman;sans-serif"/>
          <w:b/>
          <w:color w:val="000000"/>
          <w:sz w:val="22"/>
        </w:rPr>
        <w:t>Clinilabs</w:t>
      </w:r>
      <w:r>
        <w:rPr>
          <w:color w:val="000000"/>
        </w:rPr>
        <w:t>”</w:t>
      </w:r>
      <w:r>
        <w:rPr>
          <w:rFonts w:ascii="Times New Roman;sans-serif" w:hAnsi="Times New Roman;sans-serif"/>
          <w:b w:val="false"/>
          <w:color w:val="000000"/>
          <w:sz w:val="22"/>
        </w:rPr>
        <w:t xml:space="preserve">), a full-service contract research organization with deep expertise in central nervous system drug development, to carry out the Phase 1/2a clinical trial of CYB003. On August 30, 2022, the Company announced that the first two participants have been dosed in the Phase 1/2a study.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participants reported robust and meaningful psychedelic effects, confirming a complete mystical experience was achieved. All doses evaluated (single oral doses of CYB003 up to 10mg) were well-tolerated with no serious adverse events reported. As of February 28, 2023, dosing in the Phase 1 portion of the study has been completed and dosing is ongoing in the Phase 2a portion.</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About the CYB003 Phase 1/2a Clinical Trial</w:t>
      </w:r>
    </w:p>
    <w:p>
      <w:pPr>
        <w:pStyle w:val="TextBody"/>
        <w:spacing w:before="0" w:after="0"/>
        <w:jc w:val="both"/>
        <w:rPr/>
      </w:pPr>
      <w:r>
        <w:rPr/>
      </w:r>
    </w:p>
    <w:p>
      <w:pPr>
        <w:pStyle w:val="TextBody"/>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Phase 1/2a trial is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and food effect cohort to facilitate the transition to pivotal studies. Healthy volunteers receive two administrations (placebo/active and active/active) one week apart, and measures of psychedelic effect are assessed after each dose. Participants with MDD receive two administrations (placebo/active and active/active) three weeks apart and response/remission are assessed three weeks after each dose. MDD participants in the trial that are currently being treated with antidepressants will be allowed to remain on their antidepressant medication.</w:t>
      </w:r>
    </w:p>
    <w:p>
      <w:pPr>
        <w:pStyle w:val="TextBody"/>
        <w:spacing w:before="0" w:after="2"/>
        <w:jc w:val="both"/>
        <w:rPr/>
      </w:pPr>
      <w:r>
        <w:rPr/>
      </w:r>
    </w:p>
    <w:p>
      <w:pPr>
        <w:pStyle w:val="TextBody"/>
        <w:spacing w:lineRule="auto" w:line="264" w:before="0" w:after="0"/>
        <w:jc w:val="both"/>
        <w:rPr/>
      </w:pPr>
      <w:r>
        <w:rPr>
          <w:rFonts w:ascii="Times New Roman;sans-serif" w:hAnsi="Times New Roman;sans-serif"/>
          <w:b w:val="false"/>
          <w:color w:val="000000"/>
          <w:sz w:val="22"/>
        </w:rPr>
        <w:t>The study will investigate the safety, tolerability, pharmacokinetics ("</w:t>
      </w:r>
      <w:r>
        <w:rPr>
          <w:rFonts w:ascii="Times New Roman;sans-serif" w:hAnsi="Times New Roman;sans-serif"/>
          <w:b/>
          <w:color w:val="000000"/>
          <w:sz w:val="22"/>
        </w:rPr>
        <w:t>PK</w:t>
      </w:r>
      <w:r>
        <w:rPr>
          <w:rFonts w:ascii="Times New Roman;sans-serif" w:hAnsi="Times New Roman;sans-serif"/>
          <w:b w:val="false"/>
          <w:color w:val="000000"/>
          <w:sz w:val="22"/>
        </w:rPr>
        <w:t>") and pharmacodynamics ("</w:t>
      </w:r>
      <w:r>
        <w:rPr>
          <w:rFonts w:ascii="Times New Roman;sans-serif" w:hAnsi="Times New Roman;sans-serif"/>
          <w:b/>
          <w:color w:val="000000"/>
          <w:sz w:val="22"/>
        </w:rPr>
        <w:t>PD</w:t>
      </w:r>
      <w:r>
        <w:rPr>
          <w:rFonts w:ascii="Times New Roman;sans-serif" w:hAnsi="Times New Roman;sans-serif"/>
          <w:b w:val="false"/>
          <w:color w:val="000000"/>
          <w:sz w:val="22"/>
        </w:rPr>
        <w:t>"), and psychedelic effect of ascending oral doses of CYB003. In participants with MDD, the trial will also assess rapid onset of antidepressant effect on the day of dosing, using the Montgomery-Asberg Depression Rating Scale ("</w:t>
      </w:r>
      <w:r>
        <w:rPr>
          <w:rFonts w:ascii="Times New Roman;sans-serif" w:hAnsi="Times New Roman;sans-serif"/>
          <w:b/>
          <w:color w:val="000000"/>
          <w:sz w:val="22"/>
        </w:rPr>
        <w:t>MADRS</w:t>
      </w:r>
      <w:r>
        <w:rPr>
          <w:rFonts w:ascii="Times New Roman;sans-serif" w:hAnsi="Times New Roman;sans-serif"/>
          <w:b w:val="false"/>
          <w:color w:val="000000"/>
          <w:sz w:val="22"/>
        </w:rPr>
        <w:t xml:space="preserve">"), and evaluate the incremental benefit of a second dose of CYB003 when administered at Week 3. An optional period of assessment will help determine the durability of treatment effect out to 12 weeks. The study is listed on ClinicalTrials.gov under Identifier: NCT05385783. </w:t>
      </w:r>
    </w:p>
    <w:p>
      <w:pPr>
        <w:pStyle w:val="TextBody"/>
        <w:spacing w:before="0" w:after="0"/>
        <w:jc w:val="both"/>
        <w:rPr/>
      </w:pPr>
      <w:r>
        <w:rPr/>
      </w:r>
    </w:p>
    <w:p>
      <w:pPr>
        <w:pStyle w:val="TextBody"/>
        <w:spacing w:lineRule="auto" w:line="276" w:before="0" w:after="2"/>
        <w:jc w:val="both"/>
        <w:rPr/>
      </w:pPr>
      <w:r>
        <w:rPr>
          <w:rFonts w:ascii="Times New Roman;sans-serif" w:hAnsi="Times New Roman;sans-serif"/>
          <w:b w:val="false"/>
          <w:color w:val="000000"/>
          <w:sz w:val="22"/>
        </w:rPr>
        <w:t>The Company spent approximately $8,445 on the Deuterated Psilocybin Analog Program during the financial year ended March 31, 2023. The Company additionally spent $1,410 related to licensing agreements for this program (see "Intellectual Property</w:t>
      </w:r>
      <w:r>
        <w:rPr>
          <w:rFonts w:ascii="Times New Roman;sans-serif" w:hAnsi="Times New Roman;sans-serif"/>
          <w:b w:val="false"/>
          <w:i/>
          <w:color w:val="000000"/>
          <w:sz w:val="22"/>
        </w:rPr>
        <w:t>"</w:t>
      </w:r>
      <w:r>
        <w:rPr>
          <w:rFonts w:ascii="Times New Roman;sans-serif" w:hAnsi="Times New Roman;sans-serif"/>
          <w:b/>
          <w:i/>
          <w:color w:val="000000"/>
          <w:sz w:val="22"/>
        </w:rPr>
        <w:t>)</w:t>
      </w:r>
      <w:r>
        <w:rPr>
          <w:rFonts w:ascii="Times New Roman;sans-serif" w:hAnsi="Times New Roman;sans-serif"/>
          <w:b w:val="false"/>
          <w:color w:val="000000"/>
          <w:sz w:val="22"/>
        </w:rPr>
        <w:t xml:space="preserve">. </w:t>
      </w:r>
    </w:p>
    <w:p>
      <w:pPr>
        <w:pStyle w:val="TextBody"/>
        <w:spacing w:before="0" w:after="2"/>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 continues to progress through the CYB003 program, additional milestones related to the Phase 1/2a clinical trial have been identified. The Company intends to:</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692265" cy="160655"/>
                <wp:effectExtent l="0" t="0" r="0" b="0"/>
                <wp:wrapNone/>
                <wp:docPr id="177" name="Frame164"/>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88" w:before="0" w:after="2"/>
        <w:ind w:left="0" w:right="0" w:hanging="360"/>
        <w:jc w:val="both"/>
        <w:rPr/>
      </w:pPr>
      <w:r>
        <w:rPr>
          <w:strike/>
          <w:color w:val="000000"/>
        </w:rPr>
        <w:t>•</w:t>
      </w:r>
      <w:r>
        <w:rPr>
          <w:rFonts w:ascii="Times New Roman;sans-serif" w:hAnsi="Times New Roman;sans-serif"/>
          <w:b w:val="false"/>
          <w:color w:val="000000"/>
          <w:sz w:val="22"/>
        </w:rPr>
        <w:t>provide topline data readout from the Phase 1/2a study in Q3/Q4 2023</w:t>
      </w:r>
      <w:r>
        <w:rPr>
          <w:rFonts w:ascii="Times New Roman;sans-serif" w:hAnsi="Times New Roman;sans-serif"/>
          <w:b w:val="false"/>
          <w:color w:val="000000"/>
          <w:sz w:val="14"/>
        </w:rPr>
        <w:t>11,12</w:t>
      </w:r>
      <w:r>
        <w:rPr>
          <w:rFonts w:ascii="Times New Roman;sans-serif" w:hAnsi="Times New Roman;sans-serif"/>
          <w:b w:val="false"/>
          <w:color w:val="000000"/>
          <w:sz w:val="22"/>
        </w:rPr>
        <w:t xml:space="preserve">. </w:t>
      </w:r>
    </w:p>
    <w:p>
      <w:pPr>
        <w:pStyle w:val="TextBody"/>
        <w:spacing w:lineRule="auto" w:line="288" w:before="0" w:after="2"/>
        <w:ind w:left="0" w:right="0" w:hanging="360"/>
        <w:jc w:val="both"/>
        <w:rPr/>
      </w:pPr>
      <w:r>
        <w:rPr>
          <w:color w:val="000000"/>
        </w:rPr>
        <w:t>•</w:t>
      </w:r>
      <w:r>
        <w:rPr>
          <w:rFonts w:ascii="Times New Roman;sans-serif" w:hAnsi="Times New Roman;sans-serif"/>
          <w:b w:val="false"/>
          <w:color w:val="000000"/>
          <w:sz w:val="22"/>
        </w:rPr>
        <w:t>complete FDA submission of CYB003 Phase 1/2a data for end of phase 2 meeting in Q4 2023</w:t>
      </w:r>
      <w:r>
        <w:rPr>
          <w:rFonts w:ascii="Times New Roman;sans-serif" w:hAnsi="Times New Roman;sans-serif"/>
          <w:b w:val="false"/>
          <w:color w:val="000000"/>
          <w:sz w:val="14"/>
        </w:rPr>
        <w:t>13</w:t>
      </w:r>
      <w:r>
        <w:rPr>
          <w:rFonts w:ascii="Times New Roman;sans-serif" w:hAnsi="Times New Roman;sans-serif"/>
          <w:b w:val="false"/>
          <w:color w:val="000000"/>
          <w:sz w:val="22"/>
        </w:rPr>
        <w:t>.</w:t>
      </w:r>
    </w:p>
    <w:p>
      <w:pPr>
        <w:pStyle w:val="TextBody"/>
        <w:spacing w:before="0" w:after="2"/>
        <w:jc w:val="both"/>
        <w:rPr/>
      </w:pPr>
      <w:r>
        <w:rPr/>
      </w:r>
    </w:p>
    <w:p>
      <w:pPr>
        <w:pStyle w:val="TextBody"/>
        <w:spacing w:lineRule="auto" w:line="288" w:before="0" w:after="2"/>
        <w:jc w:val="both"/>
        <w:rPr/>
      </w:pPr>
      <w:r>
        <w:rPr>
          <w:rFonts w:ascii="Times New Roman;sans-serif" w:hAnsi="Times New Roman;sans-serif"/>
          <w:b w:val="false"/>
          <w:color w:val="000000"/>
          <w:sz w:val="22"/>
        </w:rPr>
        <w:t>The Company spent approximately $2,527</w:t>
      </w:r>
      <w:r>
        <w:rPr>
          <w:rFonts w:ascii="Times New Roman;sans-serif" w:hAnsi="Times New Roman;sans-serif"/>
          <w:b w:val="false"/>
          <w:color w:val="000000"/>
          <w:sz w:val="14"/>
        </w:rPr>
        <w:t>14</w:t>
      </w:r>
      <w:r>
        <w:rPr>
          <w:color w:val="000000"/>
        </w:rPr>
        <w:t xml:space="preserve"> </w:t>
      </w:r>
      <w:r>
        <w:rPr>
          <w:rFonts w:ascii="Times New Roman;sans-serif" w:hAnsi="Times New Roman;sans-serif"/>
          <w:b w:val="false"/>
          <w:color w:val="000000"/>
          <w:sz w:val="22"/>
        </w:rPr>
        <w:t>to receive its initial pharmacokinetic and safety readout in February 2023. The Company expects to spend approximately $6,226</w:t>
      </w:r>
      <w:r>
        <w:rPr>
          <w:rFonts w:ascii="Times New Roman;sans-serif" w:hAnsi="Times New Roman;sans-serif"/>
          <w:b w:val="false"/>
          <w:color w:val="000000"/>
          <w:sz w:val="14"/>
        </w:rPr>
        <w:t>15</w:t>
      </w:r>
      <w:r>
        <w:rPr>
          <w:color w:val="000000"/>
        </w:rPr>
        <w:t xml:space="preserve"> </w:t>
      </w:r>
      <w:r>
        <w:rPr>
          <w:rFonts w:ascii="Times New Roman;sans-serif" w:hAnsi="Times New Roman;sans-serif"/>
          <w:b w:val="false"/>
          <w:color w:val="000000"/>
          <w:sz w:val="22"/>
        </w:rPr>
        <w:t>to provide topline data readout from the Phase 1/2a study by late Q3 2023</w:t>
      </w:r>
      <w:r>
        <w:rPr>
          <w:rFonts w:ascii="Times New Roman;sans-serif" w:hAnsi="Times New Roman;sans-serif"/>
          <w:b w:val="false"/>
          <w:color w:val="000000"/>
          <w:sz w:val="14"/>
        </w:rPr>
        <w:t>16</w:t>
      </w:r>
      <w:r>
        <w:rPr>
          <w:rFonts w:ascii="Times New Roman;sans-serif" w:hAnsi="Times New Roman;sans-serif"/>
          <w:b w:val="false"/>
          <w:color w:val="000000"/>
          <w:sz w:val="22"/>
        </w:rPr>
        <w:t>, of which approximately $1,392 was spent during the financial year ended March 31, 2023. The Company intends to continue funding the Deuterated Psilocybin Analog (CYB003) Program.</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complete future clinical trials for this program in the U.S., Canada, and/or Europe.</w:t>
      </w:r>
    </w:p>
    <w:p>
      <w:pPr>
        <w:pStyle w:val="TextBody"/>
        <w:spacing w:before="0" w:after="2"/>
        <w:jc w:val="both"/>
        <w:rPr/>
      </w:pPr>
      <w:r>
        <w:rPr/>
      </w:r>
    </w:p>
    <w:p>
      <w:pPr>
        <w:pStyle w:val="TextBody"/>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Deuterated Dimethyltryptamine Program (CYB004)</w:t>
      </w:r>
    </w:p>
    <w:p>
      <w:pPr>
        <w:pStyle w:val="TextBody"/>
        <w:spacing w:before="0" w:after="2"/>
        <w:jc w:val="both"/>
        <w:rPr/>
      </w:pPr>
      <w:r>
        <w:rPr/>
      </w:r>
    </w:p>
    <w:p>
      <w:pPr>
        <w:pStyle w:val="TextBody"/>
        <w:spacing w:lineRule="auto" w:line="276" w:before="0" w:after="0"/>
        <w:jc w:val="both"/>
        <w:rPr/>
      </w:pPr>
      <w:r>
        <w:rPr>
          <w:rFonts w:ascii="Times New Roman;sans-serif" w:hAnsi="Times New Roman;sans-serif"/>
          <w:b w:val="false"/>
          <w:color w:val="000000"/>
          <w:sz w:val="22"/>
        </w:rPr>
        <w:t xml:space="preserve">The Company’s Deuterated Dimethyltryptamine Program is focused on the development of CYB004, a deuterated version of DMT. </w:t>
      </w:r>
      <w:r>
        <w:rPr>
          <w:rFonts w:ascii="Times New Roman;sans-serif" w:hAnsi="Times New Roman;sans-serif"/>
          <w:b w:val="false"/>
          <w:color w:val="000000"/>
          <w:sz w:val="22"/>
          <w:highlight w:val="white"/>
        </w:rPr>
        <w:t>DMT has been shown to exert its psychedelic effects by activating the 5-HT2A receptor. In its regular form, DMT is an unstable molecule rapidly metabolized in the body, which significantly</w:t>
      </w:r>
      <w:r>
        <w:rPr>
          <w:color w:val="000000"/>
        </w:rPr>
        <w:t xml:space="preserve"> </w:t>
      </w:r>
      <w:r>
        <w:rPr>
          <w:rFonts w:ascii="Times New Roman;sans-serif" w:hAnsi="Times New Roman;sans-serif"/>
          <w:b w:val="false"/>
          <w:color w:val="000000"/>
          <w:sz w:val="22"/>
        </w:rPr>
        <w:t>reduces</w:t>
      </w:r>
      <w:r>
        <w:rPr>
          <w:color w:val="000000"/>
          <w:highlight w:val="white"/>
        </w:rPr>
        <w:t xml:space="preserve"> </w:t>
      </w:r>
      <w:r>
        <w:rPr>
          <w:rFonts w:ascii="Times New Roman;sans-serif" w:hAnsi="Times New Roman;sans-serif"/>
          <w:b w:val="false"/>
          <w:color w:val="000000"/>
          <w:sz w:val="22"/>
          <w:highlight w:val="white"/>
        </w:rPr>
        <w:t xml:space="preserve">its bioavailability. By maximizing CYB004 as a deuterated molecule and improving upon the bioavailability of DMT, CYB004 has the potential to overcome existing limitations of DMT and may offer less invasive and more convenient dosing methods compared to IV DMT. </w:t>
      </w:r>
      <w:r>
        <w:rPr>
          <w:rFonts w:ascii="Times New Roman;sans-serif" w:hAnsi="Times New Roman;sans-serif"/>
          <w:b w:val="false"/>
          <w:color w:val="000000"/>
          <w:sz w:val="22"/>
        </w:rPr>
        <w:t>Cybin is currently developing CYB004 for the potential treatment of GAD, with or without MDD. CYB004 is secured by a U.S. composition of matter patent with protection through 2041. The patent covers a range of deuteration forms of DMT and protects CYB004 as a putative new chemical entity.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preclinical studies,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psychedelic-based therapeutics.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2"/>
        </w:rPr>
        <w:t>On June 7, 2022, the Company announced it had entered into an agreement to acquire a Phase 1 DMT study (the “</w:t>
      </w:r>
      <w:r>
        <w:rPr>
          <w:rFonts w:ascii="Times New Roman;sans-serif" w:hAnsi="Times New Roman;sans-serif"/>
          <w:b/>
          <w:color w:val="000000"/>
          <w:sz w:val="22"/>
        </w:rPr>
        <w:t>Asset Acquisition</w:t>
      </w:r>
      <w:r>
        <w:rPr>
          <w:color w:val="000000"/>
        </w:rPr>
        <w:t>”</w:t>
      </w:r>
      <w:r>
        <w:rPr>
          <w:rFonts w:ascii="Times New Roman;sans-serif" w:hAnsi="Times New Roman;sans-serif"/>
          <w:b w:val="false"/>
          <w:color w:val="000000"/>
          <w:sz w:val="22"/>
        </w:rPr>
        <w:t>) from Entheon Biomedical Corp. (“</w:t>
      </w:r>
      <w:r>
        <w:rPr>
          <w:rFonts w:ascii="Times New Roman;sans-serif" w:hAnsi="Times New Roman;sans-serif"/>
          <w:b/>
          <w:color w:val="000000"/>
          <w:sz w:val="22"/>
        </w:rPr>
        <w:t>Entheon</w:t>
      </w:r>
      <w:r>
        <w:rPr>
          <w:color w:val="000000"/>
        </w:rPr>
        <w:t>”</w:t>
      </w:r>
      <w:r>
        <w:rPr>
          <w:rFonts w:ascii="Times New Roman;sans-serif" w:hAnsi="Times New Roman;sans-serif"/>
          <w:b w:val="false"/>
          <w:color w:val="000000"/>
          <w:sz w:val="22"/>
        </w:rPr>
        <w:t xml:space="preserve">) to accelerate the clinical development path for CYB004. On July 11, 2022, the Company announced that the Asset Acquisition was completed. The Phase 1 study, previously identified as EBRX-101 and now named CYB004-E, is being conducted in the Netherlands. Entheon acted as external consultants to the Company for approximately 10 months after the Asset Acquisition.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12, 2023, the Company announced that it has selected GAD with or without MDD as the target indication for its proprietary deuterated DMT molecule, CYB004. </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About the Phase 1 CYB004-E DMT Study</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Phase 1 trial is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is expected to provide essential safety and dosing optimization data to inform the </w:t>
      </w:r>
    </w:p>
    <w:p>
      <w:pPr>
        <w:pStyle w:val="TextBody"/>
        <w:spacing w:lineRule="auto" w:line="252" w:before="0" w:after="2"/>
        <w:jc w:val="both"/>
        <w:rPr/>
      </w:pPr>
      <w:r>
        <w:rPr>
          <w:rFonts w:ascii="Times New Roman;sans-serif" w:hAnsi="Times New Roman;sans-serif"/>
          <w:b w:val="false"/>
          <w:color w:val="000000"/>
          <w:sz w:val="16"/>
        </w:rPr>
        <w:t>11</w:t>
      </w:r>
      <w:r>
        <w:rPr>
          <w:color w:val="000000"/>
        </w:rPr>
        <w:t xml:space="preserve"> </w:t>
      </w:r>
      <w:r>
        <w:rPr>
          <w:rFonts w:ascii="Times New Roman;sans-serif" w:hAnsi="Times New Roman;sans-serif"/>
          <w:b w:val="false"/>
          <w:color w:val="000000"/>
          <w:sz w:val="18"/>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spacing w:lineRule="auto" w:line="252" w:before="0" w:after="0"/>
        <w:jc w:val="both"/>
        <w:rPr/>
      </w:pPr>
      <w:r>
        <w:rPr>
          <w:rFonts w:ascii="Times New Roman;sans-serif" w:hAnsi="Times New Roman;sans-serif"/>
          <w:b w:val="false"/>
          <w:color w:val="000000"/>
          <w:sz w:val="16"/>
        </w:rPr>
        <w:t>12</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this milestone in late Q3 2023. The Company now expects to receive the initial topline data readout in late Q3 2023, with the balance of the data being available in Q4 2023 based upon the current progress to date. Anticipated spending and timelines regarding drug development are based on reasonable assumptions informed by current knowledge and information available to the Company.</w:t>
      </w:r>
    </w:p>
    <w:p>
      <w:pPr>
        <w:pStyle w:val="TextBody"/>
        <w:spacing w:lineRule="auto" w:line="252" w:before="0" w:after="2"/>
        <w:jc w:val="both"/>
        <w:rPr/>
      </w:pPr>
      <w:r>
        <w:rPr>
          <w:rFonts w:ascii="Times New Roman;sans-serif" w:hAnsi="Times New Roman;sans-serif"/>
          <w:b w:val="false"/>
          <w:color w:val="000000"/>
          <w:sz w:val="16"/>
        </w:rPr>
        <w:t>13</w:t>
      </w:r>
      <w:r>
        <w:rPr>
          <w:color w:val="000000"/>
        </w:rPr>
        <w:t xml:space="preserve"> </w:t>
      </w:r>
      <w:r>
        <w:rPr>
          <w:rFonts w:ascii="Times New Roman;sans-serif" w:hAnsi="Times New Roman;sans-serif"/>
          <w:b w:val="false"/>
          <w:color w:val="000000"/>
          <w:sz w:val="18"/>
        </w:rPr>
        <w:t>See footnote 11. The advancement of the Company’s Deuterated Psilocybin Analog Program (CYB003) program beyond providing a topline data readout from the Phase 1/2a study in Q3/Q4 2023 is contingent on the Company's ability to continue raising capital under its current and future financing arrangements. No assurances can be given that the Company will be able to raise the additional capital that it may require for its</w:t>
      </w:r>
    </w:p>
    <w:p>
      <w:pPr>
        <w:pStyle w:val="TextBody"/>
        <w:spacing w:lineRule="auto" w:line="252" w:before="0" w:after="2"/>
        <w:jc w:val="both"/>
        <w:rPr/>
      </w:pPr>
      <w:r>
        <w:rPr>
          <w:rFonts w:ascii="Times New Roman;sans-serif" w:hAnsi="Times New Roman;sans-serif"/>
          <w:b w:val="false"/>
          <w:color w:val="000000"/>
          <w:sz w:val="18"/>
        </w:rPr>
        <w:t>anticipated future development. See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for further information.</w:t>
      </w:r>
    </w:p>
    <w:p>
      <w:pPr>
        <w:pStyle w:val="TextBody"/>
        <w:spacing w:lineRule="auto" w:line="252" w:before="0" w:after="2"/>
        <w:jc w:val="both"/>
        <w:rPr/>
      </w:pPr>
      <w:r>
        <w:rPr>
          <w:rFonts w:ascii="Times New Roman;sans-serif" w:hAnsi="Times New Roman;sans-serif"/>
          <w:b w:val="false"/>
          <w:color w:val="000000"/>
          <w:sz w:val="16"/>
        </w:rPr>
        <w:t>14</w:t>
      </w:r>
      <w:r>
        <w:rPr>
          <w:color w:val="000000"/>
        </w:rPr>
        <w:t xml:space="preserve"> </w:t>
      </w:r>
      <w:r>
        <w:rPr>
          <w:rFonts w:ascii="Times New Roman;sans-serif" w:hAnsi="Times New Roman;sans-serif"/>
          <w:b w:val="false"/>
          <w:color w:val="000000"/>
          <w:sz w:val="18"/>
        </w:rPr>
        <w:t>Reflects spending during the financial year ended March 31, 2023. The Company had previously estimated that its actual and expected spend up to February 2023, for this program would be $3,192. Anticipated spending and timelines regarding drug development are based on reasonable assumptions informed by current knowledge and information available to the Company.</w:t>
      </w:r>
    </w:p>
    <w:p>
      <w:pPr>
        <w:pStyle w:val="TextBody"/>
        <w:spacing w:lineRule="auto" w:line="252" w:before="0" w:after="2"/>
        <w:jc w:val="both"/>
        <w:rPr/>
      </w:pPr>
      <w:r>
        <w:rPr>
          <w:rFonts w:ascii="Times New Roman;sans-serif" w:hAnsi="Times New Roman;sans-serif"/>
          <w:b w:val="false"/>
          <w:color w:val="000000"/>
          <w:sz w:val="16"/>
        </w:rPr>
        <w:t>15</w:t>
      </w:r>
      <w:r>
        <w:rPr>
          <w:color w:val="000000"/>
        </w:rPr>
        <w:t xml:space="preserve"> </w:t>
      </w:r>
      <w:r>
        <w:rPr>
          <w:rFonts w:ascii="Times New Roman;sans-serif" w:hAnsi="Times New Roman;sans-serif"/>
          <w:b w:val="false"/>
          <w:color w:val="000000"/>
          <w:sz w:val="18"/>
        </w:rPr>
        <w:t>Reflects actual spend during the period from March 1, 2023 to March 31, 2023 and expected spend during the period from April 1, 2023</w:t>
      </w:r>
    </w:p>
    <w:p>
      <w:pPr>
        <w:pStyle w:val="TextBody"/>
        <w:spacing w:lineRule="auto" w:line="252" w:before="0" w:after="2"/>
        <w:jc w:val="both"/>
        <w:rPr>
          <w:rFonts w:ascii="Times New Roman;sans-serif" w:hAnsi="Times New Roman;sans-serif"/>
          <w:b w:val="false"/>
          <w:color w:val="000000"/>
          <w:sz w:val="18"/>
        </w:rPr>
      </w:pPr>
      <w:r>
        <w:rPr>
          <w:rFonts w:ascii="Times New Roman;sans-serif" w:hAnsi="Times New Roman;sans-serif"/>
          <w:b w:val="false"/>
          <w:color w:val="000000"/>
          <w:sz w:val="18"/>
        </w:rPr>
        <w:t>until the achievement of topline data readout from the Phase 1/2a study in Q3/Q4 2023. The expected spend assumes the advancement of the</w:t>
      </w:r>
    </w:p>
    <w:p>
      <w:pPr>
        <w:pStyle w:val="TextBody"/>
        <w:spacing w:lineRule="auto" w:line="252" w:before="0" w:after="2"/>
        <w:jc w:val="both"/>
        <w:rPr>
          <w:rFonts w:ascii="Times New Roman;sans-serif" w:hAnsi="Times New Roman;sans-serif"/>
          <w:b w:val="false"/>
          <w:color w:val="000000"/>
          <w:sz w:val="18"/>
        </w:rPr>
      </w:pPr>
      <w:r>
        <w:rPr>
          <w:rFonts w:ascii="Times New Roman;sans-serif" w:hAnsi="Times New Roman;sans-serif"/>
          <w:b w:val="false"/>
          <w:color w:val="000000"/>
          <w:sz w:val="18"/>
        </w:rPr>
        <w:t>Company’s CYB003 program beyond providing a topline data readout from the Phase 1/2a study in late Q3 2023, which advancement is</w:t>
      </w:r>
    </w:p>
    <w:p>
      <w:pPr>
        <w:pStyle w:val="TextBody"/>
        <w:spacing w:lineRule="auto" w:line="252" w:before="0" w:after="2"/>
        <w:jc w:val="both"/>
        <w:rPr>
          <w:rFonts w:ascii="Times New Roman;sans-serif" w:hAnsi="Times New Roman;sans-serif"/>
          <w:b w:val="false"/>
          <w:color w:val="000000"/>
          <w:sz w:val="18"/>
        </w:rPr>
      </w:pPr>
      <w:r>
        <w:rPr>
          <w:rFonts w:ascii="Times New Roman;sans-serif" w:hAnsi="Times New Roman;sans-serif"/>
          <w:b w:val="false"/>
          <w:color w:val="000000"/>
          <w:sz w:val="18"/>
        </w:rPr>
        <w:t>contingent on the Company’s ability to continue raising capital under its current and future financing arrangements.</w:t>
      </w:r>
    </w:p>
    <w:p>
      <w:pPr>
        <w:pStyle w:val="TextBody"/>
        <w:spacing w:lineRule="auto" w:line="288" w:before="0" w:after="2"/>
        <w:jc w:val="both"/>
        <w:rPr/>
      </w:pPr>
      <w:r>
        <w:rPr>
          <w:rFonts w:ascii="Times New Roman;sans-serif" w:hAnsi="Times New Roman;sans-serif"/>
          <w:b w:val="false"/>
          <w:color w:val="000000"/>
          <w:sz w:val="12"/>
        </w:rPr>
        <w:t>16</w:t>
      </w:r>
      <w:r>
        <w:rPr>
          <w:color w:val="000000"/>
        </w:rPr>
        <w:t xml:space="preserve"> </w:t>
      </w:r>
      <w:r>
        <w:rPr>
          <w:rFonts w:ascii="Times New Roman;sans-serif" w:hAnsi="Times New Roman;sans-serif"/>
          <w:b w:val="false"/>
          <w:color w:val="000000"/>
          <w:sz w:val="18"/>
        </w:rPr>
        <w:t>See footnote 11.</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692265" cy="160655"/>
                <wp:effectExtent l="0" t="0" r="0" b="0"/>
                <wp:wrapNone/>
                <wp:docPr id="178" name="Frame165"/>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clinical path forward for CYB004. The CYB004-E study is being conducted at the Centre for Human Drug Research in the Netherlands and is one of the largest Phase 1 DMT clinical trials to date.</w:t>
      </w:r>
    </w:p>
    <w:p>
      <w:pPr>
        <w:pStyle w:val="TextBody"/>
        <w:spacing w:before="0" w:after="2"/>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10, 2022, the Company announced that its CYB004-E Phase 1 trial evaluating IV DMT completed dosing for four out of five participant cohorts and that the Safety Review Committee had confirmed no safety or toxicity issues.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1, 2023, the Company announced that it had received approval from an independent ethics committee in the Netherlands to initiate first-in-human dosing of CYB004 through a protocol amendment to its ongoing Phase 1 CYB004-E study.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9, 2023, the Company announced that it had completed dosing for the last subject in Part B of the Phase 1 CYB004-E trial.</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2023, the Company announced that it had initiated first-in-human dosing of CYB004 in Part C of the Phase 1 CYB004-E trial. </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spent approximately $7,770 on its Deuterated Dimethyltryptamine Program during the financial year ended March 31, 2023. </w:t>
      </w:r>
    </w:p>
    <w:p>
      <w:pPr>
        <w:pStyle w:val="TextBody"/>
        <w:spacing w:lineRule="auto" w:line="268" w:before="0" w:after="2"/>
        <w:jc w:val="both"/>
        <w:rPr/>
      </w:pPr>
      <w:r>
        <w:rPr>
          <w:rFonts w:ascii="Times New Roman;sans-serif" w:hAnsi="Times New Roman;sans-serif"/>
          <w:b w:val="false"/>
          <w:color w:val="000000"/>
          <w:sz w:val="22"/>
        </w:rPr>
        <w:t>As the Company continues to progress its Deuterated Dimethyltryptamine Program, additional milestones related to its clinical development have been identified</w:t>
      </w:r>
      <w:r>
        <w:rPr>
          <w:rFonts w:ascii="Times New Roman;sans-serif" w:hAnsi="Times New Roman;sans-serif"/>
          <w:b w:val="false"/>
          <w:color w:val="000000"/>
          <w:sz w:val="14"/>
        </w:rPr>
        <w:t>17</w:t>
      </w:r>
      <w:r>
        <w:rPr>
          <w:rFonts w:ascii="Times New Roman;sans-serif" w:hAnsi="Times New Roman;sans-serif"/>
          <w:b w:val="false"/>
          <w:color w:val="000000"/>
          <w:sz w:val="22"/>
        </w:rPr>
        <w:t>. The Company intends to:</w:t>
      </w:r>
    </w:p>
    <w:p>
      <w:pPr>
        <w:pStyle w:val="TextBody"/>
        <w:spacing w:before="0" w:after="2"/>
        <w:jc w:val="both"/>
        <w:rPr/>
      </w:pPr>
      <w:r>
        <w:rPr/>
      </w:r>
    </w:p>
    <w:p>
      <w:pPr>
        <w:pStyle w:val="TextBody"/>
        <w:spacing w:lineRule="auto" w:line="288" w:before="0" w:after="2"/>
        <w:ind w:left="0" w:right="0" w:hanging="360"/>
        <w:jc w:val="both"/>
        <w:rPr/>
      </w:pPr>
      <w:r>
        <w:rPr>
          <w:color w:val="000000"/>
        </w:rPr>
        <w:t>•</w:t>
      </w:r>
      <w:r>
        <w:rPr>
          <w:rFonts w:ascii="Times New Roman;sans-serif" w:hAnsi="Times New Roman;sans-serif"/>
          <w:b w:val="false"/>
          <w:color w:val="000000"/>
          <w:sz w:val="22"/>
        </w:rPr>
        <w:t>provide topline data from the Phase 1 CYB004-E trial in Q3/Q4 2023</w:t>
      </w:r>
      <w:r>
        <w:rPr>
          <w:rFonts w:ascii="Times New Roman;sans-serif" w:hAnsi="Times New Roman;sans-serif"/>
          <w:b w:val="false"/>
          <w:color w:val="000000"/>
          <w:sz w:val="14"/>
        </w:rPr>
        <w:t>18</w:t>
      </w:r>
      <w:r>
        <w:rPr>
          <w:rFonts w:ascii="Times New Roman;sans-serif" w:hAnsi="Times New Roman;sans-serif"/>
          <w:b w:val="false"/>
          <w:color w:val="000000"/>
          <w:sz w:val="22"/>
        </w:rPr>
        <w:t>.</w:t>
      </w:r>
    </w:p>
    <w:p>
      <w:pPr>
        <w:pStyle w:val="TextBody"/>
        <w:spacing w:lineRule="auto" w:line="288" w:before="0" w:after="2"/>
        <w:ind w:left="0" w:right="0" w:hanging="360"/>
        <w:jc w:val="both"/>
        <w:rPr/>
      </w:pPr>
      <w:r>
        <w:rPr>
          <w:color w:val="000000"/>
        </w:rPr>
        <w:t>•</w:t>
      </w:r>
      <w:r>
        <w:rPr>
          <w:rFonts w:ascii="Times New Roman;sans-serif" w:hAnsi="Times New Roman;sans-serif"/>
          <w:b w:val="false"/>
          <w:color w:val="000000"/>
          <w:sz w:val="22"/>
        </w:rPr>
        <w:t>complete FDA IND submission in Q1 2024</w:t>
      </w:r>
      <w:r>
        <w:rPr>
          <w:rFonts w:ascii="Times New Roman;sans-serif" w:hAnsi="Times New Roman;sans-serif"/>
          <w:b w:val="false"/>
          <w:color w:val="000000"/>
          <w:sz w:val="14"/>
        </w:rPr>
        <w:t>19</w:t>
      </w:r>
      <w:r>
        <w:rPr>
          <w:rFonts w:ascii="Times New Roman;sans-serif" w:hAnsi="Times New Roman;sans-serif"/>
          <w:b w:val="false"/>
          <w:color w:val="000000"/>
          <w:sz w:val="22"/>
        </w:rPr>
        <w:t xml:space="preserve">. </w:t>
      </w:r>
    </w:p>
    <w:p>
      <w:pPr>
        <w:pStyle w:val="TextBody"/>
        <w:spacing w:before="0" w:after="2"/>
        <w:jc w:val="both"/>
        <w:rPr/>
      </w:pPr>
      <w:r>
        <w:rPr/>
      </w:r>
    </w:p>
    <w:p>
      <w:pPr>
        <w:pStyle w:val="TextBody"/>
        <w:spacing w:lineRule="auto" w:line="288" w:before="0" w:after="2"/>
        <w:jc w:val="both"/>
        <w:rPr/>
      </w:pPr>
      <w:r>
        <w:rPr>
          <w:rFonts w:ascii="Times New Roman;sans-serif" w:hAnsi="Times New Roman;sans-serif"/>
          <w:b w:val="false"/>
          <w:color w:val="000000"/>
          <w:sz w:val="22"/>
        </w:rPr>
        <w:t>The Company expects to spend approximately $10,906 to complete FDA IND submission for CYB004 by Q1 2024 and $4,278</w:t>
      </w:r>
      <w:r>
        <w:rPr>
          <w:rFonts w:ascii="Times New Roman;sans-serif" w:hAnsi="Times New Roman;sans-serif"/>
          <w:b w:val="false"/>
          <w:color w:val="000000"/>
          <w:sz w:val="14"/>
        </w:rPr>
        <w:t>20</w:t>
      </w:r>
      <w:r>
        <w:rPr>
          <w:color w:val="000000"/>
        </w:rPr>
        <w:t xml:space="preserve"> </w:t>
      </w:r>
      <w:r>
        <w:rPr>
          <w:rFonts w:ascii="Times New Roman;sans-serif" w:hAnsi="Times New Roman;sans-serif"/>
          <w:b w:val="false"/>
          <w:color w:val="000000"/>
          <w:sz w:val="22"/>
        </w:rPr>
        <w:t xml:space="preserve">to provide topline data from the Phase 1 CYB004-E trial in Q3 2023. The Company intends to continue funding the Deuterated Dimethyltryptamine (CYB004) Program. </w:t>
      </w:r>
    </w:p>
    <w:p>
      <w:pPr>
        <w:pStyle w:val="TextBody"/>
        <w:spacing w:before="0" w:after="2"/>
        <w:jc w:val="both"/>
        <w:rPr/>
      </w:pPr>
      <w:r>
        <w:rPr/>
      </w:r>
    </w:p>
    <w:p>
      <w:pPr>
        <w:pStyle w:val="TextBody"/>
        <w:spacing w:lineRule="auto" w:line="252" w:before="0" w:after="2"/>
        <w:jc w:val="both"/>
        <w:rPr/>
      </w:pPr>
      <w:r>
        <w:rPr>
          <w:rFonts w:ascii="Times New Roman;sans-serif" w:hAnsi="Times New Roman;sans-serif"/>
          <w:b w:val="false"/>
          <w:color w:val="000000"/>
          <w:sz w:val="16"/>
        </w:rPr>
        <w:t>17</w:t>
      </w:r>
      <w:r>
        <w:rPr>
          <w:rFonts w:ascii="Times New Roman;sans-serif" w:hAnsi="Times New Roman;sans-serif"/>
          <w:b w:val="false"/>
          <w:color w:val="000000"/>
          <w:sz w:val="18"/>
        </w:rPr>
        <w:t>See footnote 11. The Company is prioritizing its progression of its Deuterated Psilocybin Analog Program (CYB003). The advancement of</w:t>
      </w:r>
    </w:p>
    <w:p>
      <w:pPr>
        <w:pStyle w:val="TextBody"/>
        <w:spacing w:lineRule="auto" w:line="252" w:before="0" w:after="2"/>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Deuterated Dimethyltryptamine Program (CYB004) is contingent on the Company's ability to continue raising capital under its</w:t>
      </w:r>
    </w:p>
    <w:p>
      <w:pPr>
        <w:pStyle w:val="TextBody"/>
        <w:spacing w:lineRule="auto" w:line="252" w:before="0" w:after="2"/>
        <w:jc w:val="both"/>
        <w:rPr>
          <w:rFonts w:ascii="Times New Roman;sans-serif" w:hAnsi="Times New Roman;sans-serif"/>
          <w:b w:val="false"/>
          <w:color w:val="000000"/>
          <w:sz w:val="18"/>
        </w:rPr>
      </w:pPr>
      <w:r>
        <w:rPr>
          <w:rFonts w:ascii="Times New Roman;sans-serif" w:hAnsi="Times New Roman;sans-serif"/>
          <w:b w:val="false"/>
          <w:color w:val="000000"/>
          <w:sz w:val="18"/>
        </w:rPr>
        <w:t>current and future financing arrangements. No assurances can be given that the Company will be able to raise the additional capital that it may</w:t>
      </w:r>
    </w:p>
    <w:p>
      <w:pPr>
        <w:pStyle w:val="TextBody"/>
        <w:spacing w:lineRule="auto" w:line="252" w:before="0" w:after="2"/>
        <w:jc w:val="both"/>
        <w:rPr/>
      </w:pPr>
      <w:r>
        <w:rPr>
          <w:rFonts w:ascii="Times New Roman;sans-serif" w:hAnsi="Times New Roman;sans-serif"/>
          <w:b w:val="false"/>
          <w:color w:val="000000"/>
          <w:sz w:val="18"/>
        </w:rPr>
        <w:t>require for its anticipated future development. See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 xml:space="preserve">for further information. </w:t>
      </w:r>
    </w:p>
    <w:p>
      <w:pPr>
        <w:pStyle w:val="TextBody"/>
        <w:spacing w:lineRule="auto" w:line="252" w:before="0" w:after="2"/>
        <w:jc w:val="both"/>
        <w:rPr/>
      </w:pPr>
      <w:r>
        <w:rPr>
          <w:rFonts w:ascii="Times New Roman;sans-serif" w:hAnsi="Times New Roman;sans-serif"/>
          <w:b w:val="false"/>
          <w:color w:val="000000"/>
          <w:sz w:val="16"/>
        </w:rPr>
        <w:t>18</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this milestone in late Q3 2023. The Company now expects to receive the initial topline data readout in late Q3 2023, with the balance of the data being available in Q4 2023 based upon the current progress to date. Anticipated spending and timelines regarding drug development are based on reasonable assumptions informed by current knowledge and information available to the Company. See footnote 11.</w:t>
      </w:r>
    </w:p>
    <w:p>
      <w:pPr>
        <w:pStyle w:val="TextBody"/>
        <w:spacing w:lineRule="auto" w:line="252" w:before="0" w:after="2"/>
        <w:jc w:val="both"/>
        <w:rPr/>
      </w:pPr>
      <w:r>
        <w:rPr>
          <w:rFonts w:ascii="Times New Roman;sans-serif" w:hAnsi="Times New Roman;sans-serif"/>
          <w:b w:val="false"/>
          <w:color w:val="000000"/>
          <w:sz w:val="16"/>
        </w:rPr>
        <w:t>19</w:t>
      </w:r>
      <w:r>
        <w:rPr>
          <w:color w:val="000000"/>
        </w:rPr>
        <w:t xml:space="preserve"> </w:t>
      </w:r>
      <w:r>
        <w:rPr>
          <w:rFonts w:ascii="Times New Roman;sans-serif" w:hAnsi="Times New Roman;sans-serif"/>
          <w:b w:val="false"/>
          <w:color w:val="000000"/>
          <w:sz w:val="18"/>
        </w:rPr>
        <w:t>The Company has updated this milestone. The Company had previously expected it would complete the IND-enabling preclinical studies of CYB004 by December 31, 2023. As noted in the press release on February 28, 2023 this milestone is no longer required to advance the program. The Company has updated the milestone to submit clinical data for regulatory submission in Q1 2024. The Company previously disclosed expected spending up to December 31, 2023 for this milestone would be $9,518.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spacing w:lineRule="auto" w:line="252" w:before="0" w:after="2"/>
        <w:jc w:val="both"/>
        <w:rPr/>
      </w:pPr>
      <w:r>
        <w:rPr>
          <w:rFonts w:ascii="Times New Roman;sans-serif" w:hAnsi="Times New Roman;sans-serif"/>
          <w:b w:val="false"/>
          <w:color w:val="000000"/>
          <w:sz w:val="16"/>
        </w:rPr>
        <w:t>20</w:t>
      </w:r>
      <w:r>
        <w:rPr>
          <w:color w:val="000000"/>
        </w:rPr>
        <w:t xml:space="preserve"> </w:t>
      </w:r>
      <w:r>
        <w:rPr>
          <w:rFonts w:ascii="Times New Roman;sans-serif" w:hAnsi="Times New Roman;sans-serif"/>
          <w:b w:val="false"/>
          <w:color w:val="000000"/>
          <w:sz w:val="18"/>
        </w:rPr>
        <w:t>The Company has updated this milestone. The Company had previously estimated that its spending up to the first half of 2023 to advance the Phase 1 CYB004-E trial would be $3,366. The Company expects to provide topline data from the Phase 1 CYB004-E trial in Q3 2023.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692265" cy="160655"/>
                <wp:effectExtent l="0" t="0" r="0" b="0"/>
                <wp:wrapNone/>
                <wp:docPr id="179" name="Frame166"/>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88"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Phenethylamine Derivatives Program (CYB005)</w:t>
      </w:r>
    </w:p>
    <w:p>
      <w:pPr>
        <w:pStyle w:val="TextBody"/>
        <w:spacing w:lineRule="auto" w:line="288" w:before="0" w:after="2"/>
        <w:jc w:val="both"/>
        <w:rPr/>
      </w:pPr>
      <w:r>
        <w:rPr>
          <w:rFonts w:ascii="Times New Roman;sans-serif" w:hAnsi="Times New Roman;sans-serif"/>
          <w:b w:val="false"/>
          <w:color w:val="000000"/>
          <w:sz w:val="22"/>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psychiatric disorders, neuroinflammation and other neurological conditions.</w:t>
      </w:r>
      <w:r>
        <w:rPr>
          <w:rFonts w:ascii="Times New Roman;sans-serif" w:hAnsi="Times New Roman;sans-serif"/>
          <w:b w:val="false"/>
          <w:color w:val="000000"/>
          <w:sz w:val="14"/>
        </w:rPr>
        <w:t>21</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pStyle w:val="TextBody"/>
        <w:spacing w:before="0" w:after="2"/>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utilizing the expertise of selected third parties, the Company intends to oversee the study of the pharmacokinetic (PK) profiles of its formulations in a number of animal models and the completion of Absorption, Distribution, Metabolism, and Excretion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complete these studies, and collect further relevant safety and toxicity data, prior to the filing for any IND application with the FDA, a CTA with Health Canada, or other similar application with regulatory bodies in other jurisdictions.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spent approximately $782 on its preclinical Phenethylamine Derivatives Program during the financial year ended March 31, 2023.</w:t>
      </w:r>
    </w:p>
    <w:p>
      <w:pPr>
        <w:pStyle w:val="TextBody"/>
        <w:spacing w:before="0" w:after="2"/>
        <w:jc w:val="both"/>
        <w:rPr/>
      </w:pPr>
      <w:r>
        <w:rPr/>
      </w:r>
    </w:p>
    <w:p>
      <w:pPr>
        <w:pStyle w:val="TextBody"/>
        <w:spacing w:lineRule="auto" w:line="288" w:before="0" w:after="2"/>
        <w:jc w:val="both"/>
        <w:rPr/>
      </w:pPr>
      <w:r>
        <w:rPr>
          <w:rFonts w:ascii="Times New Roman;sans-serif" w:hAnsi="Times New Roman;sans-serif"/>
          <w:b w:val="false"/>
          <w:color w:val="000000"/>
          <w:sz w:val="22"/>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2023</w:t>
      </w:r>
      <w:r>
        <w:rPr>
          <w:rFonts w:ascii="Times New Roman;sans-serif" w:hAnsi="Times New Roman;sans-serif"/>
          <w:b w:val="false"/>
          <w:color w:val="000000"/>
          <w:sz w:val="14"/>
        </w:rPr>
        <w:t>22</w:t>
      </w:r>
      <w:r>
        <w:rPr>
          <w:rFonts w:ascii="Times New Roman;sans-serif" w:hAnsi="Times New Roman;sans-serif"/>
          <w:b w:val="false"/>
          <w:color w:val="000000"/>
          <w:sz w:val="22"/>
        </w:rPr>
        <w:t>.</w:t>
      </w:r>
    </w:p>
    <w:p>
      <w:pPr>
        <w:pStyle w:val="TextBody"/>
        <w:spacing w:before="0" w:after="2"/>
        <w:jc w:val="both"/>
        <w:rPr/>
      </w:pPr>
      <w:r>
        <w:rPr/>
      </w:r>
    </w:p>
    <w:p>
      <w:pPr>
        <w:pStyle w:val="TextBody"/>
        <w:spacing w:lineRule="auto" w:line="288" w:before="0" w:after="2"/>
        <w:jc w:val="both"/>
        <w:rPr/>
      </w:pPr>
      <w:r>
        <w:rPr>
          <w:rFonts w:ascii="Times New Roman;sans-serif" w:hAnsi="Times New Roman;sans-serif"/>
          <w:b w:val="false"/>
          <w:color w:val="000000"/>
          <w:sz w:val="22"/>
        </w:rPr>
        <w:t>The Company expects to spend approximately $1,283</w:t>
      </w:r>
      <w:r>
        <w:rPr>
          <w:rFonts w:ascii="Times New Roman;sans-serif" w:hAnsi="Times New Roman;sans-serif"/>
          <w:b w:val="false"/>
          <w:color w:val="000000"/>
          <w:sz w:val="14"/>
        </w:rPr>
        <w:t>23</w:t>
      </w:r>
      <w:r>
        <w:rPr>
          <w:color w:val="000000"/>
        </w:rPr>
        <w:t xml:space="preserve"> </w:t>
      </w:r>
      <w:r>
        <w:rPr>
          <w:rFonts w:ascii="Times New Roman;sans-serif" w:hAnsi="Times New Roman;sans-serif"/>
          <w:b w:val="false"/>
          <w:color w:val="000000"/>
          <w:sz w:val="22"/>
        </w:rPr>
        <w:t xml:space="preserve">to complete preclinical development of a phenethylamine drug candidate by September 30, 2023. The Company intends to continue funding the Phenethylamine Derivatives Program (CYB005) Program. </w:t>
      </w:r>
    </w:p>
    <w:p>
      <w:pPr>
        <w:pStyle w:val="TextBody"/>
        <w:spacing w:before="0" w:after="2"/>
        <w:jc w:val="both"/>
        <w:rPr/>
      </w:pPr>
      <w:r>
        <w:rPr/>
      </w:r>
    </w:p>
    <w:p>
      <w:pPr>
        <w:pStyle w:val="TextBody"/>
        <w:spacing w:lineRule="auto" w:line="252" w:before="0" w:after="0"/>
        <w:jc w:val="both"/>
        <w:rPr/>
      </w:pPr>
      <w:r>
        <w:rPr>
          <w:rFonts w:ascii="Times New Roman;sans-serif" w:hAnsi="Times New Roman;sans-serif"/>
          <w:b w:val="false"/>
          <w:color w:val="000000"/>
          <w:sz w:val="16"/>
        </w:rPr>
        <w:t>21</w:t>
      </w:r>
      <w:r>
        <w:rPr>
          <w:color w:val="000000"/>
        </w:rPr>
        <w:t xml:space="preserve"> </w:t>
      </w:r>
      <w:r>
        <w:rPr>
          <w:rFonts w:ascii="Times New Roman;sans-serif" w:hAnsi="Times New Roman;sans-serif"/>
          <w:b w:val="false"/>
          <w:color w:val="000000"/>
          <w:sz w:val="18"/>
        </w:rPr>
        <w:t xml:space="preserve">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p>
    <w:p>
      <w:pPr>
        <w:pStyle w:val="TextBody"/>
        <w:spacing w:lineRule="auto" w:line="252" w:before="0" w:after="2"/>
        <w:jc w:val="both"/>
        <w:rPr/>
      </w:pPr>
      <w:r>
        <w:rPr>
          <w:rFonts w:ascii="Times New Roman;sans-serif" w:hAnsi="Times New Roman;sans-serif"/>
          <w:b w:val="false"/>
          <w:color w:val="000000"/>
          <w:sz w:val="16"/>
        </w:rPr>
        <w:t>22</w:t>
      </w:r>
      <w:r>
        <w:rPr>
          <w:color w:val="000000"/>
        </w:rPr>
        <w:t xml:space="preserve"> </w:t>
      </w:r>
      <w:r>
        <w:rPr>
          <w:rFonts w:ascii="Times New Roman;sans-serif" w:hAnsi="Times New Roman;sans-serif"/>
          <w:b w:val="false"/>
          <w:color w:val="000000"/>
          <w:sz w:val="18"/>
        </w:rPr>
        <w:t>See footnote 11. The Company is prioritizing its progression of its Deuterated Psilocybin Analog Program (CYB003). The advancement of the Company’s Phenethylamine Derivatives Program (CYB005) is contingent on the Company's ability to continue raising capital under its current and future financing arrangements. No assurances can be given that the Company will be able to raise the additional capital that it may require for its anticipated future development. See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for further information.</w:t>
      </w:r>
    </w:p>
    <w:p>
      <w:pPr>
        <w:pStyle w:val="TextBody"/>
        <w:spacing w:lineRule="auto" w:line="288" w:before="0" w:after="2"/>
        <w:jc w:val="both"/>
        <w:rPr/>
      </w:pPr>
      <w:r>
        <w:rPr>
          <w:rFonts w:ascii="Times New Roman;sans-serif" w:hAnsi="Times New Roman;sans-serif"/>
          <w:b w:val="false"/>
          <w:color w:val="000000"/>
          <w:sz w:val="16"/>
        </w:rPr>
        <w:t>23</w:t>
      </w:r>
      <w:r>
        <w:rPr>
          <w:color w:val="000000"/>
        </w:rPr>
        <w:t xml:space="preserve"> </w:t>
      </w:r>
      <w:r>
        <w:rPr>
          <w:rFonts w:ascii="Times New Roman;sans-serif" w:hAnsi="Times New Roman;sans-serif"/>
          <w:b w:val="false"/>
          <w:color w:val="000000"/>
          <w:sz w:val="18"/>
        </w:rPr>
        <w:t>See footnote 21.</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692265" cy="160655"/>
                <wp:effectExtent l="0" t="0" r="0" b="0"/>
                <wp:wrapNone/>
                <wp:docPr id="180" name="Frame167"/>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88" w:before="0" w:after="2"/>
        <w:jc w:val="both"/>
        <w:rPr>
          <w:rFonts w:ascii="Times New Roman;sans-serif" w:hAnsi="Times New Roman;sans-serif"/>
          <w:b/>
          <w:color w:val="000000"/>
          <w:sz w:val="22"/>
          <w:u w:val="single"/>
        </w:rPr>
      </w:pPr>
      <w:r>
        <w:rPr>
          <w:rFonts w:ascii="Times New Roman;sans-serif" w:hAnsi="Times New Roman;sans-serif"/>
          <w:b/>
          <w:color w:val="000000"/>
          <w:sz w:val="22"/>
          <w:u w:val="single"/>
        </w:rPr>
        <w:t>Technology Programs</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Digital Therapy Platform</w:t>
      </w:r>
    </w:p>
    <w:p>
      <w:pPr>
        <w:pStyle w:val="TextBody"/>
        <w:spacing w:lineRule="auto" w:line="288" w:before="0" w:after="240"/>
        <w:jc w:val="both"/>
        <w:rPr/>
      </w:pPr>
      <w:r>
        <w:rPr>
          <w:rFonts w:ascii="Times New Roman;sans-serif" w:hAnsi="Times New Roman;sans-serif"/>
          <w:b w:val="false"/>
          <w:color w:val="000000"/>
          <w:sz w:val="22"/>
        </w:rPr>
        <w:t>The Company has been working on the creation of a patient digital therapy platform (the “</w:t>
      </w:r>
      <w:r>
        <w:rPr>
          <w:rFonts w:ascii="Times New Roman;sans-serif" w:hAnsi="Times New Roman;sans-serif"/>
          <w:b/>
          <w:color w:val="000000"/>
          <w:sz w:val="22"/>
        </w:rPr>
        <w:t>Digital Platform</w:t>
      </w:r>
      <w:r>
        <w:rPr>
          <w:color w:val="000000"/>
        </w:rPr>
        <w:t>”</w:t>
      </w:r>
      <w:r>
        <w:rPr>
          <w:rFonts w:ascii="Times New Roman;sans-serif" w:hAnsi="Times New Roman;sans-serif"/>
          <w:b w:val="false"/>
          <w:color w:val="000000"/>
          <w:sz w:val="22"/>
        </w:rPr>
        <w:t xml:space="preserve">). The Digital Platform is envisioned to help patients undergoing psychedelic therapies to memorialize the learning from their treatment sessions and to assist with the integration of such learnings into the patient’s psychotherapy program. </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Proof-of-concept testing for the Company's Digital Platform was completed in Q2 2022. The Company is currently evaluating paths forward for its Digital Platform program. </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Kernel Collaboration</w:t>
      </w:r>
    </w:p>
    <w:p>
      <w:pPr>
        <w:pStyle w:val="TextBody"/>
        <w:spacing w:lineRule="auto" w:line="288" w:before="0" w:after="240"/>
        <w:jc w:val="both"/>
        <w:rPr/>
      </w:pPr>
      <w:r>
        <w:rPr>
          <w:rFonts w:ascii="Times New Roman;sans-serif" w:hAnsi="Times New Roman;sans-serif"/>
          <w:b w:val="false"/>
          <w:color w:val="000000"/>
          <w:sz w:val="22"/>
        </w:rPr>
        <w:t>On January 11, 2021, the Company announced that it entered into an agreement with HI, LLC dba Kernel (“</w:t>
      </w:r>
      <w:r>
        <w:rPr>
          <w:rFonts w:ascii="Times New Roman;sans-serif" w:hAnsi="Times New Roman;sans-serif"/>
          <w:b/>
          <w:color w:val="000000"/>
          <w:sz w:val="22"/>
        </w:rPr>
        <w:t>Kernel</w:t>
      </w:r>
      <w:r>
        <w:rPr>
          <w:color w:val="000000"/>
        </w:rPr>
        <w:t>”</w:t>
      </w:r>
      <w:r>
        <w:rPr>
          <w:rFonts w:ascii="Times New Roman;sans-serif" w:hAnsi="Times New Roman;sans-serif"/>
          <w:b w:val="false"/>
          <w:color w:val="000000"/>
          <w:sz w:val="22"/>
        </w:rPr>
        <w:t>) that will enable the Company to use the Kernel Flow technology (</w:t>
      </w:r>
      <w:r>
        <w:rPr>
          <w:rFonts w:ascii="Times New Roman;sans-serif" w:hAnsi="Times New Roman;sans-serif"/>
          <w:b/>
          <w:color w:val="000000"/>
          <w:sz w:val="22"/>
        </w:rPr>
        <w:t>"Flow"</w:t>
      </w:r>
      <w:r>
        <w:rPr>
          <w:rFonts w:ascii="Times New Roman;sans-serif" w:hAnsi="Times New Roman;sans-serif"/>
          <w:b w:val="false"/>
          <w:color w:val="000000"/>
          <w:sz w:val="22"/>
        </w:rPr>
        <w:t xml:space="preserve">) to potentially measure neural activity during psychedelic therapy. </w:t>
      </w:r>
    </w:p>
    <w:p>
      <w:pPr>
        <w:pStyle w:val="TextBody"/>
        <w:spacing w:lineRule="auto" w:line="288" w:before="0" w:after="240"/>
        <w:jc w:val="both"/>
        <w:rPr/>
      </w:pPr>
      <w:r>
        <w:rPr>
          <w:rFonts w:ascii="Times New Roman;sans-serif" w:hAnsi="Times New Roman;sans-serif"/>
          <w:b w:val="false"/>
          <w:color w:val="000000"/>
          <w:sz w:val="22"/>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Times New Roman;sans-serif" w:hAnsi="Times New Roman;sans-serif"/>
          <w:b w:val="false"/>
          <w:color w:val="000000"/>
          <w:sz w:val="14"/>
        </w:rPr>
        <w:t>24</w:t>
      </w:r>
      <w:r>
        <w:rPr>
          <w:color w:val="000000"/>
        </w:rPr>
        <w:t xml:space="preserve"> </w:t>
      </w:r>
      <w:r>
        <w:rPr>
          <w:rFonts w:ascii="Times New Roman;sans-serif" w:hAnsi="Times New Roman;sans-serif"/>
          <w:b w:val="false"/>
          <w:color w:val="000000"/>
          <w:sz w:val="22"/>
        </w:rPr>
        <w:t xml:space="preserve">The Company completed its feasibility study sponsorship utilizing Flow in Q3 2022. </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("PR") and pulse rate variability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Results from the study are intended to inform the next steps forward for this program. </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About the Phase 1 Kernel Flow Feasibility Study</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main objective of the feasibility study was to evaluate a participant’s experience wearing Flow while in an altered state of consciousness following the administration of ketamine.</w:t>
      </w:r>
    </w:p>
    <w:p>
      <w:pPr>
        <w:pStyle w:val="TextBody"/>
        <w:spacing w:before="0" w:after="2"/>
        <w:jc w:val="both"/>
        <w:rPr/>
      </w:pPr>
      <w:r>
        <w:rPr/>
      </w:r>
    </w:p>
    <w:p>
      <w:pPr>
        <w:pStyle w:val="TextBody"/>
        <w:spacing w:lineRule="auto" w:line="252" w:before="0" w:after="2"/>
        <w:jc w:val="both"/>
        <w:rPr/>
      </w:pPr>
      <w:r>
        <w:rPr>
          <w:rFonts w:ascii="Times New Roman;sans-serif" w:hAnsi="Times New Roman;sans-serif"/>
          <w:b w:val="false"/>
          <w:color w:val="000000"/>
          <w:sz w:val="12"/>
        </w:rPr>
        <w:t>24</w:t>
      </w:r>
      <w:r>
        <w:rPr>
          <w:color w:val="000000"/>
        </w:rPr>
        <w:t xml:space="preserve"> </w:t>
      </w:r>
      <w:r>
        <w:rPr>
          <w:rFonts w:ascii="Times New Roman;sans-serif" w:hAnsi="Times New Roman;sans-serif"/>
          <w:b w:val="false"/>
          <w:color w:val="000000"/>
          <w:sz w:val="18"/>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sans-serif" w:hAnsi="Times New Roman;sans-serif"/>
          <w:b w:val="false"/>
          <w:i/>
          <w:color w:val="000000"/>
          <w:sz w:val="18"/>
        </w:rPr>
        <w:t>Scheidegger et al 2012; Zacharias et al 2019; Li et al 2022</w:t>
      </w:r>
      <w:r>
        <w:rPr>
          <w:rFonts w:ascii="Times New Roman;sans-serif" w:hAnsi="Times New Roman;sans-serif"/>
          <w:b w:val="false"/>
          <w:color w:val="000000"/>
          <w:sz w:val="18"/>
        </w:rPr>
        <w:t>). The piloting was conducted to ensure the efficiency of the feasibility study design. Participants in the pilot received either a low dose of ketamine and/or a placebo while wearing the Flow headset.</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692265" cy="160655"/>
                <wp:effectExtent l="0" t="0" r="0" b="0"/>
                <wp:wrapNone/>
                <wp:docPr id="181" name="Frame168"/>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As part of the Company’s sponsorship of the feasibility study, the Company will retain an exclusive interest in any innovations that are discovered or developed through its independent analysis of the study findings.</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spent approximately $493 on its technology programs during the financial year ended March 31, 2023. </w:t>
      </w:r>
    </w:p>
    <w:p>
      <w:pPr>
        <w:pStyle w:val="TextBody"/>
        <w:spacing w:lineRule="auto" w:line="268" w:before="0" w:after="283"/>
        <w:jc w:val="both"/>
        <w:rPr/>
      </w:pPr>
      <w:r>
        <w:rPr>
          <w:rFonts w:ascii="Times New Roman;sans-serif" w:hAnsi="Times New Roman;sans-serif"/>
          <w:b/>
          <w:color w:val="000000"/>
          <w:sz w:val="22"/>
          <w:u w:val="single"/>
        </w:rPr>
        <w:t>Relationships with Third Parties</w:t>
      </w:r>
      <w:r>
        <w:rPr>
          <w:color w:val="000000"/>
        </w:rPr>
        <w:t xml:space="preserve"> </w:t>
      </w:r>
    </w:p>
    <w:p>
      <w:pPr>
        <w:pStyle w:val="TextBody"/>
        <w:spacing w:before="0" w:after="2"/>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research and development of its psychedelic pharmaceutical products is conducted by way of licensed partners. The Company also intends to sponsor clinical and other studies at various clinical trial sites. </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University of Washington</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the date of this MD&amp;A, the Company and the University of Washington are co-sponsoring a randomized, placebo-controlled clinical trial of psychedelic-assisted psychotherapy with psilocybin, utilizing the Company's EMBARK psychological support model, for frontline clinicians experiencing COVID-19 related distress. </w:t>
      </w:r>
    </w:p>
    <w:p>
      <w:pPr>
        <w:pStyle w:val="TextBody"/>
        <w:spacing w:before="0" w:after="2"/>
        <w:jc w:val="both"/>
        <w:rPr/>
      </w:pPr>
      <w:r>
        <w:rPr/>
      </w:r>
    </w:p>
    <w:p>
      <w:pPr>
        <w:pStyle w:val="TextBody"/>
        <w:spacing w:lineRule="auto" w:line="288" w:before="0" w:after="2"/>
        <w:rPr>
          <w:rFonts w:ascii="Times New Roman;sans-serif" w:hAnsi="Times New Roman;sans-serif"/>
          <w:b/>
          <w:i/>
          <w:color w:val="000000"/>
          <w:sz w:val="22"/>
        </w:rPr>
      </w:pPr>
      <w:r>
        <w:rPr>
          <w:rFonts w:ascii="Times New Roman;sans-serif" w:hAnsi="Times New Roman;sans-serif"/>
          <w:b/>
          <w:i/>
          <w:color w:val="000000"/>
          <w:sz w:val="22"/>
        </w:rPr>
        <w:t>Greenbrook TMS</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 </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Clinilabs Drug Development Corporation</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 CYB003 is the first psilocybin analog to be evaluated in Phase 1/2a development for the treatment of MDD. </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Entheon Biomedical Corp.</w:t>
      </w:r>
    </w:p>
    <w:p>
      <w:pPr>
        <w:pStyle w:val="TextBody"/>
        <w:spacing w:lineRule="auto" w:line="288" w:before="0" w:after="2"/>
        <w:jc w:val="both"/>
        <w:rPr/>
      </w:pPr>
      <w:r>
        <w:rPr>
          <w:rFonts w:ascii="Times New Roman;sans-serif" w:hAnsi="Times New Roman;sans-serif"/>
          <w:b w:val="false"/>
          <w:color w:val="000000"/>
          <w:sz w:val="22"/>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sans-serif" w:hAnsi="Times New Roman;sans-serif"/>
          <w:b/>
          <w:color w:val="000000"/>
          <w:sz w:val="22"/>
        </w:rPr>
        <w:t>CHDR</w:t>
      </w:r>
      <w:r>
        <w:rPr>
          <w:color w:val="000000"/>
        </w:rPr>
        <w:t>”</w:t>
      </w:r>
      <w:r>
        <w:rPr>
          <w:rFonts w:ascii="Times New Roman;sans-serif" w:hAnsi="Times New Roman;sans-serif"/>
          <w:b w:val="false"/>
          <w:color w:val="000000"/>
          <w:sz w:val="22"/>
        </w:rPr>
        <w:t xml:space="preserve">) to the Company. The Company now maintains a direct contractual relationship with CHDR to conduct the CYB004-E trial. CHDR is an independent institute in the Netherlands specializing in innovative early-stage clinical drug research. </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Mindset Pharma Inc.</w:t>
      </w:r>
    </w:p>
    <w:p>
      <w:pPr>
        <w:pStyle w:val="TextBody"/>
        <w:spacing w:lineRule="auto" w:line="288" w:before="0" w:after="2"/>
        <w:jc w:val="both"/>
        <w:rPr/>
      </w:pPr>
      <w:r>
        <w:rPr>
          <w:rFonts w:ascii="Times New Roman;sans-serif" w:hAnsi="Times New Roman;sans-serif"/>
          <w:b w:val="false"/>
          <w:color w:val="000000"/>
          <w:sz w:val="22"/>
        </w:rPr>
        <w:t>On September 27, 2022, the Company entered into an agreement, as amended, with Mindset Pharma Inc. (“</w:t>
      </w:r>
      <w:r>
        <w:rPr>
          <w:rFonts w:ascii="Times New Roman;sans-serif" w:hAnsi="Times New Roman;sans-serif"/>
          <w:b/>
          <w:color w:val="000000"/>
          <w:sz w:val="22"/>
        </w:rPr>
        <w:t>Mindset</w:t>
      </w:r>
      <w:r>
        <w:rPr>
          <w:color w:val="000000"/>
        </w:rPr>
        <w:t>”</w:t>
      </w:r>
      <w:r>
        <w:rPr>
          <w:rFonts w:ascii="Times New Roman;sans-serif" w:hAnsi="Times New Roman;sans-serif"/>
          <w:b w:val="false"/>
          <w:color w:val="000000"/>
          <w:sz w:val="22"/>
        </w:rPr>
        <w:t xml:space="preserve">)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Neo Exchange Inc. There is no assurance that the aforementioned milestones will be met. The agreement also contemplates a sales royalty of approximately 2% for all commercialized licensed products within the scope of the agreement, which is customary for drug licensing agreements of this nature. </w:t>
      </w:r>
    </w:p>
    <w:p>
      <w:pPr>
        <w:pStyle w:val="TextBody"/>
        <w:spacing w:lineRule="auto" w:line="288" w:before="0" w:after="0"/>
        <w:jc w:val="both"/>
        <w:rPr/>
      </w:pPr>
      <w:r>
        <w:rPr>
          <w:rFonts w:ascii="Times New Roman;sans-serif" w:hAnsi="Times New Roman;sans-serif"/>
          <w:b w:val="false"/>
          <w:color w:val="000000"/>
          <w:sz w:val="22"/>
        </w:rPr>
        <w:br/>
      </w:r>
      <w:r>
        <w:rPr>
          <w:rFonts w:ascii="Times New Roman;sans-serif" w:hAnsi="Times New Roman;sans-serif"/>
          <w:b/>
          <w:i/>
          <w:color w:val="000000"/>
          <w:sz w:val="22"/>
        </w:rPr>
        <w:t>Other Third-Party Partners</w:t>
      </w:r>
    </w:p>
    <w:p>
      <w:pPr>
        <w:pStyle w:val="TextBody"/>
        <w:spacing w:lineRule="auto" w:line="288" w:before="0" w:after="2"/>
        <w:jc w:val="both"/>
        <w:rPr/>
      </w:pPr>
      <w:r>
        <w:rPr>
          <w:rFonts w:ascii="Times New Roman;sans-serif" w:hAnsi="Times New Roman;sans-serif"/>
          <w:b w:val="false"/>
          <w:color w:val="000000"/>
          <w:sz w:val="22"/>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sans-serif" w:hAnsi="Times New Roman;sans-serif"/>
          <w:b w:val="false"/>
          <w:color w:val="000000"/>
          <w:sz w:val="14"/>
        </w:rPr>
        <w:t>25</w:t>
      </w:r>
      <w:r>
        <w:rPr>
          <w:color w:val="000000"/>
        </w:rPr>
        <w:t xml:space="preserve"> </w:t>
      </w:r>
      <w:r>
        <w:rPr>
          <w:rFonts w:ascii="Times New Roman;sans-serif" w:hAnsi="Times New Roman;sans-serif"/>
          <w:b w:val="false"/>
          <w:color w:val="000000"/>
          <w:sz w:val="22"/>
        </w:rPr>
        <w:t>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pStyle w:val="TextBody"/>
        <w:spacing w:before="0" w:after="2"/>
        <w:jc w:val="both"/>
        <w:rPr/>
      </w:pPr>
      <w:r>
        <w:rPr/>
      </w:r>
    </w:p>
    <w:p>
      <w:pPr>
        <w:pStyle w:val="TextBody"/>
        <w:spacing w:lineRule="auto" w:line="252"/>
        <w:jc w:val="both"/>
        <w:rPr/>
      </w:pPr>
      <w:r>
        <w:rPr>
          <w:rFonts w:ascii="Times New Roman;sans-serif" w:hAnsi="Times New Roman;sans-serif"/>
          <w:b w:val="false"/>
          <w:color w:val="000000"/>
          <w:sz w:val="14"/>
        </w:rPr>
        <w:t>25</w:t>
      </w:r>
      <w:r>
        <w:rPr>
          <w:color w:val="000000"/>
        </w:rPr>
        <w:t xml:space="preserve"> </w:t>
      </w:r>
      <w:r>
        <w:rPr>
          <w:rFonts w:ascii="Times New Roman;sans-serif" w:hAnsi="Times New Roman;sans-serif"/>
          <w:b w:val="false"/>
          <w:color w:val="000000"/>
          <w:sz w:val="18"/>
        </w:rPr>
        <w:t xml:space="preserve">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692265" cy="160655"/>
                <wp:effectExtent l="0" t="0" r="0" b="0"/>
                <wp:wrapNone/>
                <wp:docPr id="182" name="Frame169"/>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conducted due diligence on each such third party, including but not limited to the review of necessary licences and the regulatory framework enacted in the jurisdiction of operation.</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pStyle w:val="TextBody"/>
        <w:spacing w:before="0" w:after="0"/>
        <w:jc w:val="both"/>
        <w:rPr/>
      </w:pPr>
      <w:r>
        <w:rPr/>
      </w:r>
    </w:p>
    <w:p>
      <w:pPr>
        <w:pStyle w:val="TextBody"/>
        <w:spacing w:lineRule="auto" w:line="26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 </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92265" cy="160655"/>
                <wp:effectExtent l="0" t="0" r="0" b="0"/>
                <wp:wrapNone/>
                <wp:docPr id="183" name="Frame17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before="0" w:after="2"/>
        <w:jc w:val="both"/>
        <w:rPr/>
      </w:pPr>
      <w:r>
        <w:rPr/>
      </w:r>
    </w:p>
    <w:p>
      <w:pPr>
        <w:pStyle w:val="TextBody"/>
        <w:spacing w:lineRule="auto" w:line="268" w:before="0" w:after="240"/>
        <w:rPr>
          <w:rFonts w:ascii="Times New Roman;sans-serif" w:hAnsi="Times New Roman;sans-serif"/>
          <w:b/>
          <w:i/>
          <w:color w:val="000000"/>
          <w:sz w:val="22"/>
        </w:rPr>
      </w:pPr>
      <w:r>
        <w:rPr>
          <w:rFonts w:ascii="Times New Roman;sans-serif" w:hAnsi="Times New Roman;sans-serif"/>
          <w:b/>
          <w:i/>
          <w:color w:val="000000"/>
          <w:sz w:val="22"/>
        </w:rPr>
        <w:t>Intellectual Property</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Cybin has title to one granted US patent related to the Company’s investigational deuterated DMT compound CYB004. The patent covers composition of matter and protects the CYB004 drug substance, a putative new chemical entity.</w:t>
      </w:r>
    </w:p>
    <w:p>
      <w:pPr>
        <w:pStyle w:val="TextBody"/>
        <w:spacing w:before="0" w:after="2"/>
        <w:rPr/>
      </w:pPr>
      <w:r>
        <w:rPr/>
      </w:r>
    </w:p>
    <w:tbl>
      <w:tblPr>
        <w:tblW w:w="8350" w:type="dxa"/>
        <w:jc w:val="left"/>
        <w:tblInd w:w="0" w:type="dxa"/>
        <w:tblCellMar>
          <w:top w:w="28" w:type="dxa"/>
          <w:left w:w="28" w:type="dxa"/>
          <w:bottom w:w="28" w:type="dxa"/>
          <w:right w:w="28" w:type="dxa"/>
        </w:tblCellMar>
      </w:tblPr>
      <w:tblGrid>
        <w:gridCol w:w="124"/>
        <w:gridCol w:w="109"/>
        <w:gridCol w:w="109"/>
        <w:gridCol w:w="459"/>
        <w:gridCol w:w="459"/>
        <w:gridCol w:w="461"/>
        <w:gridCol w:w="629"/>
        <w:gridCol w:w="629"/>
        <w:gridCol w:w="631"/>
        <w:gridCol w:w="1385"/>
        <w:gridCol w:w="1385"/>
        <w:gridCol w:w="19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2" w:space="0" w:color="000000"/>
              <w:left w:val="single" w:sz="2" w:space="0" w:color="000000"/>
            </w:tcBorders>
            <w:shd w:fill="BFBFBF" w:val="clear"/>
            <w:tcMar>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Patent Number</w:t>
            </w:r>
          </w:p>
        </w:tc>
        <w:tc>
          <w:tcPr>
            <w:tcW w:w="1889"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4740" w:type="dxa"/>
            <w:gridSpan w:val="3"/>
            <w:tcBorders>
              <w:top w:val="single" w:sz="2" w:space="0" w:color="000000"/>
              <w:left w:val="single" w:sz="2" w:space="0" w:color="000000"/>
              <w:right w:val="single" w:sz="2" w:space="0" w:color="000000"/>
            </w:tcBorders>
            <w:shd w:fill="BFBFBF" w:val="clear"/>
            <w:tcMar>
              <w:top w:w="30" w:type="dxa"/>
              <w:bottom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79"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11,242,318</w:t>
            </w:r>
          </w:p>
        </w:tc>
        <w:tc>
          <w:tcPr>
            <w:tcW w:w="1889"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740"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bl>
    <w:p>
      <w:pPr>
        <w:pStyle w:val="TextBody"/>
        <w:spacing w:before="0" w:after="2"/>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Cybin has title to eight provisional patent applications, eight US non-provisional patent applications, thirty two national (non-US) patent applications, and ten Patent Cooperation Treaty (“PCT”) applications, including claims directed to compositions of matter and methods of use in support of its research and development and preclinical and clinical trial programs. </w:t>
      </w:r>
    </w:p>
    <w:p>
      <w:pPr>
        <w:pStyle w:val="TextBody"/>
        <w:spacing w:before="0" w:after="2"/>
        <w:jc w:val="both"/>
        <w:rPr/>
      </w:pPr>
      <w:r>
        <w:rPr/>
      </w:r>
    </w:p>
    <w:tbl>
      <w:tblPr>
        <w:tblW w:w="10539" w:type="dxa"/>
        <w:jc w:val="left"/>
        <w:tblInd w:w="0" w:type="dxa"/>
        <w:tblCellMar>
          <w:top w:w="28" w:type="dxa"/>
          <w:left w:w="28" w:type="dxa"/>
          <w:bottom w:w="28" w:type="dxa"/>
          <w:right w:w="28" w:type="dxa"/>
        </w:tblCellMar>
      </w:tblPr>
      <w:tblGrid>
        <w:gridCol w:w="124"/>
        <w:gridCol w:w="109"/>
        <w:gridCol w:w="109"/>
        <w:gridCol w:w="632"/>
        <w:gridCol w:w="632"/>
        <w:gridCol w:w="634"/>
        <w:gridCol w:w="529"/>
        <w:gridCol w:w="529"/>
        <w:gridCol w:w="531"/>
        <w:gridCol w:w="259"/>
        <w:gridCol w:w="259"/>
        <w:gridCol w:w="263"/>
        <w:gridCol w:w="1801"/>
        <w:gridCol w:w="1695"/>
        <w:gridCol w:w="24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24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2" w:space="0" w:color="000000"/>
              <w:left w:val="single" w:sz="2" w:space="0" w:color="000000"/>
              <w:bottom w:val="single" w:sz="2" w:space="0" w:color="000000"/>
            </w:tcBorders>
            <w:shd w:fill="BFBFBF" w:val="clear"/>
            <w:tcMar>
              <w:right w:w="0" w:type="dxa"/>
            </w:tcMar>
            <w:vAlign w:val="center"/>
          </w:tcPr>
          <w:p>
            <w:pPr>
              <w:pStyle w:val="TableContents"/>
              <w:spacing w:before="0" w:after="283"/>
              <w:rPr>
                <w:sz w:val="4"/>
                <w:szCs w:val="4"/>
              </w:rPr>
            </w:pPr>
            <w:r>
              <w:rPr>
                <w:sz w:val="4"/>
                <w:szCs w:val="4"/>
              </w:rPr>
            </w:r>
          </w:p>
        </w:tc>
        <w:tc>
          <w:tcPr>
            <w:tcW w:w="1898" w:type="dxa"/>
            <w:gridSpan w:val="3"/>
            <w:tcBorders>
              <w:top w:val="single" w:sz="2" w:space="0" w:color="000000"/>
              <w:left w:val="single" w:sz="2" w:space="0" w:color="000000"/>
              <w:bottom w:val="single" w:sz="2" w:space="0" w:color="000000"/>
            </w:tcBorders>
            <w:shd w:fill="BFBFBF" w:val="clear"/>
            <w:tcMar>
              <w:top w:w="3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589" w:type="dxa"/>
            <w:gridSpan w:val="3"/>
            <w:tcBorders>
              <w:top w:val="single" w:sz="2" w:space="0" w:color="000000"/>
              <w:left w:val="single" w:sz="2" w:space="0" w:color="000000"/>
              <w:bottom w:val="single" w:sz="2" w:space="0" w:color="000000"/>
            </w:tcBorders>
            <w:shd w:fill="BFBFBF" w:val="clear"/>
            <w:tcMar>
              <w:top w:w="3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781" w:type="dxa"/>
            <w:gridSpan w:val="3"/>
            <w:tcBorders>
              <w:top w:val="single" w:sz="2" w:space="0" w:color="000000"/>
              <w:left w:val="single" w:sz="2" w:space="0" w:color="000000"/>
              <w:bottom w:val="single" w:sz="2" w:space="0" w:color="000000"/>
            </w:tcBorders>
            <w:shd w:fill="BFBFBF" w:val="clear"/>
            <w:tcMar>
              <w:top w:w="3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929" w:type="dxa"/>
            <w:gridSpan w:val="3"/>
            <w:tcBorders>
              <w:top w:val="single" w:sz="2" w:space="0" w:color="000000"/>
              <w:left w:val="single" w:sz="2" w:space="0" w:color="000000"/>
              <w:bottom w:val="single" w:sz="2" w:space="0" w:color="000000"/>
              <w:right w:val="single" w:sz="2" w:space="0" w:color="000000"/>
            </w:tcBorders>
            <w:shd w:fill="BFBFBF" w:val="clear"/>
            <w:tcMar>
              <w:top w:w="30" w:type="dxa"/>
              <w:bottom w:w="3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PCT/EP2022/069109</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Integrated Data Collection Devices for Use in Various Therapeutic and Wellness Applications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17/564,707</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PCT/EP2022/056991</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Psilocybin Analogs, Salts,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PCT/EP2022/058574</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Combination Drug Therapies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PCT/EP2022/063269</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Formulations of Psilocybin</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63/402,650</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Tryptamine Compounds, Compositions, and Methods of Use</w:t>
            </w:r>
          </w:p>
        </w:tc>
      </w:tr>
      <w:tr>
        <w:trPr/>
        <w:tc>
          <w:tcPr>
            <w:tcW w:w="342" w:type="dxa"/>
            <w:gridSpan w:val="3"/>
            <w:tcBorders>
              <w:left w:val="single" w:sz="2" w:space="0" w:color="000000"/>
            </w:tcBorders>
            <w:shd w:fill="auto" w:val="clear"/>
            <w:tcMar>
              <w:top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PCT/EP2022/076073</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Formulations Of Psilocybin Analogs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17/974,007</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63/420,265</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Compounds,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18/056,958</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17/999,310</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63/384,704</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Tryptamine Compositions and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63/386,375</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PCT/EP2023/050702</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Tryptamine Compositions and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PCT/EP2023/053744</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PCT/EP2023/053752</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18/041,731</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18/041,728</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18/172,691</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63/487,078</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of Treating Disorders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18/027,810</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PCT/EP2023/057939</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PCT/EP2023/058107</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Combination Drug Therapies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63/464,265</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Injectable Pharmaceutical Formulations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98"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63/507,059</w:t>
            </w:r>
          </w:p>
        </w:tc>
        <w:tc>
          <w:tcPr>
            <w:tcW w:w="158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Companion Animal Treatments</w:t>
            </w:r>
          </w:p>
        </w:tc>
      </w:tr>
      <w:tr>
        <w:trPr/>
        <w:tc>
          <w:tcPr>
            <w:tcW w:w="342"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898"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63/507,062</w:t>
            </w:r>
          </w:p>
        </w:tc>
        <w:tc>
          <w:tcPr>
            <w:tcW w:w="1589"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781"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929"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Injectable Pharmaceutical Formulations</w:t>
            </w:r>
          </w:p>
        </w:tc>
      </w:tr>
    </w:tbl>
    <w:p>
      <w:pPr>
        <w:pStyle w:val="TextBody"/>
        <w:spacing w:before="0" w:after="2"/>
        <w:jc w:val="both"/>
        <w:rPr/>
      </w:pPr>
      <w:r>
        <w:br w:type="page"/>
      </w: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692265" cy="160655"/>
                <wp:effectExtent l="0" t="0" r="0" b="0"/>
                <wp:wrapNone/>
                <wp:docPr id="184" name="Frame17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124"/>
        <w:gridCol w:w="109"/>
        <w:gridCol w:w="109"/>
        <w:gridCol w:w="796"/>
        <w:gridCol w:w="622"/>
        <w:gridCol w:w="623"/>
        <w:gridCol w:w="541"/>
        <w:gridCol w:w="541"/>
        <w:gridCol w:w="542"/>
        <w:gridCol w:w="259"/>
        <w:gridCol w:w="259"/>
        <w:gridCol w:w="263"/>
        <w:gridCol w:w="1780"/>
        <w:gridCol w:w="1637"/>
        <w:gridCol w:w="23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2" w:space="0" w:color="000000"/>
              <w:left w:val="single" w:sz="2" w:space="0" w:color="000000"/>
            </w:tcBorders>
            <w:shd w:fill="BFBFBF" w:val="clear"/>
            <w:tcMar>
              <w:bottom w:w="0" w:type="dxa"/>
              <w:right w:w="0" w:type="dxa"/>
            </w:tcMar>
            <w:vAlign w:val="center"/>
          </w:tcPr>
          <w:p>
            <w:pPr>
              <w:pStyle w:val="TableContents"/>
              <w:spacing w:before="0" w:after="283"/>
              <w:rPr>
                <w:sz w:val="4"/>
                <w:szCs w:val="4"/>
              </w:rPr>
            </w:pPr>
            <w:r>
              <w:rPr>
                <w:sz w:val="4"/>
                <w:szCs w:val="4"/>
              </w:rPr>
            </w:r>
          </w:p>
        </w:tc>
        <w:tc>
          <w:tcPr>
            <w:tcW w:w="2041"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Patent Application Number</w:t>
            </w:r>
          </w:p>
        </w:tc>
        <w:tc>
          <w:tcPr>
            <w:tcW w:w="1624"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Filing</w:t>
            </w:r>
          </w:p>
        </w:tc>
        <w:tc>
          <w:tcPr>
            <w:tcW w:w="781" w:type="dxa"/>
            <w:gridSpan w:val="3"/>
            <w:tcBorders>
              <w:top w:val="single" w:sz="2" w:space="0" w:color="000000"/>
              <w:left w:val="single" w:sz="2" w:space="0" w:color="000000"/>
            </w:tcBorders>
            <w:shd w:fill="BFBFBF"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5751" w:type="dxa"/>
            <w:gridSpan w:val="3"/>
            <w:tcBorders>
              <w:top w:val="single" w:sz="2" w:space="0" w:color="000000"/>
              <w:left w:val="single" w:sz="2" w:space="0" w:color="000000"/>
              <w:right w:val="single" w:sz="2" w:space="0" w:color="000000"/>
            </w:tcBorders>
            <w:shd w:fill="BFBFBF" w:val="clear"/>
            <w:tcMar>
              <w:top w:w="30" w:type="dxa"/>
              <w:bottom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793553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297492</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3177454</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NC2022/0016662</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Colombia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MX/a/2022/014605</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202203191</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Chile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10-2022-7040243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EP21808464.8</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202180036163.3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1120220235658</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2021276656</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11202254530T</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202213256</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2201007493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1-2022-553135</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202227065770</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2022-571175</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Deuterated Tryptamine Derivatives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3186357</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10-2023-7003815</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2021327136</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2023-512063</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21766581.9</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Therapeutic Phenethylamine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3186359</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10-2023-7006128</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2021328671</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2023-512107</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21763068.0</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Phenethylamine Derivatives, Compositions, and Methods of Use</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21786852.0</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Office</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10-2023-7007858</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2021354006</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04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2023-519831</w:t>
            </w:r>
          </w:p>
        </w:tc>
        <w:tc>
          <w:tcPr>
            <w:tcW w:w="1624"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781"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r>
        <w:trPr/>
        <w:tc>
          <w:tcPr>
            <w:tcW w:w="342"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041"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3194558</w:t>
            </w:r>
          </w:p>
        </w:tc>
        <w:tc>
          <w:tcPr>
            <w:tcW w:w="1624"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781"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Pending</w:t>
            </w:r>
          </w:p>
        </w:tc>
        <w:tc>
          <w:tcPr>
            <w:tcW w:w="5751"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For Delivery of Psychedelic Medications By Inhalation and Systems For Performing the Methods</w:t>
            </w:r>
          </w:p>
        </w:tc>
      </w:tr>
    </w:tbl>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drug delivery platforms for administration of the psychedelic drugs with faster onset of action, higher bioavailability by way of bypassing liver metabolism, more controlled delivery for better patient experience, and optimized therapeutic outcomes.</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692265" cy="160655"/>
                <wp:effectExtent l="0" t="0" r="0" b="0"/>
                <wp:wrapNone/>
                <wp:docPr id="185" name="Frame172"/>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the Company has entered into multiple licensing agreements that provide the Company with additional access to IP from over 20 more patents or patent applications,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 </w:t>
      </w:r>
    </w:p>
    <w:p>
      <w:pPr>
        <w:pStyle w:val="TextBody"/>
        <w:spacing w:before="0" w:after="2"/>
        <w:jc w:val="both"/>
        <w:rPr/>
      </w:pPr>
      <w:r>
        <w:rPr/>
      </w:r>
    </w:p>
    <w:p>
      <w:pPr>
        <w:pStyle w:val="TextBody"/>
        <w:spacing w:lineRule="auto" w:line="288" w:before="0" w:after="2"/>
        <w:jc w:val="both"/>
        <w:rPr/>
      </w:pPr>
      <w:r>
        <w:rPr>
          <w:rFonts w:ascii="Times New Roman;sans-serif" w:hAnsi="Times New Roman;sans-serif"/>
          <w:b w:val="false"/>
          <w:color w:val="000000"/>
          <w:sz w:val="22"/>
        </w:rPr>
        <w:t>The Company has also filed applications for registration of twenty-four trademarks, including Changing Minds™, Cybin®, Embark™, It’s not magic. It’s mushrooms™, It’s not magic, its science™, Journey™, Mushroom &amp; Friends™, Psilotonin™, Psychedelics to Therapeutics®, MindClef™ and CYB™. The Company has registered the CYBIN trademark in the European Union (the "</w:t>
      </w:r>
      <w:r>
        <w:rPr>
          <w:rFonts w:ascii="Times New Roman;sans-serif" w:hAnsi="Times New Roman;sans-serif"/>
          <w:b/>
          <w:color w:val="000000"/>
          <w:sz w:val="22"/>
        </w:rPr>
        <w:t>EU</w:t>
      </w:r>
      <w:r>
        <w:rPr>
          <w:rFonts w:ascii="Times New Roman;sans-serif" w:hAnsi="Times New Roman;sans-serif"/>
          <w:b w:val="false"/>
          <w:color w:val="000000"/>
          <w:sz w:val="22"/>
        </w:rPr>
        <w:t>") (reg. 18495520), the UK (reg. UK00003656496), and the US (reg. 6,852,975) and the mark PSYCHEDELICS TO THERAPEUTICS in the UK (reg. UK00003717706).</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Regulatory Framework and Licensing Regime</w:t>
      </w:r>
    </w:p>
    <w:p>
      <w:pPr>
        <w:pStyle w:val="TextBody"/>
        <w:spacing w:lineRule="auto" w:line="288" w:before="0" w:after="2"/>
        <w:rPr>
          <w:rFonts w:ascii="Times New Roman;sans-serif" w:hAnsi="Times New Roman;sans-serif"/>
          <w:b w:val="false"/>
          <w:i/>
          <w:color w:val="000000"/>
          <w:sz w:val="22"/>
        </w:rPr>
      </w:pPr>
      <w:r>
        <w:rPr>
          <w:rFonts w:ascii="Times New Roman;sans-serif" w:hAnsi="Times New Roman;sans-serif"/>
          <w:b w:val="false"/>
          <w:i/>
          <w:color w:val="000000"/>
          <w:sz w:val="22"/>
        </w:rPr>
        <w:t>Canada</w:t>
      </w:r>
    </w:p>
    <w:p>
      <w:pPr>
        <w:pStyle w:val="TextBody"/>
        <w:spacing w:before="0" w:after="2"/>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spacing w:lineRule="auto" w:line="288" w:before="0" w:after="240"/>
        <w:jc w:val="both"/>
        <w:rPr/>
      </w:pPr>
      <w:r>
        <w:rPr>
          <w:rFonts w:ascii="Times New Roman;sans-serif" w:hAnsi="Times New Roman;sans-serif"/>
          <w:b w:val="false"/>
          <w:color w:val="000000"/>
          <w:sz w:val="22"/>
        </w:rPr>
        <w:t xml:space="preserve">Certain psychoactive compounds, such as psilocybin, are considered controlled substances under Schedule III of the </w:t>
      </w:r>
      <w:r>
        <w:rPr>
          <w:rFonts w:ascii="Times New Roman;sans-serif" w:hAnsi="Times New Roman;sans-serif"/>
          <w:b w:val="false"/>
          <w:i/>
          <w:color w:val="000000"/>
          <w:sz w:val="22"/>
        </w:rPr>
        <w:t>Controlled Drugs and Substances Act</w:t>
      </w:r>
      <w:r>
        <w:rPr>
          <w:color w:val="000000"/>
        </w:rPr>
        <w:t xml:space="preserve"> </w:t>
      </w:r>
      <w:r>
        <w:rPr>
          <w:rFonts w:ascii="Times New Roman;sans-serif" w:hAnsi="Times New Roman;sans-serif"/>
          <w:b w:val="false"/>
          <w:color w:val="000000"/>
          <w:sz w:val="22"/>
        </w:rPr>
        <w:t>(Canada) (the “</w:t>
      </w:r>
      <w:r>
        <w:rPr>
          <w:rFonts w:ascii="Times New Roman;sans-serif" w:hAnsi="Times New Roman;sans-serif"/>
          <w:b/>
          <w:color w:val="000000"/>
          <w:sz w:val="22"/>
        </w:rPr>
        <w:t>CDSA</w:t>
      </w:r>
      <w:r>
        <w:rPr>
          <w:color w:val="000000"/>
        </w:rPr>
        <w:t>”</w:t>
      </w:r>
      <w:r>
        <w:rPr>
          <w:rFonts w:ascii="Times New Roman;sans-serif" w:hAnsi="Times New Roman;sans-serif"/>
          <w:b w:val="false"/>
          <w:color w:val="000000"/>
          <w:sz w:val="22"/>
        </w:rPr>
        <w:t>). In order to conduct any scientific research, including preclinical and clinical trials, using psychoactive compounds listed as controlled substances under the CDSA, an exemption under Section 56 of the CDSA (“</w:t>
      </w:r>
      <w:r>
        <w:rPr>
          <w:rFonts w:ascii="Times New Roman;sans-serif" w:hAnsi="Times New Roman;sans-serif"/>
          <w:b/>
          <w:color w:val="000000"/>
          <w:sz w:val="22"/>
        </w:rPr>
        <w:t>Section 56 Exemption</w:t>
      </w:r>
      <w:r>
        <w:rPr>
          <w:color w:val="000000"/>
        </w:rPr>
        <w:t>”</w:t>
      </w:r>
      <w:r>
        <w:rPr>
          <w:rFonts w:ascii="Times New Roman;sans-serif" w:hAnsi="Times New Roman;sans-serif"/>
          <w:b w:val="false"/>
          <w:color w:val="000000"/>
          <w:sz w:val="22"/>
        </w:rPr>
        <w:t xml:space="preserve">) is required. </w:t>
      </w:r>
    </w:p>
    <w:p>
      <w:pPr>
        <w:pStyle w:val="TextBody"/>
        <w:spacing w:lineRule="auto" w:line="268" w:before="0" w:after="0"/>
        <w:jc w:val="both"/>
        <w:rPr/>
      </w:pPr>
      <w:r>
        <w:rPr>
          <w:rFonts w:ascii="Times New Roman;sans-serif" w:hAnsi="Times New Roman;sans-serif"/>
          <w:b w:val="false"/>
          <w:color w:val="000000"/>
          <w:sz w:val="22"/>
        </w:rPr>
        <w:t>Health Canada has not approved psilocybin as a drug for any indication. However, there are legal routes through which psilocybin may be accessed for medical or scientific purposes. The Canadian Minister of</w:t>
      </w:r>
      <w:r>
        <w:rPr>
          <w:color w:val="000000"/>
        </w:rPr>
        <w:t xml:space="preserve"> </w:t>
      </w:r>
      <w:r>
        <w:rPr>
          <w:rFonts w:ascii="Times New Roman;sans-serif" w:hAnsi="Times New Roman;sans-serif"/>
          <w:b w:val="false"/>
          <w:color w:val="000000"/>
          <w:sz w:val="22"/>
        </w:rPr>
        <w:t>Health can grant exemptions under section 56 of the CDSA to use controlled substances if it is deemed to be necessary for a medical or scientific purpose or is otherwise in the public interest.</w:t>
      </w:r>
      <w:r>
        <w:rPr>
          <w:color w:val="000000"/>
        </w:rPr>
        <w:t xml:space="preserve"> </w:t>
      </w:r>
      <w:r>
        <w:rPr>
          <w:rFonts w:ascii="Times New Roman;sans-serif" w:hAnsi="Times New Roman;sans-serif"/>
          <w:b w:val="false"/>
          <w:color w:val="000000"/>
          <w:sz w:val="22"/>
        </w:rPr>
        <w:t>The Company has not applied for a Section 56 Exemption from Health Canada. Health Canada’s Special Access Program (“</w:t>
      </w:r>
      <w:r>
        <w:rPr>
          <w:rFonts w:ascii="Times New Roman;sans-serif" w:hAnsi="Times New Roman;sans-serif"/>
          <w:b/>
          <w:color w:val="000000"/>
          <w:sz w:val="24"/>
        </w:rPr>
        <w:t>SAP</w:t>
      </w:r>
      <w:r>
        <w:rPr>
          <w:color w:val="000000"/>
        </w:rPr>
        <w:t>”</w:t>
      </w:r>
      <w:r>
        <w:rPr>
          <w:rFonts w:ascii="Times New Roman;sans-serif" w:hAnsi="Times New Roman;sans-serif"/>
          <w:b w:val="false"/>
          <w:color w:val="000000"/>
          <w:sz w:val="22"/>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pStyle w:val="TextBody"/>
        <w:spacing w:before="0" w:after="0"/>
        <w:jc w:val="both"/>
        <w:rPr/>
      </w:pPr>
      <w:r>
        <w:rPr/>
      </w:r>
    </w:p>
    <w:p>
      <w:pPr>
        <w:pStyle w:val="TextBody"/>
        <w:spacing w:lineRule="auto" w:line="26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692265" cy="160655"/>
                <wp:effectExtent l="0" t="0" r="0" b="0"/>
                <wp:wrapNone/>
                <wp:docPr id="186" name="Frame173"/>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pStyle w:val="TextBody"/>
        <w:spacing w:before="0" w:after="2"/>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United States </w:t>
      </w:r>
    </w:p>
    <w:p>
      <w:pPr>
        <w:pStyle w:val="TextBody"/>
        <w:spacing w:lineRule="auto" w:line="288" w:before="0" w:after="2"/>
        <w:jc w:val="both"/>
        <w:rPr/>
      </w:pPr>
      <w:r>
        <w:rPr>
          <w:rFonts w:ascii="Times New Roman;sans-serif" w:hAnsi="Times New Roman;sans-serif"/>
          <w:b w:val="false"/>
          <w:color w:val="000000"/>
          <w:sz w:val="22"/>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Times New Roman;sans-serif" w:hAnsi="Times New Roman;sans-serif"/>
          <w:b w:val="false"/>
          <w:color w:val="000000"/>
          <w:sz w:val="14"/>
        </w:rPr>
        <w:t>26</w:t>
      </w:r>
      <w:r>
        <w:rPr>
          <w:rFonts w:ascii="Times New Roman;sans-serif" w:hAnsi="Times New Roman;sans-serif"/>
          <w:b w:val="false"/>
          <w:color w:val="000000"/>
          <w:sz w:val="22"/>
        </w:rPr>
        <w:t xml:space="preserve">. Anticipated timelines related to regulatory filings are based on reasonable assumptions informed by current knowledge and information available to the Company. </w:t>
      </w:r>
    </w:p>
    <w:p>
      <w:pPr>
        <w:pStyle w:val="TextBody"/>
        <w:spacing w:before="0" w:after="2"/>
        <w:rPr/>
      </w:pPr>
      <w:r>
        <w:rPr/>
      </w:r>
    </w:p>
    <w:p>
      <w:pPr>
        <w:pStyle w:val="TextBody"/>
        <w:spacing w:lineRule="auto" w:line="288" w:before="0" w:after="2"/>
        <w:jc w:val="both"/>
        <w:rPr/>
      </w:pPr>
      <w:r>
        <w:rPr>
          <w:rFonts w:ascii="Times New Roman;sans-serif" w:hAnsi="Times New Roman;sans-serif"/>
          <w:b w:val="false"/>
          <w:color w:val="000000"/>
          <w:sz w:val="22"/>
        </w:rPr>
        <w:t>Psilocybin, psilocin, DMT, and 5-Methoxy-DMT are strictly controlled under the federal Controlled Substances Act, 21 U.S.C. §801, et. seq. (“</w:t>
      </w:r>
      <w:r>
        <w:rPr>
          <w:rFonts w:ascii="Times New Roman;sans-serif" w:hAnsi="Times New Roman;sans-serif"/>
          <w:b/>
          <w:color w:val="000000"/>
          <w:sz w:val="22"/>
        </w:rPr>
        <w:t>CSA</w:t>
      </w:r>
      <w:r>
        <w:rPr>
          <w:color w:val="000000"/>
        </w:rPr>
        <w:t>”</w:t>
      </w:r>
      <w:r>
        <w:rPr>
          <w:rFonts w:ascii="Times New Roman;sans-serif" w:hAnsi="Times New Roman;sans-serif"/>
          <w:b w:val="false"/>
          <w:color w:val="000000"/>
          <w:sz w:val="22"/>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2"/>
        </w:rPr>
        <w:t>Europe (Netherlands)</w:t>
      </w:r>
      <w:r>
        <w:rPr>
          <w:color w:val="000000"/>
        </w:rPr>
        <w:t xml:space="preserve"> </w:t>
      </w:r>
    </w:p>
    <w:p>
      <w:pPr>
        <w:pStyle w:val="TextBody"/>
        <w:spacing w:before="0" w:after="0"/>
        <w:rPr/>
      </w:pPr>
      <w:r>
        <w:rPr/>
      </w:r>
    </w:p>
    <w:p>
      <w:pPr>
        <w:pStyle w:val="TextBody"/>
        <w:spacing w:lineRule="auto" w:line="288" w:before="0" w:after="2"/>
        <w:jc w:val="both"/>
        <w:rPr/>
      </w:pPr>
      <w:r>
        <w:rPr>
          <w:rFonts w:ascii="Times New Roman;sans-serif" w:hAnsi="Times New Roman;sans-serif"/>
          <w:b w:val="false"/>
          <w:color w:val="000000"/>
          <w:sz w:val="22"/>
        </w:rPr>
        <w:t>The International Narcotics Control Board (“</w:t>
      </w:r>
      <w:r>
        <w:rPr>
          <w:rFonts w:ascii="Times New Roman;sans-serif" w:hAnsi="Times New Roman;sans-serif"/>
          <w:b/>
          <w:color w:val="000000"/>
          <w:sz w:val="22"/>
        </w:rPr>
        <w:t>INCB</w:t>
      </w:r>
      <w:r>
        <w:rPr>
          <w:color w:val="000000"/>
        </w:rPr>
        <w:t>”</w:t>
      </w:r>
      <w:r>
        <w:rPr>
          <w:rFonts w:ascii="Times New Roman;sans-serif" w:hAnsi="Times New Roman;sans-serif"/>
          <w:b w:val="false"/>
          <w:color w:val="000000"/>
          <w:sz w:val="22"/>
        </w:rPr>
        <w:t>), a United Nations (“</w:t>
      </w:r>
      <w:r>
        <w:rPr>
          <w:rFonts w:ascii="Times New Roman;sans-serif" w:hAnsi="Times New Roman;sans-serif"/>
          <w:b/>
          <w:color w:val="000000"/>
          <w:sz w:val="22"/>
        </w:rPr>
        <w:t>UN</w:t>
      </w:r>
      <w:r>
        <w:rPr>
          <w:color w:val="000000"/>
        </w:rPr>
        <w:t>”</w:t>
      </w:r>
      <w:r>
        <w:rPr>
          <w:rFonts w:ascii="Times New Roman;sans-serif" w:hAnsi="Times New Roman;sans-serif"/>
          <w:b w:val="false"/>
          <w:color w:val="000000"/>
          <w:sz w:val="22"/>
        </w:rPr>
        <w:t xml:space="preserve">)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w:t>
      </w:r>
    </w:p>
    <w:p>
      <w:pPr>
        <w:pStyle w:val="TextBody"/>
        <w:spacing w:lineRule="auto" w:line="252"/>
        <w:jc w:val="both"/>
        <w:rPr/>
      </w:pPr>
      <w:r>
        <w:rPr>
          <w:rFonts w:ascii="Times New Roman;sans-serif" w:hAnsi="Times New Roman;sans-serif"/>
          <w:b w:val="false"/>
          <w:color w:val="000000"/>
          <w:sz w:val="12"/>
        </w:rPr>
        <w:t>26</w:t>
      </w:r>
      <w:r>
        <w:rPr>
          <w:color w:val="000000"/>
        </w:rPr>
        <w:t xml:space="preserve"> </w:t>
      </w:r>
      <w:r>
        <w:rPr>
          <w:rFonts w:ascii="Times New Roman;sans-serif" w:hAnsi="Times New Roman;sans-serif"/>
          <w:b w:val="false"/>
          <w:color w:val="000000"/>
          <w:sz w:val="18"/>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sans-serif" w:hAnsi="Times New Roman;sans-serif"/>
          <w:b w:val="false"/>
          <w:i/>
          <w:color w:val="000000"/>
          <w:sz w:val="18"/>
        </w:rPr>
        <w:t>Risk Factors”.</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692265" cy="160655"/>
                <wp:effectExtent l="0" t="0" r="0" b="0"/>
                <wp:wrapNone/>
                <wp:docPr id="187" name="Frame174"/>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classified as a Schedule I substance under the UN71; the EU member states that are party to the UN71, including the Netherlands, have agreed to the following in respect of Schedule I substances: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prohibit all use except for scientific and very limited medical purposes by duly authorized persons, in medical or scientific establishments which are directly under the control of their Governments or specifically approved by them;</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require that manufacture, trade, distribution and possession be under a special licence or prior authorization;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provide for close supervision of the activities and acts mentioned in paragraphs (a) and (b);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restrict the amount supplied to a duly authorized person to the quantity required for his authorized purpose;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require that persons performing medical or scientific functions keep records concerning the acquisition of the substances and the details of their use, such records to be preserved for at least two years after the last use recorded therein;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sans-serif" w:hAnsi="Times New Roman;sans-serif"/>
          <w:b/>
          <w:color w:val="000000"/>
          <w:sz w:val="22"/>
        </w:rPr>
        <w:t>Dutch Opium Act</w:t>
      </w:r>
      <w:r>
        <w:rPr>
          <w:color w:val="000000"/>
        </w:rPr>
        <w:t>”</w:t>
      </w:r>
      <w:r>
        <w:rPr>
          <w:rFonts w:ascii="Times New Roman;sans-serif" w:hAnsi="Times New Roman;sans-serif"/>
          <w:b w:val="false"/>
          <w:color w:val="000000"/>
          <w:sz w:val="22"/>
        </w:rPr>
        <w:t xml:space="preserve">) and as such, subject to express authorization being obtained, the production, trade and possession of DMT are prohibited.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Dutch Opium Act, two other Dutch Acts may be relevant when it comes to drugs: the Medicines Act and the Commodities Act.</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sans-serif" w:hAnsi="Times New Roman;sans-serif"/>
          <w:b/>
          <w:color w:val="000000"/>
          <w:sz w:val="22"/>
        </w:rPr>
        <w:t>CCMO</w:t>
      </w:r>
      <w:r>
        <w:rPr>
          <w:rFonts w:ascii="Times New Roman;sans-serif" w:hAnsi="Times New Roman;sans-serif"/>
          <w:b w:val="false"/>
          <w:color w:val="000000"/>
          <w:sz w:val="22"/>
        </w:rPr>
        <w:t>"), which is also known as the Competent Authority in The Netherlands. In Dutch, the CCMO is called the ‘</w:t>
      </w:r>
      <w:r>
        <w:rPr>
          <w:rFonts w:ascii="Times New Roman;sans-serif" w:hAnsi="Times New Roman;sans-serif"/>
          <w:b w:val="false"/>
          <w:i/>
          <w:color w:val="000000"/>
          <w:sz w:val="22"/>
        </w:rPr>
        <w:t>Centrale Commissie Mensgebonden Onderzoek</w:t>
      </w:r>
      <w:r>
        <w:rPr>
          <w:color w:val="000000"/>
        </w:rPr>
        <w:t>’</w:t>
      </w:r>
      <w:r>
        <w:rPr>
          <w:rFonts w:ascii="Times New Roman;sans-serif" w:hAnsi="Times New Roman;sans-serif"/>
          <w:b w:val="false"/>
          <w:color w:val="000000"/>
          <w:sz w:val="22"/>
        </w:rPr>
        <w:t xml:space="preserve">. In cases where the study involves a substance subject to the Dutch Opium Act (such as DMT), an official exemption by Farmatec is needed, which needs to be included in the CTA.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 </w:t>
      </w:r>
    </w:p>
    <w:p>
      <w:pPr>
        <w:pStyle w:val="TextBody"/>
        <w:spacing w:before="0" w:after="0"/>
        <w:jc w:val="both"/>
        <w:rPr/>
      </w:pPr>
      <w:r>
        <w:rPr/>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United Kingdom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pStyle w:val="TextBody"/>
        <w:spacing w:lineRule="auto" w:line="288" w:before="0" w:after="240"/>
        <w:jc w:val="both"/>
        <w:rPr/>
      </w:pPr>
      <w:r>
        <w:rPr>
          <w:rFonts w:ascii="Times New Roman;sans-serif" w:hAnsi="Times New Roman;sans-serif"/>
          <w:b w:val="false"/>
          <w:color w:val="000000"/>
          <w:sz w:val="22"/>
        </w:rPr>
        <w:t>The main UK controlled drugs legislation is the Misuse of Drugs Act 1971 (the “</w:t>
      </w:r>
      <w:r>
        <w:rPr>
          <w:rFonts w:ascii="Times New Roman;sans-serif" w:hAnsi="Times New Roman;sans-serif"/>
          <w:b/>
          <w:color w:val="000000"/>
          <w:sz w:val="22"/>
        </w:rPr>
        <w:t>MDA</w:t>
      </w:r>
      <w:r>
        <w:rPr>
          <w:color w:val="000000"/>
        </w:rPr>
        <w:t>”</w:t>
      </w:r>
      <w:r>
        <w:rPr>
          <w:rFonts w:ascii="Times New Roman;sans-serif" w:hAnsi="Times New Roman;sans-serif"/>
          <w:b w:val="false"/>
          <w:color w:val="000000"/>
          <w:sz w:val="22"/>
        </w:rPr>
        <w:t>) and the Misuse of Drugs Regulations 2001 (the “</w:t>
      </w:r>
      <w:r>
        <w:rPr>
          <w:rFonts w:ascii="Times New Roman;sans-serif" w:hAnsi="Times New Roman;sans-serif"/>
          <w:b/>
          <w:color w:val="000000"/>
          <w:sz w:val="22"/>
        </w:rPr>
        <w:t>MDR</w:t>
      </w:r>
      <w:r>
        <w:rPr>
          <w:color w:val="000000"/>
        </w:rPr>
        <w:t>”</w:t>
      </w:r>
      <w:r>
        <w:rPr>
          <w:rFonts w:ascii="Times New Roman;sans-serif" w:hAnsi="Times New Roman;sans-serif"/>
          <w:b w:val="false"/>
          <w:color w:val="000000"/>
          <w:sz w:val="22"/>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692265" cy="160655"/>
                <wp:effectExtent l="0" t="0" r="0" b="0"/>
                <wp:wrapNone/>
                <wp:docPr id="188" name="Frame175"/>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pStyle w:val="TextBody"/>
        <w:spacing w:lineRule="auto" w:line="288" w:before="0" w:after="0"/>
        <w:jc w:val="both"/>
        <w:rPr/>
      </w:pPr>
      <w:r>
        <w:rPr>
          <w:rFonts w:ascii="Times New Roman;sans-serif" w:hAnsi="Times New Roman;sans-serif"/>
          <w:b w:val="false"/>
          <w:color w:val="000000"/>
          <w:sz w:val="22"/>
        </w:rPr>
        <w:t>The Company previously mentioned that it intended to file a clinical trial application with the U.K. Medicines and Healthcare products Regulatory Agency (the “</w:t>
      </w:r>
      <w:r>
        <w:rPr>
          <w:rFonts w:ascii="Times New Roman;sans-serif" w:hAnsi="Times New Roman;sans-serif"/>
          <w:b/>
          <w:color w:val="000000"/>
          <w:sz w:val="22"/>
        </w:rPr>
        <w:t>MHRA</w:t>
      </w:r>
      <w:r>
        <w:rPr>
          <w:color w:val="000000"/>
        </w:rPr>
        <w:t>”</w:t>
      </w:r>
      <w:r>
        <w:rPr>
          <w:rFonts w:ascii="Times New Roman;sans-serif" w:hAnsi="Times New Roman;sans-serif"/>
          <w:b w:val="false"/>
          <w:color w:val="000000"/>
          <w:sz w:val="22"/>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Licensing Requirements </w:t>
      </w:r>
    </w:p>
    <w:p>
      <w:pPr>
        <w:pStyle w:val="TextBody"/>
        <w:spacing w:lineRule="auto" w:line="268" w:before="0" w:after="0"/>
        <w:jc w:val="both"/>
        <w:rPr/>
      </w:pPr>
      <w:r>
        <w:rPr>
          <w:rFonts w:ascii="Times New Roman;sans-serif" w:hAnsi="Times New Roman;sans-serif"/>
          <w:b w:val="false"/>
          <w:color w:val="000000"/>
          <w:sz w:val="22"/>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w:t>
      </w:r>
      <w:r>
        <w:rPr>
          <w:color w:val="000000"/>
        </w:rPr>
        <w:t xml:space="preserve"> </w:t>
      </w:r>
      <w:r>
        <w:rPr>
          <w:rFonts w:ascii="Times New Roman;sans-serif" w:hAnsi="Times New Roman;sans-serif"/>
          <w:b w:val="false"/>
          <w:color w:val="000000"/>
          <w:sz w:val="22"/>
        </w:rPr>
        <w:t>As a part of the Asset Acquisition, the Company also acquired API.</w:t>
      </w:r>
      <w:r>
        <w:rPr>
          <w:color w:val="000000"/>
        </w:rPr>
        <w:t xml:space="preserve"> </w:t>
      </w:r>
      <w:r>
        <w:rPr>
          <w:rFonts w:ascii="Times New Roman;sans-serif" w:hAnsi="Times New Roman;sans-serif"/>
          <w:b w:val="false"/>
          <w:color w:val="000000"/>
          <w:sz w:val="22"/>
        </w:rPr>
        <w:t>The CYB004-E API was manufactured in the Netherlands by a pharmaceutical ingredient provider that is US FDA-inspected</w:t>
      </w:r>
      <w:r>
        <w:rPr>
          <w:rFonts w:ascii="Times New Roman;sans-serif" w:hAnsi="Times New Roman;sans-serif"/>
          <w:b w:val="false"/>
          <w:color w:val="000000"/>
          <w:sz w:val="14"/>
        </w:rPr>
        <w:t>27</w:t>
      </w:r>
      <w:r>
        <w:rPr>
          <w:rFonts w:ascii="Times New Roman;sans-serif" w:hAnsi="Times New Roman;sans-serif"/>
          <w:b w:val="false"/>
          <w:color w:val="000000"/>
          <w:sz w:val="22"/>
        </w:rPr>
        <w:t>.</w:t>
      </w:r>
    </w:p>
    <w:p>
      <w:pPr>
        <w:pStyle w:val="TextBody"/>
        <w:spacing w:before="0" w:after="2"/>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pStyle w:val="TextBody"/>
        <w:spacing w:lineRule="auto" w:line="268" w:before="0" w:after="0"/>
        <w:jc w:val="both"/>
        <w:rPr/>
      </w:pPr>
      <w:r>
        <w:rPr>
          <w:rFonts w:ascii="Times New Roman;sans-serif" w:hAnsi="Times New Roman;sans-serif"/>
          <w:b w:val="false"/>
          <w:color w:val="000000"/>
          <w:sz w:val="22"/>
        </w:rPr>
        <w:t>All premises that are licensed, or are intending to be licensed, in connection with the possession, and/or supply and/or production of controlled drugs should consider certain security measures.</w:t>
      </w:r>
      <w:r>
        <w:rPr>
          <w:rFonts w:ascii="Times New Roman;sans-serif" w:hAnsi="Times New Roman;sans-serif"/>
          <w:b w:val="false"/>
          <w:color w:val="000000"/>
          <w:sz w:val="14"/>
        </w:rPr>
        <w:t>28</w:t>
      </w:r>
    </w:p>
    <w:p>
      <w:pPr>
        <w:pStyle w:val="TextBody"/>
        <w:spacing w:before="0" w:after="0"/>
        <w:rPr/>
      </w:pPr>
      <w:r>
        <w:rPr/>
      </w:r>
    </w:p>
    <w:p>
      <w:pPr>
        <w:pStyle w:val="TextBody"/>
        <w:spacing w:lineRule="auto" w:line="288" w:before="0" w:after="240"/>
        <w:jc w:val="both"/>
        <w:rPr/>
      </w:pPr>
      <w:r>
        <w:rPr>
          <w:rFonts w:ascii="Times New Roman;sans-serif" w:hAnsi="Times New Roman;sans-serif"/>
          <w:b w:val="false"/>
          <w:color w:val="000000"/>
          <w:sz w:val="22"/>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sans-serif" w:hAnsi="Times New Roman;sans-serif"/>
          <w:b w:val="false"/>
          <w:color w:val="000000"/>
          <w:sz w:val="14"/>
        </w:rPr>
        <w:t>29</w:t>
      </w:r>
    </w:p>
    <w:p>
      <w:pPr>
        <w:pStyle w:val="TextBody"/>
        <w:spacing w:lineRule="auto" w:line="288" w:before="0" w:after="24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Pharmaceutical Products</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pStyle w:val="TextBody"/>
        <w:spacing w:lineRule="auto" w:line="252" w:before="0" w:after="2"/>
        <w:jc w:val="both"/>
        <w:rPr/>
      </w:pPr>
      <w:r>
        <w:rPr>
          <w:rFonts w:ascii="Times New Roman;sans-serif" w:hAnsi="Times New Roman;sans-serif"/>
          <w:b w:val="false"/>
          <w:color w:val="000000"/>
          <w:sz w:val="12"/>
        </w:rPr>
        <w:t>27</w:t>
      </w:r>
      <w:r>
        <w:rPr>
          <w:color w:val="000000"/>
        </w:rPr>
        <w:t xml:space="preserve"> </w:t>
      </w:r>
      <w:r>
        <w:rPr>
          <w:rFonts w:ascii="Times New Roman;sans-serif" w:hAnsi="Times New Roman;sans-serif"/>
          <w:b w:val="false"/>
          <w:color w:val="000000"/>
          <w:sz w:val="18"/>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pStyle w:val="TextBody"/>
        <w:spacing w:lineRule="auto" w:line="252" w:before="0" w:after="0"/>
        <w:jc w:val="both"/>
        <w:rPr/>
      </w:pPr>
      <w:r>
        <w:rPr>
          <w:rFonts w:ascii="Times New Roman;sans-serif" w:hAnsi="Times New Roman;sans-serif"/>
          <w:b w:val="false"/>
          <w:color w:val="000000"/>
          <w:sz w:val="10"/>
        </w:rPr>
        <w:t>28</w:t>
      </w:r>
      <w:r>
        <w:rPr>
          <w:color w:val="000000"/>
        </w:rPr>
        <w:t xml:space="preserve"> </w:t>
      </w:r>
      <w:r>
        <w:rPr>
          <w:rFonts w:ascii="Times New Roman;sans-serif" w:hAnsi="Times New Roman;sans-serif"/>
          <w:b w:val="false"/>
          <w:color w:val="000000"/>
          <w:sz w:val="18"/>
        </w:rPr>
        <w:t>Home Office guidance; Security guidance for all existing or prospective Home Office Controlled Drug Licensees and/or Precursor Chemical Licensees or Registrants; 2022</w:t>
      </w:r>
      <w:r>
        <w:rPr>
          <w:rFonts w:ascii="Times New Roman;sans-serif" w:hAnsi="Times New Roman;sans-serif"/>
          <w:b w:val="false"/>
          <w:color w:val="3051F2"/>
          <w:sz w:val="18"/>
          <w:u w:val="single"/>
        </w:rPr>
        <w:t>; https://assets.publishing.service.gov.uk/government/uploads/system/uploads/attachment_data/file/1125889/Security_Guidance_for_all_Businesses_and_Other_Organisations_v1.5_Nov_2022.pdf</w:t>
      </w:r>
    </w:p>
    <w:p>
      <w:pPr>
        <w:pStyle w:val="TextBody"/>
        <w:spacing w:lineRule="auto" w:line="252"/>
        <w:rPr/>
      </w:pPr>
      <w:r>
        <w:rPr>
          <w:rFonts w:ascii="Times New Roman;sans-serif" w:hAnsi="Times New Roman;sans-serif"/>
          <w:b w:val="false"/>
          <w:color w:val="000000"/>
          <w:sz w:val="10"/>
        </w:rPr>
        <w:t>29</w:t>
      </w:r>
      <w:r>
        <w:rPr>
          <w:color w:val="000000"/>
        </w:rPr>
        <w:t xml:space="preserve"> </w:t>
      </w:r>
      <w:r>
        <w:rPr>
          <w:rFonts w:ascii="Times New Roman;sans-serif" w:hAnsi="Times New Roman;sans-serif"/>
          <w:b w:val="false"/>
          <w:color w:val="000000"/>
          <w:sz w:val="18"/>
        </w:rPr>
        <w:t>Home Office guidance; Guidelines for Standard Operating Procedures (SOPs);</w:t>
      </w:r>
      <w:r>
        <w:rPr>
          <w:color w:val="3051F2"/>
          <w:u w:val="single"/>
        </w:rPr>
        <w:t xml:space="preserve"> </w:t>
      </w:r>
      <w:r>
        <w:rPr>
          <w:rFonts w:ascii="Times New Roman;sans-serif" w:hAnsi="Times New Roman;sans-serif"/>
          <w:b w:val="false"/>
          <w:color w:val="3051F2"/>
          <w:sz w:val="18"/>
          <w:u w:val="single"/>
        </w:rPr>
        <w:t>https://assets.publishing.service.gov.uk/government/uploads/system/uploads/attachment_data/file/480572/StandardOpProcedure.pdf.</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692265" cy="160655"/>
                <wp:effectExtent l="0" t="0" r="0" b="0"/>
                <wp:wrapNone/>
                <wp:docPr id="189" name="Frame176"/>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v:rect>
            </w:pict>
          </mc:Fallback>
        </mc:AlternateContent>
      </w:r>
    </w:p>
    <w:p>
      <w:pPr>
        <w:pStyle w:val="TextBody"/>
        <w:spacing w:before="0" w:after="0"/>
        <w:jc w:val="both"/>
        <w:rPr/>
      </w:pPr>
      <w:r>
        <w:rPr/>
      </w:r>
    </w:p>
    <w:p>
      <w:pPr>
        <w:pStyle w:val="TextBody"/>
        <w:spacing w:lineRule="auto" w:line="288" w:before="0" w:after="240"/>
        <w:jc w:val="both"/>
        <w:rPr/>
      </w:pPr>
      <w:r>
        <w:rPr>
          <w:rFonts w:ascii="Times New Roman;sans-serif" w:hAnsi="Times New Roman;sans-serif"/>
          <w:b w:val="false"/>
          <w:color w:val="000000"/>
          <w:sz w:val="22"/>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sans-serif" w:hAnsi="Times New Roman;sans-serif"/>
          <w:b/>
          <w:color w:val="000000"/>
          <w:sz w:val="22"/>
        </w:rPr>
        <w:t>GMP</w:t>
      </w:r>
      <w:r>
        <w:rPr>
          <w:color w:val="000000"/>
        </w:rPr>
        <w:t>”</w:t>
      </w:r>
      <w:r>
        <w:rPr>
          <w:rFonts w:ascii="Times New Roman;sans-serif" w:hAnsi="Times New Roman;sans-serif"/>
          <w:b w:val="false"/>
          <w:color w:val="000000"/>
          <w:sz w:val="22"/>
        </w:rPr>
        <w:t>)) and/or Good Distribution Practice (“</w:t>
      </w:r>
      <w:r>
        <w:rPr>
          <w:rFonts w:ascii="Times New Roman;sans-serif" w:hAnsi="Times New Roman;sans-serif"/>
          <w:b/>
          <w:color w:val="000000"/>
          <w:sz w:val="22"/>
        </w:rPr>
        <w:t>GDP</w:t>
      </w:r>
      <w:r>
        <w:rPr>
          <w:color w:val="000000"/>
        </w:rPr>
        <w:t>”</w:t>
      </w:r>
      <w:r>
        <w:rPr>
          <w:rFonts w:ascii="Times New Roman;sans-serif" w:hAnsi="Times New Roman;sans-serif"/>
          <w:b w:val="false"/>
          <w:color w:val="000000"/>
          <w:sz w:val="22"/>
        </w:rPr>
        <w:t>) and to hold a related licence from the MHRA.</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How the API is subsequently processed will determine the licences that the UK-based facility must hold. In particular: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if the API is just one ‘ingredient’ of the investigational medicinal product (the “</w:t>
      </w:r>
      <w:r>
        <w:rPr>
          <w:rFonts w:ascii="Times New Roman;sans-serif" w:hAnsi="Times New Roman;sans-serif"/>
          <w:b/>
          <w:color w:val="000000"/>
          <w:sz w:val="22"/>
        </w:rPr>
        <w:t>IMP</w:t>
      </w:r>
      <w:r>
        <w:rPr>
          <w:color w:val="000000"/>
        </w:rPr>
        <w:t>”</w:t>
      </w:r>
      <w:r>
        <w:rPr>
          <w:rFonts w:ascii="Times New Roman;sans-serif" w:hAnsi="Times New Roman;sans-serif"/>
          <w:b w:val="false"/>
          <w:color w:val="000000"/>
          <w:sz w:val="22"/>
        </w:rPr>
        <w:t>) which is used in the clinical trial then the UK-based facility must register with the MHRA and provide the MHRA with 60 days’ notice of the intended start of manufacture/distribution of the API, and comply with GMP and GDP for active substances;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conversely, if the API will itself constitute the IMP, the manufacturer must, except in certain limited circumstances, hold a Manufacturer’s Authorizations for IMPs licence (“</w:t>
      </w:r>
      <w:r>
        <w:rPr>
          <w:rFonts w:ascii="Times New Roman;sans-serif" w:hAnsi="Times New Roman;sans-serif"/>
          <w:b/>
          <w:color w:val="000000"/>
          <w:sz w:val="22"/>
        </w:rPr>
        <w:t>MIA(IMP</w:t>
      </w:r>
      <w:r>
        <w:rPr>
          <w:rFonts w:ascii="Times New Roman;sans-serif" w:hAnsi="Times New Roman;sans-serif"/>
          <w:b w:val="false"/>
          <w:color w:val="000000"/>
          <w:sz w:val="22"/>
        </w:rPr>
        <w:t>)”). In this scenario, an MIA(IMP) would be required regardless of whether the IMP is for use in the UK, an EEA Member State or a third country (such as the United States or Canada).</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Research and Development</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 result of COVID-19, certain institutions have implemented certain facility procedures and are utilizing technology in an effort to mitigate the effects of the pandemic, specifically by moving patient interactions to remote status wherever possible. The Company cannot guarantee that the continued effects of COVID-19 will not impact patient recruiting for clinical trials and institutional processes at institutions involved in pharmaceutical product development. </w:t>
      </w:r>
    </w:p>
    <w:p>
      <w:pPr>
        <w:pStyle w:val="TextBody"/>
        <w:spacing w:lineRule="auto" w:line="288" w:before="0" w:after="240"/>
        <w:jc w:val="both"/>
        <w:rPr/>
      </w:pPr>
      <w:r>
        <w:rPr>
          <w:rFonts w:ascii="Times New Roman;sans-serif" w:hAnsi="Times New Roman;sans-serif"/>
          <w:b w:val="false"/>
          <w:color w:val="000000"/>
          <w:sz w:val="22"/>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sans-serif" w:hAnsi="Times New Roman;sans-serif"/>
          <w:b w:val="false"/>
          <w:i/>
          <w:color w:val="000000"/>
          <w:sz w:val="22"/>
        </w:rPr>
        <w:t>Psilocybe</w:t>
      </w:r>
      <w:r>
        <w:rPr>
          <w:rFonts w:ascii="Times New Roman;sans-serif" w:hAnsi="Times New Roman;sans-serif"/>
          <w:b w:val="false"/>
          <w:color w:val="000000"/>
          <w:sz w:val="22"/>
        </w:rPr>
        <w:t xml:space="preserve">, such as </w:t>
      </w:r>
      <w:r>
        <w:rPr>
          <w:rFonts w:ascii="Times New Roman;sans-serif" w:hAnsi="Times New Roman;sans-serif"/>
          <w:b w:val="false"/>
          <w:i/>
          <w:color w:val="000000"/>
          <w:sz w:val="22"/>
        </w:rPr>
        <w:t>P. azurescens</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 semilanceata</w:t>
      </w:r>
      <w:r>
        <w:rPr>
          <w:rFonts w:ascii="Times New Roman;sans-serif" w:hAnsi="Times New Roman;sans-serif"/>
          <w:b w:val="false"/>
          <w:color w:val="000000"/>
          <w:sz w:val="22"/>
        </w:rPr>
        <w:t xml:space="preserve">, and </w:t>
      </w:r>
      <w:r>
        <w:rPr>
          <w:rFonts w:ascii="Times New Roman;sans-serif" w:hAnsi="Times New Roman;sans-serif"/>
          <w:b w:val="false"/>
          <w:i/>
          <w:color w:val="000000"/>
          <w:sz w:val="22"/>
        </w:rPr>
        <w:t>P. cyanescens</w:t>
      </w:r>
      <w:r>
        <w:rPr>
          <w:rFonts w:ascii="Times New Roman;sans-serif" w:hAnsi="Times New Roman;sans-serif"/>
          <w:b w:val="false"/>
          <w:color w:val="000000"/>
          <w:sz w:val="22"/>
        </w:rPr>
        <w:t>, but psilocybin has also been isolated from about a dozen other genera. As a prodrug, psilocybin is quickly converted by the body to psilocin, which has mind-altering effects.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pharmacokinetics, pharmacology and human metabolism of psilocybin are well known and well characterized. In conjunction with psychotherapy, psilocybin has been utilized broadly in phase II clinical trials.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Psilocybin found in certain species of mushrooms is a non-habit forming naturally occurring psychedelic compound. Once ingested, psilocybin is rapidly metabolized to psilocin, which then acts on serotonin receptors in the brain. </w:t>
      </w:r>
    </w:p>
    <w:p>
      <w:pPr>
        <w:pStyle w:val="TextBody"/>
        <w:spacing w:lineRule="auto" w:line="25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has commenced research and development on the delivery of synthetic psilocybin and other psychedelics through mechanisms such as sublingual film delivery, ODT, IV, and by way of inhalation.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692265" cy="160655"/>
                <wp:effectExtent l="0" t="0" r="0" b="0"/>
                <wp:wrapNone/>
                <wp:docPr id="190" name="Frame177"/>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v:rect>
            </w:pict>
          </mc:Fallback>
        </mc:AlternateContent>
      </w:r>
    </w:p>
    <w:p>
      <w:pPr>
        <w:pStyle w:val="TextBody"/>
        <w:spacing w:before="0" w:after="2"/>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Research and development is led by the Company's North American Chief Scientific Officer, Alex Nivorozhkin Ph.D., a seasoned medicinal chemist, drug delivery expert and founder of multiple biotech companies.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 </w:t>
      </w:r>
    </w:p>
    <w:p>
      <w:pPr>
        <w:pStyle w:val="TextBody"/>
        <w:spacing w:lineRule="auto" w:line="288" w:before="0" w:after="24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Canada</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process required before a prescription drug product candidate may be marketed in Canada generally involves:</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Chemical and Biological Research –</w:t>
      </w:r>
      <w:r>
        <w:rPr>
          <w:color w:val="000000"/>
        </w:rPr>
        <w:t xml:space="preserve"> </w:t>
      </w:r>
      <w:r>
        <w:rPr>
          <w:rFonts w:ascii="Times New Roman;sans-serif" w:hAnsi="Times New Roman;sans-serif"/>
          <w:b w:val="false"/>
          <w:color w:val="000000"/>
          <w:sz w:val="22"/>
        </w:rPr>
        <w:t>Laboratory tests are carried out on tissue cultures and with a variety of small animals to determine the effects of the drug. If the results are promising, the manufacturer will proceed to the next step of development.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 xml:space="preserve">Preclinical Development – </w:t>
      </w:r>
      <w:r>
        <w:rPr>
          <w:rFonts w:ascii="Times New Roman;sans-serif" w:hAnsi="Times New Roman;sans-serif"/>
          <w:b w:val="false"/>
          <w:color w:val="000000"/>
          <w:sz w:val="22"/>
        </w:rPr>
        <w:t>Animals are given the drug in varying amounts over differing periods of time. If it can be shown that the drug causes no serious or unexpected harm at the doses required to have an effect, the manufacturer will proceed to clinical trials.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 xml:space="preserve">Clinical Trials – Phase 1 - </w:t>
      </w:r>
      <w:r>
        <w:rPr>
          <w:rFonts w:ascii="Times New Roman;sans-serif" w:hAnsi="Times New Roman;sans-serif"/>
          <w:b w:val="false"/>
          <w:color w:val="000000"/>
          <w:sz w:val="22"/>
        </w:rPr>
        <w:t>The first administration in humans is to test if people can tolerate the drug. If this testing is to take place in Canada, the manufacturer must prepare a clinical trial application for the Therapeutic Products Directorate of Health Canada (the “</w:t>
      </w:r>
      <w:r>
        <w:rPr>
          <w:rFonts w:ascii="Times New Roman;sans-serif" w:hAnsi="Times New Roman;sans-serif"/>
          <w:b/>
          <w:color w:val="000000"/>
          <w:sz w:val="22"/>
        </w:rPr>
        <w:t>TPD</w:t>
      </w:r>
      <w:r>
        <w:rPr>
          <w:color w:val="000000"/>
        </w:rPr>
        <w:t>”</w:t>
      </w:r>
      <w:r>
        <w:rPr>
          <w:rFonts w:ascii="Times New Roman;sans-serif" w:hAnsi="Times New Roman;sans-serif"/>
          <w:b w:val="false"/>
          <w:color w:val="000000"/>
          <w:sz w:val="22"/>
        </w:rPr>
        <w:t>). This includes the results of the first two steps and a proposal for testing in humans. If the information is sufficient, the Health Products and Food Branch of Health Canada (the “</w:t>
      </w:r>
      <w:r>
        <w:rPr>
          <w:rFonts w:ascii="Times New Roman;sans-serif" w:hAnsi="Times New Roman;sans-serif"/>
          <w:b/>
          <w:color w:val="000000"/>
          <w:sz w:val="22"/>
        </w:rPr>
        <w:t>HPFB</w:t>
      </w:r>
      <w:r>
        <w:rPr>
          <w:color w:val="000000"/>
        </w:rPr>
        <w:t>”</w:t>
      </w:r>
      <w:r>
        <w:rPr>
          <w:rFonts w:ascii="Times New Roman;sans-serif" w:hAnsi="Times New Roman;sans-serif"/>
          <w:b w:val="false"/>
          <w:color w:val="000000"/>
          <w:sz w:val="22"/>
        </w:rPr>
        <w:t>) grants permission to start testing the drug, generally first on healthy volunteers.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Clinical Trials – Phase 2 - Phase 2</w:t>
      </w:r>
      <w:r>
        <w:rPr>
          <w:color w:val="000000"/>
        </w:rPr>
        <w:t xml:space="preserve"> </w:t>
      </w:r>
      <w:r>
        <w:rPr>
          <w:rFonts w:ascii="Times New Roman;sans-serif" w:hAnsi="Times New Roman;sans-serif"/>
          <w:b w:val="false"/>
          <w:color w:val="000000"/>
          <w:sz w:val="22"/>
        </w:rPr>
        <w:t>trials are carried out on people with the target condition, who are usually otherwise healthy, with no other medical condition. Trials carried out in Canada must be approved by the TPD. In phase II, the objective of the trials is to continue to gather information on the safety of the drug and begin to determine its effectiveness.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 xml:space="preserve">Clinical Trials – Phase 3 - </w:t>
      </w:r>
      <w:r>
        <w:rPr>
          <w:rFonts w:ascii="Times New Roman;sans-serif" w:hAnsi="Times New Roman;sans-serif"/>
          <w:b w:val="false"/>
          <w:color w:val="000000"/>
          <w:sz w:val="22"/>
        </w:rPr>
        <w:t>If the results from phase II show promise, the manufacturer provides an updated clinical trial 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2"/>
        </w:rPr>
        <w:t xml:space="preserve">New Drug Submission – </w:t>
      </w:r>
      <w:r>
        <w:rPr>
          <w:rFonts w:ascii="Times New Roman;sans-serif" w:hAnsi="Times New Roman;sans-serif"/>
          <w:b w:val="false"/>
          <w:color w:val="000000"/>
          <w:sz w:val="22"/>
        </w:rPr>
        <w:t>If the results from phase III continue to be favourable, the drug manufacturer can submit a new drug submission (“</w:t>
      </w:r>
      <w:r>
        <w:rPr>
          <w:rFonts w:ascii="Times New Roman;sans-serif" w:hAnsi="Times New Roman;sans-serif"/>
          <w:b/>
          <w:color w:val="000000"/>
          <w:sz w:val="22"/>
        </w:rPr>
        <w:t>NDS</w:t>
      </w:r>
      <w:r>
        <w:rPr>
          <w:color w:val="000000"/>
        </w:rPr>
        <w:t>”</w:t>
      </w:r>
      <w:r>
        <w:rPr>
          <w:rFonts w:ascii="Times New Roman;sans-serif" w:hAnsi="Times New Roman;sans-serif"/>
          <w:b w:val="false"/>
          <w:color w:val="000000"/>
          <w:sz w:val="22"/>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spacing w:before="0" w:after="0"/>
        <w:jc w:val="both"/>
        <w:rPr/>
      </w:pPr>
      <w:r>
        <w:rPr/>
      </w:r>
    </w:p>
    <w:p>
      <w:pPr>
        <w:pStyle w:val="TextBody"/>
        <w:spacing w:lineRule="auto" w:line="300" w:before="0" w:after="16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United States</w:t>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pStyle w:val="TextBody"/>
        <w:spacing w:before="0" w:after="2"/>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process required before a prescription drug product candidate may be marketed in the United States generally involves: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completion of extensive non-clinical laboratory tests, animal studies and formulation studies, all performed in accordance with the FDA’s Good Laboratory, Good Clinical and/or Good Manufacturing Practice regulations;</w:t>
      </w:r>
    </w:p>
    <w:p>
      <w:pPr>
        <w:pStyle w:val="TextBody"/>
        <w:spacing w:lineRule="auto" w:line="288"/>
        <w:ind w:left="0" w:right="0" w:hanging="360"/>
        <w:jc w:val="both"/>
        <w:rPr/>
      </w:pPr>
      <w:r>
        <w:rPr>
          <w:color w:val="000000"/>
        </w:rPr>
        <w:t>•</w:t>
      </w:r>
      <w:r>
        <w:rPr>
          <w:rFonts w:ascii="Times New Roman;sans-serif" w:hAnsi="Times New Roman;sans-serif"/>
          <w:b w:val="false"/>
          <w:color w:val="000000"/>
          <w:sz w:val="22"/>
        </w:rPr>
        <w:t xml:space="preserve">submission to the FDA of an IND, which the FDA must approve before human clinical trials may begin;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692265" cy="160655"/>
                <wp:effectExtent l="0" t="0" r="0" b="0"/>
                <wp:wrapNone/>
                <wp:docPr id="191" name="Frame178"/>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v:rect>
            </w:pict>
          </mc:Fallback>
        </mc:AlternateConten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approval by an IRB or independent ethics committee at each clinical trial site before each trial may be initiated;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submission to the FDA of a New Drug Application (“</w:t>
      </w:r>
      <w:r>
        <w:rPr>
          <w:rFonts w:ascii="Times New Roman;sans-serif" w:hAnsi="Times New Roman;sans-serif"/>
          <w:b/>
          <w:color w:val="000000"/>
          <w:sz w:val="22"/>
        </w:rPr>
        <w:t>NDA</w:t>
      </w:r>
      <w:r>
        <w:rPr>
          <w:color w:val="000000"/>
        </w:rPr>
        <w:t>”</w:t>
      </w:r>
      <w:r>
        <w:rPr>
          <w:rFonts w:ascii="Times New Roman;sans-serif" w:hAnsi="Times New Roman;sans-serif"/>
          <w:b w:val="false"/>
          <w:color w:val="000000"/>
          <w:sz w:val="22"/>
        </w:rPr>
        <w:t xml:space="preserve">); </w:t>
      </w:r>
    </w:p>
    <w:p>
      <w:pPr>
        <w:pStyle w:val="TextBody"/>
        <w:spacing w:lineRule="auto" w:line="288" w:before="0" w:after="2"/>
        <w:ind w:left="0" w:right="0" w:hanging="360"/>
        <w:jc w:val="both"/>
        <w:rPr/>
      </w:pPr>
      <w:r>
        <w:rPr>
          <w:color w:val="000000"/>
        </w:rPr>
        <w:t>•</w:t>
      </w:r>
      <w:r>
        <w:rPr>
          <w:rFonts w:ascii="Times New Roman;sans-serif" w:hAnsi="Times New Roman;sans-serif"/>
          <w:b w:val="false"/>
          <w:color w:val="000000"/>
          <w:sz w:val="22"/>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FDA review and approval of the NDA prior to any commercial marketing, sale or shipment of the drug.</w:t>
      </w:r>
    </w:p>
    <w:p>
      <w:pPr>
        <w:pStyle w:val="TextBody"/>
        <w:spacing w:before="0" w:after="0"/>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r>
        <w:br w:type="page"/>
      </w:r>
    </w:p>
    <w:p>
      <w:pPr>
        <w:pStyle w:val="TextBody"/>
        <w:spacing w:before="0" w:after="2"/>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692265" cy="160655"/>
                <wp:effectExtent l="0" t="0" r="0" b="0"/>
                <wp:wrapNone/>
                <wp:docPr id="192" name="Frame179"/>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pStyle w:val="TextBody"/>
        <w:spacing w:lineRule="auto" w:line="288" w:before="0" w:after="0"/>
        <w:jc w:val="both"/>
        <w:rPr/>
      </w:pPr>
      <w:r>
        <w:rPr>
          <w:rFonts w:ascii="Times New Roman;sans-serif" w:hAnsi="Times New Roman;sans-serif"/>
          <w:b w:val="false"/>
          <w:color w:val="000000"/>
          <w:sz w:val="22"/>
        </w:rPr>
        <w:t xml:space="preserve">In the United States, pharmaceutical manufacturers are subject to complex laws and regulations pertaining to healthcare “fraud and abuse,” including, but not limited to, the Anti-Kickback Statute, the federal </w:t>
      </w:r>
      <w:r>
        <w:rPr>
          <w:rFonts w:ascii="Times New Roman;sans-serif" w:hAnsi="Times New Roman;sans-serif"/>
          <w:b w:val="false"/>
          <w:i/>
          <w:color w:val="000000"/>
          <w:sz w:val="24"/>
        </w:rPr>
        <w:t>False Claims Act</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4"/>
        </w:rPr>
        <w:t>FCA</w:t>
      </w:r>
      <w:r>
        <w:rPr>
          <w:color w:val="000000"/>
        </w:rPr>
        <w:t>”</w:t>
      </w:r>
      <w:r>
        <w:rPr>
          <w:rFonts w:ascii="Times New Roman;sans-serif" w:hAnsi="Times New Roman;sans-serif"/>
          <w:b w:val="false"/>
          <w:color w:val="000000"/>
          <w:sz w:val="22"/>
        </w:rPr>
        <w:t xml:space="preserve">),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w:t>
      </w:r>
      <w:r>
        <w:rPr>
          <w:color w:val="000000"/>
        </w:rPr>
        <w:t xml:space="preserve"> </w:t>
      </w:r>
      <w:r>
        <w:rPr>
          <w:rFonts w:ascii="Times New Roman;sans-serif" w:hAnsi="Times New Roman;sans-serif"/>
          <w:b w:val="false"/>
          <w:color w:val="000000"/>
          <w:sz w:val="22"/>
        </w:rPr>
        <w:t>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r>
        <w:rPr>
          <w:color w:val="000000"/>
        </w:rPr>
        <w:t xml:space="preserve"> </w:t>
      </w:r>
      <w:r>
        <w:rPr>
          <w:rFonts w:ascii="Times New Roman;sans-serif" w:hAnsi="Times New Roman;sans-serif"/>
          <w:b w:val="false"/>
          <w:color w:val="000000"/>
          <w:sz w:val="22"/>
        </w:rPr>
        <w:t>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There are also an increasing number of state laws that require manufacturers to make reports to states on pricing and marketing information.</w:t>
      </w:r>
      <w:r>
        <w:rPr>
          <w:color w:val="000000"/>
        </w:rPr>
        <w:t xml:space="preserve"> </w:t>
      </w:r>
      <w:r>
        <w:rPr>
          <w:rFonts w:ascii="Times New Roman;sans-serif" w:hAnsi="Times New Roman;sans-serif"/>
          <w:b w:val="false"/>
          <w:color w:val="000000"/>
          <w:sz w:val="22"/>
        </w:rPr>
        <w:t>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r>
        <w:rPr>
          <w:color w:val="000000"/>
        </w:rPr>
        <w:t xml:space="preserve"> </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692265" cy="160655"/>
                <wp:effectExtent l="0" t="0" r="0" b="0"/>
                <wp:wrapNone/>
                <wp:docPr id="193" name="Frame18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v:rect>
            </w:pict>
          </mc:Fallback>
        </mc:AlternateContent>
      </w:r>
    </w:p>
    <w:p>
      <w:pPr>
        <w:pStyle w:val="TextBody"/>
        <w:spacing w:lineRule="auto" w:line="288"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Controlled Substances</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spacing w:before="0" w:after="0"/>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 </w:t>
      </w:r>
    </w:p>
    <w:p>
      <w:pPr>
        <w:pStyle w:val="TextBody"/>
        <w:spacing w:before="0" w:after="2"/>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692265" cy="160655"/>
                <wp:effectExtent l="0" t="0" r="0" b="0"/>
                <wp:wrapNone/>
                <wp:docPr id="194" name="Frame18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Netherlands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Regulation (EU) No 536/2014 on Clinical Trials on Medicinal Products for Human Use ( the “</w:t>
      </w:r>
      <w:r>
        <w:rPr>
          <w:rFonts w:ascii="Times New Roman;sans-serif" w:hAnsi="Times New Roman;sans-serif"/>
          <w:b/>
          <w:color w:val="000000"/>
          <w:sz w:val="24"/>
        </w:rPr>
        <w:t>CTR</w:t>
      </w:r>
      <w:r>
        <w:rPr>
          <w:color w:val="000000"/>
        </w:rPr>
        <w:t>”</w:t>
      </w:r>
      <w:r>
        <w:rPr>
          <w:rFonts w:ascii="Times New Roman;sans-serif" w:hAnsi="Times New Roman;sans-serif"/>
          <w:b w:val="false"/>
          <w:color w:val="000000"/>
          <w:sz w:val="22"/>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w:t>
      </w:r>
      <w:r>
        <w:rPr>
          <w:color w:val="000000"/>
        </w:rPr>
        <w:t xml:space="preserve"> </w:t>
      </w:r>
      <w:r>
        <w:rPr>
          <w:rFonts w:ascii="Times New Roman;sans-serif" w:hAnsi="Times New Roman;sans-serif"/>
          <w:b w:val="false"/>
          <w:color w:val="000000"/>
          <w:sz w:val="22"/>
        </w:rPr>
        <w:t>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sans-serif" w:hAnsi="Times New Roman;sans-serif"/>
          <w:b/>
          <w:color w:val="000000"/>
          <w:sz w:val="24"/>
        </w:rPr>
        <w:t>IMP</w:t>
      </w:r>
      <w:r>
        <w:rPr>
          <w:color w:val="000000"/>
        </w:rPr>
        <w:t>”</w:t>
      </w:r>
      <w:r>
        <w:rPr>
          <w:rFonts w:ascii="Times New Roman;sans-serif" w:hAnsi="Times New Roman;sans-serif"/>
          <w:b w:val="false"/>
          <w:color w:val="000000"/>
          <w:sz w:val="22"/>
        </w:rPr>
        <w:t xml:space="preserve">), and data from non-clinical and clinical studies. Guidance concerning IMPDs is based on the </w:t>
      </w:r>
      <w:r>
        <w:rPr>
          <w:rFonts w:ascii="Times New Roman;sans-serif" w:hAnsi="Times New Roman;sans-serif"/>
          <w:b w:val="false"/>
          <w:color w:val="000000"/>
          <w:sz w:val="24"/>
        </w:rPr>
        <w:t>CTR</w:t>
      </w:r>
      <w:r>
        <w:rPr>
          <w:color w:val="000000"/>
        </w:rPr>
        <w:t xml:space="preserve"> </w:t>
      </w:r>
      <w:r>
        <w:rPr>
          <w:rFonts w:ascii="Times New Roman;sans-serif" w:hAnsi="Times New Roman;sans-serif"/>
          <w:b w:val="false"/>
          <w:color w:val="000000"/>
          <w:sz w:val="22"/>
        </w:rPr>
        <w:t>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 </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692265" cy="160655"/>
                <wp:effectExtent l="0" t="0" r="0" b="0"/>
                <wp:wrapNone/>
                <wp:docPr id="195" name="Frame182"/>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v:rect>
            </w:pict>
          </mc:Fallback>
        </mc:AlternateContent>
      </w: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Pharmaceutical products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In accordance with the Dutch Medicines Act (</w:t>
      </w:r>
      <w:r>
        <w:rPr>
          <w:rFonts w:ascii="Times New Roman;sans-serif" w:hAnsi="Times New Roman;sans-serif"/>
          <w:b w:val="false"/>
          <w:i/>
          <w:color w:val="000000"/>
          <w:sz w:val="24"/>
        </w:rPr>
        <w:t>Geneesmiddelenwet</w:t>
      </w:r>
      <w:r>
        <w:rPr>
          <w:rFonts w:ascii="Times New Roman;sans-serif" w:hAnsi="Times New Roman;sans-serif"/>
          <w:b w:val="false"/>
          <w:color w:val="000000"/>
          <w:sz w:val="22"/>
        </w:rPr>
        <w:t xml:space="preserve">),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2"/>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sans-serif" w:hAnsi="Times New Roman;sans-serif"/>
          <w:b/>
          <w:color w:val="000000"/>
          <w:sz w:val="22"/>
        </w:rPr>
        <w:t>EMA</w:t>
      </w:r>
      <w:r>
        <w:rPr>
          <w:color w:val="000000"/>
        </w:rPr>
        <w:t>”</w:t>
      </w:r>
      <w:r>
        <w:rPr>
          <w:rFonts w:ascii="Times New Roman;sans-serif" w:hAnsi="Times New Roman;sans-serif"/>
          <w:b w:val="false"/>
          <w:color w:val="000000"/>
          <w:sz w:val="22"/>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2"/>
        </w:rPr>
        <w:t>Market Authorization Regulatory Process</w:t>
      </w:r>
      <w:r>
        <w:rPr>
          <w:color w:val="000000"/>
        </w:rPr>
        <w:t xml:space="preserve"> </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692265" cy="160655"/>
                <wp:effectExtent l="0" t="0" r="0" b="0"/>
                <wp:wrapNone/>
                <wp:docPr id="196" name="Frame183"/>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sans-serif" w:hAnsi="Times New Roman;sans-serif"/>
          <w:b/>
          <w:color w:val="000000"/>
          <w:sz w:val="22"/>
        </w:rPr>
        <w:t>RMS</w:t>
      </w:r>
      <w:r>
        <w:rPr>
          <w:rFonts w:ascii="Times New Roman;sans-serif" w:hAnsi="Times New Roman;sans-serif"/>
          <w:b w:val="false"/>
          <w:color w:val="000000"/>
          <w:sz w:val="22"/>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sans-serif" w:hAnsi="Times New Roman;sans-serif"/>
          <w:b/>
          <w:color w:val="000000"/>
          <w:sz w:val="22"/>
        </w:rPr>
        <w:t>CMDh</w:t>
      </w:r>
      <w:r>
        <w:rPr>
          <w:rFonts w:ascii="Times New Roman;sans-serif" w:hAnsi="Times New Roman;sans-serif"/>
          <w:b w:val="false"/>
          <w:color w:val="000000"/>
          <w:sz w:val="22"/>
        </w:rPr>
        <w:t>"). When all Member States involved decide on a positive opinion on products in the CMDh, Dutch translations of the summary of product characteristics, package leaflet, labelling texts and mock-ups are submitted and a national marketing authorization is issued.</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Ireland</w:t>
      </w:r>
    </w:p>
    <w:p>
      <w:pPr>
        <w:pStyle w:val="TextBody"/>
        <w:spacing w:before="0" w:after="2"/>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In Ireland, psilocin is a controlled substance under the </w:t>
      </w:r>
      <w:r>
        <w:rPr>
          <w:rFonts w:ascii="Times New Roman;sans-serif" w:hAnsi="Times New Roman;sans-serif"/>
          <w:b w:val="false"/>
          <w:i/>
          <w:color w:val="000000"/>
          <w:sz w:val="22"/>
        </w:rPr>
        <w:t>Misuse of Drugs Act, 1977, 1984 and 2015</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Ireland</w:t>
      </w:r>
      <w:r>
        <w:rPr>
          <w:color w:val="000000"/>
        </w:rPr>
        <w:t xml:space="preserve"> </w:t>
      </w:r>
      <w:r>
        <w:rPr>
          <w:rFonts w:ascii="Times New Roman;sans-serif" w:hAnsi="Times New Roman;sans-serif"/>
          <w:b/>
          <w:color w:val="000000"/>
          <w:sz w:val="22"/>
        </w:rPr>
        <w:t>MDA</w:t>
      </w:r>
      <w:r>
        <w:rPr>
          <w:color w:val="000000"/>
        </w:rPr>
        <w:t>”</w:t>
      </w:r>
      <w:r>
        <w:rPr>
          <w:rFonts w:ascii="Times New Roman;sans-serif" w:hAnsi="Times New Roman;sans-serif"/>
          <w:b w:val="false"/>
          <w:color w:val="000000"/>
          <w:sz w:val="22"/>
        </w:rPr>
        <w:t xml:space="preserve">), the </w:t>
      </w:r>
      <w:r>
        <w:rPr>
          <w:rFonts w:ascii="Times New Roman;sans-serif" w:hAnsi="Times New Roman;sans-serif"/>
          <w:b w:val="false"/>
          <w:i/>
          <w:color w:val="000000"/>
          <w:sz w:val="22"/>
        </w:rPr>
        <w:t>Misuse of Drugs Regulations 2017</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Ireland</w:t>
      </w:r>
      <w:r>
        <w:rPr>
          <w:color w:val="000000"/>
        </w:rPr>
        <w:t xml:space="preserve"> </w:t>
      </w:r>
      <w:r>
        <w:rPr>
          <w:rFonts w:ascii="Times New Roman;sans-serif" w:hAnsi="Times New Roman;sans-serif"/>
          <w:b/>
          <w:color w:val="000000"/>
          <w:sz w:val="22"/>
        </w:rPr>
        <w:t>MDR</w:t>
      </w:r>
      <w:r>
        <w:rPr>
          <w:color w:val="000000"/>
        </w:rPr>
        <w:t>”</w:t>
      </w:r>
      <w:r>
        <w:rPr>
          <w:rFonts w:ascii="Times New Roman;sans-serif" w:hAnsi="Times New Roman;sans-serif"/>
          <w:b w:val="false"/>
          <w:color w:val="000000"/>
          <w:sz w:val="22"/>
        </w:rPr>
        <w:t xml:space="preserve">) and the </w:t>
      </w:r>
      <w:r>
        <w:rPr>
          <w:rFonts w:ascii="Times New Roman;sans-serif" w:hAnsi="Times New Roman;sans-serif"/>
          <w:b w:val="false"/>
          <w:i/>
          <w:color w:val="000000"/>
          <w:sz w:val="22"/>
        </w:rPr>
        <w:t>Criminal Justice (Psychoactive Substances) Act 2010</w:t>
      </w:r>
      <w:r>
        <w:rPr>
          <w:rFonts w:ascii="Times New Roman;sans-serif" w:hAnsi="Times New Roman;sans-serif"/>
          <w:b w:val="false"/>
          <w:color w:val="000000"/>
          <w:sz w:val="22"/>
        </w:rPr>
        <w:t xml:space="preserve">.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692265" cy="160655"/>
                <wp:effectExtent l="0" t="0" r="0" b="0"/>
                <wp:wrapNone/>
                <wp:docPr id="197" name="Frame184"/>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 </w:t>
      </w:r>
    </w:p>
    <w:p>
      <w:pPr>
        <w:pStyle w:val="TextBody"/>
        <w:spacing w:before="0" w:after="0"/>
        <w:jc w:val="both"/>
        <w:rPr/>
      </w:pPr>
      <w:r>
        <w:rPr/>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Compliance with Applicable Laws</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 </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 </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 </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and, to its knowledge, each of its third-party researchers, suppliers and manufacturers have not received any non-compliance, citations or notices of violation which may have an impact on the Company’s licences, business activities or operations.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spacing w:lineRule="auto" w:line="288" w:before="0" w:after="2"/>
        <w:jc w:val="both"/>
        <w:rPr/>
      </w:pPr>
      <w:r>
        <w:rPr>
          <w:rFonts w:ascii="Times New Roman;sans-serif" w:hAnsi="Times New Roman;sans-serif"/>
          <w:b w:val="false"/>
          <w:color w:val="000000"/>
          <w:sz w:val="22"/>
          <w:u w:val="single"/>
        </w:rPr>
        <w:t>Patent Cooperation Treaty</w:t>
      </w:r>
      <w:r>
        <w:rPr>
          <w:color w:val="000000"/>
        </w:rPr>
        <w:t xml:space="preserve"> </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PCT facilitates filing for patent recognition in multiple jurisdictions simultaneously using a single uniform patent application. 157 countries, including Canada and the United States have ratified the PCT.</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692265" cy="160655"/>
                <wp:effectExtent l="0" t="0" r="0" b="0"/>
                <wp:wrapNone/>
                <wp:docPr id="198" name="Frame185"/>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national phase in desired jurisdictions globally, such as Canada (30 months) and Europe (31 months), in each case claiming priority to the provisional patent application.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 xml:space="preserve">Selected Quarterly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sets forth selected consolidated financial information for the periods indicated that are derived from, and should be read in conjunction with, the Financial Statements and related notes thereto. </w:t>
      </w:r>
    </w:p>
    <w:p>
      <w:pPr>
        <w:pStyle w:val="TextBody"/>
        <w:spacing w:before="0" w:after="0"/>
        <w:rPr/>
      </w:pPr>
      <w:r>
        <w:rPr/>
      </w:r>
    </w:p>
    <w:tbl>
      <w:tblPr>
        <w:tblW w:w="11357" w:type="dxa"/>
        <w:jc w:val="left"/>
        <w:tblInd w:w="0" w:type="dxa"/>
        <w:tblCellMar>
          <w:top w:w="28" w:type="dxa"/>
          <w:left w:w="28" w:type="dxa"/>
          <w:bottom w:w="28" w:type="dxa"/>
          <w:right w:w="28" w:type="dxa"/>
        </w:tblCellMar>
      </w:tblPr>
      <w:tblGrid>
        <w:gridCol w:w="510"/>
        <w:gridCol w:w="277"/>
        <w:gridCol w:w="279"/>
        <w:gridCol w:w="666"/>
        <w:gridCol w:w="385"/>
        <w:gridCol w:w="196"/>
        <w:gridCol w:w="613"/>
        <w:gridCol w:w="438"/>
        <w:gridCol w:w="276"/>
        <w:gridCol w:w="579"/>
        <w:gridCol w:w="472"/>
        <w:gridCol w:w="291"/>
        <w:gridCol w:w="594"/>
        <w:gridCol w:w="457"/>
        <w:gridCol w:w="151"/>
        <w:gridCol w:w="666"/>
        <w:gridCol w:w="385"/>
        <w:gridCol w:w="196"/>
        <w:gridCol w:w="613"/>
        <w:gridCol w:w="438"/>
        <w:gridCol w:w="276"/>
        <w:gridCol w:w="589"/>
        <w:gridCol w:w="462"/>
        <w:gridCol w:w="291"/>
        <w:gridCol w:w="543"/>
        <w:gridCol w:w="508"/>
        <w:gridCol w:w="206"/>
      </w:tblGrid>
      <w:tr>
        <w:trPr/>
        <w:tc>
          <w:tcPr>
            <w:tcW w:w="51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(Canadian dollars in thousands, except per share and share figures)</w:t>
            </w:r>
          </w:p>
        </w:tc>
        <w:tc>
          <w:tcPr>
            <w:tcW w:w="1247" w:type="dxa"/>
            <w:gridSpan w:val="3"/>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March 31, 2023</w:t>
            </w:r>
          </w:p>
        </w:tc>
        <w:tc>
          <w:tcPr>
            <w:tcW w:w="1327"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1342"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September 30, 2022</w:t>
            </w:r>
          </w:p>
        </w:tc>
        <w:tc>
          <w:tcPr>
            <w:tcW w:w="1202"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June 30, 2022</w:t>
            </w:r>
          </w:p>
        </w:tc>
        <w:tc>
          <w:tcPr>
            <w:tcW w:w="1247"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March 31, 2022</w:t>
            </w:r>
          </w:p>
        </w:tc>
        <w:tc>
          <w:tcPr>
            <w:tcW w:w="1327"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December 31, 2021</w:t>
            </w:r>
          </w:p>
        </w:tc>
        <w:tc>
          <w:tcPr>
            <w:tcW w:w="1342"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September 30, 2021</w:t>
            </w:r>
          </w:p>
        </w:tc>
        <w:tc>
          <w:tcPr>
            <w:tcW w:w="1257"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June 30, 2021</w:t>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Revenues ($)</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2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Operating Expenses ($)</w:t>
            </w:r>
          </w:p>
        </w:tc>
        <w:tc>
          <w:tcPr>
            <w:tcW w:w="105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13,703 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12,093 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12,327 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13,395 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16,338 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16,455 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17,106 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13,939 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Net loss ($)</w:t>
            </w:r>
          </w:p>
        </w:tc>
        <w:tc>
          <w:tcPr>
            <w:tcW w:w="105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(13,720)</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(10,742)</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(9,973)</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(13,055)</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(18,097)</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(17,210)</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(17,607)</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(14,717)</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before="0" w:after="0"/>
              <w:ind w:left="0" w:right="0" w:firstLine="340"/>
              <w:rPr/>
            </w:pPr>
            <w:r>
              <w:rPr/>
            </w:r>
          </w:p>
        </w:tc>
        <w:tc>
          <w:tcPr>
            <w:tcW w:w="124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Weighted Average Shares - Basic</w:t>
            </w:r>
          </w:p>
        </w:tc>
        <w:tc>
          <w:tcPr>
            <w:tcW w:w="105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196,144,381 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188,887,344 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180,837,176 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175,874,475 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173,873,017 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171,833,544 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165,783,294 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157,711,518 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Loss per share ($'s)</w:t>
            </w:r>
          </w:p>
        </w:tc>
        <w:tc>
          <w:tcPr>
            <w:tcW w:w="105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(0.07)</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(0.06)</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(0.06)</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(0.07)</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(0.10)</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(0.10)</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(0.11)</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(0.09)</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Weighted Average Shares - Diluted</w:t>
            </w:r>
          </w:p>
        </w:tc>
        <w:tc>
          <w:tcPr>
            <w:tcW w:w="105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196,144,381 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188,887,344 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180,837,176 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175,874,475 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173,873,017 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171,833,544 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165,783,294 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157,711,518 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Loss per share ($'s)</w:t>
            </w:r>
          </w:p>
        </w:tc>
        <w:tc>
          <w:tcPr>
            <w:tcW w:w="105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(0.07)</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(0.06)</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(0.06)</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(0.07)</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(0.10)</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(0.10)</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(0.11)</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(0.09)</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Cash and cash equivalents</w:t>
            </w:r>
          </w:p>
        </w:tc>
        <w:tc>
          <w:tcPr>
            <w:tcW w:w="105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16,633 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22,511 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29,937 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42,460 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53,641 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63,580 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75,179 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55,075 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w:t>
            </w:r>
          </w:p>
        </w:tc>
        <w:tc>
          <w:tcPr>
            <w:tcW w:w="105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53,897 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60,694 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69,113 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74,590 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84,063 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95,161 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105,465 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82,837 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Total Non-Current Liabilities ($)</w:t>
            </w:r>
          </w:p>
        </w:tc>
        <w:tc>
          <w:tcPr>
            <w:tcW w:w="1051"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27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29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5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27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363 </w:t>
            </w:r>
          </w:p>
        </w:tc>
        <w:tc>
          <w:tcPr>
            <w:tcW w:w="29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770 </w:t>
            </w:r>
          </w:p>
        </w:tc>
        <w:tc>
          <w:tcPr>
            <w:tcW w:w="20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
        <w:jc w:val="both"/>
        <w:rPr/>
      </w:pPr>
      <w:r>
        <w:br w:type="page"/>
      </w: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692265" cy="160655"/>
                <wp:effectExtent l="0" t="0" r="0" b="0"/>
                <wp:wrapNone/>
                <wp:docPr id="199" name="Frame186"/>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v:rect>
            </w:pict>
          </mc:Fallback>
        </mc:AlternateContent>
      </w:r>
    </w:p>
    <w:p>
      <w:pPr>
        <w:pStyle w:val="TextBody"/>
        <w:spacing w:lineRule="auto" w:line="288" w:before="0" w:after="120"/>
        <w:jc w:val="both"/>
        <w:rPr>
          <w:rFonts w:ascii="Times New Roman;sans-serif" w:hAnsi="Times New Roman;sans-serif"/>
          <w:b/>
          <w:i/>
          <w:color w:val="000000"/>
          <w:sz w:val="22"/>
        </w:rPr>
      </w:pPr>
      <w:r>
        <w:rPr>
          <w:rFonts w:ascii="Times New Roman;sans-serif" w:hAnsi="Times New Roman;sans-serif"/>
          <w:b/>
          <w:i/>
          <w:color w:val="000000"/>
          <w:sz w:val="22"/>
        </w:rPr>
        <w:t xml:space="preserve">Selected Annual Information </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presenting the Company’s results of operations as at and for the three most recently completed financial years ending March 31 should be read in conjunction with the Financial Statements and related notes thereto. </w:t>
      </w:r>
    </w:p>
    <w:p>
      <w:pPr>
        <w:pStyle w:val="TextBody"/>
        <w:spacing w:before="0" w:after="2"/>
        <w:jc w:val="both"/>
        <w:rPr/>
      </w:pPr>
      <w:r>
        <w:rPr/>
      </w:r>
    </w:p>
    <w:p>
      <w:pPr>
        <w:pStyle w:val="TextBody"/>
        <w:spacing w:lineRule="auto" w:line="288" w:before="0" w:after="2"/>
        <w:jc w:val="both"/>
        <w:rPr/>
      </w:pPr>
      <w:r>
        <w:rPr>
          <w:rFonts w:ascii="Times New Roman;sans-serif" w:hAnsi="Times New Roman;sans-serif"/>
          <w:b w:val="false"/>
          <w:color w:val="000000"/>
          <w:sz w:val="22"/>
        </w:rPr>
        <w:t>The Company’s selected financial information as at</w:t>
      </w:r>
      <w:r>
        <w:rPr>
          <w:color w:val="000000"/>
        </w:rPr>
        <w:t xml:space="preserve"> </w:t>
      </w:r>
      <w:r>
        <w:rPr>
          <w:rFonts w:ascii="Times New Roman;sans-serif" w:hAnsi="Times New Roman;sans-serif"/>
          <w:b w:val="false"/>
          <w:color w:val="000000"/>
          <w:sz w:val="22"/>
        </w:rPr>
        <w:t>and for the three most recently completed financial years ended March 31, are summarized as follows:</w:t>
      </w:r>
    </w:p>
    <w:p>
      <w:pPr>
        <w:pStyle w:val="TextBody"/>
        <w:spacing w:before="0" w:after="2"/>
        <w:jc w:val="both"/>
        <w:rPr/>
      </w:pPr>
      <w:r>
        <w:rPr/>
      </w:r>
    </w:p>
    <w:tbl>
      <w:tblPr>
        <w:tblW w:w="10539" w:type="dxa"/>
        <w:jc w:val="left"/>
        <w:tblInd w:w="0" w:type="dxa"/>
        <w:tblCellMar>
          <w:top w:w="28" w:type="dxa"/>
          <w:left w:w="28" w:type="dxa"/>
          <w:bottom w:w="28" w:type="dxa"/>
          <w:right w:w="28" w:type="dxa"/>
        </w:tblCellMar>
      </w:tblPr>
      <w:tblGrid>
        <w:gridCol w:w="1645"/>
        <w:gridCol w:w="1418"/>
        <w:gridCol w:w="1424"/>
        <w:gridCol w:w="735"/>
        <w:gridCol w:w="488"/>
        <w:gridCol w:w="474"/>
        <w:gridCol w:w="912"/>
        <w:gridCol w:w="823"/>
        <w:gridCol w:w="828"/>
        <w:gridCol w:w="737"/>
        <w:gridCol w:w="443"/>
        <w:gridCol w:w="612"/>
      </w:tblGrid>
      <w:tr>
        <w:trPr/>
        <w:tc>
          <w:tcPr>
            <w:tcW w:w="1645"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(Canadian dollars in thousands, except per share and share figures)</w:t>
            </w:r>
          </w:p>
        </w:tc>
        <w:tc>
          <w:tcPr>
            <w:tcW w:w="1697" w:type="dxa"/>
            <w:gridSpan w:val="3"/>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For the year ended</w:t>
              <w:br/>
              <w:t>March 31, 2023</w:t>
            </w:r>
          </w:p>
        </w:tc>
        <w:tc>
          <w:tcPr>
            <w:tcW w:w="2563"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For the year ended March 31, 2022</w:t>
            </w:r>
          </w:p>
        </w:tc>
        <w:tc>
          <w:tcPr>
            <w:tcW w:w="1792"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For the year ended</w:t>
              <w:br/>
              <w:t>March 31, 2021</w:t>
            </w:r>
          </w:p>
        </w:tc>
      </w:tr>
      <w:tr>
        <w:trPr/>
        <w:tc>
          <w:tcPr>
            <w:tcW w:w="44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Revenues ($)</w:t>
            </w:r>
          </w:p>
        </w:tc>
        <w:tc>
          <w:tcPr>
            <w:tcW w:w="122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4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82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864 </w:t>
            </w:r>
          </w:p>
        </w:tc>
        <w:tc>
          <w:tcPr>
            <w:tcW w:w="6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 ($)</w:t>
            </w:r>
          </w:p>
        </w:tc>
        <w:tc>
          <w:tcPr>
            <w:tcW w:w="122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pPr>
            <w:r>
              <w:rPr>
                <w:rFonts w:ascii="Calibri;sans-serif" w:hAnsi="Calibri;sans-serif"/>
                <w:b/>
                <w:color w:val="000000"/>
                <w:sz w:val="18"/>
              </w:rPr>
              <w:t>51,518</w:t>
            </w:r>
            <w:r>
              <w:rPr>
                <w:color w:val="000000"/>
              </w:rPr>
              <w:t> </w:t>
            </w:r>
          </w:p>
        </w:tc>
        <w:tc>
          <w:tcPr>
            <w:tcW w:w="4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63,838 </w:t>
            </w:r>
          </w:p>
        </w:tc>
        <w:tc>
          <w:tcPr>
            <w:tcW w:w="8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30,724 </w:t>
            </w:r>
          </w:p>
        </w:tc>
        <w:tc>
          <w:tcPr>
            <w:tcW w:w="6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loss ($)</w:t>
            </w:r>
          </w:p>
        </w:tc>
        <w:tc>
          <w:tcPr>
            <w:tcW w:w="122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(47,490)</w:t>
            </w:r>
          </w:p>
        </w:tc>
        <w:tc>
          <w:tcPr>
            <w:tcW w:w="4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(67,631)</w:t>
            </w:r>
          </w:p>
        </w:tc>
        <w:tc>
          <w:tcPr>
            <w:tcW w:w="8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(32,220)</w:t>
            </w:r>
          </w:p>
        </w:tc>
        <w:tc>
          <w:tcPr>
            <w:tcW w:w="6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before="0" w:after="0"/>
              <w:ind w:left="0" w:right="0" w:firstLine="340"/>
              <w:rPr/>
            </w:pPr>
            <w:r>
              <w:rPr/>
            </w:r>
          </w:p>
        </w:tc>
        <w:tc>
          <w:tcPr>
            <w:tcW w:w="169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122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pPr>
            <w:r>
              <w:rPr>
                <w:rFonts w:ascii="Calibri;sans-serif" w:hAnsi="Calibri;sans-serif"/>
                <w:b/>
                <w:color w:val="000000"/>
                <w:sz w:val="18"/>
              </w:rPr>
              <w:t>185,428,767</w:t>
            </w:r>
            <w:r>
              <w:rPr>
                <w:color w:val="000000"/>
              </w:rPr>
              <w:t> </w:t>
            </w:r>
          </w:p>
        </w:tc>
        <w:tc>
          <w:tcPr>
            <w:tcW w:w="4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167,287,240 </w:t>
            </w:r>
          </w:p>
        </w:tc>
        <w:tc>
          <w:tcPr>
            <w:tcW w:w="8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100,010,864 </w:t>
            </w:r>
          </w:p>
        </w:tc>
        <w:tc>
          <w:tcPr>
            <w:tcW w:w="6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Loss per share ($'s)</w:t>
            </w:r>
          </w:p>
        </w:tc>
        <w:tc>
          <w:tcPr>
            <w:tcW w:w="122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(0.26)</w:t>
            </w:r>
          </w:p>
        </w:tc>
        <w:tc>
          <w:tcPr>
            <w:tcW w:w="4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(0.40)</w:t>
            </w:r>
          </w:p>
        </w:tc>
        <w:tc>
          <w:tcPr>
            <w:tcW w:w="8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(0.32)</w:t>
            </w:r>
          </w:p>
        </w:tc>
        <w:tc>
          <w:tcPr>
            <w:tcW w:w="6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122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pPr>
            <w:r>
              <w:rPr>
                <w:rFonts w:ascii="Calibri;sans-serif" w:hAnsi="Calibri;sans-serif"/>
                <w:b/>
                <w:color w:val="000000"/>
                <w:sz w:val="18"/>
              </w:rPr>
              <w:t>185,428,767</w:t>
            </w:r>
            <w:r>
              <w:rPr>
                <w:color w:val="000000"/>
              </w:rPr>
              <w:t> </w:t>
            </w:r>
          </w:p>
        </w:tc>
        <w:tc>
          <w:tcPr>
            <w:tcW w:w="4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167,287,240 </w:t>
            </w:r>
          </w:p>
        </w:tc>
        <w:tc>
          <w:tcPr>
            <w:tcW w:w="8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100,010,864 </w:t>
            </w:r>
          </w:p>
        </w:tc>
        <w:tc>
          <w:tcPr>
            <w:tcW w:w="6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Loss per share ($'s)</w:t>
            </w:r>
          </w:p>
        </w:tc>
        <w:tc>
          <w:tcPr>
            <w:tcW w:w="122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(0.26)</w:t>
            </w:r>
          </w:p>
        </w:tc>
        <w:tc>
          <w:tcPr>
            <w:tcW w:w="4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(0.40)</w:t>
            </w:r>
          </w:p>
        </w:tc>
        <w:tc>
          <w:tcPr>
            <w:tcW w:w="8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(0.32)</w:t>
            </w:r>
          </w:p>
        </w:tc>
        <w:tc>
          <w:tcPr>
            <w:tcW w:w="6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122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pPr>
            <w:r>
              <w:rPr>
                <w:rFonts w:ascii="Calibri;sans-serif" w:hAnsi="Calibri;sans-serif"/>
                <w:b/>
                <w:color w:val="000000"/>
                <w:sz w:val="18"/>
              </w:rPr>
              <w:t>16,633</w:t>
            </w:r>
            <w:r>
              <w:rPr>
                <w:color w:val="000000"/>
              </w:rPr>
              <w:t> </w:t>
            </w:r>
          </w:p>
        </w:tc>
        <w:tc>
          <w:tcPr>
            <w:tcW w:w="4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53,641 </w:t>
            </w:r>
          </w:p>
        </w:tc>
        <w:tc>
          <w:tcPr>
            <w:tcW w:w="8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64,026 </w:t>
            </w:r>
          </w:p>
        </w:tc>
        <w:tc>
          <w:tcPr>
            <w:tcW w:w="6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w:t>
            </w:r>
          </w:p>
        </w:tc>
        <w:tc>
          <w:tcPr>
            <w:tcW w:w="122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pPr>
            <w:r>
              <w:rPr>
                <w:rFonts w:ascii="Calibri;sans-serif" w:hAnsi="Calibri;sans-serif"/>
                <w:b/>
                <w:color w:val="000000"/>
                <w:sz w:val="18"/>
              </w:rPr>
              <w:t>53,897</w:t>
            </w:r>
            <w:r>
              <w:rPr>
                <w:color w:val="000000"/>
              </w:rPr>
              <w:t> </w:t>
            </w:r>
          </w:p>
        </w:tc>
        <w:tc>
          <w:tcPr>
            <w:tcW w:w="4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84,063 </w:t>
            </w:r>
          </w:p>
        </w:tc>
        <w:tc>
          <w:tcPr>
            <w:tcW w:w="8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92,112 </w:t>
            </w:r>
          </w:p>
        </w:tc>
        <w:tc>
          <w:tcPr>
            <w:tcW w:w="6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Liabilities ($)</w:t>
            </w:r>
          </w:p>
        </w:tc>
        <w:tc>
          <w:tcPr>
            <w:tcW w:w="1223"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474"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735"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color w:val="000000"/>
              </w:rPr>
            </w:pPr>
            <w:r>
              <w:rPr>
                <w:color w:val="000000"/>
              </w:rPr>
              <w:t>— </w:t>
            </w:r>
          </w:p>
        </w:tc>
        <w:tc>
          <w:tcPr>
            <w:tcW w:w="828"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180"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1,094 </w:t>
            </w:r>
          </w:p>
        </w:tc>
        <w:tc>
          <w:tcPr>
            <w:tcW w:w="612"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not paid dividends on the Common Shares and does not anticipate declaring any dividends in the near future.</w: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Assets</w:t>
      </w:r>
    </w:p>
    <w:p>
      <w:pPr>
        <w:pStyle w:val="TextBody"/>
        <w:spacing w:before="0" w:after="2"/>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Total assets decreased by $30,166 from March 31, 2022 to March 31, 2023 mainly as a result in a decrease in cash as the Company continues to progress its operations. The decrease is partially offset by an increase in accounts receivable, prepaid expenses, other current assets, and the impact of foreign exchange on translation. As at March 31, 2023, the Company had prepaid expenses related to future clinical work of $849 (US$627).</w: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Non-Current Liabilities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does not currently have any non-current liabilities.</w:t>
      </w:r>
    </w:p>
    <w:p>
      <w:pPr>
        <w:pStyle w:val="TextBody"/>
        <w:spacing w:before="0" w:after="2"/>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692265" cy="160655"/>
                <wp:effectExtent l="0" t="0" r="0" b="0"/>
                <wp:wrapNone/>
                <wp:docPr id="200" name="Frame187"/>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v:rect>
            </w:pict>
          </mc:Fallback>
        </mc:AlternateContent>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 xml:space="preserve">Results of operations </w:t>
      </w:r>
    </w:p>
    <w:p>
      <w:pPr>
        <w:pStyle w:val="TextBody"/>
        <w:spacing w:before="0" w:after="2"/>
        <w:jc w:val="both"/>
        <w:rPr/>
      </w:pPr>
      <w:r>
        <w:rPr/>
      </w:r>
    </w:p>
    <w:tbl>
      <w:tblPr>
        <w:tblW w:w="10539" w:type="dxa"/>
        <w:jc w:val="left"/>
        <w:tblInd w:w="0" w:type="dxa"/>
        <w:tblCellMar>
          <w:top w:w="28" w:type="dxa"/>
          <w:left w:w="28" w:type="dxa"/>
          <w:bottom w:w="28" w:type="dxa"/>
          <w:right w:w="28" w:type="dxa"/>
        </w:tblCellMar>
      </w:tblPr>
      <w:tblGrid>
        <w:gridCol w:w="2032"/>
        <w:gridCol w:w="1776"/>
        <w:gridCol w:w="1793"/>
        <w:gridCol w:w="445"/>
        <w:gridCol w:w="444"/>
        <w:gridCol w:w="414"/>
        <w:gridCol w:w="445"/>
        <w:gridCol w:w="444"/>
        <w:gridCol w:w="427"/>
        <w:gridCol w:w="462"/>
        <w:gridCol w:w="377"/>
        <w:gridCol w:w="290"/>
        <w:gridCol w:w="386"/>
        <w:gridCol w:w="386"/>
        <w:gridCol w:w="418"/>
      </w:tblGrid>
      <w:tr>
        <w:trPr/>
        <w:tc>
          <w:tcPr>
            <w:tcW w:w="2032"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Calibri;sans-serif" w:hAnsi="Calibri;sans-serif"/>
                <w:b/>
                <w:color w:val="000000"/>
                <w:sz w:val="20"/>
              </w:rPr>
            </w:pPr>
            <w:r>
              <w:rPr>
                <w:rFonts w:ascii="Calibri;sans-serif" w:hAnsi="Calibri;sans-serif"/>
                <w:b/>
                <w:color w:val="000000"/>
                <w:sz w:val="20"/>
              </w:rPr>
              <w:t>Three months ended March 31,</w:t>
            </w:r>
          </w:p>
        </w:tc>
        <w:tc>
          <w:tcPr>
            <w:tcW w:w="2319"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Calibri;sans-serif" w:hAnsi="Calibri;sans-serif"/>
                <w:b/>
                <w:color w:val="000000"/>
                <w:sz w:val="20"/>
              </w:rPr>
            </w:pPr>
            <w:r>
              <w:rPr>
                <w:rFonts w:ascii="Calibri;sans-serif" w:hAnsi="Calibri;sans-serif"/>
                <w:b/>
                <w:color w:val="000000"/>
                <w:sz w:val="20"/>
              </w:rPr>
              <w:t>Year ended March 31,</w:t>
            </w:r>
          </w:p>
        </w:tc>
      </w:tr>
      <w:tr>
        <w:trPr/>
        <w:tc>
          <w:tcPr>
            <w:tcW w:w="56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2023</w:t>
            </w:r>
          </w:p>
        </w:tc>
        <w:tc>
          <w:tcPr>
            <w:tcW w:w="13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2022</w:t>
            </w:r>
          </w:p>
        </w:tc>
        <w:tc>
          <w:tcPr>
            <w:tcW w:w="1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2023</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2022</w:t>
            </w:r>
          </w:p>
        </w:tc>
      </w:tr>
      <w:tr>
        <w:trPr/>
        <w:tc>
          <w:tcPr>
            <w:tcW w:w="56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18"/>
              </w:rPr>
            </w:pPr>
            <w:r>
              <w:rPr>
                <w:rFonts w:ascii="Calibri;sans-serif" w:hAnsi="Calibri;sans-serif"/>
                <w:b/>
                <w:color w:val="000000"/>
                <w:sz w:val="18"/>
              </w:rPr>
              <w:t>EXPENSES</w:t>
            </w:r>
          </w:p>
        </w:tc>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Research</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8,046</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5,829</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25,491</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ind w:left="0" w:right="0" w:firstLine="180"/>
              <w:jc w:val="right"/>
              <w:rPr>
                <w:rFonts w:ascii="Calibri;sans-serif" w:hAnsi="Calibri;sans-serif"/>
                <w:b w:val="false"/>
                <w:color w:val="000000"/>
                <w:sz w:val="18"/>
              </w:rPr>
            </w:pPr>
            <w:r>
              <w:rPr>
                <w:rFonts w:ascii="Calibri;sans-serif" w:hAnsi="Calibri;sans-serif"/>
                <w:b w:val="false"/>
                <w:color w:val="000000"/>
                <w:sz w:val="18"/>
              </w:rPr>
              <w:t>17,586</w:t>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General and administrative costs</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5,176</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7,166</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21,341</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ind w:left="0" w:right="0" w:firstLine="180"/>
              <w:jc w:val="right"/>
              <w:rPr>
                <w:rFonts w:ascii="Calibri;sans-serif" w:hAnsi="Calibri;sans-serif"/>
                <w:b w:val="false"/>
                <w:color w:val="000000"/>
                <w:sz w:val="18"/>
              </w:rPr>
            </w:pPr>
            <w:r>
              <w:rPr>
                <w:rFonts w:ascii="Calibri;sans-serif" w:hAnsi="Calibri;sans-serif"/>
                <w:b w:val="false"/>
                <w:color w:val="000000"/>
                <w:sz w:val="18"/>
              </w:rPr>
              <w:t>28,222</w:t>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Share-based compensation</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481</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3,343</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4,686</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18,030</w:t>
            </w:r>
          </w:p>
        </w:tc>
      </w:tr>
      <w:tr>
        <w:trPr/>
        <w:tc>
          <w:tcPr>
            <w:tcW w:w="5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18"/>
              </w:rPr>
            </w:pPr>
            <w:r>
              <w:rPr>
                <w:rFonts w:ascii="Calibri;sans-serif" w:hAnsi="Calibri;sans-serif"/>
                <w:b/>
                <w:color w:val="000000"/>
                <w:sz w:val="18"/>
              </w:rPr>
              <w:t>TOTAL EXPENSES</w:t>
            </w:r>
          </w:p>
        </w:tc>
        <w:tc>
          <w:tcPr>
            <w:tcW w:w="130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13,703</w:t>
            </w:r>
          </w:p>
        </w:tc>
        <w:tc>
          <w:tcPr>
            <w:tcW w:w="131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16,338</w:t>
            </w:r>
          </w:p>
        </w:tc>
        <w:tc>
          <w:tcPr>
            <w:tcW w:w="112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51,518</w:t>
            </w:r>
          </w:p>
        </w:tc>
        <w:tc>
          <w:tcPr>
            <w:tcW w:w="119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63,838</w:t>
            </w:r>
          </w:p>
        </w:tc>
      </w:tr>
      <w:tr>
        <w:trPr/>
        <w:tc>
          <w:tcPr>
            <w:tcW w:w="560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18"/>
              </w:rPr>
            </w:pPr>
            <w:r>
              <w:rPr>
                <w:rFonts w:ascii="Calibri;sans-serif" w:hAnsi="Calibri;sans-serif"/>
                <w:b/>
                <w:color w:val="000000"/>
                <w:sz w:val="18"/>
              </w:rPr>
              <w:t>OTHER INCOME (EXPENSES)</w:t>
            </w:r>
          </w:p>
        </w:tc>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gain (loss)</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(40)</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(351)</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4,027</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ind w:left="0" w:right="0" w:firstLine="180"/>
              <w:jc w:val="right"/>
              <w:rPr>
                <w:rFonts w:ascii="Calibri;sans-serif" w:hAnsi="Calibri;sans-serif"/>
                <w:b w:val="false"/>
                <w:color w:val="000000"/>
                <w:sz w:val="18"/>
              </w:rPr>
            </w:pPr>
            <w:r>
              <w:rPr>
                <w:rFonts w:ascii="Calibri;sans-serif" w:hAnsi="Calibri;sans-serif"/>
                <w:b w:val="false"/>
                <w:color w:val="000000"/>
                <w:sz w:val="18"/>
              </w:rPr>
              <w:t>(309)</w:t>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Interest income</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148</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83</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603</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241</w:t>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Calibri;sans-serif" w:hAnsi="Calibri;sans-serif"/>
                <w:b w:val="false"/>
                <w:color w:val="000000"/>
                <w:sz w:val="18"/>
              </w:rPr>
              <w:t>Change in fair value of investments measured at fair value through profit or loss</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(125)</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(29)</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(260)</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(29)</w:t>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Calibri;sans-serif" w:hAnsi="Calibri;sans-serif"/>
                <w:b w:val="false"/>
                <w:color w:val="000000"/>
                <w:sz w:val="18"/>
              </w:rPr>
              <w:t>Contingent consideration accretion</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(26)</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(13)</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(316)</w:t>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Change in fair value of contingent consideration</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(1,436)</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(329)</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(3,380)</w:t>
            </w:r>
          </w:p>
        </w:tc>
      </w:tr>
      <w:tr>
        <w:trPr/>
        <w:tc>
          <w:tcPr>
            <w:tcW w:w="5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18"/>
              </w:rPr>
            </w:pPr>
            <w:r>
              <w:rPr>
                <w:rFonts w:ascii="Calibri;sans-serif" w:hAnsi="Calibri;sans-serif"/>
                <w:b/>
                <w:color w:val="000000"/>
                <w:sz w:val="18"/>
              </w:rPr>
              <w:t>TOTAL OTHER INCOME (EXPENSES)</w:t>
            </w:r>
          </w:p>
        </w:tc>
        <w:tc>
          <w:tcPr>
            <w:tcW w:w="130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(17)</w:t>
            </w:r>
          </w:p>
        </w:tc>
        <w:tc>
          <w:tcPr>
            <w:tcW w:w="131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(1,759)</w:t>
            </w:r>
          </w:p>
        </w:tc>
        <w:tc>
          <w:tcPr>
            <w:tcW w:w="112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4,028</w:t>
            </w:r>
          </w:p>
        </w:tc>
        <w:tc>
          <w:tcPr>
            <w:tcW w:w="119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(3,793)</w:t>
            </w:r>
          </w:p>
        </w:tc>
      </w:tr>
      <w:tr>
        <w:trPr/>
        <w:tc>
          <w:tcPr>
            <w:tcW w:w="5601"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01"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18"/>
              </w:rPr>
            </w:pPr>
            <w:r>
              <w:rPr>
                <w:rFonts w:ascii="Calibri;sans-serif" w:hAnsi="Calibri;sans-serif"/>
                <w:b/>
                <w:color w:val="000000"/>
                <w:sz w:val="18"/>
              </w:rPr>
              <w:t>NET LOSS FOR THE YEAR</w:t>
            </w:r>
          </w:p>
        </w:tc>
        <w:tc>
          <w:tcPr>
            <w:tcW w:w="1303"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(13,720)</w:t>
            </w:r>
          </w:p>
        </w:tc>
        <w:tc>
          <w:tcPr>
            <w:tcW w:w="1316"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(18,097)</w:t>
            </w:r>
          </w:p>
        </w:tc>
        <w:tc>
          <w:tcPr>
            <w:tcW w:w="1129"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(47,490)</w:t>
            </w:r>
          </w:p>
        </w:tc>
        <w:tc>
          <w:tcPr>
            <w:tcW w:w="1190" w:type="dxa"/>
            <w:gridSpan w:val="3"/>
            <w:tcBorders>
              <w:top w:val="single" w:sz="4" w:space="0" w:color="000000"/>
            </w:tcBorders>
            <w:shd w:fill="D9D9D9" w:val="clear"/>
            <w:tcMar>
              <w:top w:w="3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(67,631)</w:t>
            </w:r>
          </w:p>
        </w:tc>
      </w:tr>
      <w:tr>
        <w:trPr/>
        <w:tc>
          <w:tcPr>
            <w:tcW w:w="560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88" w:before="0" w:after="0"/>
              <w:ind w:left="0" w:right="0" w:firstLine="360"/>
              <w:jc w:val="both"/>
              <w:rPr>
                <w:color w:val="000000"/>
              </w:rPr>
            </w:pPr>
            <w:r>
              <w:rPr>
                <w:color w:val="000000"/>
              </w:rPr>
              <w:t> </w:t>
            </w:r>
          </w:p>
        </w:tc>
        <w:tc>
          <w:tcPr>
            <w:tcW w:w="130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18"/>
              </w:rPr>
            </w:pPr>
            <w:r>
              <w:rPr>
                <w:rFonts w:ascii="Calibri;sans-serif" w:hAnsi="Calibri;sans-serif"/>
                <w:b/>
                <w:color w:val="000000"/>
                <w:sz w:val="18"/>
              </w:rPr>
              <w:t>Basic loss per share for the period attributable to common shareholders</w:t>
            </w:r>
          </w:p>
        </w:tc>
        <w:tc>
          <w:tcPr>
            <w:tcW w:w="130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(0.07)</w:t>
            </w:r>
          </w:p>
        </w:tc>
        <w:tc>
          <w:tcPr>
            <w:tcW w:w="13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(0.10)</w:t>
            </w:r>
          </w:p>
        </w:tc>
        <w:tc>
          <w:tcPr>
            <w:tcW w:w="112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(0.26)</w:t>
            </w:r>
          </w:p>
        </w:tc>
        <w:tc>
          <w:tcPr>
            <w:tcW w:w="119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(0.40)</w:t>
            </w:r>
          </w:p>
        </w:tc>
      </w:tr>
      <w:tr>
        <w:trPr/>
        <w:tc>
          <w:tcPr>
            <w:tcW w:w="560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Calibri;sans-serif" w:hAnsi="Calibri;sans-serif"/>
                <w:b/>
                <w:color w:val="000000"/>
                <w:sz w:val="18"/>
              </w:rPr>
            </w:pPr>
            <w:r>
              <w:rPr>
                <w:rFonts w:ascii="Calibri;sans-serif" w:hAnsi="Calibri;sans-serif"/>
                <w:b/>
                <w:color w:val="000000"/>
                <w:sz w:val="18"/>
              </w:rPr>
              <w:t>Weighted average number of common shares outstanding - basic</w:t>
            </w:r>
          </w:p>
        </w:tc>
        <w:tc>
          <w:tcPr>
            <w:tcW w:w="130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196,144,381</w:t>
            </w:r>
          </w:p>
        </w:tc>
        <w:tc>
          <w:tcPr>
            <w:tcW w:w="131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173,873,017</w:t>
            </w:r>
          </w:p>
        </w:tc>
        <w:tc>
          <w:tcPr>
            <w:tcW w:w="112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Calibri;sans-serif" w:hAnsi="Calibri;sans-serif"/>
                <w:b/>
                <w:color w:val="000000"/>
                <w:sz w:val="18"/>
              </w:rPr>
            </w:pPr>
            <w:r>
              <w:rPr>
                <w:rFonts w:ascii="Calibri;sans-serif" w:hAnsi="Calibri;sans-serif"/>
                <w:b/>
                <w:color w:val="000000"/>
                <w:sz w:val="18"/>
              </w:rPr>
              <w:t>185,428,767</w:t>
            </w:r>
          </w:p>
        </w:tc>
        <w:tc>
          <w:tcPr>
            <w:tcW w:w="119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167,287,240</w:t>
            </w:r>
          </w:p>
        </w:tc>
      </w:tr>
    </w:tbl>
    <w:p>
      <w:pPr>
        <w:pStyle w:val="TextBody"/>
        <w:spacing w:before="0" w:after="0"/>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and twelve month periods ended March 31, 2023, Cybin incurred a net loss of $13,720 and $47,490, respectively, compared to a net loss of $18,097 and $67,631 during the same periods in prior year.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three and twelve month periods ended March 31, 2023, the Company was focused on progressing its various research programs and raising awareness of the Company and its industry.</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year ended March 31, 2023, the Company submitted an IND and received a “may proceed letter” and IND clearance from the FDA for its Phase 1/2a first-in-human clinical trial evaluating CYB003 as well as dosed its first patients in the trial. In February 2023, Cybin announced interim data from its ongoing Phase 1/2a clinical trial, which demonstrated rapid and short-acting effects; robust psychedelic effects at low doses; positive safety and tolerability profile. In addition, the Company announced the Asset Acquisition from Entheon to accelerate the clinical development path for CYB004. The initial findings from the Phase 1 CYB004-E study suggest IV DMT was well-tolerated. The Company also completed a protocol amendment to the study design to accelerate first-in-human dosing of CYB004. Furthermore, during the year the Commany further strengthened its intellectual property portfolio by entering into multiple licensing agreements that provide Cybin with additional access to IP from over 15 more patents or patent applications (see "Relationships with Third Parties").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established an at-the-market equity program (the “ATM Program”) that allows the Company to issue and sell up to US$35,000 of Common Shares in the capital of the Company from treasury to the public, from time to time. Distributions of Common Shares under the ATM Program, will be made pursuant to the terms and conditions of an “at-the-market equity” distribution agreement (the “Distribution Agreement”) dated August 8, 2022, entered into by and among the Company, Cantor Fitzgerald Canada Corporation and Cantor Fitzgerald &amp; Co. The ATM Program will be effective until the earlier of the issuance and sale of all of the Common Shares issuable pursuant to the ATM Program and August 5, 2023 unless earlier terminated in accordance with the terms of the Distribution Agreement. Up to March 31, 2023, the Company had sold 20,754,120 Common Shares under the ATM program at an average price of US$0.5079 per Common Share, for aggregate gross proceeds of US$10,541. During the three month period ended March 31, 2023, the Company had sold 9,495,437 Common Shares under the ATM program at an average price of US$0.4156 per Common Share, for aggregate gross proceeds of US$3,947.</w:t>
      </w:r>
    </w:p>
    <w:p>
      <w:pPr>
        <w:pStyle w:val="TextBody"/>
        <w:spacing w:before="0" w:after="2"/>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692265" cy="160655"/>
                <wp:effectExtent l="0" t="0" r="0" b="0"/>
                <wp:wrapNone/>
                <wp:docPr id="201" name="Frame188"/>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v:rect>
            </w:pict>
          </mc:Fallback>
        </mc:AlternateContent>
      </w:r>
    </w:p>
    <w:p>
      <w:pPr>
        <w:pStyle w:val="TextBody"/>
        <w:spacing w:lineRule="auto" w:line="288" w:before="40" w:after="240"/>
        <w:jc w:val="both"/>
        <w:rPr>
          <w:rFonts w:ascii="Times New Roman;sans-serif" w:hAnsi="Times New Roman;sans-serif"/>
          <w:b/>
          <w:i/>
          <w:color w:val="000000"/>
          <w:sz w:val="22"/>
        </w:rPr>
      </w:pPr>
      <w:r>
        <w:rPr>
          <w:rFonts w:ascii="Times New Roman;sans-serif" w:hAnsi="Times New Roman;sans-serif"/>
          <w:b/>
          <w:i/>
          <w:color w:val="000000"/>
          <w:sz w:val="22"/>
        </w:rPr>
        <w:t>Operating expenses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three-month period ended March 31, 2023, operating expenses totaled $13,703. The operating expenses include a non-cash component of $481 (2022 - $3,343) related to share-based compensation. The remaining operating expenses were incurred to support raising capital, research &amp; development and the overall development of the Company. </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year ended March 31, 2023, operating expenses totaled $51,518. The operating expenses include a non-cash component of $4,686 (2022 - $18,030) related to share-based compensation. The remaining operating expenses were incurred to support raising capital, research &amp; development and the overall development of the Company. </w:t>
      </w:r>
    </w:p>
    <w:p>
      <w:pPr>
        <w:pStyle w:val="TextBody"/>
        <w:spacing w:before="0" w:after="2"/>
        <w:jc w:val="both"/>
        <w:rPr/>
      </w:pPr>
      <w:r>
        <w:rPr/>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Research</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three-month period ended March 31, 2023, the Company’s research expenses totaled $8,046 compared to $5,829 during the same period in prior year. Research expenses for the three-month period ended are comprised of advancement of the development programs of $4,970 (2022 - $2,839), payroll related expenses of $2,551 (2022 - $2,825), professional and consulting fees of $310 (2022 - $117), and lab and administration expenses of $215 (2022 – $48).</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year ended March 31, 2023, the Company’s research expenses totaled $25,491 compared to $17,586 during the same period in prior year. Research expenses for the year ended March 31, 2023, are comprised of advancement of the development programs of $14,360 (2022 - $8,744), payroll related expenses of $8,830 (2022 - $6,989), professional and consulting fees of $1,159 (2022 - $1,555), lab and administration expenses of $1,142 (2022 – $298).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overall increase in research expenses, for both the three and twelve month periods, are due to growth of the Company and the progression of the Company's various research programs, including two programs in clinical trials. As of the date of this MD&amp;A, Cybin’s research and development team has completed over 250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 In addition, the Company currently has two clinical-stage programs ongoing.</w: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General and administration costs</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three-month period ended March 31, 2023, general and administrative expenses were $5,176 compared to $7,166 during the same period in prior year. General and administrative expense for the three-month period are comprised of capital market expenses of $2,271 (2022 - $1,915), payroll related expenses of $1,608 (2022 - $2,620), office and administration expenses of $685 (2022 - $791), investor relations expenses of $271 (2022 - $373), professional and consulting fees of $234 (2022 – $802), listing fees of $50 (2022 – $176), business development expenses of $45 (2022 - $177), and marketing media fees of $12 (2022 - $312). The overall decrease in general and administrative expenses is mainly related to a reduction in the payroll, consulting and benefits spend and professional and consulting fees as a result certain cost cutting measures taken.</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For the year ended March 31, 2023, general and administrative expenses were $21,341 compared to $28,222 during the same period in prior year. General and administrative expense for year ended March 31, 2023, are comprised of payroll related expenses of $6,272 (2022 - $7,468), capital market expenses of $6,323 (2022 - $7,277), office and administration expenses of $3,731 (2022 - $3,999), professional and consulting fees of $2,142 (2022 – $3,275), investor relations expenses of $984 (2022 - $1,981), marketing media fees of $881 (2022 - $1,466), business development expenses of $654 (2022 - $2,223), and listing fees of $354 (2022 – $533). The overall decrease in general and administrative expenses relates to a reduction in the payroll, consulting and benefits spend and professional and consulting fees as a result certain cost cutting measures taken. Furthermore, the Company incurred less marketing related spending to raise awareness of the Company and its industry during 2023. The Company continues to incur expenditures related to market awareness, some of which it considers one-time events, but to a lesser extent. The Company expects these expenses to decrease in the next fiscal year.</w:t>
      </w:r>
    </w:p>
    <w:p>
      <w:pPr>
        <w:pStyle w:val="TextBody"/>
        <w:spacing w:before="0" w:after="2"/>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692265" cy="160655"/>
                <wp:effectExtent l="0" t="0" r="0" b="0"/>
                <wp:wrapNone/>
                <wp:docPr id="202" name="Frame189"/>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v:rect>
            </w:pict>
          </mc:Fallback>
        </mc:AlternateContent>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Share-based compensation</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three-month period ended March 31, 2023, Cybin issued warrants and options incurring share-based payment expense of $481 compared to $3,343 during the same period in prior year. The decrease is largely related to the timing of warrant and option grants.</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During the year ended March 31, 2023, Cybin issued warrants and options incurring share-based payment expense of $4,686 compared to $18,030 during the same period in prior year. The decrease is largely related to the timing of warrant and option grants.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share-based compensation expense was recorded based on the fair value using a Black Scholes Model. On exercise of these warrants and options the equity reserve balances will move to share capital. </w:t>
      </w:r>
    </w:p>
    <w:p>
      <w:pPr>
        <w:pStyle w:val="TextBody"/>
        <w:spacing w:before="0" w:after="2"/>
        <w:jc w:val="both"/>
        <w:rPr/>
      </w:pPr>
      <w:r>
        <w:rPr/>
      </w:r>
    </w:p>
    <w:p>
      <w:pPr>
        <w:pStyle w:val="TextBody"/>
        <w:spacing w:lineRule="auto" w:line="288" w:before="40" w:after="240"/>
        <w:jc w:val="both"/>
        <w:rPr>
          <w:rFonts w:ascii="Times New Roman;sans-serif" w:hAnsi="Times New Roman;sans-serif"/>
          <w:b/>
          <w:i/>
          <w:color w:val="000000"/>
          <w:sz w:val="22"/>
        </w:rPr>
      </w:pPr>
      <w:r>
        <w:rPr>
          <w:rFonts w:ascii="Times New Roman;sans-serif" w:hAnsi="Times New Roman;sans-serif"/>
          <w:b/>
          <w:i/>
          <w:color w:val="000000"/>
          <w:sz w:val="22"/>
        </w:rPr>
        <w:t>Other income (expenses)</w:t>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Foreign exchange gain (loss)</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three-month period ended March 31, 2023, the Company incurred a foreign currency translation loss from operations and revaluation of balance sheet assets and liabilities held in foreign currencies of $40. For the twelve-month period ended March 31, 2023, the Company incurred a foreign currency translation gain of $4,027, respectively. The Company holds assets and liabilities in Canadian dollars, U.S. dollars, Euros, and British pounds. </w:t>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Interest Income</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three-month period ended March 31, 2023, the Company recorded interest income of $148 compared to $83 during the same period in prior year. The increase is largely related to an increase in interest rates being earned on cash balances.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For the year ended March 31, 2023, the Company recorded interest income of $603 compared to $241 during the same period in prior year. The increase is largely related to an increase in interest rates being earned on cash balances.</w:t>
      </w:r>
    </w:p>
    <w:p>
      <w:pPr>
        <w:pStyle w:val="TextBody"/>
        <w:spacing w:before="0" w:after="2"/>
        <w:jc w:val="both"/>
        <w:rPr/>
      </w:pPr>
      <w:r>
        <w:rPr/>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Contingent consideration accretion</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and twelve month periods ended March 31, 2023 and 2022, the contingent consideration accretion related to the commitments to the former shareholders of Adelia based on milestone achievements (see “Acquisitions”). As of March 31, 2023, all of the milestones related to the Adelia Transaction had been achieved.</w:t>
      </w:r>
    </w:p>
    <w:p>
      <w:pPr>
        <w:pStyle w:val="TextBody"/>
        <w:spacing w:before="0" w:after="0"/>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Change in fair value of contingent consideration</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and twelve month periods ended March 31, 2023 and 2022, the Company recorded a change in fair value related to the achievement of certain milestones in connection with the Adelia Transaction (see “Acquisitions”). The amount recorded represents the difference between the fair value of the contingent consideration determined as at the different reporting periods. As of March 31, 2023, all of the milestones related to the Adelia Transaction had been achieved.</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COVID-19 Pandemic</w:t>
      </w:r>
    </w:p>
    <w:p>
      <w:pPr>
        <w:pStyle w:val="TextBody"/>
        <w:spacing w:lineRule="auto" w:line="288"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General</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March 11, 2020, the World Health Organization declared the outbreak of COVID-19 a pandemic. Since the outbreak of COVID-19, the Company has focused its efforts on safeguarding the health and well-being of its employees, consultants and community members. To help slow the spread of COVID-19, the Company’s employees have been working remotely, where possible, and abiding by local and national guidance put in place in Canada, the United States, and the UK related to social distancing and restrictions on travel outside of the home. The Company has and will continue to abide by the protocols within Canada, the United States, and the UK regarding the performance of work activities.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692265" cy="160655"/>
                <wp:effectExtent l="0" t="0" r="0" b="0"/>
                <wp:wrapNone/>
                <wp:docPr id="203" name="Frame19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v:rect>
            </w:pict>
          </mc:Fallback>
        </mc:AlternateContent>
      </w:r>
    </w:p>
    <w:p>
      <w:pPr>
        <w:pStyle w:val="TextBody"/>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Impact on the Company</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year ended March 31, 2023, the Company has not experienced any material negative effect on its financial position as a result of COVID-19. Certain operating expenses of the Company, such as those relating to travel and office expenses, have been less than they would have been without the restrictions relating to COVID-19.</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duration and the eventual impact of the spread of COVID-19 remains unknown. In particular, it is not possible to reliably estimate the length and severity of these developments and the impact on the financial results and condition of the Company. To date, a number of businesses have suspended, scaled back or otherwise adjusted their operations and development as cases of COVID-19 have been confirmed, for precautionary purposes or as governments have declared a state of emergency or taken other actions. In the event that the operations or development of the Company are suspended, scaled back or otherwise adjusted, or if the Company’s supply chains are disrupted, such events may have a material adverse effect on the Company. The Company may also experience delays in operation of its clinical trials due to slower administrative processes and response times, delayed patient recruitments, and delayed governmental approvals of import and export requests caused by the spread of COVID-19 and the related restrictions. The breadth of the impact of the spread of COVID-19 on investors, businesses, the global economy and financial and commodity markets may also have a material adverse effect on the Company.</w:t>
      </w:r>
    </w:p>
    <w:p>
      <w:pPr>
        <w:pStyle w:val="TextBody"/>
        <w:spacing w:lineRule="auto" w:line="268" w:before="0" w:after="0"/>
        <w:jc w:val="both"/>
        <w:rPr/>
      </w:pPr>
      <w:r>
        <w:rPr>
          <w:rFonts w:ascii="Times New Roman;sans-serif" w:hAnsi="Times New Roman;sans-serif"/>
          <w:b w:val="false"/>
          <w:color w:val="000000"/>
          <w:sz w:val="22"/>
        </w:rPr>
        <w:t>The Company raised capital pursuant to the Company’s final prospectus dated February 1, 2021 (the “</w:t>
      </w:r>
      <w:r>
        <w:rPr>
          <w:rFonts w:ascii="Times New Roman;sans-serif" w:hAnsi="Times New Roman;sans-serif"/>
          <w:b/>
          <w:color w:val="000000"/>
          <w:sz w:val="22"/>
        </w:rPr>
        <w:t>February 2021 Prospectus</w:t>
      </w:r>
      <w:r>
        <w:rPr>
          <w:color w:val="000000"/>
        </w:rPr>
        <w:t>”</w:t>
      </w:r>
      <w:r>
        <w:rPr>
          <w:rFonts w:ascii="Times New Roman;sans-serif" w:hAnsi="Times New Roman;sans-serif"/>
          <w:b w:val="false"/>
          <w:color w:val="000000"/>
          <w:sz w:val="22"/>
        </w:rPr>
        <w:t>), the Company’s prospectus supplement dated July 28, 2021 (the "</w:t>
      </w:r>
      <w:r>
        <w:rPr>
          <w:rFonts w:ascii="Times New Roman;sans-serif" w:hAnsi="Times New Roman;sans-serif"/>
          <w:b/>
          <w:color w:val="000000"/>
          <w:sz w:val="22"/>
        </w:rPr>
        <w:t>2021 Prospectus Supplement</w:t>
      </w:r>
      <w:r>
        <w:rPr>
          <w:rFonts w:ascii="Times New Roman;sans-serif" w:hAnsi="Times New Roman;sans-serif"/>
          <w:b w:val="false"/>
          <w:color w:val="000000"/>
          <w:sz w:val="22"/>
        </w:rPr>
        <w:t>"), to the short form base shelf prospectus, dated July 5, 2021 (the “</w:t>
      </w:r>
      <w:r>
        <w:rPr>
          <w:rFonts w:ascii="Times New Roman;sans-serif" w:hAnsi="Times New Roman;sans-serif"/>
          <w:b/>
          <w:color w:val="000000"/>
          <w:sz w:val="22"/>
        </w:rPr>
        <w:t>Base Prospectus</w:t>
      </w:r>
      <w:r>
        <w:rPr>
          <w:color w:val="000000"/>
        </w:rPr>
        <w:t>”</w:t>
      </w:r>
      <w:r>
        <w:rPr>
          <w:rFonts w:ascii="Times New Roman;sans-serif" w:hAnsi="Times New Roman;sans-serif"/>
          <w:b w:val="false"/>
          <w:color w:val="000000"/>
          <w:sz w:val="22"/>
        </w:rPr>
        <w:t>). In addition, the Company is currently raising capital through its ATM Program which is qualified by way of a prospectus supplement dated August 8, 2022, to the Base Prospectus, and pursuant to the LPC Purchase Agreement (defined below), which is qualified by way of a prospectus supplement dated May 30, 2023 to the Base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increases in COVID-19 cases may impact operations, labs and research materials, and result in local lockdowns, shutdowns or slowdowns where the Company completes its research or operations, which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pStyle w:val="TextBody"/>
        <w:spacing w:before="0" w:after="0"/>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Liquidity, Capital Resources and Cash Flows</w:t>
      </w:r>
    </w:p>
    <w:p>
      <w:pPr>
        <w:pStyle w:val="TextBody"/>
        <w:spacing w:before="0" w:after="2"/>
        <w:jc w:val="both"/>
        <w:rPr/>
      </w:pPr>
      <w:r>
        <w:rPr/>
      </w:r>
    </w:p>
    <w:tbl>
      <w:tblPr>
        <w:tblW w:w="10539" w:type="dxa"/>
        <w:jc w:val="left"/>
        <w:tblInd w:w="0" w:type="dxa"/>
        <w:tblCellMar>
          <w:top w:w="28" w:type="dxa"/>
          <w:left w:w="28" w:type="dxa"/>
          <w:bottom w:w="28" w:type="dxa"/>
          <w:right w:w="28" w:type="dxa"/>
        </w:tblCellMar>
      </w:tblPr>
      <w:tblGrid>
        <w:gridCol w:w="1092"/>
        <w:gridCol w:w="947"/>
        <w:gridCol w:w="950"/>
        <w:gridCol w:w="420"/>
        <w:gridCol w:w="386"/>
        <w:gridCol w:w="362"/>
        <w:gridCol w:w="420"/>
        <w:gridCol w:w="383"/>
        <w:gridCol w:w="374"/>
        <w:gridCol w:w="352"/>
        <w:gridCol w:w="356"/>
        <w:gridCol w:w="109"/>
        <w:gridCol w:w="254"/>
        <w:gridCol w:w="257"/>
        <w:gridCol w:w="256"/>
        <w:gridCol w:w="459"/>
        <w:gridCol w:w="283"/>
        <w:gridCol w:w="265"/>
        <w:gridCol w:w="459"/>
        <w:gridCol w:w="283"/>
        <w:gridCol w:w="265"/>
        <w:gridCol w:w="352"/>
        <w:gridCol w:w="356"/>
        <w:gridCol w:w="109"/>
        <w:gridCol w:w="239"/>
        <w:gridCol w:w="244"/>
        <w:gridCol w:w="307"/>
      </w:tblGrid>
      <w:tr>
        <w:trPr/>
        <w:tc>
          <w:tcPr>
            <w:tcW w:w="1092"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2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6"/>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84" w:type="dxa"/>
            <w:gridSpan w:val="6"/>
            <w:tcBorders/>
            <w:shd w:fill="DBDBDB"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2014" w:type="dxa"/>
            <w:gridSpan w:val="6"/>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Year ended March 31,</w:t>
            </w:r>
          </w:p>
        </w:tc>
        <w:tc>
          <w:tcPr>
            <w:tcW w:w="1607" w:type="dxa"/>
            <w:gridSpan w:val="6"/>
            <w:tcBorders/>
            <w:shd w:fill="DBDBDB"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(Canadian dollars in thousands)</w:t>
            </w:r>
          </w:p>
        </w:tc>
        <w:tc>
          <w:tcPr>
            <w:tcW w:w="1168" w:type="dxa"/>
            <w:gridSpan w:val="3"/>
            <w:tcBorders>
              <w:top w:val="single" w:sz="4" w:space="0" w:color="929292"/>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177" w:type="dxa"/>
            <w:gridSpan w:val="3"/>
            <w:tcBorders>
              <w:top w:val="single" w:sz="4" w:space="0" w:color="929292"/>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817" w:type="dxa"/>
            <w:gridSpan w:val="3"/>
            <w:tcBorders>
              <w:top w:val="single" w:sz="4" w:space="0" w:color="929292"/>
            </w:tcBorders>
            <w:shd w:fill="DBDBDB"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767" w:type="dxa"/>
            <w:gridSpan w:val="3"/>
            <w:tcBorders>
              <w:top w:val="single" w:sz="4" w:space="0" w:color="929292"/>
            </w:tcBorders>
            <w:shd w:fill="DBDBDB"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07" w:type="dxa"/>
            <w:gridSpan w:val="3"/>
            <w:tcBorders>
              <w:top w:val="single" w:sz="4" w:space="0" w:color="929292"/>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07" w:type="dxa"/>
            <w:gridSpan w:val="3"/>
            <w:tcBorders>
              <w:top w:val="single" w:sz="4" w:space="0" w:color="929292"/>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817" w:type="dxa"/>
            <w:gridSpan w:val="3"/>
            <w:tcBorders>
              <w:top w:val="single" w:sz="4" w:space="0" w:color="929292"/>
            </w:tcBorders>
            <w:shd w:fill="DBDBDB"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790" w:type="dxa"/>
            <w:gridSpan w:val="3"/>
            <w:tcBorders>
              <w:top w:val="single" w:sz="4" w:space="0" w:color="929292"/>
            </w:tcBorders>
            <w:shd w:fill="DBDBDB"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89"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806" w:type="dxa"/>
            <w:gridSpan w:val="2"/>
            <w:tcBorders>
              <w:top w:val="single" w:sz="8" w:space="0" w:color="B6B6B6"/>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(10,838)</w:t>
            </w:r>
          </w:p>
        </w:tc>
        <w:tc>
          <w:tcPr>
            <w:tcW w:w="362"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B6B6B6"/>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(9,721)</w:t>
            </w:r>
          </w:p>
        </w:tc>
        <w:tc>
          <w:tcPr>
            <w:tcW w:w="374"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B6B6B6"/>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w:t>
            </w:r>
          </w:p>
        </w:tc>
        <w:tc>
          <w:tcPr>
            <w:tcW w:w="109" w:type="dxa"/>
            <w:tcBorders>
              <w:top w:val="single" w:sz="8" w:space="0" w:color="B6B6B6"/>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B6B6B6"/>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top w:val="single" w:sz="8" w:space="0" w:color="B6B6B6"/>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gridSpan w:val="2"/>
            <w:tcBorders>
              <w:top w:val="single" w:sz="8" w:space="0" w:color="B6B6B6"/>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(47,431)</w:t>
            </w:r>
          </w:p>
        </w:tc>
        <w:tc>
          <w:tcPr>
            <w:tcW w:w="265"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8" w:space="0" w:color="B6B6B6"/>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(45,207)</w:t>
            </w:r>
          </w:p>
        </w:tc>
        <w:tc>
          <w:tcPr>
            <w:tcW w:w="265"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B6B6B6"/>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w:t>
            </w:r>
          </w:p>
        </w:tc>
        <w:tc>
          <w:tcPr>
            <w:tcW w:w="109" w:type="dxa"/>
            <w:tcBorders>
              <w:top w:val="single" w:sz="8" w:space="0" w:color="B6B6B6"/>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top w:val="single" w:sz="8" w:space="0" w:color="B6B6B6"/>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7" w:type="dxa"/>
            <w:tcBorders>
              <w:top w:val="single" w:sz="8" w:space="0" w:color="B6B6B6"/>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06"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(218)</w:t>
            </w:r>
          </w:p>
        </w:tc>
        <w:tc>
          <w:tcPr>
            <w:tcW w:w="3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3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(3,309)</w:t>
            </w:r>
          </w:p>
        </w:tc>
        <w:tc>
          <w:tcPr>
            <w:tcW w:w="2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w:t>
            </w:r>
          </w:p>
        </w:tc>
        <w:tc>
          <w:tcPr>
            <w:tcW w:w="2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307" w:type="dxa"/>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financing activities</w:t>
            </w:r>
          </w:p>
        </w:tc>
        <w:tc>
          <w:tcPr>
            <w:tcW w:w="806"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5,145</w:t>
            </w:r>
            <w:r>
              <w:rPr>
                <w:color w:val="000000"/>
              </w:rPr>
              <w:t> </w:t>
            </w:r>
          </w:p>
        </w:tc>
        <w:tc>
          <w:tcPr>
            <w:tcW w:w="3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7466 </w:t>
            </w:r>
          </w:p>
        </w:tc>
        <w:tc>
          <w:tcPr>
            <w:tcW w:w="256" w:type="dxa"/>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13,564</w:t>
            </w:r>
            <w:r>
              <w:rPr>
                <w:color w:val="000000"/>
              </w:rPr>
              <w:t> </w:t>
            </w:r>
          </w:p>
        </w:tc>
        <w:tc>
          <w:tcPr>
            <w:tcW w:w="2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35,777 </w:t>
            </w:r>
          </w:p>
        </w:tc>
        <w:tc>
          <w:tcPr>
            <w:tcW w:w="2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07" w:type="dxa"/>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89"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w:t>
            </w:r>
          </w:p>
        </w:tc>
        <w:tc>
          <w:tcPr>
            <w:tcW w:w="806"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(5,911)</w:t>
            </w:r>
          </w:p>
        </w:tc>
        <w:tc>
          <w:tcPr>
            <w:tcW w:w="362"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(9,774)</w:t>
            </w:r>
          </w:p>
        </w:tc>
        <w:tc>
          <w:tcPr>
            <w:tcW w:w="374"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929292"/>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3,863 </w:t>
            </w:r>
          </w:p>
        </w:tc>
        <w:tc>
          <w:tcPr>
            <w:tcW w:w="109" w:type="dxa"/>
            <w:tcBorders>
              <w:top w:val="single" w:sz="8" w:space="0" w:color="929292"/>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929292"/>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56" w:type="dxa"/>
            <w:tcBorders>
              <w:top w:val="single" w:sz="8" w:space="0" w:color="929292"/>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(37,176)</w:t>
            </w:r>
          </w:p>
        </w:tc>
        <w:tc>
          <w:tcPr>
            <w:tcW w:w="265"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(10,200)</w:t>
            </w:r>
          </w:p>
        </w:tc>
        <w:tc>
          <w:tcPr>
            <w:tcW w:w="265"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929292"/>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(26,976)</w:t>
            </w:r>
          </w:p>
        </w:tc>
        <w:tc>
          <w:tcPr>
            <w:tcW w:w="109" w:type="dxa"/>
            <w:tcBorders>
              <w:top w:val="single" w:sz="8" w:space="0" w:color="929292"/>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top w:val="single" w:sz="8" w:space="0" w:color="929292"/>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307" w:type="dxa"/>
            <w:tcBorders>
              <w:top w:val="single" w:sz="8" w:space="0" w:color="929292"/>
            </w:tcBorders>
            <w:shd w:fill="DBDBDB"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foreign exchange difference</w:t>
            </w:r>
          </w:p>
        </w:tc>
        <w:tc>
          <w:tcPr>
            <w:tcW w:w="806"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33</w:t>
            </w:r>
            <w:r>
              <w:rPr>
                <w:color w:val="000000"/>
              </w:rPr>
              <w:t> </w:t>
            </w:r>
          </w:p>
        </w:tc>
        <w:tc>
          <w:tcPr>
            <w:tcW w:w="3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3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256" w:type="dxa"/>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168</w:t>
            </w:r>
            <w:r>
              <w:rPr>
                <w:color w:val="000000"/>
              </w:rPr>
              <w:t> </w:t>
            </w:r>
          </w:p>
        </w:tc>
        <w:tc>
          <w:tcPr>
            <w:tcW w:w="2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2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07" w:type="dxa"/>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06"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22,511</w:t>
            </w:r>
            <w:r>
              <w:rPr>
                <w:color w:val="000000"/>
              </w:rPr>
              <w:t> </w:t>
            </w:r>
          </w:p>
        </w:tc>
        <w:tc>
          <w:tcPr>
            <w:tcW w:w="3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65,580 </w:t>
            </w:r>
          </w:p>
        </w:tc>
        <w:tc>
          <w:tcPr>
            <w:tcW w:w="3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56" w:type="dxa"/>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53,641</w:t>
            </w:r>
            <w:r>
              <w:rPr>
                <w:color w:val="000000"/>
              </w:rPr>
              <w:t> </w:t>
            </w:r>
          </w:p>
        </w:tc>
        <w:tc>
          <w:tcPr>
            <w:tcW w:w="2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64,026 </w:t>
            </w:r>
          </w:p>
        </w:tc>
        <w:tc>
          <w:tcPr>
            <w:tcW w:w="2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07" w:type="dxa"/>
            <w:tcBorders/>
            <w:shd w:fill="DBDBDB"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89" w:type="dxa"/>
            <w:gridSpan w:val="3"/>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806" w:type="dxa"/>
            <w:gridSpan w:val="2"/>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16,633</w:t>
            </w:r>
            <w:r>
              <w:rPr>
                <w:color w:val="000000"/>
              </w:rPr>
              <w:t> </w:t>
            </w:r>
          </w:p>
        </w:tc>
        <w:tc>
          <w:tcPr>
            <w:tcW w:w="362" w:type="dxa"/>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55,641 </w:t>
            </w:r>
          </w:p>
        </w:tc>
        <w:tc>
          <w:tcPr>
            <w:tcW w:w="374" w:type="dxa"/>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(39,008)</w:t>
            </w:r>
          </w:p>
        </w:tc>
        <w:tc>
          <w:tcPr>
            <w:tcW w:w="109" w:type="dxa"/>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56" w:type="dxa"/>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gridSpan w:val="2"/>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16,633</w:t>
            </w:r>
            <w:r>
              <w:rPr>
                <w:color w:val="000000"/>
              </w:rPr>
              <w:t> </w:t>
            </w:r>
          </w:p>
        </w:tc>
        <w:tc>
          <w:tcPr>
            <w:tcW w:w="265" w:type="dxa"/>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53,641 </w:t>
            </w:r>
          </w:p>
        </w:tc>
        <w:tc>
          <w:tcPr>
            <w:tcW w:w="265" w:type="dxa"/>
            <w:tcBorders>
              <w:top w:val="single" w:sz="8" w:space="0" w:color="929292"/>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(37,008)</w:t>
            </w:r>
          </w:p>
        </w:tc>
        <w:tc>
          <w:tcPr>
            <w:tcW w:w="109" w:type="dxa"/>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3" w:type="dxa"/>
            <w:gridSpan w:val="2"/>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07" w:type="dxa"/>
            <w:tcBorders>
              <w:top w:val="single" w:sz="8" w:space="0" w:color="929292"/>
              <w:bottom w:val="single" w:sz="8" w:space="0" w:color="000000"/>
            </w:tcBorders>
            <w:shd w:fill="DBDBDB"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2"/>
        <w:jc w:val="both"/>
        <w:rPr/>
      </w:pPr>
      <w:r>
        <w:br w:type="page"/>
      </w: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692265" cy="160655"/>
                <wp:effectExtent l="0" t="0" r="0" b="0"/>
                <wp:wrapNone/>
                <wp:docPr id="204" name="Frame19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v:rect>
            </w:pict>
          </mc:Fallback>
        </mc:AlternateContent>
      </w:r>
    </w:p>
    <w:tbl>
      <w:tblPr>
        <w:tblW w:w="10539" w:type="dxa"/>
        <w:jc w:val="left"/>
        <w:tblInd w:w="0" w:type="dxa"/>
        <w:tblCellMar>
          <w:top w:w="28" w:type="dxa"/>
          <w:left w:w="28" w:type="dxa"/>
          <w:bottom w:w="28" w:type="dxa"/>
          <w:right w:w="28" w:type="dxa"/>
        </w:tblCellMar>
      </w:tblPr>
      <w:tblGrid>
        <w:gridCol w:w="409"/>
        <w:gridCol w:w="360"/>
        <w:gridCol w:w="362"/>
        <w:gridCol w:w="1756"/>
        <w:gridCol w:w="1262"/>
        <w:gridCol w:w="1267"/>
        <w:gridCol w:w="1866"/>
        <w:gridCol w:w="1345"/>
        <w:gridCol w:w="1912"/>
      </w:tblGrid>
      <w:tr>
        <w:trPr/>
        <w:tc>
          <w:tcPr>
            <w:tcW w:w="4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r>
      <w:tr>
        <w:trPr/>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5123"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w:t>
            </w:r>
          </w:p>
        </w:tc>
      </w:tr>
      <w:tr>
        <w:trPr/>
        <w:tc>
          <w:tcPr>
            <w:tcW w:w="113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9408"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Primarily relates to cash used for operating expenses including research and development expenses, salaries, and other general and administration expenses. Cash flows from operating activities exclude expenses not affecting cash, such as share based compensation expense, depreciation, unrealized foreign exchange gains or losses, and net changes in non-cash balances relating to operations. </w:t>
            </w:r>
          </w:p>
        </w:tc>
      </w:tr>
      <w:tr>
        <w:trPr/>
        <w:tc>
          <w:tcPr>
            <w:tcW w:w="113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auto" w:val="clear"/>
            <w:tcMar>
              <w:top w:w="0" w:type="dxa"/>
              <w:left w:w="0" w:type="dxa"/>
              <w:bottom w:w="0" w:type="dxa"/>
              <w:right w:w="0" w:type="dxa"/>
            </w:tcMar>
            <w:vAlign w:val="center"/>
          </w:tcPr>
          <w:p>
            <w:pPr>
              <w:pStyle w:val="TableContents"/>
              <w:spacing w:lineRule="auto" w:line="288" w:before="0" w:after="2"/>
              <w:jc w:val="both"/>
              <w:rPr/>
            </w:pPr>
            <w:r>
              <w:rPr>
                <w:rFonts w:ascii="Times New Roman;sans-serif" w:hAnsi="Times New Roman;sans-serif"/>
                <w:b w:val="false"/>
                <w:color w:val="000000"/>
                <w:sz w:val="20"/>
              </w:rPr>
              <w:t>For the three-month period ended March 31, 2023, cash used in operating activities was $10,838 driven by a net loss for the period of $13,720 and an unrealized foreign exchange gain of $4, partially offset by the following non-cash items: a decrease in working capital of $2,212, share-based compensation of $481, net loss on financial instruments measured at fair value through profit or loss of $125</w:t>
            </w:r>
            <w:r>
              <w:rPr>
                <w:color w:val="000000"/>
              </w:rPr>
              <w:t xml:space="preserve"> </w:t>
            </w:r>
            <w:r>
              <w:rPr>
                <w:rFonts w:ascii="Times New Roman;sans-serif" w:hAnsi="Times New Roman;sans-serif"/>
                <w:b w:val="false"/>
                <w:color w:val="000000"/>
                <w:sz w:val="24"/>
              </w:rPr>
              <w:t>and</w:t>
            </w:r>
            <w:r>
              <w:rPr>
                <w:color w:val="000000"/>
              </w:rPr>
              <w:t xml:space="preserve"> </w:t>
            </w:r>
            <w:r>
              <w:rPr>
                <w:rFonts w:ascii="Times New Roman;sans-serif" w:hAnsi="Times New Roman;sans-serif"/>
                <w:b w:val="false"/>
                <w:color w:val="000000"/>
                <w:sz w:val="24"/>
              </w:rPr>
              <w:t xml:space="preserve">depreciation and amortization of $68. </w:t>
            </w:r>
          </w:p>
        </w:tc>
        <w:tc>
          <w:tcPr>
            <w:tcW w:w="5123" w:type="dxa"/>
            <w:gridSpan w:val="3"/>
            <w:tcBorders/>
            <w:shd w:fill="auto" w:val="clear"/>
            <w:tcMar>
              <w:top w:w="0" w:type="dxa"/>
              <w:left w:w="0" w:type="dxa"/>
              <w:bottom w:w="0" w:type="dxa"/>
              <w:right w:w="0" w:type="dxa"/>
            </w:tcMar>
            <w:vAlign w:val="center"/>
          </w:tcPr>
          <w:p>
            <w:pPr>
              <w:pStyle w:val="TableContents"/>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March 31, 2023, cash used in operating activities was $47,431 driven by a net loss for the period of $47,490, unrealized foreign exchange gain of $4,025, an increase in working capital of $1,437, and non-cash interest income of $18, partially offset by the following non-cash items: share-based compensation of $4,686, change in fair value of contingent consideration of $329, depreciation and amortization of $251, net loss on financial instruments measured at fair value through profit or loss of $260, and contingent consideration accretion of $13.</w:t>
            </w:r>
          </w:p>
        </w:tc>
      </w:tr>
      <w:tr>
        <w:trPr/>
        <w:tc>
          <w:tcPr>
            <w:tcW w:w="113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42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three-month period ended March 31, 2023, cash flows were driven by the purchase of intangible assets of $218. </w:t>
            </w:r>
          </w:p>
          <w:p>
            <w:pPr>
              <w:pStyle w:val="TableContents"/>
              <w:spacing w:before="0" w:after="2"/>
              <w:ind w:left="0" w:right="0" w:firstLine="180"/>
              <w:jc w:val="both"/>
              <w:rPr/>
            </w:pPr>
            <w:r>
              <w:rPr/>
            </w:r>
          </w:p>
        </w:tc>
        <w:tc>
          <w:tcPr>
            <w:tcW w:w="512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March 31, 2023, cash flows were mainly driven by the purchase of intangible assets, including the exclusive licensing agreement with Mindset and the Asset Acquisition, of $3,167 and the purchase of equipment of $142.</w:t>
            </w:r>
          </w:p>
        </w:tc>
      </w:tr>
      <w:tr>
        <w:trPr/>
        <w:tc>
          <w:tcPr>
            <w:tcW w:w="1131" w:type="dxa"/>
            <w:gridSpan w:val="3"/>
            <w:tcBorders>
              <w:top w:val="single" w:sz="4" w:space="0" w:color="000000"/>
              <w:bottom w:val="single" w:sz="4" w:space="0" w:color="000000"/>
            </w:tcBorders>
            <w:shd w:fill="DBDBDB"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cash from financing activities</w:t>
            </w:r>
          </w:p>
        </w:tc>
        <w:tc>
          <w:tcPr>
            <w:tcW w:w="4285"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three-month period ended March 31, 2023, cash flows from financing activities were related to net proceeds from issuance of Common Shares, through the ATM Program, of $5,145.</w:t>
            </w:r>
          </w:p>
        </w:tc>
        <w:tc>
          <w:tcPr>
            <w:tcW w:w="5123"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March 31, 2023, cash flows from financing activities were related to net proceeds from issuance of Common Shares, through the ATM Program, of $13,202 and $362 related to the exercise of warrants.</w:t>
            </w:r>
          </w:p>
        </w:tc>
      </w:tr>
    </w:tbl>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August 8, 2022, the Company established an ATM Program that allows the Company to issue and sell up to US$35,000 of Common Shares in the capital of the Company from treasury to the public, from time to time. Distributions of Common Shares under the ATM Program will be made pursuant to the terms and conditions of the Distribution Agreement. The ATM Program will be effective until the earlier of the issuance and sale of all of the Common Shares issuable pursuant to the ATM Program and August 5, 2023 unless earlier terminated in accordance with the terms of the Distribution Agreement. The Company is not obligated to make any sales of Common Shares under the ATM Program and there can be no assurance as to when such sales will be completed, if ever. The volume and timing of distributions under the ATM Program, if any, will be determined in Cybin’s sole discretion and in accordance with the Distribution Agreement. As any Common Shares distributed under the ATM Program will be issued and sold at the prevailing market price at the time of the applicable sale, prices may vary among purchasers through the duration of the ATM Program. As at March 31, 2023, the Company had sold 20,754,120 Common Shares under the ATM Program at an average price of US$0.5079 per Common Share, for aggregate gross proceeds of US$10,541.</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pStyle w:val="TextBody"/>
        <w:spacing w:before="0" w:after="2"/>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692265" cy="160655"/>
                <wp:effectExtent l="0" t="0" r="0" b="0"/>
                <wp:wrapNone/>
                <wp:docPr id="205" name="Frame192"/>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v:rect>
            </w:pict>
          </mc:Fallback>
        </mc:AlternateConten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at March 31, 2023, the Company had working capital of $17,522. The Company is a pre-operative stage as it researches and develops its IP portfolio in anticipation of manufacturing in the near future. Therefore the Company will not be able to generate sufficient amounts of cash and cash equivalents from its operations in the short term.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continue to advance its non 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pStyle w:val="TextBody"/>
        <w:spacing w:lineRule="auto" w:line="288" w:before="0" w:after="240"/>
        <w:jc w:val="both"/>
        <w:rPr/>
      </w:pPr>
      <w:r>
        <w:rPr>
          <w:rFonts w:ascii="Times New Roman;sans-serif" w:hAnsi="Times New Roman;sans-serif"/>
          <w:b w:val="false"/>
          <w:color w:val="000000"/>
          <w:sz w:val="22"/>
        </w:rPr>
        <w:t>The Company’s current expenditure obligations include commitments for those projects described in the section entitled “</w:t>
      </w:r>
      <w:r>
        <w:rPr>
          <w:rFonts w:ascii="Times New Roman;sans-serif" w:hAnsi="Times New Roman;sans-serif"/>
          <w:b w:val="false"/>
          <w:i/>
          <w:color w:val="000000"/>
          <w:sz w:val="22"/>
        </w:rPr>
        <w:t>Major Objectives</w:t>
      </w:r>
      <w:r>
        <w:rPr>
          <w:color w:val="000000"/>
        </w:rPr>
        <w:t xml:space="preserve">” </w:t>
      </w:r>
      <w:r>
        <w:rPr>
          <w:rFonts w:ascii="Times New Roman;sans-serif" w:hAnsi="Times New Roman;sans-serif"/>
          <w:b w:val="false"/>
          <w:color w:val="000000"/>
          <w:sz w:val="22"/>
        </w:rPr>
        <w:t>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constantly monitors and manages its capital resources to assess the liquidity necessary to fund operations and capacity expansion. As at March 31, 2023, the Company had a cash balance of $16,633 and current liabilities of $5,663. The Company’s current resources are sufficient to settle its current liabilities.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continues to raise the capital necessary to become a fully operational enterprise.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92265" cy="160655"/>
                <wp:effectExtent l="0" t="0" r="0" b="0"/>
                <wp:wrapNone/>
                <wp:docPr id="206" name="Frame193"/>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2"/>
        </w:rPr>
        <w:t>The Company raised capital pursuant to the February 2021 Prospectus, under which the Company issued 15,264,000 units of the Company (each, a "</w:t>
      </w:r>
      <w:r>
        <w:rPr>
          <w:rFonts w:ascii="Times New Roman;sans-serif" w:hAnsi="Times New Roman;sans-serif"/>
          <w:b/>
          <w:color w:val="000000"/>
          <w:sz w:val="22"/>
        </w:rPr>
        <w:t>Unit</w:t>
      </w:r>
      <w:r>
        <w:rPr>
          <w:rFonts w:ascii="Times New Roman;sans-serif" w:hAnsi="Times New Roman;sans-serif"/>
          <w:b w:val="false"/>
          <w:color w:val="000000"/>
          <w:sz w:val="22"/>
        </w:rPr>
        <w:t>") at a price of $2.25 per Unit for aggregate gross proceeds of $34,304, and pursuant to the July Prospectus Supplement, under which the Company issued 10,147,600 Common Shares at a price of $3.40 per Common Share for aggregate gross proceeds of $34,502. In addition, the Company is currently raising capital through its ATM Program, to continue to support its strategic plan. As at March 31, 2023, the Company had sold 20,754,120 Common Shares under the ATM Program at an average price of US$0.5079 per Common Share, for aggregate gross proceeds of US$10,541. The Company is also currently raising capital pursuant to the LPC Purchase Agreement.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pStyle w:val="TextBody"/>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Contractual obligations and commitments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at March 31, 2023, the Company had also entered into agreements for various studies which may require the Company to spend up to an additional $12,074. The Company expects to pay this amount within the next 12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 </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Neo Exchange Inc. There is no assurance that the aforementioned milestones will be met.</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the Company may be subject to legal proceedings and claims. As at March 31, 2023, there was no ongoing litigation and therefore no contingent liabilities have been recorded.</w:t>
      </w:r>
    </w:p>
    <w:p>
      <w:pPr>
        <w:pStyle w:val="TextBody"/>
        <w:spacing w:before="0" w:after="2"/>
        <w:jc w:val="both"/>
        <w:rPr/>
      </w:pPr>
      <w:r>
        <w:rPr/>
      </w:r>
    </w:p>
    <w:p>
      <w:pPr>
        <w:pStyle w:val="TextBody"/>
        <w:spacing w:lineRule="auto" w:line="288" w:before="100" w:after="283"/>
        <w:jc w:val="both"/>
        <w:rPr>
          <w:rFonts w:ascii="Times New Roman;sans-serif" w:hAnsi="Times New Roman;sans-serif"/>
          <w:b/>
          <w:color w:val="000000"/>
          <w:sz w:val="22"/>
        </w:rPr>
      </w:pPr>
      <w:r>
        <w:rPr>
          <w:rFonts w:ascii="Times New Roman;sans-serif" w:hAnsi="Times New Roman;sans-serif"/>
          <w:b/>
          <w:color w:val="000000"/>
          <w:sz w:val="22"/>
        </w:rPr>
        <w:t xml:space="preserve">Outstanding share data </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 below sets out the outstanding share capital of the Company as at March 31, 2023 and as of the date of this MD&amp;A: </w:t>
      </w:r>
    </w:p>
    <w:tbl>
      <w:tblPr>
        <w:tblW w:w="7454" w:type="dxa"/>
        <w:jc w:val="left"/>
        <w:tblInd w:w="0" w:type="dxa"/>
        <w:tblCellMar>
          <w:top w:w="28" w:type="dxa"/>
          <w:left w:w="28" w:type="dxa"/>
          <w:bottom w:w="28" w:type="dxa"/>
          <w:right w:w="28" w:type="dxa"/>
        </w:tblCellMar>
      </w:tblPr>
      <w:tblGrid>
        <w:gridCol w:w="1108"/>
        <w:gridCol w:w="974"/>
        <w:gridCol w:w="977"/>
        <w:gridCol w:w="634"/>
        <w:gridCol w:w="634"/>
        <w:gridCol w:w="637"/>
        <w:gridCol w:w="726"/>
        <w:gridCol w:w="726"/>
        <w:gridCol w:w="1038"/>
      </w:tblGrid>
      <w:tr>
        <w:trPr/>
        <w:tc>
          <w:tcPr>
            <w:tcW w:w="110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Class of Security</w:t>
            </w:r>
          </w:p>
        </w:tc>
        <w:tc>
          <w:tcPr>
            <w:tcW w:w="1905" w:type="dxa"/>
            <w:gridSpan w:val="3"/>
            <w:tcBorders>
              <w:top w:val="single" w:sz="4" w:space="0" w:color="000000"/>
              <w:left w:val="single" w:sz="2" w:space="0" w:color="000000"/>
            </w:tcBorders>
            <w:shd w:fill="DBDBDB"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2490" w:type="dxa"/>
            <w:gridSpan w:val="3"/>
            <w:tcBorders>
              <w:top w:val="single" w:sz="4" w:space="0" w:color="000000"/>
              <w:left w:val="single" w:sz="2" w:space="0" w:color="000000"/>
              <w:right w:val="single" w:sz="4" w:space="0" w:color="000000"/>
            </w:tcBorders>
            <w:shd w:fill="DBDBDB" w:val="clear"/>
            <w:tcMar>
              <w:top w:w="30" w:type="dxa"/>
              <w:bottom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 of the date of this MD&amp;A</w:t>
            </w:r>
          </w:p>
        </w:tc>
      </w:tr>
      <w:tr>
        <w:trPr/>
        <w:tc>
          <w:tcPr>
            <w:tcW w:w="3059"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1268" w:type="dxa"/>
            <w:gridSpan w:val="2"/>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195,328,733 </w:t>
            </w:r>
          </w:p>
        </w:tc>
        <w:tc>
          <w:tcPr>
            <w:tcW w:w="63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208,325,846 </w:t>
            </w:r>
          </w:p>
        </w:tc>
        <w:tc>
          <w:tcPr>
            <w:tcW w:w="1038" w:type="dxa"/>
            <w:tcBorders>
              <w:top w:val="single" w:sz="2" w:space="0" w:color="000000"/>
              <w:right w:val="single" w:sz="4"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3059"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268" w:type="dxa"/>
            <w:gridSpan w:val="2"/>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29,569,800 </w:t>
            </w:r>
          </w:p>
        </w:tc>
        <w:tc>
          <w:tcPr>
            <w:tcW w:w="63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29,385,425 </w:t>
            </w:r>
          </w:p>
        </w:tc>
        <w:tc>
          <w:tcPr>
            <w:tcW w:w="1038" w:type="dxa"/>
            <w:tcBorders>
              <w:top w:val="single" w:sz="2" w:space="0" w:color="000000"/>
              <w:right w:val="single" w:sz="4"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3059"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Underwriters Warrants</w:t>
            </w:r>
          </w:p>
        </w:tc>
        <w:tc>
          <w:tcPr>
            <w:tcW w:w="1268" w:type="dxa"/>
            <w:gridSpan w:val="2"/>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868,740 </w:t>
            </w:r>
          </w:p>
        </w:tc>
        <w:tc>
          <w:tcPr>
            <w:tcW w:w="63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868,740 </w:t>
            </w:r>
          </w:p>
        </w:tc>
        <w:tc>
          <w:tcPr>
            <w:tcW w:w="1038" w:type="dxa"/>
            <w:tcBorders>
              <w:top w:val="single" w:sz="2" w:space="0" w:color="000000"/>
              <w:right w:val="single" w:sz="4"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3059"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Share purchase warrants</w:t>
            </w:r>
          </w:p>
        </w:tc>
        <w:tc>
          <w:tcPr>
            <w:tcW w:w="1268" w:type="dxa"/>
            <w:gridSpan w:val="2"/>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23,230,485 </w:t>
            </w:r>
          </w:p>
        </w:tc>
        <w:tc>
          <w:tcPr>
            <w:tcW w:w="63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23,230,485 </w:t>
            </w:r>
          </w:p>
        </w:tc>
        <w:tc>
          <w:tcPr>
            <w:tcW w:w="1038" w:type="dxa"/>
            <w:tcBorders>
              <w:top w:val="single" w:sz="2" w:space="0" w:color="000000"/>
              <w:right w:val="single" w:sz="4"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3059" w:type="dxa"/>
            <w:gridSpan w:val="3"/>
            <w:tcBorders>
              <w:top w:val="single" w:sz="2"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88" w:before="0" w:after="240"/>
              <w:jc w:val="both"/>
              <w:rPr/>
            </w:pPr>
            <w:r>
              <w:rPr>
                <w:rFonts w:ascii="Times New Roman;sans-serif" w:hAnsi="Times New Roman;sans-serif"/>
                <w:b w:val="false"/>
                <w:color w:val="000000"/>
                <w:sz w:val="20"/>
              </w:rPr>
              <w:t>Class B Shares (as defined below)</w:t>
            </w:r>
            <w:r>
              <w:rPr>
                <w:color w:val="000000"/>
              </w:rPr>
              <w:t xml:space="preserve"> </w:t>
            </w:r>
            <w:r>
              <w:rPr>
                <w:rFonts w:ascii="Times New Roman;sans-serif" w:hAnsi="Times New Roman;sans-serif"/>
                <w:b w:val="false"/>
                <w:color w:val="000000"/>
                <w:sz w:val="13"/>
              </w:rPr>
              <w:t>(1)</w:t>
            </w:r>
          </w:p>
        </w:tc>
        <w:tc>
          <w:tcPr>
            <w:tcW w:w="1268" w:type="dxa"/>
            <w:gridSpan w:val="2"/>
            <w:tcBorders>
              <w:top w:val="single" w:sz="2" w:space="0" w:color="000000"/>
              <w:left w:val="single" w:sz="2" w:space="0" w:color="000000"/>
              <w:bottom w:val="single" w:sz="4" w:space="0" w:color="000000"/>
            </w:tcBorders>
            <w:shd w:fill="auto" w:val="clear"/>
            <w:tcMar>
              <w:top w:w="3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530,542.1 </w:t>
            </w:r>
          </w:p>
        </w:tc>
        <w:tc>
          <w:tcPr>
            <w:tcW w:w="637"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452" w:type="dxa"/>
            <w:gridSpan w:val="2"/>
            <w:tcBorders>
              <w:top w:val="single" w:sz="2" w:space="0" w:color="000000"/>
              <w:left w:val="single" w:sz="2" w:space="0" w:color="000000"/>
              <w:bottom w:val="single" w:sz="4" w:space="0" w:color="000000"/>
            </w:tcBorders>
            <w:shd w:fill="auto" w:val="clear"/>
            <w:tcMar>
              <w:top w:w="3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530,542.1 </w:t>
            </w:r>
          </w:p>
        </w:tc>
        <w:tc>
          <w:tcPr>
            <w:tcW w:w="1038" w:type="dxa"/>
            <w:tcBorders>
              <w:top w:val="single" w:sz="2"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w:t>
      </w:r>
    </w:p>
    <w:p>
      <w:pPr>
        <w:pStyle w:val="TextBody"/>
        <w:spacing w:lineRule="auto" w:line="288" w:before="0" w:after="240"/>
        <w:jc w:val="both"/>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color w:val="000000"/>
          <w:sz w:val="18"/>
        </w:rPr>
        <w:t>The</w:t>
      </w:r>
      <w:r>
        <w:rPr>
          <w:color w:val="000000"/>
        </w:rPr>
        <w:t xml:space="preserve"> </w:t>
      </w:r>
      <w:r>
        <w:rPr>
          <w:rFonts w:ascii="Times New Roman;sans-serif" w:hAnsi="Times New Roman;sans-serif"/>
          <w:b w:val="false"/>
          <w:color w:val="000000"/>
          <w:sz w:val="18"/>
        </w:rPr>
        <w:t>Class B Shares are exchangeable for Common Shares, on the basis of 10 Common Shares for each Class B Share, at the option of the holder thereof, subject to customary adjustments.</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692265" cy="160655"/>
                <wp:effectExtent l="0" t="0" r="0" b="0"/>
                <wp:wrapNone/>
                <wp:docPr id="207" name="Frame194"/>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v:rect>
            </w:pict>
          </mc:Fallback>
        </mc:AlternateContent>
      </w:r>
    </w:p>
    <w:p>
      <w:pPr>
        <w:pStyle w:val="TextBody"/>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Common Shares</w:t>
      </w:r>
    </w:p>
    <w:p>
      <w:pPr>
        <w:pStyle w:val="TextBody"/>
        <w:spacing w:lineRule="auto" w:line="288" w:before="0" w:after="240"/>
        <w:jc w:val="both"/>
        <w:rPr/>
      </w:pPr>
      <w:r>
        <w:rPr>
          <w:rFonts w:ascii="Times New Roman;sans-serif" w:hAnsi="Times New Roman;sans-serif"/>
          <w:b w:val="false"/>
          <w:color w:val="000000"/>
          <w:sz w:val="22"/>
        </w:rPr>
        <w:t>The authorized capital of the Company consists of an unlimited number of Common Shares</w:t>
      </w:r>
      <w:r>
        <w:rPr>
          <w:color w:val="000000"/>
        </w:rPr>
        <w:t xml:space="preserve"> </w:t>
      </w:r>
      <w:r>
        <w:rPr>
          <w:rFonts w:ascii="Times New Roman;sans-serif" w:hAnsi="Times New Roman;sans-serif"/>
          <w:b w:val="false"/>
          <w:color w:val="000000"/>
          <w:sz w:val="22"/>
        </w:rPr>
        <w:t>without par value and an unlimited number of preferred shares. As of March 31, 2023, 195,328,733 Common Shares were outstanding and no preferred shares were issued and outstanding. As of the date of this MD&amp;A, 208,325,846 Common Shares are outstanding (see "Subsequent Events").</w:t>
      </w:r>
    </w:p>
    <w:p>
      <w:pPr>
        <w:pStyle w:val="TextBody"/>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Stock Options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options to purchase up to 29,569,800 Common Shares were outstanding under Cybin’s equity incentive plan. As of the date of this MD&amp;A, options to purchase up to 29,385,425 Common Shares were outstanding under Cybin’s equity incentive plan</w:t>
      </w:r>
    </w:p>
    <w:p>
      <w:pPr>
        <w:pStyle w:val="TextBody"/>
        <w:spacing w:lineRule="auto" w:line="288"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Underwriter’s Warrants</w:t>
      </w:r>
    </w:p>
    <w:p>
      <w:pPr>
        <w:pStyle w:val="TextBody"/>
        <w:spacing w:before="0" w:after="2"/>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and as of the date of this MD&amp;A, underwriter’s warrants to purchase up to 868,740 units of the Company at an exercise price of $2.25 per unit are outstanding, with each unit consisting of one Common Share and one half of one Common Share purchase warrants, with each Common Share purchase warrant being exercisable to acquire one Common Share at an exercise price of $3.25 per Common Share for a period of 36 months.</w:t>
      </w:r>
    </w:p>
    <w:p>
      <w:pPr>
        <w:pStyle w:val="TextBody"/>
        <w:spacing w:lineRule="auto" w:line="288"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Common Share Purchase Warrants</w:t>
      </w:r>
    </w:p>
    <w:p>
      <w:pPr>
        <w:pStyle w:val="TextBody"/>
        <w:spacing w:lineRule="auto" w:line="288" w:before="0" w:after="240"/>
        <w:jc w:val="both"/>
        <w:rPr/>
      </w:pPr>
      <w:r>
        <w:rPr>
          <w:rFonts w:ascii="Times New Roman;sans-serif" w:hAnsi="Times New Roman;sans-serif"/>
          <w:b w:val="false"/>
          <w:color w:val="000000"/>
          <w:sz w:val="22"/>
        </w:rPr>
        <w:t>As of March 31, 2023 and as of the date of this MD&amp;A, warrants to purchase up to 23,230,485 Common Shares were outstanding, exercisable at weighted average exercise price of $1.29</w:t>
      </w:r>
      <w:r>
        <w:rPr>
          <w:color w:val="000000"/>
        </w:rPr>
        <w:t xml:space="preserve"> </w:t>
      </w:r>
      <w:r>
        <w:rPr>
          <w:rFonts w:ascii="Times New Roman;sans-serif" w:hAnsi="Times New Roman;sans-serif"/>
          <w:b w:val="false"/>
          <w:color w:val="000000"/>
          <w:sz w:val="22"/>
        </w:rPr>
        <w:t xml:space="preserve">per Common Share. </w:t>
      </w:r>
    </w:p>
    <w:p>
      <w:pPr>
        <w:pStyle w:val="TextBody"/>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Class B Shares</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Adelia Transaction (see “Acquisitions”), Cybin U.S. (a subsidiary of the Company) has issued 868,833 Class B Shares. The Class B Shares are exchangeable at the holder’s option for Common Shares on the basis of 10 Common Shares for 1 Class B Share, subject to customary adjustments. As of March 31, 2023 and as of the date of this MD&amp;A, 530,542.1 Class B Shares were outstanding. </w: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Acquisitions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On December 4, 2020, Cybin entered into a contribution agreement, as amended on September 24, 2021, (the “</w:t>
      </w:r>
      <w:r>
        <w:rPr>
          <w:rFonts w:ascii="Times New Roman;sans-serif" w:hAnsi="Times New Roman;sans-serif"/>
          <w:b/>
          <w:color w:val="000000"/>
          <w:sz w:val="22"/>
        </w:rPr>
        <w:t>Contribution Agreement</w:t>
      </w:r>
      <w:r>
        <w:rPr>
          <w:color w:val="000000"/>
        </w:rPr>
        <w:t>”</w:t>
      </w:r>
      <w:r>
        <w:rPr>
          <w:rFonts w:ascii="Times New Roman;sans-serif" w:hAnsi="Times New Roman;sans-serif"/>
          <w:b w:val="false"/>
          <w:color w:val="000000"/>
          <w:sz w:val="22"/>
        </w:rPr>
        <w:t>) with Cybin Corp., Cybin U.S. (the “</w:t>
      </w:r>
      <w:r>
        <w:rPr>
          <w:rFonts w:ascii="Times New Roman;sans-serif" w:hAnsi="Times New Roman;sans-serif"/>
          <w:b/>
          <w:color w:val="000000"/>
          <w:sz w:val="22"/>
        </w:rPr>
        <w:t>Acquiror</w:t>
      </w:r>
      <w:r>
        <w:rPr>
          <w:color w:val="000000"/>
        </w:rPr>
        <w:t>”</w:t>
      </w:r>
      <w:r>
        <w:rPr>
          <w:rFonts w:ascii="Times New Roman;sans-serif" w:hAnsi="Times New Roman;sans-serif"/>
          <w:b w:val="false"/>
          <w:color w:val="000000"/>
          <w:sz w:val="22"/>
        </w:rPr>
        <w:t>), a newly formed fully-controlled subsidiary of Cybin created for the purposes of the Adelia Transaction, and all of the shareholders of Adelia (the “</w:t>
      </w:r>
      <w:r>
        <w:rPr>
          <w:rFonts w:ascii="Times New Roman;sans-serif" w:hAnsi="Times New Roman;sans-serif"/>
          <w:b/>
          <w:color w:val="000000"/>
          <w:sz w:val="22"/>
        </w:rPr>
        <w:t>Adelia Shareholders</w:t>
      </w:r>
      <w:r>
        <w:rPr>
          <w:color w:val="000000"/>
        </w:rPr>
        <w:t>”</w:t>
      </w:r>
      <w:r>
        <w:rPr>
          <w:rFonts w:ascii="Times New Roman;sans-serif" w:hAnsi="Times New Roman;sans-serif"/>
          <w:b w:val="false"/>
          <w:color w:val="000000"/>
          <w:sz w:val="22"/>
        </w:rPr>
        <w:t>) whereby the Acquiror has agreed to purchase from the Adelia Shareholders all of the issued and outstanding common shares of Adelia (the “</w:t>
      </w:r>
      <w:r>
        <w:rPr>
          <w:rFonts w:ascii="Times New Roman;sans-serif" w:hAnsi="Times New Roman;sans-serif"/>
          <w:b/>
          <w:color w:val="000000"/>
          <w:sz w:val="22"/>
        </w:rPr>
        <w:t>Adelia Shares</w:t>
      </w:r>
      <w:r>
        <w:rPr>
          <w:color w:val="000000"/>
        </w:rPr>
        <w:t>”</w:t>
      </w:r>
      <w:r>
        <w:rPr>
          <w:rFonts w:ascii="Times New Roman;sans-serif" w:hAnsi="Times New Roman;sans-serif"/>
          <w:b w:val="false"/>
          <w:color w:val="000000"/>
          <w:sz w:val="22"/>
        </w:rPr>
        <w:t>) in exchange for non-voting Class B common shares in the capital of the Acquiror (the “</w:t>
      </w:r>
      <w:r>
        <w:rPr>
          <w:rFonts w:ascii="Times New Roman;sans-serif" w:hAnsi="Times New Roman;sans-serif"/>
          <w:b/>
          <w:color w:val="000000"/>
          <w:sz w:val="22"/>
        </w:rPr>
        <w:t>Class B Shares</w:t>
      </w:r>
      <w:r>
        <w:rPr>
          <w:color w:val="000000"/>
        </w:rPr>
        <w:t>”</w:t>
      </w:r>
      <w:r>
        <w:rPr>
          <w:rFonts w:ascii="Times New Roman;sans-serif" w:hAnsi="Times New Roman;sans-serif"/>
          <w:b w:val="false"/>
          <w:color w:val="000000"/>
          <w:sz w:val="22"/>
        </w:rPr>
        <w:t>). The Adelia Transaction closed on December 14, 2020 (the “</w:t>
      </w:r>
      <w:r>
        <w:rPr>
          <w:rFonts w:ascii="Times New Roman;sans-serif" w:hAnsi="Times New Roman;sans-serif"/>
          <w:b/>
          <w:color w:val="000000"/>
          <w:sz w:val="22"/>
        </w:rPr>
        <w:t>Closing</w:t>
      </w:r>
      <w:r>
        <w:rPr>
          <w:color w:val="000000"/>
        </w:rPr>
        <w:t>”</w:t>
      </w:r>
      <w:r>
        <w:rPr>
          <w:rFonts w:ascii="Times New Roman;sans-serif" w:hAnsi="Times New Roman;sans-serif"/>
          <w:b w:val="false"/>
          <w:color w:val="000000"/>
          <w:sz w:val="22"/>
        </w:rPr>
        <w:t>).</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692265" cy="160655"/>
                <wp:effectExtent l="0" t="0" r="0" b="0"/>
                <wp:wrapNone/>
                <wp:docPr id="208" name="Frame195"/>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2"/>
        </w:rPr>
        <w:t>On the occurrence of certain milestones as set out in the Contribution Agreement (each a “</w:t>
      </w:r>
      <w:r>
        <w:rPr>
          <w:rFonts w:ascii="Times New Roman;sans-serif" w:hAnsi="Times New Roman;sans-serif"/>
          <w:b/>
          <w:color w:val="000000"/>
          <w:sz w:val="22"/>
        </w:rPr>
        <w:t>Milestone</w:t>
      </w:r>
      <w:r>
        <w:rPr>
          <w:color w:val="000000"/>
        </w:rPr>
        <w:t>”</w:t>
      </w:r>
      <w:r>
        <w:rPr>
          <w:rFonts w:ascii="Times New Roman;sans-serif" w:hAnsi="Times New Roman;sans-serif"/>
          <w:b w:val="false"/>
          <w:color w:val="000000"/>
          <w:sz w:val="22"/>
        </w:rPr>
        <w:t>), the Acquiror will issue to the Adelia Shareholders in accordance with their pro rata percentage, within five business days following the relevant date at which there is agreement as to the achievement of the Milestone (the “</w:t>
      </w:r>
      <w:r>
        <w:rPr>
          <w:rFonts w:ascii="Times New Roman;sans-serif" w:hAnsi="Times New Roman;sans-serif"/>
          <w:b/>
          <w:color w:val="000000"/>
          <w:sz w:val="22"/>
        </w:rPr>
        <w:t>Milestone Determination Date</w:t>
      </w:r>
      <w:r>
        <w:rPr>
          <w:color w:val="000000"/>
        </w:rPr>
        <w:t>”</w:t>
      </w:r>
      <w:r>
        <w:rPr>
          <w:rFonts w:ascii="Times New Roman;sans-serif" w:hAnsi="Times New Roman;sans-serif"/>
          <w:b w:val="false"/>
          <w:color w:val="000000"/>
          <w:sz w:val="22"/>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1,061,083.2 Class B Shares have been exchanged into Common Shares. Pursuant to the Contribution Agreement, Cybin, the Acquiror and the Adelia Shareholders also entered into a support agreement dated December 14, 2020 (the “</w:t>
      </w:r>
      <w:r>
        <w:rPr>
          <w:rFonts w:ascii="Times New Roman;sans-serif" w:hAnsi="Times New Roman;sans-serif"/>
          <w:b/>
          <w:color w:val="000000"/>
          <w:sz w:val="22"/>
        </w:rPr>
        <w:t>Support Agreement</w:t>
      </w:r>
      <w:r>
        <w:rPr>
          <w:color w:val="000000"/>
        </w:rPr>
        <w:t>”</w:t>
      </w:r>
      <w:r>
        <w:rPr>
          <w:rFonts w:ascii="Times New Roman;sans-serif" w:hAnsi="Times New Roman;sans-serif"/>
          <w:b w:val="false"/>
          <w:color w:val="000000"/>
          <w:sz w:val="22"/>
        </w:rPr>
        <w:t xml:space="preserve">),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r>
        <w:rPr>
          <w:color w:val="000000"/>
        </w:rPr>
        <w:t xml:space="preserve"> </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 </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692265" cy="160655"/>
                <wp:effectExtent l="0" t="0" r="0" b="0"/>
                <wp:wrapNone/>
                <wp:docPr id="209" name="Frame196"/>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v:rect>
            </w:pict>
          </mc:Fallback>
        </mc:AlternateConten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2,669,331 Common Shares, representing an effective issue price of $0.762 per Common Share.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692265" cy="160655"/>
                <wp:effectExtent l="0" t="0" r="0" b="0"/>
                <wp:wrapNone/>
                <wp:docPr id="210" name="Frame197"/>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v:rect>
            </w:pict>
          </mc:Fallback>
        </mc:AlternateConten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exchangeable for a total of 331,901 Common Shares, representing an effective issue price of $1.41 per Common Share.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 </w:t>
      </w:r>
    </w:p>
    <w:p>
      <w:pPr>
        <w:pStyle w:val="TextBody"/>
        <w:spacing w:before="0" w:after="2"/>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Off-balance sheet arrangements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at March 31, 2023 and the date of this MD&amp;A, other than these contractual obligations and commitments disclosed in note 13 of the Financial Statements, the Company does not have any off-balance sheet arrangements that have or are reasonably likely to have a current or future effect on the results of operations or financial condition of the Company. </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Transactions between related parties</w:t>
      </w:r>
    </w:p>
    <w:p>
      <w:pPr>
        <w:pStyle w:val="TextBody"/>
        <w:spacing w:lineRule="auto" w:line="288" w:before="0" w:after="240"/>
        <w:jc w:val="both"/>
        <w:rPr/>
      </w:pPr>
      <w:r>
        <w:rPr>
          <w:rFonts w:ascii="Times New Roman;sans-serif" w:hAnsi="Times New Roman;sans-serif"/>
          <w:b w:val="false"/>
          <w:color w:val="000000"/>
          <w:sz w:val="22"/>
        </w:rPr>
        <w:t>For the three and twelve-month periods ended March 31, 2023, the key management personnel of the Company were the board of directors of the Company (the "</w:t>
      </w:r>
      <w:r>
        <w:rPr>
          <w:rFonts w:ascii="Times New Roman;sans-serif" w:hAnsi="Times New Roman;sans-serif"/>
          <w:b/>
          <w:color w:val="000000"/>
          <w:sz w:val="22"/>
        </w:rPr>
        <w:t>Board</w:t>
      </w:r>
      <w:r>
        <w:rPr>
          <w:rFonts w:ascii="Times New Roman;sans-serif" w:hAnsi="Times New Roman;sans-serif"/>
          <w:b w:val="false"/>
          <w:color w:val="000000"/>
          <w:sz w:val="22"/>
        </w:rPr>
        <w:t xml:space="preserve">"), the Chief Executive Officer, Chief Financial Officer, Chief Operating Officer, Chief Growth Officer, Chief Compliance, Ethics &amp; Administrative Officer, Chief Legal Officer, Chief Innovation Officer, Chief Medical Officer, and Chief Scientific Officer. </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Compensation for key management personnel of the Company for the three month and twelve-month periods ended March 31, 2023 consisted of consulting fees, short term benefits and other compensation of $1,952 and $8,315, respectively (three and twelve-month periods ended March 31, 2022 - $4,395 and $15,491). </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Critical accounting estimates</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the Company’s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Information about significant judgements and estimates used in applying accounting policies that have the most significant effect on the amounts recognized in the Company’s consolidated financial statements relate to:</w: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Ability to continue as a going concern</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order to assess whether it is appropriate for the Company to continue as a going concern, management is required to apply judgment and make estimates with respect to future cash flow projections. </w:t>
      </w:r>
    </w:p>
    <w:p>
      <w:pPr>
        <w:pStyle w:val="TextBody"/>
        <w:spacing w:before="0" w:after="2"/>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692265" cy="160655"/>
                <wp:effectExtent l="0" t="0" r="0" b="0"/>
                <wp:wrapNone/>
                <wp:docPr id="211" name="Frame198"/>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v:rect>
            </w:pict>
          </mc:Fallback>
        </mc:AlternateConten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arriving at this judgment, there were a number of assumptions and estimates involved in calculating these future cash flow projections. This includes making estimates regarding the timing and amounts of future expenditures and the ability and timing of raising additional financing. </w: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Business combinations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A business combination is a transaction or event in which an acquirer obtains control of one or more businesses and is accounted for using the acquisition method. The total consideration paid for the acquisition is the aggregate of the fair values of assets given, liabilities incurred or assumed, and equity instruments issued in exchange for control of the acquiree at the acquisition date. The acquisition date is the date where the Company obtains control of the acquiree. The identifiable assets acquired and liabilities assumed are recognized at their acquisition date fair values, except for deferred taxes and share-based payment awards where IFRS provides exceptions to recording the amounts at fair value. Acquisition costs are expensed to profit or loss.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9, or IAS 37 Provisions, Contingent Liabilities and Contingent Assets, as appropriate, with the corresponding gain or loss being recognized in profit or loss.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Non-controlling interest in the acquiree, if any, is recognized either at fair value or at the non-controlling interest’s proportionate share of the acquiree’s net assets, determined on an acquisition-by-acquisition basis. For each acquisition, the excess of total consideration, the fair value of previously held equity interest prior to obtaining control and the non-controlling interest in the acquiree, over the fair value of the identifiable net asset acquired, is recorded as goodwill.</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fair values may be estimated at the acquisition date pending confirmation or completion of the valuation process. Where provisional values are used in accounting for a business combination, they may be adjusted retrospectively in subsequent periods. The measurement period is the period from the acquisition date to the date complete information about facts and circumstances that existed as of the acquisition date is received. However, the measurement period does not exceed one year from the acquisition date. </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Acquisitions that do not meet the definition of a business combination are accounted for as an asset acquisition. Consideration paid for an asset acquisition is allocated to the individual identifiable assets acquired and liabilities assumed based on their relative fair values.</w:t>
      </w:r>
    </w:p>
    <w:p>
      <w:pPr>
        <w:pStyle w:val="TextBody"/>
        <w:spacing w:before="0" w:after="2"/>
        <w:ind w:left="0" w:right="0" w:firstLine="360"/>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Share based payments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fair value of share-based compensation expenses are estimated using the Black-Scholes option pricing model and rely on a number of estimates, such as the expected life of the option, the volatility of the underlying share price, the risk-free rate of return, and the estimated rate of forfeiture of options or warrants granted.</w: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Impairment of non-financial assets</w:t>
      </w:r>
    </w:p>
    <w:p>
      <w:pPr>
        <w:pStyle w:val="TextBody"/>
        <w:spacing w:before="0" w:after="2"/>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(“DCF”) model. The cash flows are derived from the forecast for the next ten years and do not include restructuring activities that the Company is not yet committed to or significant future investments that will enhance the performance of the assets of the CGU being tested. The determination of the Company’s CGUs is based on management’s judgement. The recoverable amount is sensitive to the discount rate used for the DCF model as well as the expected future cash-inflows and the growth rate used for extrapolation purposes. These estimates are most relevant to goodwill and other intangibles with indefinite useful lives recognized by the Company. Future events could cause the assumptions used in the impairment review to change with a consequential adverse effect on the results of the Company.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692265" cy="160655"/>
                <wp:effectExtent l="0" t="0" r="0" b="0"/>
                <wp:wrapNone/>
                <wp:docPr id="212" name="Frame199"/>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v:rect>
            </w:pict>
          </mc:Fallback>
        </mc:AlternateConten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spacing w:before="0" w:after="2"/>
        <w:ind w:left="0" w:right="0" w:firstLine="360"/>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computed an income tax provision in accordance with the applicable income tax laws. However, actual amounts of income tax expense only become final upon filing and acceptance of the tax return by the relevant authorities, which occurs subsequent to the issuance of the consolidated financial statements. Additionally, estimation of income taxes includes evaluation the recoverability of deferred tax assets based on an assessment of the ability to use the underlying future tax deductions before they expire against future taxable income. The assessment is based upon existing tax laws and estimates of future taxable income. The income tax provision is based on estimates of full-year earnings by jurisdiction. The average annual effective income tax rates are re-estimated at the end of each reporting period. To the extent that estimates and forecasts differ from actual results, adjustments are recorded in subsequent periods. </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Summary of significant accounting policies</w:t>
      </w:r>
    </w:p>
    <w:p>
      <w:pPr>
        <w:pStyle w:val="TextBody"/>
        <w:spacing w:lineRule="auto" w:line="288" w:before="0" w:after="2"/>
        <w:jc w:val="both"/>
        <w:rPr/>
      </w:pPr>
      <w:r>
        <w:rPr>
          <w:rFonts w:ascii="Times New Roman;sans-serif" w:hAnsi="Times New Roman;sans-serif"/>
          <w:b w:val="false"/>
          <w:color w:val="000000"/>
          <w:sz w:val="22"/>
        </w:rPr>
        <w:t xml:space="preserve">Disclosure regarding the Company’s significant accounting policies are set out in Note 2, </w:t>
      </w:r>
      <w:r>
        <w:rPr>
          <w:rFonts w:ascii="Times New Roman;sans-serif" w:hAnsi="Times New Roman;sans-serif"/>
          <w:b w:val="false"/>
          <w:i/>
          <w:color w:val="000000"/>
          <w:sz w:val="22"/>
        </w:rPr>
        <w:t>Significant Accounting Policies and Basis of Preparation</w:t>
      </w:r>
      <w:r>
        <w:rPr>
          <w:color w:val="000000"/>
        </w:rPr>
        <w:t xml:space="preserve"> </w:t>
      </w:r>
      <w:r>
        <w:rPr>
          <w:rFonts w:ascii="Times New Roman;sans-serif" w:hAnsi="Times New Roman;sans-serif"/>
          <w:b w:val="false"/>
          <w:color w:val="000000"/>
          <w:sz w:val="22"/>
        </w:rPr>
        <w:t>in the Financial Statements.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Disclosure controls and procedures</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accordance with the requirements of National Instrument 52-109–Certification of Disclosure in Issuers’ Annual and Interim Filings, the Company’s management, including the Company’s Chief Executive Officer (the “CEO”) and the Company’s Chief Financial Officer (the “CFO”), have evaluated the effectiveness of the Company’s disclosure controls and procedures. Based upon the results of the evaluation, the CEO and the CFO have concluded that as at March 31, 2023, the Company’s disclosure controls and procedures to provide reasonable assurance that the information required to be disclosed by the Company in reports it files is recorded, processed, summarized and reported within the appropriate time periods and forms were effective.</w:t>
      </w:r>
    </w:p>
    <w:p>
      <w:pPr>
        <w:pStyle w:val="TextBody"/>
        <w:spacing w:before="0" w:after="0"/>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maintenance of records in reasonable detail, that accurately and fairly reflect the transactions and dispositions of assets;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reasonable assurance that transactions are recorded as necessary to permit preparation of financial statements in accordance with applicable IFRS;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receipts and expenditures are only being made in accordance with authorizations of management or the Board;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reasonable assurance regarding prevention or timely detection of unauthorized acquisition, use or disposition of the Company’s assets that could have a material effect on the financial instruments.</w:t>
      </w:r>
    </w:p>
    <w:p>
      <w:pPr>
        <w:pStyle w:val="TextBody"/>
        <w:spacing w:before="0" w:after="0"/>
        <w:jc w:val="both"/>
        <w:rPr/>
      </w:pPr>
      <w:r>
        <w:rPr/>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management, with the participation of the CEO and the CFO, assessed the effectiveness of the Company’s internal controls over financial reporting and concluded that as at March 31, 2023, the Company’s internal</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control over financial reporting was effective.</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period ended March 31, 2023, the Company did not make any significant changes to its internal controls over financial reporting that would have materially affected, or reasonably likely to materially affect, its internal controls over financial reporting. </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692265" cy="160655"/>
                <wp:effectExtent l="0" t="0" r="0" b="0"/>
                <wp:wrapNone/>
                <wp:docPr id="213" name="Frame20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v:rect>
            </w:pict>
          </mc:Fallback>
        </mc:AlternateConten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Limitations of Disclosure Controls and Procedures and Internal Control over Financial Reporting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w:t>
      </w:r>
      <w:r>
        <w:rPr>
          <w:color w:val="000000"/>
        </w:rPr>
        <w:t xml:space="preserve"> </w:t>
      </w:r>
      <w:r>
        <w:rPr>
          <w:rFonts w:ascii="Times New Roman;sans-serif" w:hAnsi="Times New Roman;sans-serif"/>
          <w:b w:val="false"/>
          <w:color w:val="000000"/>
          <w:sz w:val="22"/>
        </w:rPr>
        <w:t xml:space="preserve">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New accounting standards and interpretations not yet adopted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IAS 1, Presentation of Financial Statements ("IAS 1") - Classification of Liabilities as Current or Non-Current</w:t>
      </w:r>
    </w:p>
    <w:p>
      <w:pPr>
        <w:pStyle w:val="TextBody"/>
        <w:spacing w:before="0" w:after="2"/>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January 2020, the IASB issued amendments to IAS 1. The amendments aim to promote consistency in applying the requirements by helping companies determine whether, in the consolidated statements of financial position, debt and other liabilities with an uncertain settlement date should be classified as current (due or potentially due to be settled within one year) or non-current. The amendments include clarifying the classification requirements for debt a company might settle by converting it into equity. The amendments are effective for annual reporting periods beginning on or after January 1, 2024, with earlier application permitted. The Company is still assessing the impact of adopting these amendments on its consolidated financial statements.</w:t>
      </w:r>
    </w:p>
    <w:p>
      <w:pPr>
        <w:pStyle w:val="TextBody"/>
        <w:spacing w:before="0" w:after="2"/>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Amendments to IAS 1 and IFRS Practice Statement 2</w:t>
      </w:r>
    </w:p>
    <w:p>
      <w:pPr>
        <w:pStyle w:val="TextBody"/>
        <w:spacing w:before="0" w:after="2"/>
        <w:ind w:left="0" w:right="0" w:firstLine="284"/>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February 2021, the IASB issued amendments to IAS 1 and IFRS Practice Statement 2, Making Materiality Judgements, in which it provides guidance and examples to help entities apply materiality judgements to accounting policy disclosures. The amendments aim to help entities provide accounting policies disclosures that are more useful by replacing the requirement for entities to disclose "significant" accounting policies with a requirement to disclose their "material" accounting policies and adding guidance on how entities apply the concept of materiality in making decisions about accounting disclosures. The amendments to IAS 1 are applicable for annual periods beginning on or after January 1, 2023 with earlier application permitted. Since the amendments to IFRS Practice Statement 2 provide non-mandatory guidance on the application of the definition of material to accounting policy information, an effective date for these amendments is not necessary. The amendments are not expected to have a material impact on the Company’s consolidated financial statements. </w:t>
      </w:r>
    </w:p>
    <w:p>
      <w:pPr>
        <w:pStyle w:val="TextBody"/>
        <w:spacing w:before="0" w:after="2"/>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IAS 8, Accounting Policies, Changes in Accounting Estimates and Errors ("IAS 8") - Definition of Accounting Estimates </w:t>
      </w:r>
    </w:p>
    <w:p>
      <w:pPr>
        <w:pStyle w:val="TextBody"/>
        <w:spacing w:before="0" w:after="2"/>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February 2021, the IASB amendments to IAS 8. The amendment will require the disclosure of material accounting policy information rather than disclosing significant accounting policies and clarifies how to distinguish changes in accounting policies from changes in accounting estimates. Under the new definition, accounting estimates are "monetary amounts in financial statements that are subject to measurement uncertainty". The amendment provides clarification to help entities to distinguish between accounting policies and accounting estimates. The amendments are effective for annual periods beginning on or after January 1, 2023. The Company has determined that adoption of these amendments has no significant effect on the Company's consolidated financial statements</w:t>
      </w:r>
    </w:p>
    <w:p>
      <w:pPr>
        <w:pStyle w:val="TextBody"/>
        <w:spacing w:before="0" w:after="2"/>
        <w:ind w:left="0" w:right="0" w:firstLine="284"/>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IAS 12, Income Taxes ("IAS 12") - Deferred Tax related to Assets and Liabilities Arising from a Single Transaction</w:t>
      </w:r>
    </w:p>
    <w:p>
      <w:pPr>
        <w:pStyle w:val="TextBody"/>
        <w:spacing w:lineRule="auto" w:line="288"/>
        <w:ind w:left="0" w:right="0" w:firstLine="284"/>
        <w:jc w:val="both"/>
        <w:rPr>
          <w:rFonts w:ascii="Times New Roman;sans-serif" w:hAnsi="Times New Roman;sans-serif"/>
          <w:b w:val="false"/>
          <w:color w:val="000000"/>
          <w:sz w:val="22"/>
        </w:rPr>
      </w:pPr>
      <w:r>
        <w:rPr>
          <w:rFonts w:ascii="Times New Roman;sans-serif" w:hAnsi="Times New Roman;sans-serif"/>
          <w:b w:val="false"/>
          <w:color w:val="000000"/>
          <w:sz w:val="22"/>
        </w:rPr>
        <w:t>In May 2021, the IASB issued amendments to IAS 12. The amendment narrows the scope of the initial recognition exemption so that it does not apply to transactions that give rise to equal taxable and deductible temporary differences. As a result, companies will need to recognize a deferred tax asset and deferred tax liability for temporary differences arising on initial recognition of transactions such as leases and decommissioning obligations. The amendments are effective for annual reporting periods beginning on or after January 1, 2023 and are to be applied retrospectively. The Company has determined that adoption of these amendments has no significant effect on the Company's consolidated financial statements.</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692265" cy="160655"/>
                <wp:effectExtent l="0" t="0" r="0" b="0"/>
                <wp:wrapNone/>
                <wp:docPr id="214" name="Frame20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other IFRSs and amendments issued but not yet effective have been assessed by the Company and are not expected to have a material impact on the Company's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Financial and Risk Management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15, </w:t>
      </w:r>
      <w:r>
        <w:rPr>
          <w:rFonts w:ascii="Times New Roman;sans-serif" w:hAnsi="Times New Roman;sans-serif"/>
          <w:b w:val="false"/>
          <w:i/>
          <w:color w:val="000000"/>
          <w:sz w:val="22"/>
        </w:rPr>
        <w:t>Financial Instruments</w:t>
      </w:r>
      <w:r>
        <w:rPr>
          <w:color w:val="000000"/>
        </w:rPr>
        <w:t xml:space="preserve"> </w:t>
      </w:r>
      <w:r>
        <w:rPr>
          <w:rFonts w:ascii="Times New Roman;sans-serif" w:hAnsi="Times New Roman;sans-serif"/>
          <w:b w:val="false"/>
          <w:color w:val="000000"/>
          <w:sz w:val="22"/>
        </w:rPr>
        <w:t>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noted the following risks specific to the psychedelic industry that it is exposed to:</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Liquidity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of directors reviews and approves the Company’s operating and capital budgets, as well as any material transactions not in the ordinary course of business.</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2"/>
        </w:rPr>
      </w:pPr>
      <w:r>
        <w:rPr>
          <w:rFonts w:ascii="Times New Roman;sans-serif" w:hAnsi="Times New Roman;sans-serif"/>
          <w:b/>
          <w:color w:val="000000"/>
          <w:sz w:val="22"/>
        </w:rPr>
        <w:t>Regulatory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Currency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Subsequent Events</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period from April 1, 2023 to June 27, 2023, the Company sold an additional 8,533,269 Common Shares, at an average price of US$0.2896 per Common Share, for aggregate gross proceeds of US$2,471, through its ATM Program. As of June 27, 2023, the ATM allows Cybin to issue and sell up to an additional US$21,988 of Common Shares. Depending on market conditions, this will allow Cybin to access additional cash for growth opportunities and working capital.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9, 2023, the Company announced that it had completed dosing for the last subject in Part B of the Phase 1 CYB004-E trial.</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2023, the Company announced that it had initiated first-in-human dosing of CYB004 in Part C of the Phase 1 CYB004-E trial. </w:t>
      </w:r>
    </w:p>
    <w:p>
      <w:pPr>
        <w:pStyle w:val="TextBody"/>
        <w:spacing w:before="0" w:after="0"/>
        <w:jc w:val="both"/>
        <w:rPr/>
      </w:pPr>
      <w:r>
        <w:rPr/>
      </w:r>
    </w:p>
    <w:p>
      <w:pPr>
        <w:pStyle w:val="TextBody"/>
        <w:spacing w:lineRule="auto" w:line="288"/>
        <w:jc w:val="both"/>
        <w:rPr/>
      </w:pPr>
      <w:r>
        <w:rPr>
          <w:rFonts w:ascii="Times New Roman;sans-serif" w:hAnsi="Times New Roman;sans-serif"/>
          <w:b w:val="false"/>
          <w:color w:val="000000"/>
          <w:sz w:val="22"/>
        </w:rPr>
        <w:t>On May 30, 2023, the Company announced that it has entered into a common share purchase agreement (the “</w:t>
      </w:r>
      <w:r>
        <w:rPr>
          <w:rFonts w:ascii="Times New Roman;sans-serif" w:hAnsi="Times New Roman;sans-serif"/>
          <w:b/>
          <w:color w:val="000000"/>
          <w:sz w:val="22"/>
        </w:rPr>
        <w:t>LPC Purchase Agreement</w:t>
      </w:r>
      <w:r>
        <w:rPr>
          <w:color w:val="000000"/>
        </w:rPr>
        <w:t>”</w:t>
      </w:r>
      <w:r>
        <w:rPr>
          <w:rFonts w:ascii="Times New Roman;sans-serif" w:hAnsi="Times New Roman;sans-serif"/>
          <w:b w:val="false"/>
          <w:color w:val="000000"/>
          <w:sz w:val="22"/>
        </w:rPr>
        <w:t xml:space="preserve">) with Lincoln Park Capital Fund, LLC (“LPC”). Subject to the terms and conditions of the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692265" cy="160655"/>
                <wp:effectExtent l="0" t="0" r="0" b="0"/>
                <wp:wrapNone/>
                <wp:docPr id="215" name="Frame202"/>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LPC Purchase Agreement, the Company has the right to sell, and LPC is obligated to purchase, up to US$30,000 (approximately $41,000) of the Company’s common shares over a 36-month period at prices that are based on the market price at the time of each sale to LPC. Cybin, in its sole discretion, controls the timing and amount of all sales of common shares under the LPC Purchase Agreement. As of the date of this MD&amp;A, the Company has sold 1,925,000 Common Shares, at an average price of US$0.2417 per Common Shares, for aggregate gross proceeds of US$465 pursuant to the LPC Purchase Agreement. As of the date of this MD&amp;A, Cybin is allowed to issue and sell up to an additional US$29,535 of Common Shares under the LPC Purchase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has the right to terminate the LPC Purchase Agreement at any time at no cost or penalty. LPC has agreed not to engage in any short selling or hedging activity of any kind in the Company’s common shares. As consideration for LPC’s obligation to purchase common shares from the Company at its direction under the LPC Purchase Agreement, Cybin issued 2,538,844 common shares to LPC as a commitment fee. The Purchase Agreement provides that Cybin may not issue or sell any Common Shares to LPC under the Purchase Agreement which, when aggregated with all other Common Shares then beneficially owned by LPC and its affiliates (as calculated pursuant to Section 13(d) of the U.S. Securities Exchange Act of 1934, as amended (the "Exchange Act"), and Rule 13d-3 thereunder), would result in LPC beneficially owning more than 9.99% of the outstanding Common Shares.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June 5, 2023, the Company announced changes to its scientific management team. 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will continue in his role as Chief Scientific Officer of Cybin.</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Risk Factors </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Risks Related to the Company’s Business and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Novel Coronavirus “COVID-19”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outbreak of the novel strain of coronavirus, specifically identified as “COVID-19”, resulted in governments worldwide enacting emergency measures to combat the spread of the virus. These measures, which included the implementation of travel bans, self-imposed quarantine periods and social distancing, caused material disruption to businesses globally resulting in an economic slowdown. Global equity markets experienced significant volatility and weakness. Governments and central banks reacted with significant monetary and fiscal interventions designed to stabilize economic conditions. Although some of these measures have been amended or repealed, there remains a future risk of reinstated measures in response to the spread of COVID-19.</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However, depending on the length and severity of the spread of COVID-19, this could impact the Company’s operations, cause delays relating to approval from Health Canada, the FDA and equivalent organizations in other countries, postpone research activities, and impair the Company’s ability to raise funds depending on COVID-19s effect on capital markets.</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692265" cy="160655"/>
                <wp:effectExtent l="0" t="0" r="0" b="0"/>
                <wp:wrapNone/>
                <wp:docPr id="216" name="Frame203"/>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While the Company is continuously assessing the potential impact of the spread of COVID-19on its operations, any assessment is subject to extreme uncertainty as to probability, severity and duration. The Company has attempted to assess the impact of the spread of COVID-19 by identifying risks in the following principle areas: </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2"/>
        </w:rPr>
        <w:t>Mandatory Closure.</w:t>
      </w:r>
      <w:r>
        <w:rPr>
          <w:color w:val="000000"/>
        </w:rPr>
        <w:t xml:space="preserve"> </w:t>
      </w:r>
      <w:r>
        <w:rPr>
          <w:rFonts w:ascii="Times New Roman;sans-serif" w:hAnsi="Times New Roman;sans-serif"/>
          <w:b w:val="false"/>
          <w:color w:val="000000"/>
          <w:sz w:val="22"/>
        </w:rPr>
        <w:t xml:space="preserve">In the period following March 2020, many provinces, states and localities implemented temporary, mandatory shut-downs of businesses to prevent the spread of COVID-19. In the locations where the Company operates or conducts research activity, these activities were deemed an “essential service”, and thus, were not subject to the mandatory closures applicable to non-essential businesses. The Company’s ability to generate revenue and meet its milestones could be materially impacted by any shut-down of operations or services resulting from any future, mandatory closures in response to the spread of COVID-19. </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2"/>
        </w:rPr>
        <w:t xml:space="preserve">Research and Development Disruptions. </w:t>
      </w:r>
      <w:r>
        <w:rPr>
          <w:rFonts w:ascii="Times New Roman;sans-serif" w:hAnsi="Times New Roman;sans-serif"/>
          <w:b w:val="false"/>
          <w:color w:val="000000"/>
          <w:sz w:val="22"/>
        </w:rPr>
        <w:t>The Company relies on a third parties for its research and development activities. If these third parties are unable to continue operating due to mandatory closures or other effects of the spread of COVID-19, it may negatively impact the Company’s ability to meet its milestones and may significantly delay development. At this time, the Company has not experienced any significant disruptions.</w:t>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2"/>
        </w:rPr>
        <w:t>Staffing Disruption.</w:t>
      </w:r>
      <w:r>
        <w:rPr>
          <w:color w:val="000000"/>
        </w:rPr>
        <w:t xml:space="preserve"> </w:t>
      </w:r>
      <w:r>
        <w:rPr>
          <w:rFonts w:ascii="Times New Roman;sans-serif" w:hAnsi="Times New Roman;sans-serif"/>
          <w:b w:val="false"/>
          <w:color w:val="000000"/>
          <w:sz w:val="22"/>
        </w:rPr>
        <w:t>The Company is, for the time being, implementing among its staff where feasible “social distancing” measures recommended 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and deciding not to come to come to work on their own volition to avoid infection.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actively addressing the risk to business continuity represented by each of the above factors through the implementation of a broad range of measures throughout its structure and is re-assessing its response to the spread of COVID-19 on an ongoing basis. The above risks individually or collectively may have a material impact on the Company’s ability to generate revenue.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The Company has sufficient cash on hand raised via equity financings to fund its operations for the next 12-months and meet its working capital requirements.</w:t>
      </w:r>
      <w:r>
        <w:rPr>
          <w:color w:val="000000"/>
        </w:rPr>
        <w:t xml:space="preserve"> </w:t>
      </w:r>
      <w:r>
        <w:rPr>
          <w:rFonts w:ascii="Times New Roman;sans-serif" w:hAnsi="Times New Roman;sans-serif"/>
          <w:b w:val="false"/>
          <w:color w:val="000000"/>
          <w:sz w:val="22"/>
        </w:rPr>
        <w:t xml:space="preserve">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 funding for these long-term objectives.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Limited Operating History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692265" cy="160655"/>
                <wp:effectExtent l="0" t="0" r="0" b="0"/>
                <wp:wrapNone/>
                <wp:docPr id="217" name="Frame204"/>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v:rect>
            </w:pict>
          </mc:Fallback>
        </mc:AlternateConten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Achieving Publicly Announced Milestones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Speculative Nature of Investment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Early Stage of the Industry and Product Development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EMA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692265" cy="160655"/>
                <wp:effectExtent l="0" t="0" r="0" b="0"/>
                <wp:wrapNone/>
                <wp:docPr id="218" name="Frame205"/>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The Company’s business relies on its ability to access, develop, and sell psilocybin. Psilocybin is a controlled substance in many jurisdictions, including in Canada under Schedule III of the </w:t>
      </w:r>
      <w:r>
        <w:rPr>
          <w:rFonts w:ascii="Times New Roman;sans-serif" w:hAnsi="Times New Roman;sans-serif"/>
          <w:b w:val="false"/>
          <w:i/>
          <w:color w:val="000000"/>
          <w:sz w:val="22"/>
        </w:rPr>
        <w:t xml:space="preserve">Controlled Drugs and Substances Act </w:t>
      </w:r>
      <w:r>
        <w:rPr>
          <w:rFonts w:ascii="Times New Roman;sans-serif" w:hAnsi="Times New Roman;sans-serif"/>
          <w:b w:val="false"/>
          <w:color w:val="000000"/>
          <w:sz w:val="22"/>
        </w:rPr>
        <w:t>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Regulatory Risks and Uncertainties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 </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692265" cy="160655"/>
                <wp:effectExtent l="0" t="0" r="0" b="0"/>
                <wp:wrapNone/>
                <wp:docPr id="219" name="Frame206"/>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administrative sanctions, convictions or settlements arising from civil proceedings initiated by either government entities in the jurisdictions in which the Company operates, or private citizens or criminal charges.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loss of the necessary licences and permits for any of the above scheduled drugs could have an adverse effect on the Company’s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 </w:t>
      </w:r>
    </w:p>
    <w:p>
      <w:pPr>
        <w:pStyle w:val="TextBody"/>
        <w:spacing w:before="0" w:after="0"/>
        <w:jc w:val="both"/>
        <w:rPr/>
      </w:pPr>
      <w:r>
        <w:rPr/>
      </w:r>
    </w:p>
    <w:p>
      <w:pPr>
        <w:pStyle w:val="TextBody"/>
        <w:spacing w:lineRule="auto" w:line="252" w:before="0" w:after="0"/>
        <w:jc w:val="both"/>
        <w:rPr>
          <w:rFonts w:ascii="Times New Roman;sans-serif" w:hAnsi="Times New Roman;sans-serif"/>
          <w:b/>
          <w:i/>
          <w:color w:val="000000"/>
          <w:sz w:val="22"/>
        </w:rPr>
      </w:pPr>
      <w:r>
        <w:rPr>
          <w:rFonts w:ascii="Times New Roman;sans-serif" w:hAnsi="Times New Roman;sans-serif"/>
          <w:b/>
          <w:i/>
          <w:color w:val="000000"/>
          <w:sz w:val="22"/>
        </w:rPr>
        <w:t>Risks of Operating in European Countries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and other risks associated with the Company’s international operations may materially adversely affect its ability to attain or maintain profitable operations.</w:t>
      </w:r>
    </w:p>
    <w:p>
      <w:pPr>
        <w:pStyle w:val="TextBody"/>
        <w:spacing w:before="0" w:after="0"/>
        <w:jc w:val="both"/>
        <w:rPr/>
      </w:pPr>
      <w:r>
        <w:rPr/>
      </w:r>
    </w:p>
    <w:p>
      <w:pPr>
        <w:pStyle w:val="TextBody"/>
        <w:spacing w:lineRule="auto" w:line="288" w:before="0" w:after="0"/>
        <w:jc w:val="both"/>
        <w:rPr>
          <w:color w:val="000000"/>
        </w:rPr>
      </w:pPr>
      <w:r>
        <w:rPr>
          <w:color w:val="000000"/>
        </w:rPr>
        <w:t>“</w:t>
      </w:r>
      <w:r>
        <w:rPr>
          <w:rFonts w:ascii="Times New Roman;sans-serif" w:hAnsi="Times New Roman;sans-serif"/>
          <w:b/>
          <w:i/>
          <w:color w:val="000000"/>
          <w:sz w:val="22"/>
        </w:rPr>
        <w:t>Foreign Private Issuer” Status Under the U.S. Securities Laws</w:t>
      </w:r>
    </w:p>
    <w:p>
      <w:pPr>
        <w:pStyle w:val="TextBody"/>
        <w:spacing w:before="0" w:after="0"/>
        <w:jc w:val="both"/>
        <w:rPr/>
      </w:pPr>
      <w:r>
        <w:rPr/>
      </w:r>
    </w:p>
    <w:p>
      <w:pPr>
        <w:pStyle w:val="TextBody"/>
        <w:spacing w:lineRule="auto" w:line="268"/>
        <w:jc w:val="both"/>
        <w:rPr/>
      </w:pPr>
      <w:r>
        <w:rPr>
          <w:rFonts w:ascii="Times New Roman;sans-serif" w:hAnsi="Times New Roman;sans-serif"/>
          <w:b w:val="false"/>
          <w:color w:val="000000"/>
          <w:sz w:val="22"/>
        </w:rPr>
        <w:t>The Company is a “foreign private issuer”, under applicable U.S. federal securities laws, and is, therefore, not subject to the same requirements that are imposed upon U.S. domestic issuers by the Securities and Exchange Commission ("</w:t>
      </w:r>
      <w:r>
        <w:rPr>
          <w:rFonts w:ascii="Times New Roman;sans-serif" w:hAnsi="Times New Roman;sans-serif"/>
          <w:b/>
          <w:color w:val="000000"/>
          <w:sz w:val="22"/>
        </w:rPr>
        <w:t>SEC</w:t>
      </w:r>
      <w:r>
        <w:rPr>
          <w:rFonts w:ascii="Times New Roman;sans-serif" w:hAnsi="Times New Roman;sans-serif"/>
          <w:b w:val="false"/>
          <w:color w:val="000000"/>
          <w:sz w:val="22"/>
        </w:rPr>
        <w:t xml:space="preserve">").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692265" cy="160655"/>
                <wp:effectExtent l="0" t="0" r="0" b="0"/>
                <wp:wrapNone/>
                <wp:docPr id="220" name="Frame207"/>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may not know on as timely a basis when the Company’s officers, directors and principal shareholders purchase or sell Common Shares, as the reporting periods under the corresponding Canadian insider reporting requirements are longer.</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Plans for Growth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Limited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heavily reliant on the production and distribution of psychedelics and related products. If they do not achieve sufficient market acceptance, it will be difficult for the Company to achieve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Limited Marketing and Sales Capabilities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No Assurance of Commercial Success</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692265" cy="160655"/>
                <wp:effectExtent l="0" t="0" r="0" b="0"/>
                <wp:wrapNone/>
                <wp:docPr id="221" name="Frame208"/>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assurance that the Company or its industry partners will be successful in their respective efforts to develop and implement, or assist the Company in developing and implementing, a commercialization strategy for the Company’s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No Profits or Significant Revenues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Reliance on Third Parties for Clinical Development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Risks Related to Third Party Relationships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Reliance on Contract Manufacturers</w:t>
      </w:r>
    </w:p>
    <w:p>
      <w:pPr>
        <w:pStyle w:val="TextBody"/>
        <w:spacing w:before="0" w:after="0"/>
        <w:jc w:val="both"/>
        <w:rPr/>
      </w:pPr>
      <w:r>
        <w:rPr/>
      </w:r>
    </w:p>
    <w:p>
      <w:pPr>
        <w:pStyle w:val="TextBody"/>
        <w:spacing w:lineRule="auto" w:line="288"/>
        <w:jc w:val="both"/>
        <w:rPr/>
      </w:pPr>
      <w:r>
        <w:rPr>
          <w:rFonts w:ascii="Times New Roman;sans-serif" w:hAnsi="Times New Roman;sans-serif"/>
          <w:b w:val="false"/>
          <w:color w:val="000000"/>
          <w:sz w:val="22"/>
        </w:rPr>
        <w:t>The Company has limited manufacturing experience and relies on contract manufacturing organizations (“</w:t>
      </w:r>
      <w:r>
        <w:rPr>
          <w:rFonts w:ascii="Times New Roman;sans-serif" w:hAnsi="Times New Roman;sans-serif"/>
          <w:b/>
          <w:color w:val="000000"/>
          <w:sz w:val="22"/>
        </w:rPr>
        <w:t>CMOs</w:t>
      </w:r>
      <w:r>
        <w:rPr>
          <w:color w:val="000000"/>
        </w:rPr>
        <w:t>”</w:t>
      </w:r>
      <w:r>
        <w:rPr>
          <w:rFonts w:ascii="Times New Roman;sans-serif" w:hAnsi="Times New Roman;sans-serif"/>
          <w:b w:val="false"/>
          <w:color w:val="000000"/>
          <w:sz w:val="22"/>
        </w:rPr>
        <w:t xml:space="preserve">)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 and the EMA, ensure the quality of food, drug products and dietary supplements by carefully monitoring drug manufacturers’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692265" cy="160655"/>
                <wp:effectExtent l="0" t="0" r="0" b="0"/>
                <wp:wrapNone/>
                <wp:docPr id="222" name="Frame209"/>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Safety and Efficacy of Products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EMA or other regulatory authorities, resulting in the Company being unable to derive any commercial revenue from them after investing significant amounts of capital in their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Clinical Testing and Commercializing Products </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692265" cy="160655"/>
                <wp:effectExtent l="0" t="0" r="0" b="0"/>
                <wp:wrapNone/>
                <wp:docPr id="223" name="Frame21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commencement and completion of clinical trials for the Company’s prescription drug product candidates may be delayed for a number of reasons, including but not limited, 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failure by regulatory authorities to grant permission to proceed or placing clinical trials on hold;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suspension or termination of clinical trials by regulators for many reasons, including concerns about patient safety or failure of the Company’s CMOs to comply with cGMP requirements or latent defects in product quality;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any changes to the Company’s manufacturing process that may be necessary or desired, delays or failure to obtain clinical supply from CMOs of the Company’s products necessary to conduct clinical trials;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prescription drug product candidates demonstrating a lack of safety or efficacy during clinical trials, reports of clinical testing on similar technologies and products raising safety or efficacy concerns;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failure of the Company’s contract research organizations to satisfy their contractual duties or meet expected deadlines;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inspections of clinical trial sites by regulatory authorities;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regulatory authorities or ethics committees finding regulatory violations that require the Company to undertake corrective action, resulting in suspension or termination of one or more sites or the imposition of a clinical hold on the entire study;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one or more regulatory authorities or ethics committees rejecting, suspending or terminating the study at an investigational site, precluding enrollment of additional subjects, or withdrawing its approval of the trial;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failure to reach agreement on acceptable terms with prospective clinical trial sites.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692265" cy="160655"/>
                <wp:effectExtent l="0" t="0" r="0" b="0"/>
                <wp:wrapNone/>
                <wp:docPr id="224" name="Frame21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v:rect>
            </w:pict>
          </mc:Fallback>
        </mc:AlternateConten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Completion of Clinical Trials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Commercial Grade Product Manufacturing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Nature of Regulatory Approvals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development and commercialization activities and prescription drug product candidates are significantly regulated by a number of governmental entities, including Health Canada, the FDA and the EMA.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EMA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regulatory authority may require more information, including additional preclinical or clinical data to support approval, which may delay or prevent approval and the Company’s commercialization plans, or the Company may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692265" cy="160655"/>
                <wp:effectExtent l="0" t="0" r="0" b="0"/>
                <wp:wrapNone/>
                <wp:docPr id="225" name="Frame212"/>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EMA or other regulatory authorities may impose a risk evaluation and mitigation strategy, thereby imposing certain restrictions on the sale and marketability of such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Unfavourable Publicity or Consumer Perception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Social Media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692265" cy="160655"/>
                <wp:effectExtent l="0" t="0" r="0" b="0"/>
                <wp:wrapNone/>
                <wp:docPr id="226" name="Frame213"/>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v:rect>
            </w:pict>
          </mc:Fallback>
        </mc:AlternateConten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Biotechnology and Pharmaceutical Market Competition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efficacy and safety profile of its prescription drug product candidates relative to marketed products and other prescription drug product candidates in development;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Company’s ability to develop and maintain a competitive position in the product categories and technologies on which it focuses;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time it takes for the Company’s prescription drug product candidates to complete clinical development and receive marketing approval;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Company’s ability to obtain required regulatory approvals;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Company’s ability to commercialize any of its prescription drug product candidates that receive regulatory approval;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the Company’s ability to establish, maintain and protect intellectual property rights related to its prescription drug product candidates;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acceptance of any of the Company’s prescription drug product candidates that receive regulatory approval by physicians and other healthcare providers and payers.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is not able to compete effectively against its current and future competitors, the Company’s business will not grow, and its financial condition and operations will substantially suffer.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Reliance on Key Executives and Scientists</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692265" cy="160655"/>
                <wp:effectExtent l="0" t="0" r="0" b="0"/>
                <wp:wrapNone/>
                <wp:docPr id="227" name="Frame214"/>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Employee Misconduct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and/or the EMA regulations, provide accurate information to Health Canada, the FDA and/or the EMA,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Business Expansion and Growth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Negative Results of External Clinical Trials or Studies</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692265" cy="160655"/>
                <wp:effectExtent l="0" t="0" r="0" b="0"/>
                <wp:wrapNone/>
                <wp:docPr id="228" name="Frame215"/>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adversely affect its share price and the Company’s ability to finance future development of its prescription drug product candidates, and its business and financial results could be materially and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Product Liability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Enforcing 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Product Recalls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Distribution and Supply Chain Interruption</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692265" cy="160655"/>
                <wp:effectExtent l="0" t="0" r="0" b="0"/>
                <wp:wrapNone/>
                <wp:docPr id="229" name="Frame216"/>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Difficulty to Forecast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Promoting the Brand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 </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pStyle w:val="TextBody"/>
        <w:spacing w:before="0" w:after="0"/>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Product Viability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Success of Quality Control Systems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Reliance on Key Inputs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692265" cy="160655"/>
                <wp:effectExtent l="0" t="0" r="0" b="0"/>
                <wp:wrapNone/>
                <wp:docPr id="230" name="Frame217"/>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v:rect>
            </w:pict>
          </mc:Fallback>
        </mc:AlternateConten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Liability Arising from Fraudulent or Illegal Activity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pStyle w:val="TextBody"/>
        <w:spacing w:before="0" w:after="0"/>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Operating Risk and Insurance Coverage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Costs of Operating as Public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Management of Growth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692265" cy="160655"/>
                <wp:effectExtent l="0" t="0" r="0" b="0"/>
                <wp:wrapNone/>
                <wp:docPr id="231" name="Frame218"/>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v:rect>
            </w:pict>
          </mc:Fallback>
        </mc:AlternateConten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Conflicts of Interest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Foreign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Cybersecurity and Privacy Risk</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692265" cy="160655"/>
                <wp:effectExtent l="0" t="0" r="0" b="0"/>
                <wp:wrapNone/>
                <wp:docPr id="232" name="Frame219"/>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expenses. The failure of information systems or a component of information systems could, depending on the nature of any such failure, adversely impact the Company’s reputation and results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sans-serif" w:hAnsi="Times New Roman;sans-serif"/>
          <w:b w:val="false"/>
          <w:i/>
          <w:color w:val="000000"/>
          <w:sz w:val="22"/>
        </w:rPr>
        <w:t>Personal Information Protection and Electronics Documents Act</w:t>
      </w:r>
      <w:r>
        <w:rPr>
          <w:color w:val="000000"/>
        </w:rPr>
        <w:t xml:space="preserve"> </w:t>
      </w:r>
      <w:r>
        <w:rPr>
          <w:rFonts w:ascii="Times New Roman;sans-serif" w:hAnsi="Times New Roman;sans-serif"/>
          <w:b w:val="false"/>
          <w:color w:val="000000"/>
          <w:sz w:val="22"/>
        </w:rPr>
        <w:t>(Canada) (“</w:t>
      </w:r>
      <w:r>
        <w:rPr>
          <w:rFonts w:ascii="Times New Roman;sans-serif" w:hAnsi="Times New Roman;sans-serif"/>
          <w:b/>
          <w:color w:val="000000"/>
          <w:sz w:val="22"/>
        </w:rPr>
        <w:t>PIPEDA</w:t>
      </w:r>
      <w:r>
        <w:rPr>
          <w:color w:val="000000"/>
        </w:rPr>
        <w:t>”</w:t>
      </w:r>
      <w:r>
        <w:rPr>
          <w:rFonts w:ascii="Times New Roman;sans-serif" w:hAnsi="Times New Roman;sans-serif"/>
          <w:b w:val="false"/>
          <w:color w:val="000000"/>
          <w:sz w:val="22"/>
        </w:rPr>
        <w:t>) and where applicable, provincial legislation governing personal health information, protect medical records and other personal health information by limited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Environmental Regulation and Risks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Decriminalisation of Psychedelics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decriminalised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and potentially other psychotropic compounds in the future may also impact commercial sales for the Company due to a reduced barrier to entry leading to a risk of increasing competition.</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692265" cy="160655"/>
                <wp:effectExtent l="0" t="0" r="0" b="0"/>
                <wp:wrapNone/>
                <wp:docPr id="233" name="Frame22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v:rect>
            </w:pict>
          </mc:Fallback>
        </mc:AlternateConten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Forward-looking statements may prove to be inaccurate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Effects of Inflation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Political and Economic Conditions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inflation;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fluctuations in exchange rates;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exchange controls and restrictions on remittances abroad;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interest rates and monetary policies;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import and export controls;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liquidity of domestic capital, credit and financial markets;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expansion or contraction of foreign economies, as measured by rates of growth in gross domestic product;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fiscal policies;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2"/>
        </w:rPr>
        <w:t>other political, social and economic developments in or affecting foreign markets.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Application and Interpretation of Tax Laws</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subject to direct and indirect taxes in various foreign jurisdictions. The amount of tax that the Company pays, directly or indirectly, is subject to the interpretation of applicable tax laws in the jurisdictions of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692265" cy="160655"/>
                <wp:effectExtent l="0" t="0" r="0" b="0"/>
                <wp:wrapNone/>
                <wp:docPr id="234" name="Frame22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Enforcement of Civil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 </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spacing w:before="0" w:after="2"/>
        <w:jc w:val="both"/>
        <w:rPr/>
      </w:pPr>
      <w:r>
        <w:rPr/>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Risks Related to Intellectual Property</w:t>
      </w:r>
    </w:p>
    <w:p>
      <w:pPr>
        <w:pStyle w:val="TextBody"/>
        <w:spacing w:before="0" w:after="2"/>
        <w:jc w:val="both"/>
        <w:rPr/>
      </w:pPr>
      <w:r>
        <w:rPr/>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Trademark Protection</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Failure to register trademarks for the Company or its products could require the Company to rebrand its products resulting in a material adverse impact on its business.</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Trade Secrets</w:t>
      </w:r>
    </w:p>
    <w:p>
      <w:pPr>
        <w:pStyle w:val="TextBody"/>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pStyle w:val="TextBody"/>
        <w:spacing w:before="0" w:after="2"/>
        <w:jc w:val="both"/>
        <w:rPr/>
      </w:pPr>
      <w:r>
        <w:rPr/>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Patent Law Reform</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is the case with other biotechnology and pharmaceutical companies, the Company’s success is heavily dependent on intellectual property rights, particularly patents. Obtaining and enforcing patents in the biopharmaceutical industry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692265" cy="160655"/>
                <wp:effectExtent l="0" t="0" r="0" b="0"/>
                <wp:wrapNone/>
                <wp:docPr id="235" name="Frame222"/>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Patent Litigation and Intellectual Property</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692265" cy="160655"/>
                <wp:effectExtent l="0" t="0" r="0" b="0"/>
                <wp:wrapNone/>
                <wp:docPr id="236" name="Frame223"/>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v:rect>
            </w:pict>
          </mc:Fallback>
        </mc:AlternateConten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Protection of Intellectual Property</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Third-Party Licences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Financial and Accounting Risks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Substantial Number of Authorized but Unissued Common Shares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Dilution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Negative Cash Flow from Operating Activities and Going Concern</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2"/>
        </w:rPr>
        <w:t>The Company has had negative cash flow from operating activities since inception. Drug development involves long lead times, is very expensive and involves many variables of uncertainty.</w:t>
      </w:r>
      <w:r>
        <w:rPr>
          <w:color w:val="000000"/>
        </w:rPr>
        <w:t xml:space="preserve"> </w:t>
      </w:r>
      <w:r>
        <w:rPr>
          <w:rFonts w:ascii="Times New Roman;sans-serif" w:hAnsi="Times New Roman;sans-serif"/>
          <w:b w:val="false"/>
          <w:color w:val="000000"/>
          <w:sz w:val="22"/>
        </w:rPr>
        <w:t xml:space="preserve">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 </w:t>
      </w:r>
    </w:p>
    <w:p>
      <w:pPr>
        <w:pStyle w:val="TextBody"/>
        <w:spacing w:before="0" w:after="0"/>
        <w:jc w:val="both"/>
        <w:rPr/>
      </w:pPr>
      <w:r>
        <w:rPr/>
      </w:r>
    </w:p>
    <w:p>
      <w:pPr>
        <w:pStyle w:val="TextBody"/>
        <w:spacing w:lineRule="auto" w:line="268"/>
        <w:jc w:val="both"/>
        <w:rPr/>
      </w:pPr>
      <w:r>
        <w:rPr>
          <w:rFonts w:ascii="Times New Roman;sans-serif" w:hAnsi="Times New Roman;sans-serif"/>
          <w:b w:val="false"/>
          <w:color w:val="000000"/>
          <w:sz w:val="22"/>
        </w:rPr>
        <w:t xml:space="preserve">The threat of the Company’s ability </w:t>
      </w:r>
      <w:r>
        <w:rPr>
          <w:rFonts w:ascii="Times New Roman;sans-serif" w:hAnsi="Times New Roman;sans-serif"/>
          <w:b w:val="false"/>
          <w:color w:val="000000"/>
          <w:sz w:val="24"/>
        </w:rPr>
        <w:t>to</w:t>
      </w:r>
      <w:r>
        <w:rPr>
          <w:color w:val="000000"/>
        </w:rPr>
        <w:t xml:space="preserve"> </w:t>
      </w:r>
      <w:r>
        <w:rPr>
          <w:rFonts w:ascii="Times New Roman;sans-serif" w:hAnsi="Times New Roman;sans-serif"/>
          <w:b w:val="false"/>
          <w:color w:val="000000"/>
          <w:sz w:val="22"/>
        </w:rPr>
        <w:t xml:space="preserve">continue as a going concern will be removed only when, in the opinion of the Company’s auditor, the Company’s revenues have reached a level that is able to sustain its business operations. If the </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692265" cy="160655"/>
                <wp:effectExtent l="0" t="0" r="0" b="0"/>
                <wp:wrapNone/>
                <wp:docPr id="237" name="Frame224"/>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Financial Statements do not include any adjustments to the Company’s recorded assets or liabilities that might be necessary if the Company becomes unable to continue as a going concern. </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Additional Capital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Lack of Significant Product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Estimates or Judgments Relating to Critical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Inadequate Internal Controls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pStyle w:val="TextBody"/>
        <w:jc w:val="both"/>
        <w:rPr/>
      </w:pPr>
      <w:r>
        <w:rPr/>
      </w:r>
      <w:r>
        <w:br w:type="page"/>
      </w:r>
    </w:p>
    <w:p>
      <w:pPr>
        <w:pStyle w:val="TextBody"/>
        <w:spacing w:before="0" w:after="2"/>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692265" cy="160655"/>
                <wp:effectExtent l="0" t="0" r="0" b="0"/>
                <wp:wrapNone/>
                <wp:docPr id="238" name="Frame225"/>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v:rect>
            </w:pict>
          </mc:Fallback>
        </mc:AlternateContent>
      </w:r>
    </w:p>
    <w:p>
      <w:pPr>
        <w:pStyle w:val="TextBody"/>
        <w:spacing w:lineRule="auto" w:line="288" w:before="0" w:after="2"/>
        <w:jc w:val="both"/>
        <w:rPr>
          <w:rFonts w:ascii="Times New Roman;sans-serif" w:hAnsi="Times New Roman;sans-serif"/>
          <w:b/>
          <w:color w:val="000000"/>
          <w:sz w:val="22"/>
        </w:rPr>
      </w:pPr>
      <w:r>
        <w:rPr>
          <w:rFonts w:ascii="Times New Roman;sans-serif" w:hAnsi="Times New Roman;sans-serif"/>
          <w:b/>
          <w:color w:val="000000"/>
          <w:sz w:val="22"/>
        </w:rPr>
        <w:t>Risks Related to the Common Shares</w:t>
      </w:r>
    </w:p>
    <w:p>
      <w:pPr>
        <w:pStyle w:val="TextBody"/>
        <w:spacing w:before="0" w:after="2"/>
        <w:jc w:val="both"/>
        <w:rPr/>
      </w:pPr>
      <w:r>
        <w:rPr/>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Market for the Common Shares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Significant Sales of the Common Shares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Volatile Market Price for the Common Shares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r>
        <w:br w:type="page"/>
      </w:r>
    </w:p>
    <w:p>
      <w:pPr>
        <w:pStyle w:val="TextBody"/>
        <w:spacing w:before="0" w:after="2"/>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692265" cy="160655"/>
                <wp:effectExtent l="0" t="0" r="0" b="0"/>
                <wp:wrapNone/>
                <wp:docPr id="239" name="Frame226"/>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v:rect>
            </w:pict>
          </mc:Fallback>
        </mc:AlternateConten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Tax Issues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may be income tax consequences in relation to the Common Shares, which will vary according to circumstances. Independent advice from tax and legal advisers should be obtained.</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No Dividends</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pStyle w:val="TextBody"/>
        <w:spacing w:before="0" w:after="2"/>
        <w:jc w:val="both"/>
        <w:rPr/>
      </w:pPr>
      <w:r>
        <w:rPr/>
      </w:r>
    </w:p>
    <w:p>
      <w:pPr>
        <w:pStyle w:val="TextBody"/>
        <w:spacing w:lineRule="auto" w:line="288" w:before="0" w:after="2"/>
        <w:jc w:val="both"/>
        <w:rPr>
          <w:rFonts w:ascii="Times New Roman;sans-serif" w:hAnsi="Times New Roman;sans-serif"/>
          <w:b/>
          <w:i/>
          <w:color w:val="000000"/>
          <w:sz w:val="22"/>
        </w:rPr>
      </w:pPr>
      <w:r>
        <w:rPr>
          <w:rFonts w:ascii="Times New Roman;sans-serif" w:hAnsi="Times New Roman;sans-serif"/>
          <w:b/>
          <w:i/>
          <w:color w:val="000000"/>
          <w:sz w:val="22"/>
        </w:rPr>
        <w:t>Additional information</w:t>
      </w:r>
    </w:p>
    <w:p>
      <w:pPr>
        <w:pStyle w:val="TextBody"/>
        <w:spacing w:before="0" w:after="2"/>
        <w:jc w:val="both"/>
        <w:rPr/>
      </w:pPr>
      <w:r>
        <w:rPr/>
      </w:r>
    </w:p>
    <w:p>
      <w:pPr>
        <w:pStyle w:val="TextBody"/>
        <w:spacing w:lineRule="auto" w:line="288" w:before="0" w:after="240"/>
        <w:jc w:val="both"/>
        <w:rPr/>
      </w:pPr>
      <w:r>
        <w:rPr>
          <w:rFonts w:ascii="Times New Roman;sans-serif" w:hAnsi="Times New Roman;sans-serif"/>
          <w:b w:val="false"/>
          <w:color w:val="000000"/>
          <w:sz w:val="22"/>
        </w:rPr>
        <w:t xml:space="preserve">Additional information on the Company has been filed electronically through SEDAR and is available online at </w:t>
      </w:r>
      <w:r>
        <w:rPr>
          <w:rFonts w:ascii="Times New Roman;sans-serif" w:hAnsi="Times New Roman;sans-serif"/>
          <w:b w:val="false"/>
          <w:i/>
          <w:color w:val="0563C1"/>
          <w:sz w:val="22"/>
          <w:u w:val="single"/>
        </w:rPr>
        <w:t>www.sedar.com</w:t>
      </w:r>
      <w:r>
        <w:rPr>
          <w:rFonts w:ascii="Times New Roman;sans-serif" w:hAnsi="Times New Roman;sans-serif"/>
          <w:b w:val="false"/>
          <w:color w:val="000000"/>
          <w:sz w:val="22"/>
        </w:rPr>
        <w:t>.</w:t>
      </w:r>
    </w:p>
    <w:p>
      <w:pPr>
        <w:pStyle w:val="TextBody"/>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Approval</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Board has approved the disclosure in this MD&amp;A.</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40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99.4</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692265" cy="160655"/>
                <wp:effectExtent l="0" t="0" r="0" b="0"/>
                <wp:wrapNone/>
                <wp:docPr id="240" name="Frame227"/>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v:rect>
            </w:pict>
          </mc:Fallback>
        </mc:AlternateContent>
      </w:r>
    </w:p>
    <w:p>
      <w:pPr>
        <w:pStyle w:val="TextBody"/>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Doug Drysdale, certify that:</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40-F of Cybin Inc.;</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    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spacing w:before="0" w:after="0"/>
        <w:ind w:left="0" w:right="0" w:firstLine="720"/>
        <w:rPr/>
      </w:pPr>
      <w:r>
        <w:rPr/>
      </w:r>
    </w:p>
    <w:p>
      <w:pPr>
        <w:pStyle w:val="TextBody"/>
        <w:spacing w:lineRule="auto" w:line="268" w:before="0" w:after="0"/>
        <w:ind w:left="0" w:right="0" w:firstLine="21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spacing w:before="0" w:after="0"/>
        <w:ind w:left="0" w:right="0" w:firstLine="210"/>
        <w:rPr/>
      </w:pPr>
      <w:r>
        <w:rPr/>
      </w:r>
    </w:p>
    <w:p>
      <w:pPr>
        <w:pStyle w:val="TextBody"/>
        <w:spacing w:lineRule="auto" w:line="268" w:before="0" w:after="0"/>
        <w:ind w:left="0" w:right="0" w:firstLine="210"/>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210"/>
        <w:rPr/>
      </w:pPr>
      <w:r>
        <w:rPr/>
      </w:r>
    </w:p>
    <w:p>
      <w:pPr>
        <w:pStyle w:val="TextBody"/>
        <w:spacing w:lineRule="auto" w:line="268" w:before="0" w:after="0"/>
        <w:ind w:left="0" w:right="0" w:firstLine="21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210"/>
        <w:rPr/>
      </w:pPr>
      <w:r>
        <w:rPr/>
      </w:r>
    </w:p>
    <w:p>
      <w:pPr>
        <w:pStyle w:val="TextBody"/>
        <w:spacing w:lineRule="auto" w:line="268" w:before="0" w:after="0"/>
        <w:ind w:left="0" w:right="0" w:firstLine="210"/>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pStyle w:val="TextBody"/>
        <w:spacing w:before="0" w:after="0"/>
        <w:ind w:left="0" w:right="0" w:firstLine="210"/>
        <w:rPr/>
      </w:pPr>
      <w:r>
        <w:rPr/>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    The issuer’s other certifying officer and I have disclosed, based on our most recent evaluation of internal control over financial reporting, to the issuer’s auditor and the audit committee of the issuer’s board of directors (or persons performing the equivalent functions):</w:t>
      </w:r>
    </w:p>
    <w:p>
      <w:pPr>
        <w:pStyle w:val="TextBody"/>
        <w:spacing w:lineRule="auto" w:line="240" w:before="0" w:after="120"/>
        <w:ind w:left="0" w:right="0" w:firstLine="21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spacing w:lineRule="auto" w:line="240" w:before="0" w:after="120"/>
        <w:ind w:left="0" w:right="0" w:firstLine="21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issuer’s internal control over financial reporting.</w:t>
      </w:r>
    </w:p>
    <w:p>
      <w:pPr>
        <w:pStyle w:val="TextBody"/>
        <w:spacing w:lineRule="auto" w:line="240" w:before="400" w:after="400"/>
        <w:ind w:left="0" w:right="0" w:hanging="5760"/>
        <w:rPr/>
      </w:pPr>
      <w:r>
        <w:rPr>
          <w:rFonts w:ascii="Times New Roman;sans-serif" w:hAnsi="Times New Roman;sans-serif"/>
          <w:b w:val="false"/>
          <w:color w:val="000000"/>
          <w:sz w:val="20"/>
        </w:rPr>
        <w:t>Date: June 27, 2023    By:     </w:t>
      </w:r>
      <w:r>
        <w:rPr>
          <w:rFonts w:ascii="Times New Roman;sans-serif" w:hAnsi="Times New Roman;sans-serif"/>
          <w:b w:val="false"/>
          <w:i/>
          <w:color w:val="000000"/>
          <w:sz w:val="20"/>
          <w:u w:val="single"/>
        </w:rPr>
        <w:t>/s/ Doug Drysdale</w:t>
      </w:r>
      <w:r>
        <w:rPr>
          <w:color w:val="000000"/>
          <w:u w:val="single"/>
        </w:rPr>
        <w:t xml:space="preserve">     </w:t>
      </w:r>
      <w:r>
        <w:rPr>
          <w:rFonts w:ascii="Times New Roman;sans-serif" w:hAnsi="Times New Roman;sans-serif"/>
          <w:b w:val="false"/>
          <w:color w:val="000000"/>
          <w:sz w:val="20"/>
        </w:rPr>
        <w:br/>
        <w:t>Doug Drysdale</w:t>
        <w:br/>
        <w:t>Chief Executive Officer</w:t>
        <w:br/>
        <w:t>(Principal Executive Officer)</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40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99.5</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692265" cy="175260"/>
                <wp:effectExtent l="0" t="0" r="0" b="0"/>
                <wp:wrapNone/>
                <wp:docPr id="241" name="Frame22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Greg Cavers, certify that:</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40-F of Cybin Inc.;</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    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spacing w:before="0" w:after="0"/>
        <w:ind w:left="0" w:right="0" w:firstLine="720"/>
        <w:rPr/>
      </w:pPr>
      <w:r>
        <w:rPr/>
      </w:r>
    </w:p>
    <w:p>
      <w:pPr>
        <w:pStyle w:val="TextBody"/>
        <w:spacing w:lineRule="auto" w:line="268" w:before="0" w:after="0"/>
        <w:ind w:left="0" w:right="0" w:firstLine="21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spacing w:before="0" w:after="0"/>
        <w:ind w:left="0" w:right="0" w:firstLine="210"/>
        <w:rPr/>
      </w:pPr>
      <w:r>
        <w:rPr/>
      </w:r>
    </w:p>
    <w:p>
      <w:pPr>
        <w:pStyle w:val="TextBody"/>
        <w:spacing w:lineRule="auto" w:line="268" w:before="0" w:after="0"/>
        <w:ind w:left="0" w:right="0" w:firstLine="210"/>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210"/>
        <w:rPr/>
      </w:pPr>
      <w:r>
        <w:rPr/>
      </w:r>
    </w:p>
    <w:p>
      <w:pPr>
        <w:pStyle w:val="TextBody"/>
        <w:spacing w:lineRule="auto" w:line="268" w:before="0" w:after="0"/>
        <w:ind w:left="0" w:right="0" w:firstLine="21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210"/>
        <w:rPr/>
      </w:pPr>
      <w:r>
        <w:rPr/>
      </w:r>
    </w:p>
    <w:p>
      <w:pPr>
        <w:pStyle w:val="TextBody"/>
        <w:spacing w:lineRule="auto" w:line="268" w:before="0" w:after="0"/>
        <w:ind w:left="0" w:right="0" w:firstLine="210"/>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pStyle w:val="TextBody"/>
        <w:spacing w:before="0" w:after="0"/>
        <w:ind w:left="0" w:right="0" w:firstLine="210"/>
        <w:rPr/>
      </w:pPr>
      <w:r>
        <w:rPr/>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    The issuer’s other certifying officer and I have disclosed, based on our most recent evaluation of internal control over financial reporting, to the issuer’s auditor and the audit committee of the issuer’s board of directors (or persons performing the equivalent functions):</w:t>
      </w:r>
    </w:p>
    <w:p>
      <w:pPr>
        <w:pStyle w:val="TextBody"/>
        <w:spacing w:lineRule="auto" w:line="240" w:before="0" w:after="120"/>
        <w:ind w:left="0" w:right="0" w:firstLine="21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spacing w:lineRule="auto" w:line="240" w:before="0" w:after="120"/>
        <w:ind w:left="0" w:right="0" w:firstLine="21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issuer’s internal control over financial reporting.</w:t>
      </w:r>
    </w:p>
    <w:p>
      <w:pPr>
        <w:pStyle w:val="TextBody"/>
        <w:spacing w:lineRule="auto" w:line="240" w:before="400" w:after="400"/>
        <w:ind w:left="0" w:right="0" w:hanging="5760"/>
        <w:rPr/>
      </w:pPr>
      <w:r>
        <w:rPr>
          <w:rFonts w:ascii="Times New Roman;sans-serif" w:hAnsi="Times New Roman;sans-serif"/>
          <w:b w:val="false"/>
          <w:color w:val="000000"/>
          <w:sz w:val="20"/>
        </w:rPr>
        <w:t>Date: June 27, 2023    By:     </w:t>
      </w:r>
      <w:r>
        <w:rPr>
          <w:rFonts w:ascii="Times New Roman;sans-serif" w:hAnsi="Times New Roman;sans-serif"/>
          <w:b w:val="false"/>
          <w:i/>
          <w:color w:val="000000"/>
          <w:sz w:val="20"/>
          <w:u w:val="single"/>
        </w:rPr>
        <w:t>/s/ Greg Cavers</w:t>
      </w:r>
      <w:r>
        <w:rPr>
          <w:color w:val="000000"/>
          <w:u w:val="single"/>
        </w:rPr>
        <w:t>    </w:t>
      </w:r>
      <w:r>
        <w:rPr>
          <w:rFonts w:ascii="Times New Roman;sans-serif" w:hAnsi="Times New Roman;sans-serif"/>
          <w:b w:val="false"/>
          <w:color w:val="000000"/>
          <w:sz w:val="20"/>
        </w:rPr>
        <w:br/>
        <w:t>Greg Cavers</w:t>
        <w:br/>
        <w:t>Chief Financial Officer</w:t>
        <w:br/>
        <w:t>(Principal Financial and Accounting Officer)</w:t>
      </w:r>
    </w:p>
    <w:p>
      <w:pPr>
        <w:pStyle w:val="TextBody"/>
        <w:spacing w:before="0" w:after="400"/>
        <w:jc w:val="right"/>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40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99.6</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692265" cy="175260"/>
                <wp:effectExtent l="0" t="0" r="0" b="0"/>
                <wp:wrapNone/>
                <wp:docPr id="242" name="Frame22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4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br/>
        <w:t>18 U.S.C. §1350,</w:t>
        <w:br/>
        <w:t>AS ADOPTED PURSUANT TO</w:t>
        <w:br/>
        <w:t>SECTION 906 OF THE SARBANES-OXLEY ACT OF 2002</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Cybin Inc. (the “Company”) on Form 40-F for the period ended March 31, 2023 as filed with the Securities and Exchange Commission on the date hereof (the “Report”), I, Doug Drysdale, Chief Executive Officer of the Company, certify, pursuant to 18 U.S.C. §1350, as adopted pursuant to Section 906 of the Sarbanes-Oxley Act of 2002, that:</w:t>
      </w:r>
    </w:p>
    <w:p>
      <w:pPr>
        <w:pStyle w:val="TextBody"/>
        <w:spacing w:lineRule="auto" w:line="240" w:before="0" w:after="120"/>
        <w:ind w:left="0" w:right="0" w:firstLine="21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40" w:before="0" w:after="120"/>
        <w:ind w:left="0" w:right="0" w:firstLine="21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this Report fairly presents, in all material respects, the financial condition and results of operations of the Company.</w:t>
      </w:r>
    </w:p>
    <w:p>
      <w:pPr>
        <w:pStyle w:val="TextBody"/>
        <w:spacing w:lineRule="auto" w:line="240" w:before="400" w:after="400"/>
        <w:ind w:left="0" w:right="0" w:hanging="5760"/>
        <w:rPr/>
      </w:pPr>
      <w:r>
        <w:rPr>
          <w:rFonts w:ascii="Times New Roman;sans-serif" w:hAnsi="Times New Roman;sans-serif"/>
          <w:b w:val="false"/>
          <w:color w:val="000000"/>
          <w:sz w:val="20"/>
        </w:rPr>
        <w:t>June 27, 2023        </w:t>
      </w:r>
      <w:r>
        <w:rPr>
          <w:rFonts w:ascii="Times New Roman;sans-serif" w:hAnsi="Times New Roman;sans-serif"/>
          <w:b w:val="false"/>
          <w:i/>
          <w:color w:val="000000"/>
          <w:sz w:val="20"/>
          <w:u w:val="single"/>
        </w:rPr>
        <w:t>/s/ Doug Drysdale</w:t>
      </w:r>
      <w:r>
        <w:rPr>
          <w:color w:val="000000"/>
          <w:u w:val="single"/>
        </w:rPr>
        <w:t>    </w:t>
      </w:r>
      <w:r>
        <w:rPr>
          <w:rFonts w:ascii="Times New Roman;sans-serif" w:hAnsi="Times New Roman;sans-serif"/>
          <w:b w:val="false"/>
          <w:color w:val="000000"/>
          <w:sz w:val="20"/>
        </w:rPr>
        <w:br/>
        <w:t>Doug Drysdale</w:t>
        <w:br/>
        <w:t>Chief Executive Officer</w:t>
        <w:br/>
        <w:t>(Principal Executive Officer)</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Cybin Inc. and will be retained by Cybin Inc. and furnished to the Securities and Exchange Commission or its staff upon request.</w:t>
      </w:r>
    </w:p>
    <w:p>
      <w:pPr>
        <w:pStyle w:val="TextBody"/>
        <w:spacing w:before="0" w:after="400"/>
        <w:jc w:val="right"/>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color w:val="000000"/>
        </w:rPr>
      </w:pPr>
      <w:r>
        <w:rPr>
          <w:color w:val="000000"/>
        </w:rPr>
        <w:t> </w:t>
      </w:r>
      <w:r>
        <w:rPr>
          <w:color w:val="000000"/>
        </w:rPr>
        <w:t>   </w:t>
      </w:r>
      <w:r>
        <w:rPr>
          <w:rFonts w:ascii="Times New Roman;sans-serif" w:hAnsi="Times New Roman;sans-serif"/>
          <w:b/>
          <w:color w:val="000000"/>
          <w:sz w:val="20"/>
        </w:rPr>
        <w:t>Exhibit 99.7</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692265" cy="175260"/>
                <wp:effectExtent l="0" t="0" r="0" b="0"/>
                <wp:wrapNone/>
                <wp:docPr id="243" name="Frame23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5.0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400"/>
        <w:jc w:val="center"/>
        <w:rPr/>
      </w:pPr>
      <w:r>
        <w:rPr/>
      </w:r>
    </w:p>
    <w:p>
      <w:pPr>
        <w:pStyle w:val="TextBody"/>
        <w:spacing w:lineRule="auto" w:line="240" w:before="0" w:after="4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br/>
        <w:t>18 U.S.C. §1350,</w:t>
        <w:br/>
        <w:t>AS ADOPTED PURSUANT TO</w:t>
        <w:br/>
        <w:t>SECTION 906 OF THE SARBANES-OXLEY ACT OF 2002</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Cybin Inc. (the “Company”) on Form 40-F for the period ended March 31, 2023 as filed with the Securities and Exchange Commission on the date hereof (the “Report”), I, Greg Cavers, Chief Financial Officer of the Company, certify, pursuant to 18 U.S.C. §1350, as adopted pursuant to Section 906 of the Sarbanes-Oxley Act of 2002, that:</w:t>
      </w:r>
    </w:p>
    <w:p>
      <w:pPr>
        <w:pStyle w:val="TextBody"/>
        <w:spacing w:lineRule="auto" w:line="240" w:before="0" w:after="120"/>
        <w:ind w:left="0" w:right="0" w:firstLine="21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40" w:before="0" w:after="120"/>
        <w:ind w:left="0" w:right="0" w:firstLine="21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this Report fairly presents, in all material respects, the financial condition and results of operations of the Company.</w:t>
      </w:r>
    </w:p>
    <w:p>
      <w:pPr>
        <w:pStyle w:val="TextBody"/>
        <w:spacing w:before="0" w:after="120"/>
        <w:ind w:left="0" w:right="0" w:firstLine="210"/>
        <w:rPr/>
      </w:pPr>
      <w:r>
        <w:rPr/>
      </w:r>
    </w:p>
    <w:p>
      <w:pPr>
        <w:pStyle w:val="TextBody"/>
        <w:spacing w:lineRule="auto" w:line="240" w:before="0" w:after="0"/>
        <w:ind w:left="0" w:right="0" w:hanging="5760"/>
        <w:rPr>
          <w:rFonts w:ascii="Times New Roman;sans-serif" w:hAnsi="Times New Roman;sans-serif"/>
          <w:b w:val="false"/>
          <w:color w:val="000000"/>
          <w:sz w:val="20"/>
        </w:rPr>
      </w:pPr>
      <w:r>
        <w:rPr>
          <w:rFonts w:ascii="Times New Roman;sans-serif" w:hAnsi="Times New Roman;sans-serif"/>
          <w:b w:val="false"/>
          <w:color w:val="000000"/>
          <w:sz w:val="20"/>
        </w:rPr>
        <w:t>June 27, 2023</w:t>
      </w:r>
    </w:p>
    <w:p>
      <w:pPr>
        <w:pStyle w:val="TextBody"/>
        <w:spacing w:before="0" w:after="0"/>
        <w:ind w:left="0" w:right="0" w:hanging="5760"/>
        <w:rPr/>
      </w:pPr>
      <w:r>
        <w:rPr/>
      </w:r>
    </w:p>
    <w:p>
      <w:pPr>
        <w:pStyle w:val="TextBody"/>
        <w:spacing w:before="0" w:after="0"/>
        <w:ind w:left="0" w:right="0" w:hanging="5760"/>
        <w:rPr/>
      </w:pPr>
      <w:r>
        <w:rPr/>
      </w:r>
    </w:p>
    <w:p>
      <w:pPr>
        <w:pStyle w:val="TextBody"/>
        <w:spacing w:lineRule="auto" w:line="240" w:before="0" w:after="120"/>
        <w:rPr/>
      </w:pPr>
      <w:r>
        <w:rPr>
          <w:rFonts w:ascii="Times New Roman;sans-serif" w:hAnsi="Times New Roman;sans-serif"/>
          <w:b w:val="false"/>
          <w:i/>
          <w:color w:val="000000"/>
          <w:sz w:val="20"/>
          <w:u w:val="single"/>
        </w:rPr>
        <w:t xml:space="preserve">/s/ Greg Cavers </w:t>
      </w:r>
      <w:r>
        <w:rPr>
          <w:rFonts w:ascii="Times New Roman;sans-serif" w:hAnsi="Times New Roman;sans-serif"/>
          <w:b w:val="false"/>
          <w:color w:val="000000"/>
          <w:sz w:val="20"/>
        </w:rPr>
        <w:br/>
        <w:t>Greg Cavers</w:t>
        <w:br/>
        <w:t>Chief Financial Officer</w:t>
        <w:br/>
        <w:t>(Principal Financial and Accounting Officer)</w:t>
      </w:r>
    </w:p>
    <w:p>
      <w:pPr>
        <w:pStyle w:val="TextBody"/>
        <w:spacing w:before="0" w:after="120"/>
        <w:rPr/>
      </w:pPr>
      <w:r>
        <w:rPr/>
      </w:r>
    </w:p>
    <w:p>
      <w:pPr>
        <w:pStyle w:val="TextBody"/>
        <w:spacing w:lineRule="auto" w:line="240" w:before="0" w:after="0"/>
        <w:ind w:left="0" w:right="0" w:hanging="5760"/>
        <w:rPr>
          <w:color w:val="000000"/>
        </w:rPr>
      </w:pPr>
      <w:r>
        <w:rPr>
          <w:color w:val="000000"/>
        </w:rPr>
        <w:t>        </w:t>
      </w:r>
    </w:p>
    <w:p>
      <w:pPr>
        <w:pStyle w:val="TextBody"/>
        <w:spacing w:lineRule="auto" w:line="240"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Cybin Inc. and will be retained by Cybin Inc. and furnished to the Securities and Exchange Commission or its staff upon request.</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drawing>
          <wp:inline distT="0" distB="63500" distL="0" distR="0">
            <wp:extent cx="1781175" cy="476250"/>
            <wp:effectExtent l="0" t="0" r="0" b="0"/>
            <wp:docPr id="24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 descr=""/>
                    <pic:cNvPicPr>
                      <a:picLocks noChangeAspect="1" noChangeArrowheads="1"/>
                    </pic:cNvPicPr>
                  </pic:nvPicPr>
                  <pic:blipFill>
                    <a:blip r:embed="rId14"/>
                    <a:stretch>
                      <a:fillRect/>
                    </a:stretch>
                  </pic:blipFill>
                  <pic:spPr bwMode="auto">
                    <a:xfrm>
                      <a:off x="0" y="0"/>
                      <a:ext cx="1781175" cy="476250"/>
                    </a:xfrm>
                    <a:prstGeom prst="rect">
                      <a:avLst/>
                    </a:prstGeom>
                  </pic:spPr>
                </pic:pic>
              </a:graphicData>
            </a:graphic>
          </wp:inline>
        </w:drawing>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692265" cy="175260"/>
                <wp:effectExtent l="0" t="0" r="0" b="0"/>
                <wp:wrapNone/>
                <wp:docPr id="245" name="Frame23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19" w:before="0" w:after="0"/>
        <w:rPr>
          <w:rFonts w:ascii="Times New Roman;sans-serif" w:hAnsi="Times New Roman;sans-serif"/>
          <w:b/>
          <w:color w:val="000000"/>
          <w:sz w:val="20"/>
        </w:rPr>
      </w:pPr>
      <w:r>
        <w:rPr>
          <w:rFonts w:ascii="Times New Roman;sans-serif" w:hAnsi="Times New Roman;sans-serif"/>
          <w:b/>
          <w:color w:val="000000"/>
          <w:sz w:val="20"/>
        </w:rPr>
        <w:t>To the United States Securities and Exchange Commission</w:t>
      </w:r>
    </w:p>
    <w:p>
      <w:pPr>
        <w:pStyle w:val="TextBody"/>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Annual Report on Form 40-F of Cybin Inc. (the “Company”) of our report dated June 27, 2023, with respect to the consolidated statements of financial position of the Company as at March 31, 2023 and March 31, 2023, and the consolidated statements of loss and comprehensive loss, changes in shareholders’ equity and cash flows for the years then ended, and notes to the consolidated financial statements, including a summary of accounting policies.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right"/>
        <w:rPr/>
      </w:pPr>
      <w:r>
        <w:rPr/>
        <w:drawing>
          <wp:inline distT="0" distB="63500" distL="0" distR="0">
            <wp:extent cx="1581150" cy="390525"/>
            <wp:effectExtent l="0" t="0" r="0" b="0"/>
            <wp:docPr id="24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4" descr=""/>
                    <pic:cNvPicPr>
                      <a:picLocks noChangeAspect="1" noChangeArrowheads="1"/>
                    </pic:cNvPicPr>
                  </pic:nvPicPr>
                  <pic:blipFill>
                    <a:blip r:embed="rId15"/>
                    <a:stretch>
                      <a:fillRect/>
                    </a:stretch>
                  </pic:blipFill>
                  <pic:spPr bwMode="auto">
                    <a:xfrm>
                      <a:off x="0" y="0"/>
                      <a:ext cx="1581150" cy="390525"/>
                    </a:xfrm>
                    <a:prstGeom prst="rect">
                      <a:avLst/>
                    </a:prstGeom>
                  </pic:spPr>
                </pic:pic>
              </a:graphicData>
            </a:graphic>
          </wp:inline>
        </w:drawing>
      </w:r>
    </w:p>
    <w:tbl>
      <w:tblPr>
        <w:tblW w:w="5184" w:type="dxa"/>
        <w:jc w:val="left"/>
        <w:tblInd w:w="0" w:type="dxa"/>
        <w:tblCellMar>
          <w:top w:w="28" w:type="dxa"/>
          <w:left w:w="28" w:type="dxa"/>
          <w:bottom w:w="28" w:type="dxa"/>
          <w:right w:w="28" w:type="dxa"/>
        </w:tblCellMar>
      </w:tblPr>
      <w:tblGrid>
        <w:gridCol w:w="538"/>
        <w:gridCol w:w="472"/>
        <w:gridCol w:w="475"/>
        <w:gridCol w:w="109"/>
        <w:gridCol w:w="109"/>
        <w:gridCol w:w="109"/>
        <w:gridCol w:w="109"/>
        <w:gridCol w:w="109"/>
        <w:gridCol w:w="109"/>
        <w:gridCol w:w="892"/>
        <w:gridCol w:w="892"/>
        <w:gridCol w:w="1261"/>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6/27/2023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Chartered Professional Accountants</w:t>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Toronto, Ontario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Laurence W. Zeifman</w:t>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Assurance Partner</w:t>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606425"/>
                <wp:effectExtent l="0" t="0" r="0" b="0"/>
                <wp:wrapNone/>
                <wp:docPr id="247" name="Frame232"/>
                <a:graphic xmlns:a="http://schemas.openxmlformats.org/drawingml/2006/main">
                  <a:graphicData uri="http://schemas.microsoft.com/office/word/2010/wordprocessingShape">
                    <wps:wsp>
                      <wps:cNvSpPr txBox="1"/>
                      <wps:spPr>
                        <a:xfrm>
                          <a:off x="0" y="0"/>
                          <a:ext cx="6692265" cy="606425"/>
                        </a:xfrm>
                        <a:prstGeom prst="rect"/>
                      </wps:spPr>
                      <wps:txbx>
                        <w:txbxContent>
                          <w:p>
                            <w:pPr>
                              <w:pStyle w:val="TextBody"/>
                              <w:spacing w:before="0" w:after="0"/>
                              <w:rPr/>
                            </w:pPr>
                            <w:r>
                              <w:rPr/>
                              <w:drawing>
                                <wp:inline distT="0" distB="63500" distL="0" distR="0">
                                  <wp:extent cx="5943600" cy="542925"/>
                                  <wp:effectExtent l="0" t="0" r="0" b="0"/>
                                  <wp:docPr id="2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5" descr=""/>
                                          <pic:cNvPicPr>
                                            <a:picLocks noChangeAspect="1" noChangeArrowheads="1"/>
                                          </pic:cNvPicPr>
                                        </pic:nvPicPr>
                                        <pic:blipFill>
                                          <a:blip r:embed="rId16"/>
                                          <a:stretch>
                                            <a:fillRect/>
                                          </a:stretch>
                                        </pic:blipFill>
                                        <pic:spPr bwMode="auto">
                                          <a:xfrm>
                                            <a:off x="0" y="0"/>
                                            <a:ext cx="5943600" cy="54292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5943600" cy="542925"/>
                            <wp:effectExtent l="0" t="0" r="0" b="0"/>
                            <wp:docPr id="24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5" descr=""/>
                                    <pic:cNvPicPr>
                                      <a:picLocks noChangeAspect="1" noChangeArrowheads="1"/>
                                    </pic:cNvPicPr>
                                  </pic:nvPicPr>
                                  <pic:blipFill>
                                    <a:blip r:embed="rId16"/>
                                    <a:stretch>
                                      <a:fillRect/>
                                    </a:stretch>
                                  </pic:blipFill>
                                  <pic:spPr bwMode="auto">
                                    <a:xfrm>
                                      <a:off x="0" y="0"/>
                                      <a:ext cx="5943600" cy="542925"/>
                                    </a:xfrm>
                                    <a:prstGeom prst="rect">
                                      <a:avLst/>
                                    </a:prstGeom>
                                  </pic:spPr>
                                </pic:pic>
                              </a:graphicData>
                            </a:graphic>
                          </wp:inline>
                        </w:drawing>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pn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181</Pages>
  <Words>131061</Words>
  <CharactersWithSpaces>867358</CharactersWithSpaces>
  <Paragraphs>5987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