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5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4"/>
          <w:szCs w:val="24"/>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of this Form 6-K of Cybin Inc. (the "Company") are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333-289139</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8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18"/>
        </w:trPr>
        <w:tc>
          <w:tcPr>
            <w:tcW w:w="56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34"/>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Material Change Report dated November 7, 2025</w:t>
      </w:r>
    </w:p>
    <w:p>
      <w:pPr>
        <w:sectPr>
          <w:pgSz w:w="11900" w:h="16838" w:orient="portrait"/>
          <w:cols w:equalWidth="0" w:num="1">
            <w:col w:w="10119"/>
          </w:cols>
          <w:pgMar w:left="340" w:top="1400" w:right="1440" w:bottom="1440" w:gutter="0" w:footer="0" w:header="0"/>
        </w:sectPr>
      </w:pPr>
    </w:p>
    <w:bookmarkStart w:id="3" w:name="page4"/>
    <w:bookmarkEnd w:id="3"/>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FORM 51-102F3</w:t>
      </w:r>
    </w:p>
    <w:p>
      <w:pPr>
        <w:spacing w:after="0" w:line="3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MATERIAL CHANGE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King Street West, Suite 5600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Toronto, Ontario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M5X 1C9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Date of Material Change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28,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News Release</w:t>
      </w:r>
    </w:p>
    <w:p>
      <w:pPr>
        <w:spacing w:after="0" w:line="23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News releases with respect to the material change were disseminated by the Company on October 28 and October 31, 2025 through BusinessWire (collectively, the “</w:t>
      </w:r>
      <w:r>
        <w:rPr>
          <w:rFonts w:ascii="Times New Roman" w:cs="Times New Roman" w:eastAsia="Times New Roman" w:hAnsi="Times New Roman"/>
          <w:sz w:val="20"/>
          <w:szCs w:val="20"/>
          <w:b w:val="1"/>
          <w:bCs w:val="1"/>
          <w:color w:val="auto"/>
        </w:rPr>
        <w:t>News Releases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Summary of Material Change</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October 28, 2025, the Company announced a registered direct offering of 22,277,750 common shares in the capital of the Company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and, in lieu of Common Shares to certain investors, 4,605,500 pre-funded Common Share purchase warrants (“</w:t>
      </w:r>
      <w:r>
        <w:rPr>
          <w:rFonts w:ascii="Times New Roman" w:cs="Times New Roman" w:eastAsia="Times New Roman" w:hAnsi="Times New Roman"/>
          <w:sz w:val="20"/>
          <w:szCs w:val="20"/>
          <w:b w:val="1"/>
          <w:bCs w:val="1"/>
          <w:color w:val="auto"/>
        </w:rPr>
        <w:t>Pre-Funded Warrants</w:t>
      </w:r>
      <w:r>
        <w:rPr>
          <w:rFonts w:ascii="Times New Roman" w:cs="Times New Roman" w:eastAsia="Times New Roman" w:hAnsi="Times New Roman"/>
          <w:sz w:val="20"/>
          <w:szCs w:val="20"/>
          <w:color w:val="auto"/>
        </w:rPr>
        <w:t>”) at a price of US$6.51 per Common Share or Pre-Funded Warrant for aggregate gross proceeds of US$175,009,911.45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Offering</w:t>
      </w:r>
      <w:r>
        <w:rPr>
          <w:rFonts w:ascii="Times New Roman" w:cs="Times New Roman" w:eastAsia="Times New Roman" w:hAnsi="Times New Roman"/>
          <w:sz w:val="20"/>
          <w:szCs w:val="20"/>
          <w:color w:val="auto"/>
        </w:rPr>
        <w:t>”). Each Common Share and each Pre-Funded Warrant was accompanied by 0.35 of one Common Share purchase warrant (each whole warrant, a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and together with the Common Shares and Pre-Funded Warrants,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Each Warrant is exercisable to acquire one Common Share at a price of US$8.14 per Common Share at any time prior to the earlier of: (i) June 30, 2027; (ii) thirty days following the publication by press release of topline data from the APPROACH trial of CYB003 in major depressive disorder; and (iii) thirty days following the date a press release is issued by the Company announcing exercise of its acceleration right, which can only be exercised if the closing price of the Common Share on NYSE American LLC (the “</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is equal to or exceeds US$19.53 per Common Share for any five consecutive trading days. Each Pre-Funded Warrant entitles the holder thereof to acquire one Common Share at a nominal exercise price. The Pre-Funded Warrants do not expire.</w:t>
      </w:r>
    </w:p>
    <w:p>
      <w:pPr>
        <w:spacing w:after="0" w:line="1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Jefferies, TD Cowen, and Cantor acted as joint lead placements agents and Bloom Burton Securities Inc. acted as placement agent for the offering (together the “</w:t>
      </w:r>
      <w:r>
        <w:rPr>
          <w:rFonts w:ascii="Times New Roman" w:cs="Times New Roman" w:eastAsia="Times New Roman" w:hAnsi="Times New Roman"/>
          <w:sz w:val="20"/>
          <w:szCs w:val="20"/>
          <w:b w:val="1"/>
          <w:bCs w:val="1"/>
          <w:color w:val="auto"/>
        </w:rPr>
        <w:t>Agents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October 31, 2025, the Company announced that it had closed the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intends to use the net proceeds from the Offering to repay the Company’s outstanding unsecured convertible debentures held by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to progress the Company’s CYB003, CYB004 and CYB005 programs, and for working capital and general corporate purposes. The Company delivered notice to High Trail to repay on or about October 31, 2025 the complete outstanding principal balance and a prepayment premium, and High Trail agreed that no conversions would be made after receipt of the notice.</w:t>
      </w:r>
    </w:p>
    <w:p>
      <w:pPr>
        <w:sectPr>
          <w:pgSz w:w="11900" w:h="16838" w:orient="portrait"/>
          <w:cols w:equalWidth="0" w:num="1">
            <w:col w:w="11240"/>
          </w:cols>
          <w:pgMar w:left="320" w:top="1409" w:right="339" w:bottom="1440" w:gutter="0" w:footer="0" w:header="0"/>
        </w:sectPr>
      </w:pPr>
    </w:p>
    <w:bookmarkStart w:id="4" w:name="page5"/>
    <w:bookmarkEnd w:id="4"/>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Securities were offered pursuant to a prospectus supplement dated October 28, 2025 (the “</w:t>
      </w:r>
      <w:r>
        <w:rPr>
          <w:rFonts w:ascii="Times New Roman" w:cs="Times New Roman" w:eastAsia="Times New Roman" w:hAnsi="Times New Roman"/>
          <w:sz w:val="20"/>
          <w:szCs w:val="20"/>
          <w:b w:val="1"/>
          <w:bCs w:val="1"/>
          <w:color w:val="auto"/>
        </w:rPr>
        <w:t>Prospectus Supplement</w:t>
      </w:r>
      <w:r>
        <w:rPr>
          <w:rFonts w:ascii="Times New Roman" w:cs="Times New Roman" w:eastAsia="Times New Roman" w:hAnsi="Times New Roman"/>
          <w:sz w:val="20"/>
          <w:szCs w:val="20"/>
          <w:color w:val="auto"/>
        </w:rPr>
        <w:t>”) to the Company’s short form base shelf prospectus dated September 17, 2025 that was filed with the Ontario Securities Commission. The Prospectus Supplement was also filed with the United States Securities and Exchange Commission, as part of a registration statement on Form F-10, as amended, which became automatically effective on September 17, 2025, in accordance with the Multijurisdictional Disclosure System established between Canada and the United States.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Full Description of Material Change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full text of each of the News Releases attached hereto as Schedules “A” and “B”.</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Reliance on subsection 7.1(2) of National Instrument 51-102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Omitted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Executive Officer</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Further information regarding the matters described in this report may be obtained from Greg Cavers, Chief Financial Officer of the Company, who is knowledgeable about the details of the material change and may be contacted at 1-866-292-4601 x715.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Date of Report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7, 2025.</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299720</wp:posOffset>
            </wp:positionV>
            <wp:extent cx="1800225" cy="1045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18002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CYBIN ANNOUNCES $175 MILLION REGISTERED DIRECT OFFERING</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Funding of Clinical Stage Programs with Participation from Prominent Biotech Investors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Use of Proceeds Includes Repayment of High Trail Convertible Note in Full</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TORONTO – October 28, 2025 – Cybin Inc. (Cboe CA: CYBN) (NYSE American: CYBN) (“</w:t>
      </w:r>
      <w:r>
        <w:rPr>
          <w:rFonts w:ascii="Times New Roman" w:cs="Times New Roman" w:eastAsia="Times New Roman" w:hAnsi="Times New Roman"/>
          <w:sz w:val="20"/>
          <w:szCs w:val="20"/>
          <w:b w:val="1"/>
          <w:bCs w:val="1"/>
          <w:color w:val="auto"/>
        </w:rPr>
        <w:t>Cybin</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 breakthrough Phase 3 clinical stage neuropsychiatry company committed to revolutionizing mental healthcare through proprietary drug discovery platforms and innovative delivery systems, is pleased to announce a registered direct offering of 22,277,750 common shares in the capital of the Company (a “</w:t>
      </w:r>
      <w:r>
        <w:rPr>
          <w:rFonts w:ascii="Times New Roman" w:cs="Times New Roman" w:eastAsia="Times New Roman" w:hAnsi="Times New Roman"/>
          <w:sz w:val="20"/>
          <w:szCs w:val="20"/>
          <w:b w:val="1"/>
          <w:bCs w:val="1"/>
          <w:color w:val="auto"/>
        </w:rPr>
        <w:t>Common Share</w:t>
      </w:r>
      <w:r>
        <w:rPr>
          <w:rFonts w:ascii="Times New Roman" w:cs="Times New Roman" w:eastAsia="Times New Roman" w:hAnsi="Times New Roman"/>
          <w:sz w:val="20"/>
          <w:szCs w:val="20"/>
          <w:color w:val="auto"/>
        </w:rPr>
        <w:t>”) and, in lieu of Common Shares to certain investors, pre-funded Common Share purchase warrants (the “</w:t>
      </w:r>
      <w:r>
        <w:rPr>
          <w:rFonts w:ascii="Times New Roman" w:cs="Times New Roman" w:eastAsia="Times New Roman" w:hAnsi="Times New Roman"/>
          <w:sz w:val="20"/>
          <w:szCs w:val="20"/>
          <w:b w:val="1"/>
          <w:bCs w:val="1"/>
          <w:color w:val="auto"/>
        </w:rPr>
        <w:t>Pre-Funded Warrant</w:t>
      </w:r>
      <w:r>
        <w:rPr>
          <w:rFonts w:ascii="Times New Roman" w:cs="Times New Roman" w:eastAsia="Times New Roman" w:hAnsi="Times New Roman"/>
          <w:sz w:val="20"/>
          <w:szCs w:val="20"/>
          <w:color w:val="auto"/>
        </w:rPr>
        <w:t>”) at a price of US$6.51 per Common Share or Pre-Funded Warrant for aggregate gross proceeds of US$175,009,911.45 (the “</w:t>
      </w:r>
      <w:r>
        <w:rPr>
          <w:rFonts w:ascii="Times New Roman" w:cs="Times New Roman" w:eastAsia="Times New Roman" w:hAnsi="Times New Roman"/>
          <w:sz w:val="20"/>
          <w:szCs w:val="20"/>
          <w:b w:val="1"/>
          <w:bCs w:val="1"/>
          <w:color w:val="auto"/>
        </w:rPr>
        <w:t>Offering</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financing includes new and existing investors, including Venrock Healthcare Capital Partners, OrbiMed, Point72, Deep Track Capital, Acorn Bioventures, Spruce Street Capital, Squadron Capital Management, Adage Capital Partners LP, Boxer Capital Management, ADAR1 Capital Management, Stonepine Capital Management, Pivotal Bioventure Partners, Ally Bridge Group.</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Common Share and each Pre-Funded Warrant is accompanied by 0.35 of one Common Share purchase warrant (each whole warrant, a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and together with the Common Shares and Pre-Funded Warrants,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Each Warrant will be exercisable to acquire one Common Share at a price of US$8.14 per Common Share at any time prior to the earlier of: (i) June 30, 2027; (ii) thirty days following the publication by press release of topline data for the APPROACH trial of CYB003 in major depressive disorder; and (iii) thirty days following the date a press release is issued by the Company announcing exercise of its acceleration right, which right can only be exercised if the closing price of the Common Share on NYSE American LLC (the “</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is equal to or exceeds US$19.53 per Common Share for any five consecutive trading days.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Each Pre-Funded Warrant will entitle the holder thereof to acquire one Common Share at a nominal exercise price. The Pre-Funded Warrants will not expire.</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Jefferies, TD Cowen, and Cantor are acting as joint lead placement agents and Bloom Burton Securities Inc. is acting as a placement agent for the Offering (together, the “</w:t>
      </w:r>
      <w:r>
        <w:rPr>
          <w:rFonts w:ascii="Times New Roman" w:cs="Times New Roman" w:eastAsia="Times New Roman" w:hAnsi="Times New Roman"/>
          <w:sz w:val="20"/>
          <w:szCs w:val="20"/>
          <w:b w:val="1"/>
          <w:bCs w:val="1"/>
          <w:color w:val="auto"/>
        </w:rPr>
        <w:t>Agents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Offering is expected to close on October 31, 2025 or such other date as may be mutually agreed by the Company and each investor. The Offering is subject to market conditions, and other customary</w:t>
      </w:r>
    </w:p>
    <w:p>
      <w:pPr>
        <w:sectPr>
          <w:pgSz w:w="11900" w:h="16838" w:orient="portrait"/>
          <w:cols w:equalWidth="0" w:num="1">
            <w:col w:w="11240"/>
          </w:cols>
          <w:pgMar w:left="320" w:top="14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conditions, including approval of Cboe Canada Inc. and authorization from NYSE American (the “</w:t>
      </w:r>
      <w:r>
        <w:rPr>
          <w:rFonts w:ascii="Times New Roman" w:cs="Times New Roman" w:eastAsia="Times New Roman" w:hAnsi="Times New Roman"/>
          <w:sz w:val="20"/>
          <w:szCs w:val="20"/>
          <w:b w:val="1"/>
          <w:bCs w:val="1"/>
          <w:color w:val="auto"/>
        </w:rPr>
        <w:t>Exchanges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Company intends to use the net proceeds from the Offering to repay the Company’s outstanding unsecured convertible debentures held by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to progress the Company’s CYB003, CYB004, and CYB005 programs, and for working capital and general corporate purposes.</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has delivered notice to High Trail to prepay on or about October 31, 2025 the complete outstanding principal balance and a prepayment premium, and High Trail has agreed that no conversions will be made after receipt of the notice.</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intends to offer the Securities in the United States and certain other jurisdictions, pursuant to a prospectus supplement (the “</w:t>
      </w:r>
      <w:r>
        <w:rPr>
          <w:rFonts w:ascii="Times New Roman" w:cs="Times New Roman" w:eastAsia="Times New Roman" w:hAnsi="Times New Roman"/>
          <w:sz w:val="20"/>
          <w:szCs w:val="20"/>
          <w:b w:val="1"/>
          <w:bCs w:val="1"/>
          <w:color w:val="auto"/>
        </w:rPr>
        <w:t>Prospectus Supplement</w:t>
      </w:r>
      <w:r>
        <w:rPr>
          <w:rFonts w:ascii="Times New Roman" w:cs="Times New Roman" w:eastAsia="Times New Roman" w:hAnsi="Times New Roman"/>
          <w:sz w:val="20"/>
          <w:szCs w:val="20"/>
          <w:color w:val="auto"/>
        </w:rPr>
        <w:t>”) to the Company’s short form base shelf prospectus dated September 17, 2025 (the “</w:t>
      </w:r>
      <w:r>
        <w:rPr>
          <w:rFonts w:ascii="Times New Roman" w:cs="Times New Roman" w:eastAsia="Times New Roman" w:hAnsi="Times New Roman"/>
          <w:sz w:val="20"/>
          <w:szCs w:val="20"/>
          <w:b w:val="1"/>
          <w:bCs w:val="1"/>
          <w:color w:val="auto"/>
        </w:rPr>
        <w:t>Base Shelf Prospectus</w:t>
      </w:r>
      <w:r>
        <w:rPr>
          <w:rFonts w:ascii="Times New Roman" w:cs="Times New Roman" w:eastAsia="Times New Roman" w:hAnsi="Times New Roman"/>
          <w:sz w:val="20"/>
          <w:szCs w:val="20"/>
          <w:color w:val="auto"/>
        </w:rPr>
        <w:t>”). The Prospectus Supplement will be filed in the United States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part of a registration statement on Form F-10, as amended (File No. 333-289139), which became automatically effective on September 17, 2025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xml:space="preserve">”),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will be available on the Company’s SEDAR+ profile at </w:t>
      </w:r>
      <w:r>
        <w:rPr>
          <w:rFonts w:ascii="Times New Roman" w:cs="Times New Roman" w:eastAsia="Times New Roman" w:hAnsi="Times New Roman"/>
          <w:sz w:val="20"/>
          <w:szCs w:val="20"/>
          <w:u w:val="single" w:color="auto"/>
          <w:color w:val="auto"/>
        </w:rPr>
        <w:t>www.sedarplus.ca</w:t>
      </w:r>
      <w:r>
        <w:rPr>
          <w:rFonts w:ascii="Times New Roman" w:cs="Times New Roman" w:eastAsia="Times New Roman" w:hAnsi="Times New Roman"/>
          <w:sz w:val="20"/>
          <w:szCs w:val="20"/>
          <w:color w:val="auto"/>
        </w:rPr>
        <w:t xml:space="preserve"> and the Company’s EDGAR profile at </w:t>
      </w:r>
      <w:r>
        <w:rPr>
          <w:rFonts w:ascii="Times New Roman" w:cs="Times New Roman" w:eastAsia="Times New Roman" w:hAnsi="Times New Roman"/>
          <w:sz w:val="20"/>
          <w:szCs w:val="20"/>
          <w:u w:val="single" w:color="auto"/>
          <w:color w:val="auto"/>
        </w:rPr>
        <w:t>www.sec.gov/edgar</w:t>
      </w:r>
      <w:r>
        <w:rPr>
          <w:rFonts w:ascii="Times New Roman" w:cs="Times New Roman" w:eastAsia="Times New Roman" w:hAnsi="Times New Roman"/>
          <w:sz w:val="20"/>
          <w:szCs w:val="20"/>
          <w:color w:val="auto"/>
        </w:rPr>
        <w:t xml:space="preserve">. Delivery of the Prospectus Supplement and Base Shelf Prospectus and any amendments thereto will be satisfied in accordance with the “access equals delivery” provisions of applicable Canadian securities legislation. Electronic or paper copies of the Prospectus Supplement and Base Shelf Prospectus may be obtained, without charge, by contacting Jefferies LLC, Attention: Equity Syndicate Prospectus Department, 520 Madison Avenue, New York, New York 10022, by telephone at (877) 821-7388 or by email at </w:t>
      </w:r>
      <w:r>
        <w:rPr>
          <w:rFonts w:ascii="Times New Roman" w:cs="Times New Roman" w:eastAsia="Times New Roman" w:hAnsi="Times New Roman"/>
          <w:sz w:val="20"/>
          <w:szCs w:val="20"/>
          <w:u w:val="single" w:color="auto"/>
          <w:color w:val="0000FF"/>
        </w:rPr>
        <w:t>Prospectus_Department@Jefferies.com</w:t>
      </w:r>
      <w:r>
        <w:rPr>
          <w:rFonts w:ascii="Times New Roman" w:cs="Times New Roman" w:eastAsia="Times New Roman" w:hAnsi="Times New Roman"/>
          <w:sz w:val="20"/>
          <w:szCs w:val="20"/>
          <w:color w:val="auto"/>
        </w:rPr>
        <w:t xml:space="preserve">, to TD Securities (USA) LLC, c/o Broadridge Financial Solutions, 1155 Long Island Avenue, Edgewood, NY 11717 or by email at </w:t>
      </w:r>
      <w:r>
        <w:rPr>
          <w:rFonts w:ascii="Times New Roman" w:cs="Times New Roman" w:eastAsia="Times New Roman" w:hAnsi="Times New Roman"/>
          <w:sz w:val="20"/>
          <w:szCs w:val="20"/>
          <w:u w:val="single" w:color="auto"/>
          <w:color w:val="0000FF"/>
        </w:rPr>
        <w:t>TDManualrequest@broadridge.com</w:t>
      </w:r>
      <w:r>
        <w:rPr>
          <w:rFonts w:ascii="Times New Roman" w:cs="Times New Roman" w:eastAsia="Times New Roman" w:hAnsi="Times New Roman"/>
          <w:sz w:val="20"/>
          <w:szCs w:val="20"/>
          <w:color w:val="auto"/>
        </w:rPr>
        <w:t xml:space="preserve">, and to Cantor Fitzgerald &amp; Co., Attention: Capital Markets, 110 East 59th Street, 6th Floor, New York, New York 10022, or by email at </w:t>
      </w:r>
      <w:r>
        <w:rPr>
          <w:rFonts w:ascii="Times New Roman" w:cs="Times New Roman" w:eastAsia="Times New Roman" w:hAnsi="Times New Roman"/>
          <w:sz w:val="20"/>
          <w:szCs w:val="20"/>
          <w:u w:val="single" w:color="auto"/>
          <w:color w:val="0000FF"/>
        </w:rPr>
        <w:t>prospectus@cantor.com</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Cybin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w:t>
      </w:r>
    </w:p>
    <w:p>
      <w:pPr>
        <w:sectPr>
          <w:pgSz w:w="11900" w:h="16838" w:orient="portrait"/>
          <w:cols w:equalWidth="0" w:num="1">
            <w:col w:w="11240"/>
          </w:cols>
          <w:pgMar w:left="320" w:top="1409" w:right="339" w:bottom="1440" w:gutter="0" w:footer="0" w:header="0"/>
        </w:sectPr>
      </w:pPr>
    </w:p>
    <w:bookmarkStart w:id="7" w:name="page8"/>
    <w:bookmarkEnd w:id="7"/>
    <w:p>
      <w:pPr>
        <w:jc w:val="both"/>
        <w:spacing w:after="0" w:line="283" w:lineRule="auto"/>
        <w:rPr>
          <w:sz w:val="20"/>
          <w:szCs w:val="20"/>
          <w:color w:val="auto"/>
        </w:rPr>
      </w:pPr>
      <w:r>
        <w:rPr>
          <w:rFonts w:ascii="Times New Roman" w:cs="Times New Roman" w:eastAsia="Times New Roman" w:hAnsi="Times New Roman"/>
          <w:sz w:val="20"/>
          <w:szCs w:val="20"/>
          <w:color w:val="auto"/>
        </w:rPr>
        <w:t>dimethyltryptamine molecule in a Phase 2 study for generalized anxiety disorder. The Company also has a research pipeline of investigational, 5-HT-receptor focused compounds.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Founded in 2019, Cybin is operational in Canada, the United States, the United Kingdom, and 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Notes and Forward-Looking Statements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Certain statements in this news release constitute forward-looking information and forward-looking statements within the meaning of applicable securities laws (together, “forward-looking statements”).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market conditions and the satisfaction of customary closing conditions related to the proposed Offering, the receipt of applicable regulatory approvals, including the approval of the Exchanges, the Company’s intended use of proceeds, the Company’s prepayment of the High Trail convertible debenture, and the Company’s ability to address the need for new and innovative treatment options for people who suffer from mental health conditions.</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 period ended June 30, 2025 and the Company’s annual information form for the year ended March 31, 2025, which are available under the Company's profile on </w:t>
      </w:r>
      <w:r>
        <w:rPr>
          <w:rFonts w:ascii="Times New Roman" w:cs="Times New Roman" w:eastAsia="Times New Roman" w:hAnsi="Times New Roman"/>
          <w:sz w:val="20"/>
          <w:szCs w:val="20"/>
          <w:u w:val="single" w:color="auto"/>
          <w:color w:val="0000FF"/>
        </w:rPr>
        <w:t>www.sedarplus.ca</w:t>
      </w:r>
      <w:r>
        <w:rPr>
          <w:rFonts w:ascii="Times New Roman" w:cs="Times New Roman" w:eastAsia="Times New Roman" w:hAnsi="Times New Roman"/>
          <w:sz w:val="20"/>
          <w:szCs w:val="20"/>
          <w:color w:val="auto"/>
        </w:rPr>
        <w:t xml:space="preserve"> and with the SEC on EDGAR at </w:t>
      </w:r>
      <w:r>
        <w:rPr>
          <w:rFonts w:ascii="Times New Roman" w:cs="Times New Roman" w:eastAsia="Times New Roman" w:hAnsi="Times New Roman"/>
          <w:sz w:val="20"/>
          <w:szCs w:val="20"/>
          <w:u w:val="single" w:color="auto"/>
          <w:color w:val="0000FF"/>
        </w:rPr>
        <w:t>www.sec.gov/edgar</w:t>
      </w:r>
      <w:r>
        <w:rPr>
          <w:rFonts w:ascii="Times New Roman" w:cs="Times New Roman" w:eastAsia="Times New Roman" w:hAnsi="Times New Roman"/>
          <w:sz w:val="20"/>
          <w:szCs w:val="20"/>
          <w:color w:val="000000"/>
        </w:rPr>
        <w:t>. Although the forward-looking statements contained in this news release are based upon what management of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w:t>
      </w:r>
    </w:p>
    <w:p>
      <w:pPr>
        <w:sectPr>
          <w:pgSz w:w="11900" w:h="16838" w:orient="portrait"/>
          <w:cols w:equalWidth="0" w:num="1">
            <w:col w:w="11240"/>
          </w:cols>
          <w:pgMar w:left="320" w:top="1413" w:right="339" w:bottom="1440" w:gutter="0" w:footer="0" w:header="0"/>
        </w:sectPr>
      </w:pPr>
    </w:p>
    <w:bookmarkStart w:id="8" w:name="page9"/>
    <w:bookmarkEnd w:id="8"/>
    <w:p>
      <w:pPr>
        <w:spacing w:after="0" w:line="283" w:lineRule="auto"/>
        <w:rPr>
          <w:sz w:val="20"/>
          <w:szCs w:val="20"/>
          <w:color w:val="auto"/>
        </w:rPr>
      </w:pPr>
      <w:r>
        <w:rPr>
          <w:rFonts w:ascii="Times New Roman" w:cs="Times New Roman" w:eastAsia="Times New Roman" w:hAnsi="Times New Roman"/>
          <w:sz w:val="20"/>
          <w:szCs w:val="20"/>
          <w:color w:val="auto"/>
        </w:rPr>
        <w:t>clinical trials are needed. If Cybin cannot obtain the approvals or research necessary to commercialize its business, it may have a material adverse effect on Cybin’s performance and operations.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Josh Barer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astr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6" w:lineRule="exact"/>
        <w:rPr>
          <w:sz w:val="20"/>
          <w:szCs w:val="20"/>
          <w:color w:val="auto"/>
        </w:rPr>
      </w:pPr>
    </w:p>
    <w:p>
      <w:pPr>
        <w:ind w:right="8960" w:firstLine="8"/>
        <w:spacing w:after="0" w:line="279" w:lineRule="auto"/>
        <w:tabs>
          <w:tab w:leader="none" w:pos="47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578-6478 </w:t>
      </w:r>
      <w:r>
        <w:rPr>
          <w:rFonts w:ascii="Times New Roman" w:cs="Times New Roman" w:eastAsia="Times New Roman" w:hAnsi="Times New Roman"/>
          <w:sz w:val="19"/>
          <w:szCs w:val="19"/>
          <w:u w:val="single" w:color="auto"/>
          <w:color w:val="0000FF"/>
        </w:rPr>
        <w:t>josh.barer@astrpartners.com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George Tziras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Business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1-866-292-4601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irteam@cybin.com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or –</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media@cybin.com</w:t>
      </w:r>
    </w:p>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299720</wp:posOffset>
            </wp:positionV>
            <wp:extent cx="1800225" cy="1045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8002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CYBIN ANNOUNCES CLOSING OF $175 MILLION REGISTERED DIRECT OFFERING</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TORONTO – October 31, 2025 – Cybin Inc. (Cboe CA: CYBN) (NYSE American: CYBN) (“</w:t>
      </w:r>
      <w:r>
        <w:rPr>
          <w:rFonts w:ascii="Times New Roman" w:cs="Times New Roman" w:eastAsia="Times New Roman" w:hAnsi="Times New Roman"/>
          <w:sz w:val="20"/>
          <w:szCs w:val="20"/>
          <w:b w:val="1"/>
          <w:bCs w:val="1"/>
          <w:color w:val="auto"/>
        </w:rPr>
        <w:t>Cybin</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 breakthrough Phase 3 clinical stage neuropsychiatry company committed to revolutionizing mental healthcare through proprietary drug discovery platforms and innovative delivery systems, is pleased to announce that it has closed its previously announced registered direct offering of 22,277,750 common shares in the capital of the Company (a “</w:t>
      </w:r>
      <w:r>
        <w:rPr>
          <w:rFonts w:ascii="Times New Roman" w:cs="Times New Roman" w:eastAsia="Times New Roman" w:hAnsi="Times New Roman"/>
          <w:sz w:val="20"/>
          <w:szCs w:val="20"/>
          <w:b w:val="1"/>
          <w:bCs w:val="1"/>
          <w:color w:val="auto"/>
        </w:rPr>
        <w:t>Common Share</w:t>
      </w:r>
      <w:r>
        <w:rPr>
          <w:rFonts w:ascii="Times New Roman" w:cs="Times New Roman" w:eastAsia="Times New Roman" w:hAnsi="Times New Roman"/>
          <w:sz w:val="20"/>
          <w:szCs w:val="20"/>
          <w:color w:val="auto"/>
        </w:rPr>
        <w:t>”) and, in lieu of Common Shares to certain investors, 4,605,500 pre-funded Common Share purchase warrants (the “</w:t>
      </w:r>
      <w:r>
        <w:rPr>
          <w:rFonts w:ascii="Times New Roman" w:cs="Times New Roman" w:eastAsia="Times New Roman" w:hAnsi="Times New Roman"/>
          <w:sz w:val="20"/>
          <w:szCs w:val="20"/>
          <w:b w:val="1"/>
          <w:bCs w:val="1"/>
          <w:color w:val="auto"/>
        </w:rPr>
        <w:t>Pre-Funded Warrant</w:t>
      </w:r>
      <w:r>
        <w:rPr>
          <w:rFonts w:ascii="Times New Roman" w:cs="Times New Roman" w:eastAsia="Times New Roman" w:hAnsi="Times New Roman"/>
          <w:sz w:val="20"/>
          <w:szCs w:val="20"/>
          <w:color w:val="auto"/>
        </w:rPr>
        <w:t>”) at a price of US$6.51 per Common Share or Pre-Funded Warrant for aggregate gross proceeds of US$175,009,911.45 (the “</w:t>
      </w:r>
      <w:r>
        <w:rPr>
          <w:rFonts w:ascii="Times New Roman" w:cs="Times New Roman" w:eastAsia="Times New Roman" w:hAnsi="Times New Roman"/>
          <w:sz w:val="20"/>
          <w:szCs w:val="20"/>
          <w:b w:val="1"/>
          <w:bCs w:val="1"/>
          <w:color w:val="auto"/>
        </w:rPr>
        <w:t>Offering</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financing includes new and existing investors, including Venrock Healthcare Capital Partners, OrbiMed, Point72, Deep Track Capital, Acorn Bioventures, Spruce Street Capital, Squadron Capital Management, Adage Capital Partners LP, Boxer Capital Management, ADAR1 Capital Management, Stonepine Capital Management, Pivotal Bioventure Partners and Ally Bridge Group.</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Each Common Share and each Pre-Funded Warrant is accompanied by 0.35 of one Common Share purchase warrant (each whole warrant, a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and together with the Common Shares and Pre-Funded Warrants,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Each Warrant is exercisable to acquire one Common Share at a price of US$8.14 per Common Share at any time prior to the earlier of: (i) June 30, 2027; (ii) thirty days following the publication by press release of topline data for the APPROACH trial of CYB003 in major depressive disorder; and (iii) thirty days following the date a press release is issued by the Company announcing exercise of its acceleration right, which right can only be exercised if the closing price of the Common Share on NYSE American LLC (the “</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is equal to or exceeds US$19.53 per Common Share for any five consecutive trading days.</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Each Pre-Funded Warrant entitles the holder thereof to acquire one Common Share at a nominal exercise price. The Pre-Funded Warrants will not expire.</w:t>
      </w:r>
    </w:p>
    <w:p>
      <w:pPr>
        <w:spacing w:after="0" w:line="1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Jefferies, TD Cowen, and Cantor acted as joint lead placement agents and Bloom Burton Securities Inc. acted as a placement agent for the Offering.</w:t>
      </w:r>
    </w:p>
    <w:p>
      <w:pPr>
        <w:spacing w:after="0" w:line="17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Company intends to use the net proceeds from the Offering to repay the Company’s outstanding unsecured convertible debentures held by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to progress the Company’s CYB003, CYB004, and CYB005 programs, and for working capital and general corporate purposes.</w:t>
      </w:r>
    </w:p>
    <w:p>
      <w:pPr>
        <w:sectPr>
          <w:pgSz w:w="11900" w:h="16838" w:orient="portrait"/>
          <w:cols w:equalWidth="0" w:num="1">
            <w:col w:w="11240"/>
          </w:cols>
          <w:pgMar w:left="320" w:top="1409"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offered the Securities in the United States and certain other jurisdictions, pursuant to a prospectus supplement (the “</w:t>
      </w:r>
      <w:r>
        <w:rPr>
          <w:rFonts w:ascii="Times New Roman" w:cs="Times New Roman" w:eastAsia="Times New Roman" w:hAnsi="Times New Roman"/>
          <w:sz w:val="20"/>
          <w:szCs w:val="20"/>
          <w:b w:val="1"/>
          <w:bCs w:val="1"/>
          <w:color w:val="auto"/>
        </w:rPr>
        <w:t>Prospectus Supplement</w:t>
      </w:r>
      <w:r>
        <w:rPr>
          <w:rFonts w:ascii="Times New Roman" w:cs="Times New Roman" w:eastAsia="Times New Roman" w:hAnsi="Times New Roman"/>
          <w:sz w:val="20"/>
          <w:szCs w:val="20"/>
          <w:color w:val="auto"/>
        </w:rPr>
        <w:t>”) to the Company’s short form base shelf prospectus dated September 17, 2025 (the “</w:t>
      </w:r>
      <w:r>
        <w:rPr>
          <w:rFonts w:ascii="Times New Roman" w:cs="Times New Roman" w:eastAsia="Times New Roman" w:hAnsi="Times New Roman"/>
          <w:sz w:val="20"/>
          <w:szCs w:val="20"/>
          <w:b w:val="1"/>
          <w:bCs w:val="1"/>
          <w:color w:val="auto"/>
        </w:rPr>
        <w:t>Base Shelf Prospectus</w:t>
      </w:r>
      <w:r>
        <w:rPr>
          <w:rFonts w:ascii="Times New Roman" w:cs="Times New Roman" w:eastAsia="Times New Roman" w:hAnsi="Times New Roman"/>
          <w:sz w:val="20"/>
          <w:szCs w:val="20"/>
          <w:color w:val="auto"/>
        </w:rPr>
        <w:t>”). The Prospectus Supplement was filed in the United States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xml:space="preserve">”), as part of a registration statement on Form F-10, as amended (File No. 333-289139), which became automatically effective on September 17, 2025, in accordance with the Multijurisdictional Disclosure System established between Canada and the United States. The Base Shelf Prospectus and the documents incorporated by reference therein, including any marketing materials, are available on the Company’s SEDAR+ profile at </w:t>
      </w:r>
      <w:r>
        <w:rPr>
          <w:rFonts w:ascii="Times New Roman" w:cs="Times New Roman" w:eastAsia="Times New Roman" w:hAnsi="Times New Roman"/>
          <w:sz w:val="20"/>
          <w:szCs w:val="20"/>
          <w:u w:val="single" w:color="auto"/>
          <w:color w:val="auto"/>
        </w:rPr>
        <w:t>www.sedarplus.ca</w:t>
      </w:r>
      <w:r>
        <w:rPr>
          <w:rFonts w:ascii="Times New Roman" w:cs="Times New Roman" w:eastAsia="Times New Roman" w:hAnsi="Times New Roman"/>
          <w:sz w:val="20"/>
          <w:szCs w:val="20"/>
          <w:color w:val="auto"/>
        </w:rPr>
        <w:t xml:space="preserve"> and the Company’s EDGAR profile at </w:t>
      </w:r>
      <w:r>
        <w:rPr>
          <w:rFonts w:ascii="Times New Roman" w:cs="Times New Roman" w:eastAsia="Times New Roman" w:hAnsi="Times New Roman"/>
          <w:sz w:val="20"/>
          <w:szCs w:val="20"/>
          <w:u w:val="single" w:color="auto"/>
          <w:color w:val="auto"/>
        </w:rPr>
        <w:t>www.sec.gov/edgar</w:t>
      </w:r>
      <w:r>
        <w:rPr>
          <w:rFonts w:ascii="Times New Roman" w:cs="Times New Roman" w:eastAsia="Times New Roman" w:hAnsi="Times New Roman"/>
          <w:sz w:val="20"/>
          <w:szCs w:val="20"/>
          <w:color w:val="auto"/>
        </w:rPr>
        <w:t xml:space="preserve">. Copies of the Prospectus Supplement and Base Shelf Prospectus may be obtained, without charge, by contacting Jefferies LLC, Attention: Equity Syndicate Prospectus Department, 520 Madison Avenue, New York, New York 10022, by telephone at (877) 821-7388 or by email at </w:t>
      </w:r>
      <w:r>
        <w:rPr>
          <w:rFonts w:ascii="Times New Roman" w:cs="Times New Roman" w:eastAsia="Times New Roman" w:hAnsi="Times New Roman"/>
          <w:sz w:val="20"/>
          <w:szCs w:val="20"/>
          <w:u w:val="single" w:color="auto"/>
          <w:color w:val="0563C1"/>
        </w:rPr>
        <w:t>Prospectus_Department@Jefferies.com</w:t>
      </w:r>
      <w:r>
        <w:rPr>
          <w:rFonts w:ascii="Times New Roman" w:cs="Times New Roman" w:eastAsia="Times New Roman" w:hAnsi="Times New Roman"/>
          <w:sz w:val="20"/>
          <w:szCs w:val="20"/>
          <w:color w:val="auto"/>
        </w:rPr>
        <w:t xml:space="preserve">, to TD Securities (USA) LLC, c/o Broadridge Financial Solutions, 1155 Long Island Avenue, Edgewood, NY 11717 or by email at </w:t>
      </w:r>
      <w:r>
        <w:rPr>
          <w:rFonts w:ascii="Times New Roman" w:cs="Times New Roman" w:eastAsia="Times New Roman" w:hAnsi="Times New Roman"/>
          <w:sz w:val="20"/>
          <w:szCs w:val="20"/>
          <w:u w:val="single" w:color="auto"/>
          <w:color w:val="0563C1"/>
        </w:rPr>
        <w:t>TDManualrequest@broadridge.com</w:t>
      </w:r>
      <w:r>
        <w:rPr>
          <w:rFonts w:ascii="Times New Roman" w:cs="Times New Roman" w:eastAsia="Times New Roman" w:hAnsi="Times New Roman"/>
          <w:sz w:val="20"/>
          <w:szCs w:val="20"/>
          <w:color w:val="000000"/>
        </w:rPr>
        <w:t>, and to Cantor Fitzgerald &amp; Co., Attention: Capital Markets, 110 East 59th Street, 6th Floor, New York,</w:t>
      </w:r>
      <w:r>
        <w:rPr>
          <w:rFonts w:ascii="Times New Roman" w:cs="Times New Roman" w:eastAsia="Times New Roman" w:hAnsi="Times New Roman"/>
          <w:sz w:val="20"/>
          <w:szCs w:val="20"/>
          <w:color w:val="0563C1"/>
        </w:rPr>
        <w:t xml:space="preserve"> </w:t>
      </w:r>
      <w:r>
        <w:rPr>
          <w:rFonts w:ascii="Times New Roman" w:cs="Times New Roman" w:eastAsia="Times New Roman" w:hAnsi="Times New Roman"/>
          <w:sz w:val="20"/>
          <w:szCs w:val="20"/>
          <w:color w:val="000000"/>
        </w:rPr>
        <w:t xml:space="preserve">New York 10022, or by email at </w:t>
      </w:r>
      <w:r>
        <w:rPr>
          <w:rFonts w:ascii="Times New Roman" w:cs="Times New Roman" w:eastAsia="Times New Roman" w:hAnsi="Times New Roman"/>
          <w:sz w:val="20"/>
          <w:szCs w:val="20"/>
          <w:u w:val="single" w:color="auto"/>
          <w:color w:val="0563C1"/>
        </w:rPr>
        <w:t>prospectus@cantor.com</w:t>
      </w:r>
      <w:r>
        <w:rPr>
          <w:rFonts w:ascii="Times New Roman" w:cs="Times New Roman" w:eastAsia="Times New Roman" w:hAnsi="Times New Roman"/>
          <w:sz w:val="20"/>
          <w:szCs w:val="20"/>
          <w:color w:val="000000"/>
        </w:rPr>
        <w:t>.</w:t>
      </w:r>
    </w:p>
    <w:p>
      <w:pPr>
        <w:spacing w:after="0" w:line="20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Cybin</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Founded in 2019, Cybin is operational in Canada, the United States, the United Kingdom, and Ireland.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Notes and Forward-Looking Statements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statements in this news release constitute forward-looking information and forward-looking statements within the meaning of applicable securities laws (together, “forward-looking statements”).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intended use of proceeds, the Company’s prepayment of the High</w:t>
      </w:r>
    </w:p>
    <w:p>
      <w:pPr>
        <w:sectPr>
          <w:pgSz w:w="11900" w:h="16838" w:orient="portrait"/>
          <w:cols w:equalWidth="0" w:num="1">
            <w:col w:w="11240"/>
          </w:cols>
          <w:pgMar w:left="320" w:top="1413" w:right="339" w:bottom="1440" w:gutter="0" w:footer="0" w:header="0"/>
        </w:sectPr>
      </w:pPr>
    </w:p>
    <w:bookmarkStart w:id="11" w:name="page12"/>
    <w:bookmarkEnd w:id="1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Trail convertible debenture, and the Company’s ability to address the need for new and innovative treatment options for people who suffer from mental health conditions.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 period ended June 30, 2025 and the Company’s annual information form for the year ended March 31, 2025, which are available under the Company’s profile on </w:t>
      </w:r>
      <w:r>
        <w:rPr>
          <w:rFonts w:ascii="Times New Roman" w:cs="Times New Roman" w:eastAsia="Times New Roman" w:hAnsi="Times New Roman"/>
          <w:sz w:val="20"/>
          <w:szCs w:val="20"/>
          <w:u w:val="single" w:color="auto"/>
          <w:color w:val="0563C1"/>
        </w:rPr>
        <w:t>www.sedarplus.ca</w:t>
      </w:r>
      <w:r>
        <w:rPr>
          <w:rFonts w:ascii="Times New Roman" w:cs="Times New Roman" w:eastAsia="Times New Roman" w:hAnsi="Times New Roman"/>
          <w:sz w:val="20"/>
          <w:szCs w:val="20"/>
          <w:color w:val="auto"/>
        </w:rPr>
        <w:t xml:space="preserve"> and with the SEC on EDGAR at </w:t>
      </w:r>
      <w:r>
        <w:rPr>
          <w:rFonts w:ascii="Times New Roman" w:cs="Times New Roman" w:eastAsia="Times New Roman" w:hAnsi="Times New Roman"/>
          <w:sz w:val="20"/>
          <w:szCs w:val="20"/>
          <w:u w:val="single" w:color="auto"/>
          <w:color w:val="0563C1"/>
        </w:rPr>
        <w:t>www.sec.gov/edgar</w:t>
      </w:r>
      <w:r>
        <w:rPr>
          <w:rFonts w:ascii="Times New Roman" w:cs="Times New Roman" w:eastAsia="Times New Roman" w:hAnsi="Times New Roman"/>
          <w:sz w:val="20"/>
          <w:szCs w:val="20"/>
          <w:color w:val="000000"/>
        </w:rPr>
        <w:t>. Although the forward-looking statements contained in this news release are based upon what management of the</w:t>
      </w:r>
      <w:r>
        <w:rPr>
          <w:rFonts w:ascii="Times New Roman" w:cs="Times New Roman" w:eastAsia="Times New Roman" w:hAnsi="Times New Roman"/>
          <w:sz w:val="20"/>
          <w:szCs w:val="20"/>
          <w:color w:val="0563C1"/>
        </w:rPr>
        <w:t xml:space="preserve"> </w:t>
      </w:r>
      <w:r>
        <w:rPr>
          <w:rFonts w:ascii="Times New Roman" w:cs="Times New Roman" w:eastAsia="Times New Roman" w:hAnsi="Times New Roman"/>
          <w:sz w:val="20"/>
          <w:szCs w:val="20"/>
          <w:color w:val="000000"/>
        </w:rPr>
        <w:t>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Josh Barer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astr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6" w:lineRule="exact"/>
        <w:rPr>
          <w:sz w:val="20"/>
          <w:szCs w:val="20"/>
          <w:color w:val="auto"/>
        </w:rPr>
      </w:pPr>
    </w:p>
    <w:p>
      <w:pPr>
        <w:ind w:right="8960" w:firstLine="8"/>
        <w:spacing w:after="0" w:line="279" w:lineRule="auto"/>
        <w:tabs>
          <w:tab w:leader="none" w:pos="47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578-6478 </w:t>
      </w:r>
      <w:r>
        <w:rPr>
          <w:rFonts w:ascii="Times New Roman" w:cs="Times New Roman" w:eastAsia="Times New Roman" w:hAnsi="Times New Roman"/>
          <w:sz w:val="19"/>
          <w:szCs w:val="19"/>
          <w:u w:val="single" w:color="auto"/>
          <w:color w:val="0000FF"/>
        </w:rPr>
        <w:t>josh.barer@astrpartners.com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George Tziras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Business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1-866-292-4601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irteam@cybin.com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or –</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media@cybin.com</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08"/>
    </w:lvl>
  </w:abstractNum>
  <w:abstractNum w:abstractNumId="1">
    <w:nsid w:val="66334873"/>
    <w:multiLevelType w:val="hybridMultilevel"/>
    <w:lvl w:ilvl="0">
      <w:lvlJc w:val="left"/>
      <w:lvlText w:val="(%1)"/>
      <w:numFmt w:val="decimal"/>
      <w:start w:val="9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jpeg"/><Relationship Id="rId8" Type="http://schemas.openxmlformats.org/officeDocument/2006/relationships/hyperlink" Target="https://www.sec.gov/Archives/edgar/data/1833141/000106299325013362/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2025-11-26T12:04:56Z</dcterms:created>
  <dcterms:modified xsi:type="dcterms:W3CDTF">2025-11-26T12:04:56Z</dcterms:modified>
</cp:coreProperties>
</file>