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6-K</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REPORT OF FOREIGN PRIVATE ISSUER PURSUANT TO RULE 13a-16 OR 15d-16</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For the month of November, 2021.</w:t>
      </w:r>
    </w:p>
    <w:p>
      <w:pPr>
        <w:spacing w:after="0" w:line="8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001-40673</w:t>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Cybin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Charter)</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100 King Street West, Suite 5600, Toronto, Ontario, M5X 1C9</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20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17" w:lineRule="exact"/>
        <w:rPr>
          <w:sz w:val="24"/>
          <w:szCs w:val="24"/>
          <w:color w:val="auto"/>
        </w:rPr>
      </w:pPr>
    </w:p>
    <w:p>
      <w:pPr>
        <w:spacing w:after="0" w:line="253" w:lineRule="exact"/>
        <w:rPr>
          <w:sz w:val="20"/>
          <w:szCs w:val="20"/>
          <w:color w:val="auto"/>
        </w:rPr>
      </w:pPr>
      <w:r>
        <w:rPr>
          <w:rFonts w:ascii="Arial" w:cs="Arial" w:eastAsia="Arial" w:hAnsi="Arial"/>
          <w:sz w:val="16"/>
          <w:szCs w:val="16"/>
          <w:color w:val="auto"/>
        </w:rPr>
        <w:t xml:space="preserve">Form 20-F </w:t>
      </w:r>
      <w:r>
        <w:rPr>
          <w:rFonts w:ascii="Arial" w:cs="Arial" w:eastAsia="Arial" w:hAnsi="Arial"/>
          <w:sz w:val="22"/>
          <w:szCs w:val="22"/>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1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Note</w:t>
      </w:r>
      <w:r>
        <w:rPr>
          <w:rFonts w:ascii="Arial" w:cs="Arial" w:eastAsia="Arial" w:hAnsi="Arial"/>
          <w:sz w:val="15"/>
          <w:szCs w:val="15"/>
          <w:color w:val="auto"/>
        </w:rPr>
        <w:t>: Regulation S-T Rule 101(b)(1) only permits the submission in paper of a Form 6-K if submitted solely to provide an attached annual report to security holders.</w:t>
      </w:r>
    </w:p>
    <w:p>
      <w:pPr>
        <w:spacing w:after="0" w:line="22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191" w:lineRule="exact"/>
        <w:rPr>
          <w:sz w:val="24"/>
          <w:szCs w:val="24"/>
          <w:color w:val="auto"/>
        </w:rPr>
      </w:pPr>
    </w:p>
    <w:p>
      <w:pPr>
        <w:spacing w:after="0" w:line="24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 registrant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INCORPORATION BY REFERENCE</w:t>
      </w:r>
    </w:p>
    <w:p>
      <w:pPr>
        <w:spacing w:after="0" w:line="77" w:lineRule="exact"/>
        <w:rPr>
          <w:sz w:val="24"/>
          <w:szCs w:val="24"/>
          <w:color w:val="auto"/>
        </w:rPr>
      </w:pPr>
    </w:p>
    <w:p>
      <w:pPr>
        <w:ind w:left="580"/>
        <w:spacing w:after="0"/>
        <w:rPr>
          <w:sz w:val="20"/>
          <w:szCs w:val="20"/>
          <w:color w:val="auto"/>
        </w:rPr>
      </w:pPr>
      <w:r>
        <w:rPr>
          <w:rFonts w:ascii="Arial" w:cs="Arial" w:eastAsia="Arial" w:hAnsi="Arial"/>
          <w:sz w:val="15"/>
          <w:szCs w:val="15"/>
          <w:color w:val="auto"/>
        </w:rPr>
        <w:t>Exhibits 99.1 - 99.2 of this Form 6-K of Cybin Inc. (the "Company") are hereby incorporated by reference into the Registration Statement on Form F-10 (File No.</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479"/>
        <w:spacing w:after="0"/>
        <w:rPr>
          <w:sz w:val="20"/>
          <w:szCs w:val="20"/>
          <w:color w:val="auto"/>
        </w:rPr>
      </w:pPr>
      <w:r>
        <w:rPr>
          <w:rFonts w:ascii="Arial" w:cs="Arial" w:eastAsia="Arial" w:hAnsi="Arial"/>
          <w:sz w:val="16"/>
          <w:szCs w:val="16"/>
          <w:b w:val="1"/>
          <w:bCs w:val="1"/>
          <w:color w:val="auto"/>
        </w:rPr>
        <w:t>SIGNATURE</w:t>
      </w:r>
    </w:p>
    <w:p>
      <w:pPr>
        <w:spacing w:after="0" w:line="89" w:lineRule="exact"/>
        <w:rPr>
          <w:sz w:val="20"/>
          <w:szCs w:val="20"/>
          <w:color w:val="auto"/>
        </w:rPr>
      </w:pPr>
    </w:p>
    <w:p>
      <w:pPr>
        <w:ind w:firstLine="587"/>
        <w:spacing w:after="0" w:line="26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CYBIN INC.</w:t>
            </w:r>
          </w:p>
        </w:tc>
      </w:tr>
      <w:tr>
        <w:trPr>
          <w:trHeight w:val="232"/>
        </w:trPr>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(Registrant)</w:t>
            </w:r>
          </w:p>
        </w:tc>
      </w:tr>
      <w:tr>
        <w:trPr>
          <w:trHeight w:val="471"/>
        </w:trPr>
        <w:tc>
          <w:tcPr>
            <w:tcW w:w="500" w:type="dxa"/>
            <w:vAlign w:val="bottom"/>
          </w:tcPr>
          <w:p>
            <w:pPr>
              <w:spacing w:after="0"/>
              <w:rPr>
                <w:sz w:val="20"/>
                <w:szCs w:val="20"/>
                <w:color w:val="auto"/>
              </w:rPr>
            </w:pPr>
            <w:r>
              <w:rPr>
                <w:rFonts w:ascii="Arial" w:cs="Arial" w:eastAsia="Arial" w:hAnsi="Arial"/>
                <w:sz w:val="16"/>
                <w:szCs w:val="16"/>
                <w:color w:val="auto"/>
              </w:rPr>
              <w:t>Date:</w:t>
            </w:r>
          </w:p>
        </w:tc>
        <w:tc>
          <w:tcPr>
            <w:tcW w:w="5100" w:type="dxa"/>
            <w:vAlign w:val="bottom"/>
          </w:tcPr>
          <w:p>
            <w:pPr>
              <w:ind w:left="160"/>
              <w:spacing w:after="0"/>
              <w:rPr>
                <w:sz w:val="20"/>
                <w:szCs w:val="20"/>
                <w:color w:val="auto"/>
              </w:rPr>
            </w:pPr>
            <w:r>
              <w:rPr>
                <w:rFonts w:ascii="Arial" w:cs="Arial" w:eastAsia="Arial" w:hAnsi="Arial"/>
                <w:sz w:val="16"/>
                <w:szCs w:val="16"/>
                <w:color w:val="auto"/>
              </w:rPr>
              <w:t>November 15, 2021</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404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/s/ Doug Drysdale</w:t>
            </w:r>
          </w:p>
        </w:tc>
      </w:tr>
      <w:tr>
        <w:trPr>
          <w:trHeight w:val="218"/>
        </w:trPr>
        <w:tc>
          <w:tcPr>
            <w:tcW w:w="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Name:</w:t>
            </w:r>
          </w:p>
        </w:tc>
        <w:tc>
          <w:tcPr>
            <w:tcW w:w="4040" w:type="dxa"/>
            <w:vAlign w:val="bottom"/>
          </w:tcPr>
          <w:p>
            <w:pPr>
              <w:ind w:left="160"/>
              <w:spacing w:after="0"/>
              <w:rPr>
                <w:sz w:val="20"/>
                <w:szCs w:val="20"/>
                <w:color w:val="auto"/>
              </w:rPr>
            </w:pPr>
            <w:r>
              <w:rPr>
                <w:rFonts w:ascii="Arial" w:cs="Arial" w:eastAsia="Arial" w:hAnsi="Arial"/>
                <w:sz w:val="16"/>
                <w:szCs w:val="16"/>
                <w:color w:val="auto"/>
              </w:rPr>
              <w:t>Doug Drysdale</w:t>
            </w:r>
          </w:p>
        </w:tc>
      </w:tr>
      <w:tr>
        <w:trPr>
          <w:trHeight w:val="232"/>
        </w:trPr>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Title:</w:t>
            </w:r>
          </w:p>
        </w:tc>
        <w:tc>
          <w:tcPr>
            <w:tcW w:w="4040" w:type="dxa"/>
            <w:vAlign w:val="bottom"/>
          </w:tcPr>
          <w:p>
            <w:pPr>
              <w:ind w:left="16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0780"/>
          </w:cols>
          <w:pgMar w:left="320" w:top="1297" w:right="7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EXHIBIT INDEX</w:t>
            </w:r>
          </w:p>
        </w:tc>
        <w:tc>
          <w:tcPr>
            <w:tcW w:w="1300" w:type="dxa"/>
            <w:vAlign w:val="bottom"/>
            <w:gridSpan w:val="2"/>
          </w:tcPr>
          <w:p>
            <w:pPr>
              <w:spacing w:after="0"/>
              <w:rPr>
                <w:sz w:val="16"/>
                <w:szCs w:val="16"/>
                <w:color w:val="auto"/>
              </w:rPr>
            </w:pPr>
          </w:p>
        </w:tc>
      </w:tr>
      <w:tr>
        <w:trPr>
          <w:trHeight w:val="518"/>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99.1</w:t>
            </w:r>
          </w:p>
        </w:tc>
        <w:tc>
          <w:tcPr>
            <w:tcW w:w="6420" w:type="dxa"/>
            <w:vAlign w:val="bottom"/>
            <w:tcBorders>
              <w:bottom w:val="single" w:sz="8" w:color="0000FF"/>
            </w:tcBorders>
            <w:gridSpan w:val="7"/>
          </w:tcPr>
          <w:p>
            <w:pPr>
              <w:spacing w:after="0"/>
              <w:rPr>
                <w:rFonts w:ascii="Arial" w:cs="Arial" w:eastAsia="Arial" w:hAnsi="Arial"/>
                <w:sz w:val="16"/>
                <w:szCs w:val="16"/>
                <w:color w:val="0000FF"/>
                <w:w w:val="91"/>
              </w:rPr>
            </w:pPr>
            <w:hyperlink w:anchor="page4">
              <w:r>
                <w:rPr>
                  <w:rFonts w:ascii="Arial" w:cs="Arial" w:eastAsia="Arial" w:hAnsi="Arial"/>
                  <w:sz w:val="16"/>
                  <w:szCs w:val="16"/>
                  <w:color w:val="0000FF"/>
                  <w:w w:val="91"/>
                </w:rPr>
                <w:t>Interim Consolidated Financial Statements for the three and six months ended September 30, 2021</w:t>
              </w:r>
            </w:hyperlink>
          </w:p>
        </w:tc>
      </w:tr>
      <w:tr>
        <w:trPr>
          <w:trHeight w:val="212"/>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99.2</w:t>
            </w:r>
          </w:p>
        </w:tc>
        <w:tc>
          <w:tcPr>
            <w:tcW w:w="6420" w:type="dxa"/>
            <w:vAlign w:val="bottom"/>
            <w:gridSpan w:val="7"/>
          </w:tcPr>
          <w:p>
            <w:pPr>
              <w:spacing w:after="0"/>
              <w:rPr>
                <w:rFonts w:ascii="Arial" w:cs="Arial" w:eastAsia="Arial" w:hAnsi="Arial"/>
                <w:sz w:val="16"/>
                <w:szCs w:val="16"/>
                <w:color w:val="0000FF"/>
                <w:w w:val="93"/>
              </w:rPr>
            </w:pPr>
            <w:hyperlink w:anchor="page29">
              <w:r>
                <w:rPr>
                  <w:rFonts w:ascii="Arial" w:cs="Arial" w:eastAsia="Arial" w:hAnsi="Arial"/>
                  <w:sz w:val="16"/>
                  <w:szCs w:val="16"/>
                  <w:color w:val="0000FF"/>
                  <w:w w:val="93"/>
                </w:rPr>
                <w:t>Management’s Discussion and Analysis for the three and six months ended September 30, 2021</w:t>
              </w:r>
            </w:hyperlink>
          </w:p>
        </w:tc>
      </w:tr>
      <w:tr>
        <w:trPr>
          <w:trHeight w:val="212"/>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99.3</w:t>
            </w:r>
          </w:p>
        </w:tc>
        <w:tc>
          <w:tcPr>
            <w:tcW w:w="6240" w:type="dxa"/>
            <w:vAlign w:val="bottom"/>
            <w:tcBorders>
              <w:top w:val="single" w:sz="8" w:color="0000FF"/>
            </w:tcBorders>
            <w:gridSpan w:val="6"/>
          </w:tcPr>
          <w:p>
            <w:pPr>
              <w:spacing w:after="0"/>
              <w:rPr>
                <w:rFonts w:ascii="Arial" w:cs="Arial" w:eastAsia="Arial" w:hAnsi="Arial"/>
                <w:sz w:val="16"/>
                <w:szCs w:val="16"/>
                <w:color w:val="0000FF"/>
              </w:rPr>
            </w:pPr>
            <w:hyperlink w:anchor="page93">
              <w:r>
                <w:rPr>
                  <w:rFonts w:ascii="Arial" w:cs="Arial" w:eastAsia="Arial" w:hAnsi="Arial"/>
                  <w:sz w:val="16"/>
                  <w:szCs w:val="16"/>
                  <w:color w:val="0000FF"/>
                </w:rPr>
                <w:t>Certification of Interim Filings by CFO dated November 15, 2021</w:t>
              </w:r>
            </w:hyperlink>
          </w:p>
        </w:tc>
        <w:tc>
          <w:tcPr>
            <w:tcW w:w="18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12"/>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99.4</w:t>
            </w:r>
          </w:p>
        </w:tc>
        <w:tc>
          <w:tcPr>
            <w:tcW w:w="4320" w:type="dxa"/>
            <w:vAlign w:val="bottom"/>
            <w:tcBorders>
              <w:bottom w:val="single" w:sz="8" w:color="0000FF"/>
            </w:tcBorders>
            <w:gridSpan w:val="4"/>
          </w:tcPr>
          <w:p>
            <w:pPr>
              <w:spacing w:after="0"/>
              <w:rPr>
                <w:rFonts w:ascii="Arial" w:cs="Arial" w:eastAsia="Arial" w:hAnsi="Arial"/>
                <w:sz w:val="16"/>
                <w:szCs w:val="16"/>
                <w:color w:val="0000FF"/>
                <w:w w:val="94"/>
              </w:rPr>
            </w:pPr>
            <w:hyperlink w:anchor="page95">
              <w:r>
                <w:rPr>
                  <w:rFonts w:ascii="Arial" w:cs="Arial" w:eastAsia="Arial" w:hAnsi="Arial"/>
                  <w:sz w:val="16"/>
                  <w:szCs w:val="16"/>
                  <w:color w:val="0000FF"/>
                  <w:w w:val="94"/>
                </w:rPr>
                <w:t>Certification of Interim Filings by CEO dated November 15, 2021</w:t>
              </w:r>
            </w:hyperlink>
          </w:p>
        </w:tc>
        <w:tc>
          <w:tcPr>
            <w:tcW w:w="2100" w:type="dxa"/>
            <w:vAlign w:val="bottom"/>
            <w:gridSpan w:val="3"/>
          </w:tcPr>
          <w:p>
            <w:pPr>
              <w:spacing w:after="0"/>
              <w:rPr>
                <w:sz w:val="18"/>
                <w:szCs w:val="18"/>
                <w:color w:val="auto"/>
              </w:rPr>
            </w:pPr>
          </w:p>
        </w:tc>
      </w:tr>
      <w:tr>
        <w:trPr>
          <w:trHeight w:val="212"/>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99.5</w:t>
            </w:r>
          </w:p>
        </w:tc>
        <w:tc>
          <w:tcPr>
            <w:tcW w:w="2660" w:type="dxa"/>
            <w:vAlign w:val="bottom"/>
            <w:tcBorders>
              <w:bottom w:val="single" w:sz="8" w:color="0000FF"/>
            </w:tcBorders>
          </w:tcPr>
          <w:p>
            <w:pPr>
              <w:spacing w:after="0"/>
              <w:rPr>
                <w:rFonts w:ascii="Arial" w:cs="Arial" w:eastAsia="Arial" w:hAnsi="Arial"/>
                <w:sz w:val="16"/>
                <w:szCs w:val="16"/>
                <w:color w:val="0000FF"/>
                <w:w w:val="90"/>
              </w:rPr>
            </w:pPr>
            <w:hyperlink w:anchor="page97">
              <w:r>
                <w:rPr>
                  <w:rFonts w:ascii="Arial" w:cs="Arial" w:eastAsia="Arial" w:hAnsi="Arial"/>
                  <w:sz w:val="16"/>
                  <w:szCs w:val="16"/>
                  <w:color w:val="0000FF"/>
                  <w:w w:val="90"/>
                </w:rPr>
                <w:t>News Release dated November 15, 2021</w:t>
              </w:r>
            </w:hyperlink>
          </w:p>
        </w:tc>
        <w:tc>
          <w:tcPr>
            <w:tcW w:w="3760" w:type="dxa"/>
            <w:vAlign w:val="bottom"/>
            <w:gridSpan w:val="6"/>
          </w:tcPr>
          <w:p>
            <w:pPr>
              <w:spacing w:after="0"/>
              <w:rPr>
                <w:sz w:val="18"/>
                <w:szCs w:val="18"/>
                <w:color w:val="auto"/>
              </w:rPr>
            </w:pPr>
          </w:p>
        </w:tc>
      </w:tr>
    </w:tbl>
    <w:p>
      <w:pPr>
        <w:sectPr>
          <w:pgSz w:w="11900" w:h="16838" w:orient="portrait"/>
          <w:cols w:equalWidth="0" w:num="1">
            <w:col w:w="10119"/>
          </w:cols>
          <w:pgMar w:left="340" w:top="1289"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2997835</wp:posOffset>
            </wp:positionH>
            <wp:positionV relativeFrom="page">
              <wp:posOffset>2752725</wp:posOffset>
            </wp:positionV>
            <wp:extent cx="1553210" cy="1002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53210" cy="100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39"/>
          <w:szCs w:val="39"/>
          <w:b w:val="1"/>
          <w:bCs w:val="1"/>
          <w:color w:val="auto"/>
        </w:rPr>
        <w:t>CYBIN INC.</w:t>
      </w:r>
    </w:p>
    <w:p>
      <w:pPr>
        <w:spacing w:after="0" w:line="198" w:lineRule="exact"/>
        <w:rPr>
          <w:sz w:val="20"/>
          <w:szCs w:val="20"/>
          <w:color w:val="auto"/>
        </w:rPr>
      </w:pPr>
    </w:p>
    <w:p>
      <w:pPr>
        <w:jc w:val="center"/>
        <w:ind w:left="900" w:right="919"/>
        <w:spacing w:after="0" w:line="405" w:lineRule="auto"/>
        <w:rPr>
          <w:sz w:val="20"/>
          <w:szCs w:val="20"/>
          <w:color w:val="auto"/>
        </w:rPr>
      </w:pPr>
      <w:r>
        <w:rPr>
          <w:rFonts w:ascii="Arial" w:cs="Arial" w:eastAsia="Arial" w:hAnsi="Arial"/>
          <w:sz w:val="23"/>
          <w:szCs w:val="23"/>
          <w:b w:val="1"/>
          <w:bCs w:val="1"/>
          <w:color w:val="auto"/>
        </w:rPr>
        <w:t>CONDENSED INTERIM CONSOLIDATED FINANCIAL STATEMENTS FOR THE THREE AND SIX MONTHS ENDED SEPTEMBER 30, 2021</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(UNAUDITED)</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OUR SHAREHOLDERS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accompanying unaudited condensed interim consolidated financial statements of Cybin Inc. ("Cybin") have been prepared by and are the responsibility of Cybin's management in accordance with International Accounting Standards (“IAS”) 34, Interim Financial Reporting as issued by the International Accounting Standards Board ("IASB''). These unaudited condensed interim consolidated financial statements do not include all the information and notes required by International Financial Reporting Standards ("IFRS'') for annual financial statements and should be read in conjunction with Cybin’s annual financial statements and notes for the year ended March 31, 2021, which are available on SEDAR at </w:t>
      </w:r>
      <w:r>
        <w:rPr>
          <w:rFonts w:ascii="Arial" w:cs="Arial" w:eastAsia="Arial" w:hAnsi="Arial"/>
          <w:sz w:val="20"/>
          <w:szCs w:val="20"/>
          <w:u w:val="single" w:color="auto"/>
          <w:color w:val="0000E1"/>
        </w:rPr>
        <w:t>www.sedar.com</w:t>
      </w:r>
      <w:r>
        <w:rPr>
          <w:rFonts w:ascii="Arial" w:cs="Arial" w:eastAsia="Arial" w:hAnsi="Arial"/>
          <w:sz w:val="20"/>
          <w:szCs w:val="20"/>
          <w:color w:val="auto"/>
        </w:rPr>
        <w:t>.</w:t>
      </w:r>
    </w:p>
    <w:p>
      <w:pPr>
        <w:sectPr>
          <w:pgSz w:w="11900" w:h="16838" w:orient="portrait"/>
          <w:cols w:equalWidth="0" w:num="1">
            <w:col w:w="11260"/>
          </w:cols>
          <w:pgMar w:left="320" w:top="1440" w:right="319" w:bottom="1440" w:gutter="0" w:footer="0" w:header="0"/>
        </w:sectPr>
      </w:pPr>
    </w:p>
    <w:bookmarkStart w:id="5" w:name="page6"/>
    <w:bookmarkEnd w:id="5"/>
    <w:p>
      <w:pPr>
        <w:ind w:left="60"/>
        <w:spacing w:after="0"/>
        <w:rPr>
          <w:sz w:val="20"/>
          <w:szCs w:val="20"/>
          <w:color w:val="auto"/>
        </w:rPr>
      </w:pPr>
      <w:r>
        <w:rPr>
          <w:rFonts w:ascii="Arial" w:cs="Arial" w:eastAsia="Arial" w:hAnsi="Arial"/>
          <w:sz w:val="20"/>
          <w:szCs w:val="20"/>
          <w:b w:val="1"/>
          <w:bCs w:val="1"/>
          <w:color w:val="auto"/>
        </w:rPr>
        <w:t>CYBIN INC.</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CONDENSED INTERIM CONSOLIDATED STATEMENTS OF FINANCIAL POSITION</w:t>
      </w:r>
    </w:p>
    <w:p>
      <w:pPr>
        <w:ind w:left="60"/>
        <w:spacing w:after="0"/>
        <w:rPr>
          <w:sz w:val="20"/>
          <w:szCs w:val="20"/>
          <w:color w:val="auto"/>
        </w:rPr>
      </w:pPr>
      <w:r>
        <w:rPr>
          <w:rFonts w:ascii="Arial" w:cs="Arial" w:eastAsia="Arial" w:hAnsi="Arial"/>
          <w:sz w:val="16"/>
          <w:szCs w:val="16"/>
          <w:b w:val="1"/>
          <w:bCs w:val="1"/>
          <w:color w:val="auto"/>
        </w:rPr>
        <w:t>(All amounts expressed in thousands of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50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As at</w:t>
            </w:r>
          </w:p>
        </w:tc>
        <w:tc>
          <w:tcPr>
            <w:tcW w:w="2260" w:type="dxa"/>
            <w:vAlign w:val="bottom"/>
            <w:tcBorders>
              <w:bottom w:val="single" w:sz="8" w:color="auto"/>
            </w:tcBorders>
          </w:tcPr>
          <w:p>
            <w:pPr>
              <w:jc w:val="center"/>
              <w:ind w:left="967"/>
              <w:spacing w:after="0"/>
              <w:rPr>
                <w:sz w:val="20"/>
                <w:szCs w:val="20"/>
                <w:color w:val="auto"/>
              </w:rPr>
            </w:pPr>
            <w:r>
              <w:rPr>
                <w:rFonts w:ascii="Arial" w:cs="Arial" w:eastAsia="Arial" w:hAnsi="Arial"/>
                <w:sz w:val="15"/>
                <w:szCs w:val="15"/>
                <w:i w:val="1"/>
                <w:iCs w:val="1"/>
                <w:color w:val="auto"/>
                <w:w w:val="96"/>
              </w:rPr>
              <w:t>Notes</w:t>
            </w:r>
          </w:p>
        </w:tc>
        <w:tc>
          <w:tcPr>
            <w:tcW w:w="22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September 30, 2021</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March 31, 2021</w:t>
            </w:r>
          </w:p>
        </w:tc>
      </w:tr>
      <w:tr>
        <w:trPr>
          <w:trHeight w:val="381"/>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ASSETS</w:t>
            </w:r>
          </w:p>
        </w:tc>
        <w:tc>
          <w:tcPr>
            <w:tcW w:w="2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8"/>
        </w:trPr>
        <w:tc>
          <w:tcPr>
            <w:tcW w:w="5260" w:type="dxa"/>
            <w:vAlign w:val="bottom"/>
          </w:tcPr>
          <w:p>
            <w:pPr>
              <w:ind w:left="200"/>
              <w:spacing w:after="0"/>
              <w:rPr>
                <w:sz w:val="20"/>
                <w:szCs w:val="20"/>
                <w:color w:val="auto"/>
              </w:rPr>
            </w:pPr>
            <w:r>
              <w:rPr>
                <w:rFonts w:ascii="Arial" w:cs="Arial" w:eastAsia="Arial" w:hAnsi="Arial"/>
                <w:sz w:val="15"/>
                <w:szCs w:val="15"/>
                <w:b w:val="1"/>
                <w:bCs w:val="1"/>
                <w:color w:val="auto"/>
              </w:rPr>
              <w:t>Current</w:t>
            </w:r>
          </w:p>
        </w:tc>
        <w:tc>
          <w:tcPr>
            <w:tcW w:w="2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2"/>
        </w:trPr>
        <w:tc>
          <w:tcPr>
            <w:tcW w:w="5260" w:type="dxa"/>
            <w:vAlign w:val="bottom"/>
          </w:tcPr>
          <w:p>
            <w:pPr>
              <w:ind w:left="500"/>
              <w:spacing w:after="0"/>
              <w:rPr>
                <w:sz w:val="20"/>
                <w:szCs w:val="20"/>
                <w:color w:val="auto"/>
              </w:rPr>
            </w:pPr>
            <w:r>
              <w:rPr>
                <w:rFonts w:ascii="Arial" w:cs="Arial" w:eastAsia="Arial" w:hAnsi="Arial"/>
                <w:sz w:val="15"/>
                <w:szCs w:val="15"/>
                <w:color w:val="auto"/>
              </w:rPr>
              <w:t>Cash and cash equivalents</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3</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75,179</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64,026</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Accounts receivable</w:t>
            </w:r>
          </w:p>
        </w:tc>
        <w:tc>
          <w:tcPr>
            <w:tcW w:w="2260" w:type="dxa"/>
            <w:vAlign w:val="bottom"/>
          </w:tcPr>
          <w:p>
            <w:pPr>
              <w:spacing w:after="0"/>
              <w:rPr>
                <w:sz w:val="19"/>
                <w:szCs w:val="19"/>
                <w:color w:val="auto"/>
              </w:rPr>
            </w:pP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2,281</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1,329</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Prepaid expenses</w:t>
            </w:r>
          </w:p>
        </w:tc>
        <w:tc>
          <w:tcPr>
            <w:tcW w:w="2260" w:type="dxa"/>
            <w:vAlign w:val="bottom"/>
          </w:tcPr>
          <w:p>
            <w:pPr>
              <w:spacing w:after="0"/>
              <w:rPr>
                <w:sz w:val="19"/>
                <w:szCs w:val="19"/>
                <w:color w:val="auto"/>
              </w:rPr>
            </w:pP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1,992</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1,129</w:t>
            </w:r>
          </w:p>
        </w:tc>
      </w:tr>
      <w:tr>
        <w:trPr>
          <w:trHeight w:val="103"/>
        </w:trPr>
        <w:tc>
          <w:tcPr>
            <w:tcW w:w="526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8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Current Assets</w:t>
            </w:r>
          </w:p>
        </w:tc>
        <w:tc>
          <w:tcPr>
            <w:tcW w:w="2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79,452</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66,484</w:t>
            </w:r>
          </w:p>
        </w:tc>
      </w:tr>
      <w:tr>
        <w:trPr>
          <w:trHeight w:val="355"/>
        </w:trPr>
        <w:tc>
          <w:tcPr>
            <w:tcW w:w="5260" w:type="dxa"/>
            <w:vAlign w:val="bottom"/>
          </w:tcPr>
          <w:p>
            <w:pPr>
              <w:ind w:left="200"/>
              <w:spacing w:after="0"/>
              <w:rPr>
                <w:sz w:val="20"/>
                <w:szCs w:val="20"/>
                <w:color w:val="auto"/>
              </w:rPr>
            </w:pPr>
            <w:r>
              <w:rPr>
                <w:rFonts w:ascii="Arial" w:cs="Arial" w:eastAsia="Arial" w:hAnsi="Arial"/>
                <w:sz w:val="15"/>
                <w:szCs w:val="15"/>
                <w:b w:val="1"/>
                <w:bCs w:val="1"/>
                <w:color w:val="auto"/>
              </w:rPr>
              <w:t>Non-current</w:t>
            </w:r>
          </w:p>
        </w:tc>
        <w:tc>
          <w:tcPr>
            <w:tcW w:w="2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2"/>
        </w:trPr>
        <w:tc>
          <w:tcPr>
            <w:tcW w:w="5260" w:type="dxa"/>
            <w:vAlign w:val="bottom"/>
          </w:tcPr>
          <w:p>
            <w:pPr>
              <w:ind w:left="500"/>
              <w:spacing w:after="0"/>
              <w:rPr>
                <w:sz w:val="20"/>
                <w:szCs w:val="20"/>
                <w:color w:val="auto"/>
              </w:rPr>
            </w:pPr>
            <w:r>
              <w:rPr>
                <w:rFonts w:ascii="Arial" w:cs="Arial" w:eastAsia="Arial" w:hAnsi="Arial"/>
                <w:sz w:val="15"/>
                <w:szCs w:val="15"/>
                <w:color w:val="auto"/>
              </w:rPr>
              <w:t>Investments</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4</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250</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Equipment</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5</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552</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557</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Intangible assets</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6</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1,870</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1,701</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Goodwill</w:t>
            </w:r>
          </w:p>
        </w:tc>
        <w:tc>
          <w:tcPr>
            <w:tcW w:w="2260" w:type="dxa"/>
            <w:vAlign w:val="bottom"/>
          </w:tcPr>
          <w:p>
            <w:pPr>
              <w:spacing w:after="0"/>
              <w:rPr>
                <w:sz w:val="19"/>
                <w:szCs w:val="19"/>
                <w:color w:val="auto"/>
              </w:rPr>
            </w:pP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23,341</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23,370</w:t>
            </w:r>
          </w:p>
        </w:tc>
      </w:tr>
      <w:tr>
        <w:trPr>
          <w:trHeight w:val="103"/>
        </w:trPr>
        <w:tc>
          <w:tcPr>
            <w:tcW w:w="526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87"/>
        </w:trPr>
        <w:tc>
          <w:tcPr>
            <w:tcW w:w="5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26,013</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25,628</w:t>
            </w:r>
          </w:p>
        </w:tc>
      </w:tr>
      <w:tr>
        <w:trPr>
          <w:trHeight w:val="29"/>
        </w:trPr>
        <w:tc>
          <w:tcPr>
            <w:tcW w:w="5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5"/>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ASSETS</w:t>
            </w:r>
          </w:p>
        </w:tc>
        <w:tc>
          <w:tcPr>
            <w:tcW w:w="2260" w:type="dxa"/>
            <w:vAlign w:val="bottom"/>
            <w:tcBorders>
              <w:bottom w:val="single" w:sz="8" w:color="auto"/>
            </w:tcBorders>
            <w:shd w:val="clear" w:color="auto" w:fill="D9D9D9"/>
          </w:tcPr>
          <w:p>
            <w:pPr>
              <w:spacing w:after="0"/>
              <w:rPr>
                <w:sz w:val="16"/>
                <w:szCs w:val="16"/>
                <w:color w:val="auto"/>
              </w:rPr>
            </w:pPr>
          </w:p>
        </w:tc>
        <w:tc>
          <w:tcPr>
            <w:tcW w:w="220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105,465</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92,112</w:t>
            </w:r>
          </w:p>
        </w:tc>
      </w:tr>
      <w:tr>
        <w:trPr>
          <w:trHeight w:val="257"/>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LIABILITIES</w:t>
            </w:r>
          </w:p>
        </w:tc>
        <w:tc>
          <w:tcPr>
            <w:tcW w:w="22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08"/>
        </w:trPr>
        <w:tc>
          <w:tcPr>
            <w:tcW w:w="5260" w:type="dxa"/>
            <w:vAlign w:val="bottom"/>
          </w:tcPr>
          <w:p>
            <w:pPr>
              <w:ind w:left="200"/>
              <w:spacing w:after="0"/>
              <w:rPr>
                <w:sz w:val="20"/>
                <w:szCs w:val="20"/>
                <w:color w:val="auto"/>
              </w:rPr>
            </w:pPr>
            <w:r>
              <w:rPr>
                <w:rFonts w:ascii="Arial" w:cs="Arial" w:eastAsia="Arial" w:hAnsi="Arial"/>
                <w:sz w:val="15"/>
                <w:szCs w:val="15"/>
                <w:b w:val="1"/>
                <w:bCs w:val="1"/>
                <w:color w:val="auto"/>
              </w:rPr>
              <w:t>Current</w:t>
            </w:r>
          </w:p>
        </w:tc>
        <w:tc>
          <w:tcPr>
            <w:tcW w:w="2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2"/>
        </w:trPr>
        <w:tc>
          <w:tcPr>
            <w:tcW w:w="5260" w:type="dxa"/>
            <w:vAlign w:val="bottom"/>
          </w:tcPr>
          <w:p>
            <w:pPr>
              <w:ind w:left="500"/>
              <w:spacing w:after="0"/>
              <w:rPr>
                <w:sz w:val="20"/>
                <w:szCs w:val="20"/>
                <w:color w:val="auto"/>
              </w:rPr>
            </w:pPr>
            <w:r>
              <w:rPr>
                <w:rFonts w:ascii="Arial" w:cs="Arial" w:eastAsia="Arial" w:hAnsi="Arial"/>
                <w:sz w:val="15"/>
                <w:szCs w:val="15"/>
                <w:color w:val="auto"/>
              </w:rPr>
              <w:t>Accounts payable and accrued liabilities</w:t>
            </w:r>
          </w:p>
        </w:tc>
        <w:tc>
          <w:tcPr>
            <w:tcW w:w="2260" w:type="dxa"/>
            <w:vAlign w:val="bottom"/>
          </w:tcPr>
          <w:p>
            <w:pPr>
              <w:spacing w:after="0"/>
              <w:rPr>
                <w:sz w:val="20"/>
                <w:szCs w:val="20"/>
                <w:color w:val="auto"/>
              </w:rPr>
            </w:pP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2,629</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2,793</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Current portion of contingent consideration payable</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7</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3,079</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2,107</w:t>
            </w:r>
          </w:p>
        </w:tc>
      </w:tr>
      <w:tr>
        <w:trPr>
          <w:trHeight w:val="103"/>
        </w:trPr>
        <w:tc>
          <w:tcPr>
            <w:tcW w:w="526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8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Current Liabilities</w:t>
            </w:r>
          </w:p>
        </w:tc>
        <w:tc>
          <w:tcPr>
            <w:tcW w:w="2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5,708</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4,900</w:t>
            </w:r>
          </w:p>
        </w:tc>
      </w:tr>
      <w:tr>
        <w:trPr>
          <w:trHeight w:val="269"/>
        </w:trPr>
        <w:tc>
          <w:tcPr>
            <w:tcW w:w="5260" w:type="dxa"/>
            <w:vAlign w:val="bottom"/>
          </w:tcPr>
          <w:p>
            <w:pPr>
              <w:ind w:left="200"/>
              <w:spacing w:after="0"/>
              <w:rPr>
                <w:sz w:val="20"/>
                <w:szCs w:val="20"/>
                <w:color w:val="auto"/>
              </w:rPr>
            </w:pPr>
            <w:r>
              <w:rPr>
                <w:rFonts w:ascii="Arial" w:cs="Arial" w:eastAsia="Arial" w:hAnsi="Arial"/>
                <w:sz w:val="15"/>
                <w:szCs w:val="15"/>
                <w:b w:val="1"/>
                <w:bCs w:val="1"/>
                <w:color w:val="auto"/>
              </w:rPr>
              <w:t>Non-current</w:t>
            </w:r>
          </w:p>
        </w:tc>
        <w:tc>
          <w:tcPr>
            <w:tcW w:w="22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32"/>
        </w:trPr>
        <w:tc>
          <w:tcPr>
            <w:tcW w:w="5260" w:type="dxa"/>
            <w:vAlign w:val="bottom"/>
          </w:tcPr>
          <w:p>
            <w:pPr>
              <w:ind w:left="500"/>
              <w:spacing w:after="0"/>
              <w:rPr>
                <w:sz w:val="20"/>
                <w:szCs w:val="20"/>
                <w:color w:val="auto"/>
              </w:rPr>
            </w:pPr>
            <w:r>
              <w:rPr>
                <w:rFonts w:ascii="Arial" w:cs="Arial" w:eastAsia="Arial" w:hAnsi="Arial"/>
                <w:sz w:val="15"/>
                <w:szCs w:val="15"/>
                <w:color w:val="auto"/>
              </w:rPr>
              <w:t>Contingent consideration payable</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7</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363</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1,094</w:t>
            </w:r>
          </w:p>
        </w:tc>
      </w:tr>
      <w:tr>
        <w:trPr>
          <w:trHeight w:val="103"/>
        </w:trPr>
        <w:tc>
          <w:tcPr>
            <w:tcW w:w="526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87"/>
        </w:trPr>
        <w:tc>
          <w:tcPr>
            <w:tcW w:w="5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363</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1,094</w:t>
            </w:r>
          </w:p>
        </w:tc>
      </w:tr>
      <w:tr>
        <w:trPr>
          <w:trHeight w:val="115"/>
        </w:trPr>
        <w:tc>
          <w:tcPr>
            <w:tcW w:w="52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95"/>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LIABILITIES</w:t>
            </w:r>
          </w:p>
        </w:tc>
        <w:tc>
          <w:tcPr>
            <w:tcW w:w="2260" w:type="dxa"/>
            <w:vAlign w:val="bottom"/>
            <w:tcBorders>
              <w:bottom w:val="single" w:sz="8" w:color="auto"/>
            </w:tcBorders>
            <w:shd w:val="clear" w:color="auto" w:fill="D9D9D9"/>
          </w:tcPr>
          <w:p>
            <w:pPr>
              <w:spacing w:after="0"/>
              <w:rPr>
                <w:sz w:val="16"/>
                <w:szCs w:val="16"/>
                <w:color w:val="auto"/>
              </w:rPr>
            </w:pPr>
          </w:p>
        </w:tc>
        <w:tc>
          <w:tcPr>
            <w:tcW w:w="220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6,071</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5,994</w:t>
            </w:r>
          </w:p>
        </w:tc>
      </w:tr>
      <w:tr>
        <w:trPr>
          <w:trHeight w:val="220"/>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SHAREHOLDERS' EQUITY</w:t>
            </w:r>
          </w:p>
        </w:tc>
        <w:tc>
          <w:tcPr>
            <w:tcW w:w="22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Share capital</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8</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136,020</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100,676</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Contributed surplus</w:t>
            </w:r>
          </w:p>
        </w:tc>
        <w:tc>
          <w:tcPr>
            <w:tcW w:w="2260" w:type="dxa"/>
            <w:vAlign w:val="bottom"/>
          </w:tcPr>
          <w:p>
            <w:pPr>
              <w:spacing w:after="0"/>
              <w:rPr>
                <w:sz w:val="19"/>
                <w:szCs w:val="19"/>
                <w:color w:val="auto"/>
              </w:rPr>
            </w:pP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124</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124</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Options reserve</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8</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17,060</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7,158</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Warrants reserve</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8</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11,697</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11,166</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Accumulated other comprehensive (loss) income</w:t>
            </w:r>
          </w:p>
        </w:tc>
        <w:tc>
          <w:tcPr>
            <w:tcW w:w="2260" w:type="dxa"/>
            <w:vAlign w:val="bottom"/>
          </w:tcPr>
          <w:p>
            <w:pPr>
              <w:spacing w:after="0"/>
              <w:rPr>
                <w:sz w:val="19"/>
                <w:szCs w:val="19"/>
                <w:color w:val="auto"/>
              </w:rPr>
            </w:pPr>
          </w:p>
        </w:tc>
        <w:tc>
          <w:tcPr>
            <w:tcW w:w="2200" w:type="dxa"/>
            <w:vAlign w:val="bottom"/>
          </w:tcPr>
          <w:p>
            <w:pPr>
              <w:jc w:val="right"/>
              <w:ind w:right="347"/>
              <w:spacing w:after="0"/>
              <w:rPr>
                <w:sz w:val="20"/>
                <w:szCs w:val="20"/>
                <w:color w:val="auto"/>
              </w:rPr>
            </w:pPr>
            <w:r>
              <w:rPr>
                <w:rFonts w:ascii="Arial" w:cs="Arial" w:eastAsia="Arial" w:hAnsi="Arial"/>
                <w:sz w:val="15"/>
                <w:szCs w:val="15"/>
                <w:b w:val="1"/>
                <w:bCs w:val="1"/>
                <w:color w:val="auto"/>
              </w:rPr>
              <w:t>(153)</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24</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Deficit</w:t>
            </w:r>
          </w:p>
        </w:tc>
        <w:tc>
          <w:tcPr>
            <w:tcW w:w="2260" w:type="dxa"/>
            <w:vAlign w:val="bottom"/>
          </w:tcPr>
          <w:p>
            <w:pPr>
              <w:spacing w:after="0"/>
              <w:rPr>
                <w:sz w:val="19"/>
                <w:szCs w:val="19"/>
                <w:color w:val="auto"/>
              </w:rPr>
            </w:pPr>
          </w:p>
        </w:tc>
        <w:tc>
          <w:tcPr>
            <w:tcW w:w="2200" w:type="dxa"/>
            <w:vAlign w:val="bottom"/>
          </w:tcPr>
          <w:p>
            <w:pPr>
              <w:jc w:val="right"/>
              <w:ind w:right="347"/>
              <w:spacing w:after="0"/>
              <w:rPr>
                <w:sz w:val="20"/>
                <w:szCs w:val="20"/>
                <w:color w:val="auto"/>
              </w:rPr>
            </w:pPr>
            <w:r>
              <w:rPr>
                <w:rFonts w:ascii="Arial" w:cs="Arial" w:eastAsia="Arial" w:hAnsi="Arial"/>
                <w:sz w:val="15"/>
                <w:szCs w:val="15"/>
                <w:b w:val="1"/>
                <w:bCs w:val="1"/>
                <w:color w:val="auto"/>
              </w:rPr>
              <w:t>(65,354)</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(33,030)</w:t>
            </w:r>
          </w:p>
        </w:tc>
      </w:tr>
      <w:tr>
        <w:trPr>
          <w:trHeight w:val="103"/>
        </w:trPr>
        <w:tc>
          <w:tcPr>
            <w:tcW w:w="526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87"/>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SHAREHOLDERS' EQUITY</w:t>
            </w:r>
          </w:p>
        </w:tc>
        <w:tc>
          <w:tcPr>
            <w:tcW w:w="2260" w:type="dxa"/>
            <w:vAlign w:val="bottom"/>
            <w:tcBorders>
              <w:bottom w:val="single" w:sz="8" w:color="auto"/>
            </w:tcBorders>
            <w:shd w:val="clear" w:color="auto" w:fill="D9D9D9"/>
          </w:tcPr>
          <w:p>
            <w:pPr>
              <w:spacing w:after="0"/>
              <w:rPr>
                <w:sz w:val="16"/>
                <w:szCs w:val="16"/>
                <w:color w:val="auto"/>
              </w:rPr>
            </w:pPr>
          </w:p>
        </w:tc>
        <w:tc>
          <w:tcPr>
            <w:tcW w:w="220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99,394</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86,118</w:t>
            </w:r>
          </w:p>
        </w:tc>
      </w:tr>
      <w:tr>
        <w:trPr>
          <w:trHeight w:val="29"/>
        </w:trPr>
        <w:tc>
          <w:tcPr>
            <w:tcW w:w="5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5"/>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LIABILITIES AND SHAREHOLDERS' EQUITY</w:t>
            </w:r>
          </w:p>
        </w:tc>
        <w:tc>
          <w:tcPr>
            <w:tcW w:w="2260" w:type="dxa"/>
            <w:vAlign w:val="bottom"/>
            <w:tcBorders>
              <w:bottom w:val="single" w:sz="8" w:color="auto"/>
            </w:tcBorders>
            <w:shd w:val="clear" w:color="auto" w:fill="D9D9D9"/>
          </w:tcPr>
          <w:p>
            <w:pPr>
              <w:spacing w:after="0"/>
              <w:rPr>
                <w:sz w:val="16"/>
                <w:szCs w:val="16"/>
                <w:color w:val="auto"/>
              </w:rPr>
            </w:pPr>
          </w:p>
        </w:tc>
        <w:tc>
          <w:tcPr>
            <w:tcW w:w="220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105,465</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92,112</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Corporate information and continuance of operations (note 1)</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Commitments (note 11)</w:t>
      </w:r>
    </w:p>
    <w:p>
      <w:pPr>
        <w:spacing w:after="0"/>
        <w:rPr>
          <w:sz w:val="20"/>
          <w:szCs w:val="20"/>
          <w:color w:val="auto"/>
        </w:rPr>
      </w:pPr>
      <w:r>
        <w:rPr>
          <w:rFonts w:ascii="Arial" w:cs="Arial" w:eastAsia="Arial" w:hAnsi="Arial"/>
          <w:sz w:val="15"/>
          <w:szCs w:val="15"/>
          <w:i w:val="1"/>
          <w:iCs w:val="1"/>
          <w:color w:val="auto"/>
        </w:rPr>
        <w:t>Subsequent events (note 15)</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accompanying notes are an integral part of these condensed interim consolidated financial statements</w:t>
      </w:r>
    </w:p>
    <w:p>
      <w:pPr>
        <w:spacing w:after="0" w:line="120"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These condensed interim consolidation financial statements were approved for issue on November 12, 2021 by the board of directors and signed on its behalf by:</w:t>
      </w:r>
    </w:p>
    <w:p>
      <w:pPr>
        <w:spacing w:after="0" w:line="84"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i w:val="1"/>
          <w:iCs w:val="1"/>
          <w:color w:val="auto"/>
        </w:rPr>
        <w:t xml:space="preserve">/s/Paul Glavine </w:t>
      </w:r>
      <w:r>
        <w:rPr>
          <w:rFonts w:ascii="Arial" w:cs="Arial" w:eastAsia="Arial" w:hAnsi="Arial"/>
          <w:sz w:val="16"/>
          <w:szCs w:val="16"/>
          <w:color w:val="auto"/>
        </w:rPr>
        <w:t>Director</w:t>
      </w:r>
      <w:r>
        <w:rPr>
          <w:sz w:val="20"/>
          <w:szCs w:val="20"/>
          <w:color w:val="auto"/>
        </w:rPr>
        <w:tab/>
      </w:r>
      <w:r>
        <w:rPr>
          <w:rFonts w:ascii="Arial" w:cs="Arial" w:eastAsia="Arial" w:hAnsi="Arial"/>
          <w:sz w:val="16"/>
          <w:szCs w:val="16"/>
          <w:i w:val="1"/>
          <w:iCs w:val="1"/>
          <w:color w:val="auto"/>
        </w:rPr>
        <w:t xml:space="preserve">/s/ Eric So </w:t>
      </w:r>
      <w:r>
        <w:rPr>
          <w:rFonts w:ascii="Arial" w:cs="Arial" w:eastAsia="Arial" w:hAnsi="Arial"/>
          <w:sz w:val="16"/>
          <w:szCs w:val="16"/>
          <w:color w:val="auto"/>
        </w:rPr>
        <w:t>Director</w:t>
      </w:r>
    </w:p>
    <w:p>
      <w:pPr>
        <w:sectPr>
          <w:pgSz w:w="11900" w:h="16838" w:orient="portrait"/>
          <w:cols w:equalWidth="0" w:num="1">
            <w:col w:w="11260"/>
          </w:cols>
          <w:pgMar w:left="320" w:top="171" w:right="319" w:bottom="1440" w:gutter="0" w:footer="0" w:header="0"/>
        </w:sectPr>
      </w:pPr>
    </w:p>
    <w:bookmarkStart w:id="6" w:name="page7"/>
    <w:bookmarkEnd w:id="6"/>
    <w:p>
      <w:pPr>
        <w:ind w:left="60"/>
        <w:spacing w:after="0"/>
        <w:rPr>
          <w:sz w:val="20"/>
          <w:szCs w:val="20"/>
          <w:color w:val="auto"/>
        </w:rPr>
      </w:pPr>
      <w:r>
        <w:rPr>
          <w:rFonts w:ascii="Arial" w:cs="Arial" w:eastAsia="Arial" w:hAnsi="Arial"/>
          <w:sz w:val="20"/>
          <w:szCs w:val="20"/>
          <w:b w:val="1"/>
          <w:bCs w:val="1"/>
          <w:color w:val="auto"/>
        </w:rPr>
        <w:t>CYBIN INC.</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CONDENSED INTERIM CONSOLIDATED STATEMENTS OF LOSS AND COMPREHENSIVE LOSS</w:t>
      </w:r>
    </w:p>
    <w:p>
      <w:pPr>
        <w:ind w:left="60"/>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50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520" w:type="dxa"/>
            <w:vAlign w:val="bottom"/>
            <w:gridSpan w:val="2"/>
            <w:vMerge w:val="restart"/>
          </w:tcPr>
          <w:p>
            <w:pPr>
              <w:jc w:val="right"/>
              <w:ind w:right="527"/>
              <w:spacing w:after="0"/>
              <w:rPr>
                <w:sz w:val="20"/>
                <w:szCs w:val="20"/>
                <w:color w:val="auto"/>
              </w:rPr>
            </w:pPr>
            <w:r>
              <w:rPr>
                <w:rFonts w:ascii="Arial" w:cs="Arial" w:eastAsia="Arial" w:hAnsi="Arial"/>
                <w:sz w:val="16"/>
                <w:szCs w:val="16"/>
                <w:b w:val="1"/>
                <w:bCs w:val="1"/>
                <w:color w:val="auto"/>
              </w:rPr>
              <w:t>Three months ended September 30,</w:t>
            </w:r>
          </w:p>
        </w:tc>
        <w:tc>
          <w:tcPr>
            <w:tcW w:w="2040" w:type="dxa"/>
            <w:vAlign w:val="bottom"/>
          </w:tcPr>
          <w:p>
            <w:pPr>
              <w:jc w:val="right"/>
              <w:ind w:right="6"/>
              <w:spacing w:after="0"/>
              <w:rPr>
                <w:sz w:val="20"/>
                <w:szCs w:val="20"/>
                <w:color w:val="auto"/>
              </w:rPr>
            </w:pPr>
            <w:r>
              <w:rPr>
                <w:rFonts w:ascii="Arial" w:cs="Arial" w:eastAsia="Arial" w:hAnsi="Arial"/>
                <w:sz w:val="16"/>
                <w:szCs w:val="16"/>
                <w:b w:val="1"/>
                <w:bCs w:val="1"/>
                <w:color w:val="auto"/>
              </w:rPr>
              <w:t>Six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040" w:type="dxa"/>
            <w:vAlign w:val="bottom"/>
            <w:vMerge w:val="restart"/>
          </w:tcPr>
          <w:p>
            <w:pPr>
              <w:jc w:val="right"/>
              <w:ind w:right="126"/>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8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5"/>
                <w:szCs w:val="15"/>
                <w:i w:val="1"/>
                <w:iCs w:val="1"/>
                <w:color w:val="auto"/>
              </w:rPr>
              <w:t>Notes</w:t>
            </w:r>
          </w:p>
        </w:tc>
        <w:tc>
          <w:tcPr>
            <w:tcW w:w="192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2021</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2020</w:t>
            </w:r>
          </w:p>
        </w:tc>
        <w:tc>
          <w:tcPr>
            <w:tcW w:w="2040" w:type="dxa"/>
            <w:vAlign w:val="bottom"/>
            <w:tcBorders>
              <w:bottom w:val="single" w:sz="8" w:color="auto"/>
            </w:tcBorders>
          </w:tcPr>
          <w:p>
            <w:pPr>
              <w:jc w:val="right"/>
              <w:ind w:right="746"/>
              <w:spacing w:after="0"/>
              <w:rPr>
                <w:sz w:val="20"/>
                <w:szCs w:val="20"/>
                <w:color w:val="auto"/>
              </w:rPr>
            </w:pPr>
            <w:r>
              <w:rPr>
                <w:rFonts w:ascii="Arial" w:cs="Arial" w:eastAsia="Arial" w:hAnsi="Arial"/>
                <w:sz w:val="15"/>
                <w:szCs w:val="15"/>
                <w:b w:val="1"/>
                <w:bCs w:val="1"/>
                <w:color w:val="auto"/>
              </w:rPr>
              <w:t>2021</w:t>
            </w: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636"/>
        </w:trPr>
        <w:tc>
          <w:tcPr>
            <w:tcW w:w="3860" w:type="dxa"/>
            <w:vAlign w:val="bottom"/>
          </w:tcPr>
          <w:p>
            <w:pPr>
              <w:ind w:left="60"/>
              <w:spacing w:after="0"/>
              <w:rPr>
                <w:sz w:val="20"/>
                <w:szCs w:val="20"/>
                <w:color w:val="auto"/>
              </w:rPr>
            </w:pPr>
            <w:r>
              <w:rPr>
                <w:rFonts w:ascii="Arial" w:cs="Arial" w:eastAsia="Arial" w:hAnsi="Arial"/>
                <w:sz w:val="15"/>
                <w:szCs w:val="15"/>
                <w:b w:val="1"/>
                <w:bCs w:val="1"/>
                <w:color w:val="auto"/>
              </w:rPr>
              <w:t>REVENUE</w:t>
            </w:r>
          </w:p>
        </w:tc>
        <w:tc>
          <w:tcPr>
            <w:tcW w:w="960" w:type="dxa"/>
            <w:vAlign w:val="bottom"/>
          </w:tcPr>
          <w:p>
            <w:pPr>
              <w:spacing w:after="0"/>
              <w:rPr>
                <w:sz w:val="24"/>
                <w:szCs w:val="24"/>
                <w:color w:val="auto"/>
              </w:rPr>
            </w:pPr>
          </w:p>
        </w:tc>
        <w:tc>
          <w:tcPr>
            <w:tcW w:w="1920" w:type="dxa"/>
            <w:vAlign w:val="bottom"/>
          </w:tcPr>
          <w:p>
            <w:pPr>
              <w:jc w:val="right"/>
              <w:ind w:right="386"/>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2040" w:type="dxa"/>
            <w:vAlign w:val="bottom"/>
          </w:tcPr>
          <w:p>
            <w:pPr>
              <w:jc w:val="right"/>
              <w:ind w:right="746"/>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864</w:t>
            </w:r>
          </w:p>
        </w:tc>
        <w:tc>
          <w:tcPr>
            <w:tcW w:w="0" w:type="dxa"/>
            <w:vAlign w:val="bottom"/>
          </w:tcPr>
          <w:p>
            <w:pPr>
              <w:spacing w:after="0"/>
              <w:rPr>
                <w:sz w:val="1"/>
                <w:szCs w:val="1"/>
                <w:color w:val="auto"/>
              </w:rPr>
            </w:pPr>
          </w:p>
        </w:tc>
      </w:tr>
      <w:tr>
        <w:trPr>
          <w:trHeight w:val="198"/>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COST OF GOODS SOLD</w:t>
            </w:r>
          </w:p>
        </w:tc>
        <w:tc>
          <w:tcPr>
            <w:tcW w:w="9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2040" w:type="dxa"/>
            <w:vAlign w:val="bottom"/>
            <w:tcBorders>
              <w:bottom w:val="single" w:sz="8" w:color="auto"/>
            </w:tcBorders>
          </w:tcPr>
          <w:p>
            <w:pPr>
              <w:jc w:val="right"/>
              <w:ind w:right="746"/>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664</w:t>
            </w:r>
          </w:p>
        </w:tc>
        <w:tc>
          <w:tcPr>
            <w:tcW w:w="0" w:type="dxa"/>
            <w:vAlign w:val="bottom"/>
          </w:tcPr>
          <w:p>
            <w:pPr>
              <w:spacing w:after="0"/>
              <w:rPr>
                <w:sz w:val="1"/>
                <w:szCs w:val="1"/>
                <w:color w:val="auto"/>
              </w:rPr>
            </w:pPr>
          </w:p>
        </w:tc>
      </w:tr>
      <w:tr>
        <w:trPr>
          <w:trHeight w:val="190"/>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GROSS PROFIT</w:t>
            </w:r>
          </w:p>
        </w:tc>
        <w:tc>
          <w:tcPr>
            <w:tcW w:w="9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2040" w:type="dxa"/>
            <w:vAlign w:val="bottom"/>
            <w:tcBorders>
              <w:bottom w:val="single" w:sz="8" w:color="auto"/>
            </w:tcBorders>
          </w:tcPr>
          <w:p>
            <w:pPr>
              <w:jc w:val="right"/>
              <w:ind w:right="746"/>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404"/>
        </w:trPr>
        <w:tc>
          <w:tcPr>
            <w:tcW w:w="3860" w:type="dxa"/>
            <w:vAlign w:val="bottom"/>
          </w:tcPr>
          <w:p>
            <w:pPr>
              <w:ind w:left="60"/>
              <w:spacing w:after="0"/>
              <w:rPr>
                <w:sz w:val="20"/>
                <w:szCs w:val="20"/>
                <w:color w:val="auto"/>
              </w:rPr>
            </w:pPr>
            <w:r>
              <w:rPr>
                <w:rFonts w:ascii="Arial" w:cs="Arial" w:eastAsia="Arial" w:hAnsi="Arial"/>
                <w:sz w:val="15"/>
                <w:szCs w:val="15"/>
                <w:b w:val="1"/>
                <w:bCs w:val="1"/>
                <w:color w:val="auto"/>
              </w:rPr>
              <w:t>EXPENSES</w:t>
            </w:r>
          </w:p>
        </w:tc>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960" w:type="dxa"/>
            <w:vAlign w:val="bottom"/>
          </w:tcPr>
          <w:p>
            <w:pPr>
              <w:jc w:val="center"/>
              <w:spacing w:after="0"/>
              <w:rPr>
                <w:sz w:val="20"/>
                <w:szCs w:val="20"/>
                <w:color w:val="auto"/>
              </w:rPr>
            </w:pPr>
            <w:r>
              <w:rPr>
                <w:rFonts w:ascii="Arial" w:cs="Arial" w:eastAsia="Arial" w:hAnsi="Arial"/>
                <w:sz w:val="15"/>
                <w:szCs w:val="15"/>
                <w:i w:val="1"/>
                <w:iCs w:val="1"/>
                <w:color w:val="auto"/>
                <w:w w:val="95"/>
              </w:rPr>
              <w:t>8,9</w:t>
            </w:r>
          </w:p>
        </w:tc>
        <w:tc>
          <w:tcPr>
            <w:tcW w:w="1920" w:type="dxa"/>
            <w:vAlign w:val="bottom"/>
          </w:tcPr>
          <w:p>
            <w:pPr>
              <w:jc w:val="right"/>
              <w:ind w:right="386"/>
              <w:spacing w:after="0"/>
              <w:rPr>
                <w:sz w:val="20"/>
                <w:szCs w:val="20"/>
                <w:color w:val="auto"/>
              </w:rPr>
            </w:pPr>
            <w:r>
              <w:rPr>
                <w:rFonts w:ascii="Arial" w:cs="Arial" w:eastAsia="Arial" w:hAnsi="Arial"/>
                <w:sz w:val="15"/>
                <w:szCs w:val="15"/>
                <w:b w:val="1"/>
                <w:bCs w:val="1"/>
                <w:color w:val="auto"/>
              </w:rPr>
              <w:t>5,457</w:t>
            </w:r>
          </w:p>
        </w:tc>
        <w:tc>
          <w:tcPr>
            <w:tcW w:w="1600" w:type="dxa"/>
            <w:vAlign w:val="bottom"/>
          </w:tcPr>
          <w:p>
            <w:pPr>
              <w:jc w:val="right"/>
              <w:ind w:right="327"/>
              <w:spacing w:after="0"/>
              <w:rPr>
                <w:sz w:val="20"/>
                <w:szCs w:val="20"/>
                <w:color w:val="auto"/>
              </w:rPr>
            </w:pPr>
            <w:r>
              <w:rPr>
                <w:rFonts w:ascii="Arial" w:cs="Arial" w:eastAsia="Arial" w:hAnsi="Arial"/>
                <w:sz w:val="15"/>
                <w:szCs w:val="15"/>
                <w:color w:val="auto"/>
              </w:rPr>
              <w:t>786</w:t>
            </w:r>
          </w:p>
        </w:tc>
        <w:tc>
          <w:tcPr>
            <w:tcW w:w="2040" w:type="dxa"/>
            <w:vAlign w:val="bottom"/>
          </w:tcPr>
          <w:p>
            <w:pPr>
              <w:jc w:val="right"/>
              <w:ind w:right="746"/>
              <w:spacing w:after="0"/>
              <w:rPr>
                <w:sz w:val="20"/>
                <w:szCs w:val="20"/>
                <w:color w:val="auto"/>
              </w:rPr>
            </w:pPr>
            <w:r>
              <w:rPr>
                <w:rFonts w:ascii="Arial" w:cs="Arial" w:eastAsia="Arial" w:hAnsi="Arial"/>
                <w:sz w:val="15"/>
                <w:szCs w:val="15"/>
                <w:b w:val="1"/>
                <w:bCs w:val="1"/>
                <w:color w:val="auto"/>
              </w:rPr>
              <w:t>10,230</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3,274</w:t>
            </w:r>
          </w:p>
        </w:tc>
        <w:tc>
          <w:tcPr>
            <w:tcW w:w="0" w:type="dxa"/>
            <w:vAlign w:val="bottom"/>
          </w:tcPr>
          <w:p>
            <w:pPr>
              <w:spacing w:after="0"/>
              <w:rPr>
                <w:sz w:val="1"/>
                <w:szCs w:val="1"/>
                <w:color w:val="auto"/>
              </w:rPr>
            </w:pPr>
          </w:p>
        </w:tc>
      </w:tr>
      <w:tr>
        <w:trPr>
          <w:trHeight w:val="220"/>
        </w:trPr>
        <w:tc>
          <w:tcPr>
            <w:tcW w:w="3860" w:type="dxa"/>
            <w:vAlign w:val="bottom"/>
          </w:tcPr>
          <w:p>
            <w:pPr>
              <w:ind w:left="200"/>
              <w:spacing w:after="0"/>
              <w:rPr>
                <w:sz w:val="20"/>
                <w:szCs w:val="20"/>
                <w:color w:val="auto"/>
              </w:rPr>
            </w:pPr>
            <w:r>
              <w:rPr>
                <w:rFonts w:ascii="Arial" w:cs="Arial" w:eastAsia="Arial" w:hAnsi="Arial"/>
                <w:sz w:val="15"/>
                <w:szCs w:val="15"/>
                <w:color w:val="auto"/>
              </w:rPr>
              <w:t>General and administrative costs</w:t>
            </w:r>
          </w:p>
        </w:tc>
        <w:tc>
          <w:tcPr>
            <w:tcW w:w="960" w:type="dxa"/>
            <w:vAlign w:val="bottom"/>
          </w:tcPr>
          <w:p>
            <w:pPr>
              <w:jc w:val="center"/>
              <w:spacing w:after="0"/>
              <w:rPr>
                <w:sz w:val="20"/>
                <w:szCs w:val="20"/>
                <w:color w:val="auto"/>
              </w:rPr>
            </w:pPr>
            <w:r>
              <w:rPr>
                <w:rFonts w:ascii="Arial" w:cs="Arial" w:eastAsia="Arial" w:hAnsi="Arial"/>
                <w:sz w:val="15"/>
                <w:szCs w:val="15"/>
                <w:i w:val="1"/>
                <w:iCs w:val="1"/>
                <w:color w:val="auto"/>
                <w:w w:val="95"/>
              </w:rPr>
              <w:t>10</w:t>
            </w:r>
          </w:p>
        </w:tc>
        <w:tc>
          <w:tcPr>
            <w:tcW w:w="1920" w:type="dxa"/>
            <w:vAlign w:val="bottom"/>
          </w:tcPr>
          <w:p>
            <w:pPr>
              <w:jc w:val="right"/>
              <w:ind w:right="386"/>
              <w:spacing w:after="0"/>
              <w:rPr>
                <w:sz w:val="20"/>
                <w:szCs w:val="20"/>
                <w:color w:val="auto"/>
              </w:rPr>
            </w:pPr>
            <w:r>
              <w:rPr>
                <w:rFonts w:ascii="Arial" w:cs="Arial" w:eastAsia="Arial" w:hAnsi="Arial"/>
                <w:sz w:val="15"/>
                <w:szCs w:val="15"/>
                <w:b w:val="1"/>
                <w:bCs w:val="1"/>
                <w:color w:val="auto"/>
              </w:rPr>
              <w:t>7,831</w:t>
            </w:r>
          </w:p>
        </w:tc>
        <w:tc>
          <w:tcPr>
            <w:tcW w:w="1600" w:type="dxa"/>
            <w:vAlign w:val="bottom"/>
          </w:tcPr>
          <w:p>
            <w:pPr>
              <w:jc w:val="right"/>
              <w:ind w:right="327"/>
              <w:spacing w:after="0"/>
              <w:rPr>
                <w:sz w:val="20"/>
                <w:szCs w:val="20"/>
                <w:color w:val="auto"/>
              </w:rPr>
            </w:pPr>
            <w:r>
              <w:rPr>
                <w:rFonts w:ascii="Arial" w:cs="Arial" w:eastAsia="Arial" w:hAnsi="Arial"/>
                <w:sz w:val="15"/>
                <w:szCs w:val="15"/>
                <w:color w:val="auto"/>
              </w:rPr>
              <w:t>1,340</w:t>
            </w:r>
          </w:p>
        </w:tc>
        <w:tc>
          <w:tcPr>
            <w:tcW w:w="2040" w:type="dxa"/>
            <w:vAlign w:val="bottom"/>
          </w:tcPr>
          <w:p>
            <w:pPr>
              <w:jc w:val="right"/>
              <w:ind w:right="746"/>
              <w:spacing w:after="0"/>
              <w:rPr>
                <w:sz w:val="20"/>
                <w:szCs w:val="20"/>
                <w:color w:val="auto"/>
              </w:rPr>
            </w:pPr>
            <w:r>
              <w:rPr>
                <w:rFonts w:ascii="Arial" w:cs="Arial" w:eastAsia="Arial" w:hAnsi="Arial"/>
                <w:sz w:val="15"/>
                <w:szCs w:val="15"/>
                <w:b w:val="1"/>
                <w:bCs w:val="1"/>
                <w:color w:val="auto"/>
              </w:rPr>
              <w:t>14,021</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2,567</w:t>
            </w:r>
          </w:p>
        </w:tc>
        <w:tc>
          <w:tcPr>
            <w:tcW w:w="0" w:type="dxa"/>
            <w:vAlign w:val="bottom"/>
          </w:tcPr>
          <w:p>
            <w:pPr>
              <w:spacing w:after="0"/>
              <w:rPr>
                <w:sz w:val="1"/>
                <w:szCs w:val="1"/>
                <w:color w:val="auto"/>
              </w:rPr>
            </w:pPr>
          </w:p>
        </w:tc>
      </w:tr>
      <w:tr>
        <w:trPr>
          <w:trHeight w:val="220"/>
        </w:trPr>
        <w:tc>
          <w:tcPr>
            <w:tcW w:w="3860" w:type="dxa"/>
            <w:vAlign w:val="bottom"/>
          </w:tcPr>
          <w:p>
            <w:pPr>
              <w:ind w:left="200"/>
              <w:spacing w:after="0"/>
              <w:rPr>
                <w:sz w:val="20"/>
                <w:szCs w:val="20"/>
                <w:color w:val="auto"/>
              </w:rPr>
            </w:pPr>
            <w:r>
              <w:rPr>
                <w:rFonts w:ascii="Arial" w:cs="Arial" w:eastAsia="Arial" w:hAnsi="Arial"/>
                <w:sz w:val="15"/>
                <w:szCs w:val="15"/>
                <w:color w:val="auto"/>
              </w:rPr>
              <w:t>Research</w:t>
            </w:r>
          </w:p>
        </w:tc>
        <w:tc>
          <w:tcPr>
            <w:tcW w:w="960" w:type="dxa"/>
            <w:vAlign w:val="bottom"/>
          </w:tcPr>
          <w:p>
            <w:pPr>
              <w:spacing w:after="0"/>
              <w:rPr>
                <w:sz w:val="19"/>
                <w:szCs w:val="19"/>
                <w:color w:val="auto"/>
              </w:rPr>
            </w:pPr>
          </w:p>
        </w:tc>
        <w:tc>
          <w:tcPr>
            <w:tcW w:w="1920" w:type="dxa"/>
            <w:vAlign w:val="bottom"/>
          </w:tcPr>
          <w:p>
            <w:pPr>
              <w:jc w:val="right"/>
              <w:ind w:right="386"/>
              <w:spacing w:after="0"/>
              <w:rPr>
                <w:sz w:val="20"/>
                <w:szCs w:val="20"/>
                <w:color w:val="auto"/>
              </w:rPr>
            </w:pPr>
            <w:r>
              <w:rPr>
                <w:rFonts w:ascii="Arial" w:cs="Arial" w:eastAsia="Arial" w:hAnsi="Arial"/>
                <w:sz w:val="15"/>
                <w:szCs w:val="15"/>
                <w:b w:val="1"/>
                <w:bCs w:val="1"/>
                <w:color w:val="auto"/>
              </w:rPr>
              <w:t>3,818</w:t>
            </w:r>
          </w:p>
        </w:tc>
        <w:tc>
          <w:tcPr>
            <w:tcW w:w="1600" w:type="dxa"/>
            <w:vAlign w:val="bottom"/>
          </w:tcPr>
          <w:p>
            <w:pPr>
              <w:jc w:val="right"/>
              <w:ind w:right="327"/>
              <w:spacing w:after="0"/>
              <w:rPr>
                <w:sz w:val="20"/>
                <w:szCs w:val="20"/>
                <w:color w:val="auto"/>
              </w:rPr>
            </w:pPr>
            <w:r>
              <w:rPr>
                <w:rFonts w:ascii="Arial" w:cs="Arial" w:eastAsia="Arial" w:hAnsi="Arial"/>
                <w:sz w:val="15"/>
                <w:szCs w:val="15"/>
                <w:color w:val="auto"/>
              </w:rPr>
              <w:t>435</w:t>
            </w:r>
          </w:p>
        </w:tc>
        <w:tc>
          <w:tcPr>
            <w:tcW w:w="2040" w:type="dxa"/>
            <w:vAlign w:val="bottom"/>
          </w:tcPr>
          <w:p>
            <w:pPr>
              <w:jc w:val="right"/>
              <w:ind w:right="746"/>
              <w:spacing w:after="0"/>
              <w:rPr>
                <w:sz w:val="20"/>
                <w:szCs w:val="20"/>
                <w:color w:val="auto"/>
              </w:rPr>
            </w:pPr>
            <w:r>
              <w:rPr>
                <w:rFonts w:ascii="Arial" w:cs="Arial" w:eastAsia="Arial" w:hAnsi="Arial"/>
                <w:sz w:val="15"/>
                <w:szCs w:val="15"/>
                <w:b w:val="1"/>
                <w:bCs w:val="1"/>
                <w:color w:val="auto"/>
              </w:rPr>
              <w:t>6,794</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1,140</w:t>
            </w:r>
          </w:p>
        </w:tc>
        <w:tc>
          <w:tcPr>
            <w:tcW w:w="0" w:type="dxa"/>
            <w:vAlign w:val="bottom"/>
          </w:tcPr>
          <w:p>
            <w:pPr>
              <w:spacing w:after="0"/>
              <w:rPr>
                <w:sz w:val="1"/>
                <w:szCs w:val="1"/>
                <w:color w:val="auto"/>
              </w:rPr>
            </w:pPr>
          </w:p>
        </w:tc>
      </w:tr>
      <w:tr>
        <w:trPr>
          <w:trHeight w:val="237"/>
        </w:trPr>
        <w:tc>
          <w:tcPr>
            <w:tcW w:w="38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EXPENSES</w:t>
            </w:r>
          </w:p>
        </w:tc>
        <w:tc>
          <w:tcPr>
            <w:tcW w:w="9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17,106</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2,561</w:t>
            </w:r>
          </w:p>
        </w:tc>
        <w:tc>
          <w:tcPr>
            <w:tcW w:w="2040" w:type="dxa"/>
            <w:vAlign w:val="bottom"/>
            <w:tcBorders>
              <w:bottom w:val="single" w:sz="8" w:color="auto"/>
            </w:tcBorders>
          </w:tcPr>
          <w:p>
            <w:pPr>
              <w:jc w:val="right"/>
              <w:ind w:right="746"/>
              <w:spacing w:after="0"/>
              <w:rPr>
                <w:sz w:val="20"/>
                <w:szCs w:val="20"/>
                <w:color w:val="auto"/>
              </w:rPr>
            </w:pPr>
            <w:r>
              <w:rPr>
                <w:rFonts w:ascii="Arial" w:cs="Arial" w:eastAsia="Arial" w:hAnsi="Arial"/>
                <w:sz w:val="15"/>
                <w:szCs w:val="15"/>
                <w:b w:val="1"/>
                <w:bCs w:val="1"/>
                <w:color w:val="auto"/>
              </w:rPr>
              <w:t>31,045</w:t>
            </w: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6,981</w:t>
            </w:r>
          </w:p>
        </w:tc>
        <w:tc>
          <w:tcPr>
            <w:tcW w:w="0" w:type="dxa"/>
            <w:vAlign w:val="bottom"/>
          </w:tcPr>
          <w:p>
            <w:pPr>
              <w:spacing w:after="0"/>
              <w:rPr>
                <w:sz w:val="1"/>
                <w:szCs w:val="1"/>
                <w:color w:val="auto"/>
              </w:rPr>
            </w:pPr>
          </w:p>
        </w:tc>
      </w:tr>
      <w:tr>
        <w:trPr>
          <w:trHeight w:val="404"/>
        </w:trPr>
        <w:tc>
          <w:tcPr>
            <w:tcW w:w="3860" w:type="dxa"/>
            <w:vAlign w:val="bottom"/>
          </w:tcPr>
          <w:p>
            <w:pPr>
              <w:ind w:left="60"/>
              <w:spacing w:after="0"/>
              <w:rPr>
                <w:sz w:val="20"/>
                <w:szCs w:val="20"/>
                <w:color w:val="auto"/>
              </w:rPr>
            </w:pPr>
            <w:r>
              <w:rPr>
                <w:rFonts w:ascii="Arial" w:cs="Arial" w:eastAsia="Arial" w:hAnsi="Arial"/>
                <w:sz w:val="15"/>
                <w:szCs w:val="15"/>
                <w:b w:val="1"/>
                <w:bCs w:val="1"/>
                <w:color w:val="auto"/>
              </w:rPr>
              <w:t>OTHER INCOME (EXPENSES)</w:t>
            </w:r>
          </w:p>
        </w:tc>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960" w:type="dxa"/>
            <w:vAlign w:val="bottom"/>
          </w:tcPr>
          <w:p>
            <w:pPr>
              <w:spacing w:after="0"/>
              <w:rPr>
                <w:sz w:val="19"/>
                <w:szCs w:val="19"/>
                <w:color w:val="auto"/>
              </w:rPr>
            </w:pPr>
          </w:p>
        </w:tc>
        <w:tc>
          <w:tcPr>
            <w:tcW w:w="1920" w:type="dxa"/>
            <w:vAlign w:val="bottom"/>
          </w:tcPr>
          <w:p>
            <w:pPr>
              <w:jc w:val="right"/>
              <w:ind w:right="386"/>
              <w:spacing w:after="0"/>
              <w:rPr>
                <w:sz w:val="20"/>
                <w:szCs w:val="20"/>
                <w:color w:val="auto"/>
              </w:rPr>
            </w:pPr>
            <w:r>
              <w:rPr>
                <w:rFonts w:ascii="Arial" w:cs="Arial" w:eastAsia="Arial" w:hAnsi="Arial"/>
                <w:sz w:val="15"/>
                <w:szCs w:val="15"/>
                <w:b w:val="1"/>
                <w:bCs w:val="1"/>
                <w:color w:val="auto"/>
              </w:rPr>
              <w:t>51</w:t>
            </w:r>
          </w:p>
        </w:tc>
        <w:tc>
          <w:tcPr>
            <w:tcW w:w="16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2040" w:type="dxa"/>
            <w:vAlign w:val="bottom"/>
          </w:tcPr>
          <w:p>
            <w:pPr>
              <w:jc w:val="right"/>
              <w:ind w:right="746"/>
              <w:spacing w:after="0"/>
              <w:rPr>
                <w:sz w:val="20"/>
                <w:szCs w:val="20"/>
                <w:color w:val="auto"/>
              </w:rPr>
            </w:pPr>
            <w:r>
              <w:rPr>
                <w:rFonts w:ascii="Arial" w:cs="Arial" w:eastAsia="Arial" w:hAnsi="Arial"/>
                <w:sz w:val="15"/>
                <w:szCs w:val="15"/>
                <w:b w:val="1"/>
                <w:bCs w:val="1"/>
                <w:color w:val="auto"/>
              </w:rPr>
              <w:t>95</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860" w:type="dxa"/>
            <w:vAlign w:val="bottom"/>
          </w:tcPr>
          <w:p>
            <w:pPr>
              <w:ind w:left="200"/>
              <w:spacing w:after="0"/>
              <w:rPr>
                <w:sz w:val="20"/>
                <w:szCs w:val="20"/>
                <w:color w:val="auto"/>
              </w:rPr>
            </w:pPr>
            <w:r>
              <w:rPr>
                <w:rFonts w:ascii="Arial" w:cs="Arial" w:eastAsia="Arial" w:hAnsi="Arial"/>
                <w:sz w:val="15"/>
                <w:szCs w:val="15"/>
                <w:color w:val="auto"/>
              </w:rPr>
              <w:t>Accretion on convertible debt</w:t>
            </w:r>
          </w:p>
        </w:tc>
        <w:tc>
          <w:tcPr>
            <w:tcW w:w="960" w:type="dxa"/>
            <w:vAlign w:val="bottom"/>
          </w:tcPr>
          <w:p>
            <w:pPr>
              <w:spacing w:after="0"/>
              <w:rPr>
                <w:sz w:val="19"/>
                <w:szCs w:val="19"/>
                <w:color w:val="auto"/>
              </w:rPr>
            </w:pPr>
          </w:p>
        </w:tc>
        <w:tc>
          <w:tcPr>
            <w:tcW w:w="1920" w:type="dxa"/>
            <w:vAlign w:val="bottom"/>
          </w:tcPr>
          <w:p>
            <w:pPr>
              <w:jc w:val="right"/>
              <w:ind w:right="386"/>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2040" w:type="dxa"/>
            <w:vAlign w:val="bottom"/>
          </w:tcPr>
          <w:p>
            <w:pPr>
              <w:jc w:val="right"/>
              <w:ind w:right="746"/>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0"/>
        </w:trPr>
        <w:tc>
          <w:tcPr>
            <w:tcW w:w="3860" w:type="dxa"/>
            <w:vAlign w:val="bottom"/>
          </w:tcPr>
          <w:p>
            <w:pPr>
              <w:ind w:left="260"/>
              <w:spacing w:after="0"/>
              <w:rPr>
                <w:sz w:val="20"/>
                <w:szCs w:val="20"/>
                <w:color w:val="auto"/>
              </w:rPr>
            </w:pPr>
            <w:r>
              <w:rPr>
                <w:rFonts w:ascii="Arial" w:cs="Arial" w:eastAsia="Arial" w:hAnsi="Arial"/>
                <w:sz w:val="15"/>
                <w:szCs w:val="15"/>
                <w:color w:val="auto"/>
              </w:rPr>
              <w:t>Foreign currency translation gain (loss)</w:t>
            </w:r>
          </w:p>
        </w:tc>
        <w:tc>
          <w:tcPr>
            <w:tcW w:w="960" w:type="dxa"/>
            <w:vAlign w:val="bottom"/>
          </w:tcPr>
          <w:p>
            <w:pPr>
              <w:spacing w:after="0"/>
              <w:rPr>
                <w:sz w:val="19"/>
                <w:szCs w:val="19"/>
                <w:color w:val="auto"/>
              </w:rPr>
            </w:pPr>
          </w:p>
        </w:tc>
        <w:tc>
          <w:tcPr>
            <w:tcW w:w="1920" w:type="dxa"/>
            <w:vAlign w:val="bottom"/>
          </w:tcPr>
          <w:p>
            <w:pPr>
              <w:jc w:val="right"/>
              <w:ind w:right="386"/>
              <w:spacing w:after="0"/>
              <w:rPr>
                <w:sz w:val="20"/>
                <w:szCs w:val="20"/>
                <w:color w:val="auto"/>
              </w:rPr>
            </w:pPr>
            <w:r>
              <w:rPr>
                <w:rFonts w:ascii="Arial" w:cs="Arial" w:eastAsia="Arial" w:hAnsi="Arial"/>
                <w:sz w:val="15"/>
                <w:szCs w:val="15"/>
                <w:b w:val="1"/>
                <w:bCs w:val="1"/>
                <w:color w:val="auto"/>
              </w:rPr>
              <w:t>155</w:t>
            </w:r>
          </w:p>
        </w:tc>
        <w:tc>
          <w:tcPr>
            <w:tcW w:w="1600" w:type="dxa"/>
            <w:vAlign w:val="bottom"/>
          </w:tcPr>
          <w:p>
            <w:pPr>
              <w:jc w:val="right"/>
              <w:ind w:right="327"/>
              <w:spacing w:after="0"/>
              <w:rPr>
                <w:sz w:val="20"/>
                <w:szCs w:val="20"/>
                <w:color w:val="auto"/>
              </w:rPr>
            </w:pPr>
            <w:r>
              <w:rPr>
                <w:rFonts w:ascii="Arial" w:cs="Arial" w:eastAsia="Arial" w:hAnsi="Arial"/>
                <w:sz w:val="15"/>
                <w:szCs w:val="15"/>
                <w:color w:val="auto"/>
              </w:rPr>
              <w:t>(99)</w:t>
            </w:r>
          </w:p>
        </w:tc>
        <w:tc>
          <w:tcPr>
            <w:tcW w:w="2040" w:type="dxa"/>
            <w:vAlign w:val="bottom"/>
          </w:tcPr>
          <w:p>
            <w:pPr>
              <w:jc w:val="right"/>
              <w:ind w:right="746"/>
              <w:spacing w:after="0"/>
              <w:rPr>
                <w:sz w:val="20"/>
                <w:szCs w:val="20"/>
                <w:color w:val="auto"/>
              </w:rPr>
            </w:pPr>
            <w:r>
              <w:rPr>
                <w:rFonts w:ascii="Arial" w:cs="Arial" w:eastAsia="Arial" w:hAnsi="Arial"/>
                <w:sz w:val="15"/>
                <w:szCs w:val="15"/>
                <w:b w:val="1"/>
                <w:bCs w:val="1"/>
                <w:color w:val="auto"/>
              </w:rPr>
              <w:t>106</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220"/>
        </w:trPr>
        <w:tc>
          <w:tcPr>
            <w:tcW w:w="3860" w:type="dxa"/>
            <w:vAlign w:val="bottom"/>
          </w:tcPr>
          <w:p>
            <w:pPr>
              <w:ind w:left="260"/>
              <w:spacing w:after="0"/>
              <w:rPr>
                <w:sz w:val="20"/>
                <w:szCs w:val="20"/>
                <w:color w:val="auto"/>
              </w:rPr>
            </w:pPr>
            <w:r>
              <w:rPr>
                <w:rFonts w:ascii="Arial" w:cs="Arial" w:eastAsia="Arial" w:hAnsi="Arial"/>
                <w:sz w:val="15"/>
                <w:szCs w:val="15"/>
                <w:color w:val="auto"/>
              </w:rPr>
              <w:t>Contingent consideration accretion</w:t>
            </w:r>
          </w:p>
        </w:tc>
        <w:tc>
          <w:tcPr>
            <w:tcW w:w="960" w:type="dxa"/>
            <w:vAlign w:val="bottom"/>
          </w:tcPr>
          <w:p>
            <w:pPr>
              <w:jc w:val="center"/>
              <w:spacing w:after="0"/>
              <w:rPr>
                <w:sz w:val="20"/>
                <w:szCs w:val="20"/>
                <w:color w:val="auto"/>
              </w:rPr>
            </w:pPr>
            <w:r>
              <w:rPr>
                <w:rFonts w:ascii="Arial" w:cs="Arial" w:eastAsia="Arial" w:hAnsi="Arial"/>
                <w:sz w:val="15"/>
                <w:szCs w:val="15"/>
                <w:i w:val="1"/>
                <w:iCs w:val="1"/>
                <w:color w:val="auto"/>
                <w:w w:val="95"/>
              </w:rPr>
              <w:t>7</w:t>
            </w:r>
          </w:p>
        </w:tc>
        <w:tc>
          <w:tcPr>
            <w:tcW w:w="1920" w:type="dxa"/>
            <w:vAlign w:val="bottom"/>
          </w:tcPr>
          <w:p>
            <w:pPr>
              <w:jc w:val="right"/>
              <w:ind w:right="386"/>
              <w:spacing w:after="0"/>
              <w:rPr>
                <w:sz w:val="20"/>
                <w:szCs w:val="20"/>
                <w:color w:val="auto"/>
              </w:rPr>
            </w:pPr>
            <w:r>
              <w:rPr>
                <w:rFonts w:ascii="Arial" w:cs="Arial" w:eastAsia="Arial" w:hAnsi="Arial"/>
                <w:sz w:val="15"/>
                <w:szCs w:val="15"/>
                <w:b w:val="1"/>
                <w:bCs w:val="1"/>
                <w:color w:val="auto"/>
              </w:rPr>
              <w:t>(70)</w:t>
            </w:r>
          </w:p>
        </w:tc>
        <w:tc>
          <w:tcPr>
            <w:tcW w:w="16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2040" w:type="dxa"/>
            <w:vAlign w:val="bottom"/>
          </w:tcPr>
          <w:p>
            <w:pPr>
              <w:jc w:val="right"/>
              <w:ind w:right="746"/>
              <w:spacing w:after="0"/>
              <w:rPr>
                <w:sz w:val="20"/>
                <w:szCs w:val="20"/>
                <w:color w:val="auto"/>
              </w:rPr>
            </w:pPr>
            <w:r>
              <w:rPr>
                <w:rFonts w:ascii="Arial" w:cs="Arial" w:eastAsia="Arial" w:hAnsi="Arial"/>
                <w:sz w:val="15"/>
                <w:szCs w:val="15"/>
                <w:b w:val="1"/>
                <w:bCs w:val="1"/>
                <w:color w:val="auto"/>
              </w:rPr>
              <w:t>(231)</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3860" w:type="dxa"/>
            <w:vAlign w:val="bottom"/>
          </w:tcPr>
          <w:p>
            <w:pPr>
              <w:ind w:left="240"/>
              <w:spacing w:after="0"/>
              <w:rPr>
                <w:sz w:val="20"/>
                <w:szCs w:val="20"/>
                <w:color w:val="auto"/>
              </w:rPr>
            </w:pPr>
            <w:r>
              <w:rPr>
                <w:rFonts w:ascii="Arial" w:cs="Arial" w:eastAsia="Arial" w:hAnsi="Arial"/>
                <w:sz w:val="15"/>
                <w:szCs w:val="15"/>
                <w:color w:val="auto"/>
              </w:rPr>
              <w:t>Change in fair value of contingent consideration</w:t>
            </w:r>
          </w:p>
        </w:tc>
        <w:tc>
          <w:tcPr>
            <w:tcW w:w="960" w:type="dxa"/>
            <w:vAlign w:val="bottom"/>
          </w:tcPr>
          <w:p>
            <w:pPr>
              <w:jc w:val="center"/>
              <w:spacing w:after="0"/>
              <w:rPr>
                <w:sz w:val="20"/>
                <w:szCs w:val="20"/>
                <w:color w:val="auto"/>
              </w:rPr>
            </w:pPr>
            <w:r>
              <w:rPr>
                <w:rFonts w:ascii="Arial" w:cs="Arial" w:eastAsia="Arial" w:hAnsi="Arial"/>
                <w:sz w:val="15"/>
                <w:szCs w:val="15"/>
                <w:i w:val="1"/>
                <w:iCs w:val="1"/>
                <w:color w:val="auto"/>
                <w:w w:val="95"/>
              </w:rPr>
              <w:t>7</w:t>
            </w:r>
          </w:p>
        </w:tc>
        <w:tc>
          <w:tcPr>
            <w:tcW w:w="1920" w:type="dxa"/>
            <w:vAlign w:val="bottom"/>
          </w:tcPr>
          <w:p>
            <w:pPr>
              <w:jc w:val="right"/>
              <w:ind w:right="386"/>
              <w:spacing w:after="0"/>
              <w:rPr>
                <w:sz w:val="20"/>
                <w:szCs w:val="20"/>
                <w:color w:val="auto"/>
              </w:rPr>
            </w:pPr>
            <w:r>
              <w:rPr>
                <w:rFonts w:ascii="Arial" w:cs="Arial" w:eastAsia="Arial" w:hAnsi="Arial"/>
                <w:sz w:val="15"/>
                <w:szCs w:val="15"/>
                <w:b w:val="1"/>
                <w:bCs w:val="1"/>
                <w:color w:val="auto"/>
              </w:rPr>
              <w:t>(637)</w:t>
            </w:r>
          </w:p>
        </w:tc>
        <w:tc>
          <w:tcPr>
            <w:tcW w:w="16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2040" w:type="dxa"/>
            <w:vAlign w:val="bottom"/>
          </w:tcPr>
          <w:p>
            <w:pPr>
              <w:jc w:val="right"/>
              <w:ind w:right="746"/>
              <w:spacing w:after="0"/>
              <w:rPr>
                <w:sz w:val="20"/>
                <w:szCs w:val="20"/>
                <w:color w:val="auto"/>
              </w:rPr>
            </w:pPr>
            <w:r>
              <w:rPr>
                <w:rFonts w:ascii="Arial" w:cs="Arial" w:eastAsia="Arial" w:hAnsi="Arial"/>
                <w:sz w:val="15"/>
                <w:szCs w:val="15"/>
                <w:b w:val="1"/>
                <w:bCs w:val="1"/>
                <w:color w:val="auto"/>
              </w:rPr>
              <w:t>(1,249)</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OTHER EXPENSES</w:t>
            </w:r>
          </w:p>
        </w:tc>
        <w:tc>
          <w:tcPr>
            <w:tcW w:w="9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(501)</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(99)</w:t>
            </w:r>
          </w:p>
        </w:tc>
        <w:tc>
          <w:tcPr>
            <w:tcW w:w="2040" w:type="dxa"/>
            <w:vAlign w:val="bottom"/>
            <w:tcBorders>
              <w:bottom w:val="single" w:sz="8" w:color="auto"/>
            </w:tcBorders>
          </w:tcPr>
          <w:p>
            <w:pPr>
              <w:jc w:val="right"/>
              <w:ind w:right="746"/>
              <w:spacing w:after="0"/>
              <w:rPr>
                <w:sz w:val="20"/>
                <w:szCs w:val="20"/>
                <w:color w:val="auto"/>
              </w:rPr>
            </w:pPr>
            <w:r>
              <w:rPr>
                <w:rFonts w:ascii="Arial" w:cs="Arial" w:eastAsia="Arial" w:hAnsi="Arial"/>
                <w:sz w:val="15"/>
                <w:szCs w:val="15"/>
                <w:b w:val="1"/>
                <w:bCs w:val="1"/>
                <w:color w:val="auto"/>
              </w:rPr>
              <w:t>(1,279)</w:t>
            </w: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960" w:type="dxa"/>
            <w:vAlign w:val="bottom"/>
            <w:tcBorders>
              <w:bottom w:val="single" w:sz="8" w:color="auto"/>
            </w:tcBorders>
            <w:shd w:val="clear" w:color="auto" w:fill="D9D9D9"/>
          </w:tcPr>
          <w:p>
            <w:pPr>
              <w:spacing w:after="0"/>
              <w:rPr>
                <w:sz w:val="16"/>
                <w:szCs w:val="16"/>
                <w:color w:val="auto"/>
              </w:rPr>
            </w:pPr>
          </w:p>
        </w:tc>
        <w:tc>
          <w:tcPr>
            <w:tcW w:w="1920" w:type="dxa"/>
            <w:vAlign w:val="bottom"/>
            <w:tcBorders>
              <w:bottom w:val="single" w:sz="8" w:color="auto"/>
            </w:tcBorders>
            <w:shd w:val="clear" w:color="auto" w:fill="D9D9D9"/>
          </w:tcPr>
          <w:p>
            <w:pPr>
              <w:jc w:val="right"/>
              <w:ind w:right="386"/>
              <w:spacing w:after="0"/>
              <w:rPr>
                <w:sz w:val="20"/>
                <w:szCs w:val="20"/>
                <w:color w:val="auto"/>
              </w:rPr>
            </w:pPr>
            <w:r>
              <w:rPr>
                <w:rFonts w:ascii="Arial" w:cs="Arial" w:eastAsia="Arial" w:hAnsi="Arial"/>
                <w:sz w:val="15"/>
                <w:szCs w:val="15"/>
                <w:b w:val="1"/>
                <w:bCs w:val="1"/>
                <w:color w:val="auto"/>
              </w:rPr>
              <w:t>(17,607)</w:t>
            </w:r>
          </w:p>
        </w:tc>
        <w:tc>
          <w:tcPr>
            <w:tcW w:w="1600" w:type="dxa"/>
            <w:vAlign w:val="bottom"/>
            <w:tcBorders>
              <w:bottom w:val="single" w:sz="8" w:color="auto"/>
            </w:tcBorders>
            <w:shd w:val="clear" w:color="auto" w:fill="D9D9D9"/>
          </w:tcPr>
          <w:p>
            <w:pPr>
              <w:jc w:val="right"/>
              <w:ind w:right="327"/>
              <w:spacing w:after="0"/>
              <w:rPr>
                <w:sz w:val="20"/>
                <w:szCs w:val="20"/>
                <w:color w:val="auto"/>
              </w:rPr>
            </w:pPr>
            <w:r>
              <w:rPr>
                <w:rFonts w:ascii="Arial" w:cs="Arial" w:eastAsia="Arial" w:hAnsi="Arial"/>
                <w:sz w:val="15"/>
                <w:szCs w:val="15"/>
                <w:color w:val="auto"/>
              </w:rPr>
              <w:t>(2,660)</w:t>
            </w:r>
          </w:p>
        </w:tc>
        <w:tc>
          <w:tcPr>
            <w:tcW w:w="2040" w:type="dxa"/>
            <w:vAlign w:val="bottom"/>
            <w:tcBorders>
              <w:bottom w:val="single" w:sz="8" w:color="auto"/>
            </w:tcBorders>
            <w:shd w:val="clear" w:color="auto" w:fill="D9D9D9"/>
          </w:tcPr>
          <w:p>
            <w:pPr>
              <w:jc w:val="right"/>
              <w:ind w:right="746"/>
              <w:spacing w:after="0"/>
              <w:rPr>
                <w:sz w:val="20"/>
                <w:szCs w:val="20"/>
                <w:color w:val="auto"/>
              </w:rPr>
            </w:pPr>
            <w:r>
              <w:rPr>
                <w:rFonts w:ascii="Arial" w:cs="Arial" w:eastAsia="Arial" w:hAnsi="Arial"/>
                <w:sz w:val="15"/>
                <w:szCs w:val="15"/>
                <w:b w:val="1"/>
                <w:bCs w:val="1"/>
                <w:color w:val="auto"/>
              </w:rPr>
              <w:t>(32,324)</w:t>
            </w:r>
          </w:p>
        </w:tc>
        <w:tc>
          <w:tcPr>
            <w:tcW w:w="88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(7,023)</w:t>
            </w:r>
          </w:p>
        </w:tc>
        <w:tc>
          <w:tcPr>
            <w:tcW w:w="0" w:type="dxa"/>
            <w:vAlign w:val="bottom"/>
          </w:tcPr>
          <w:p>
            <w:pPr>
              <w:spacing w:after="0"/>
              <w:rPr>
                <w:sz w:val="1"/>
                <w:szCs w:val="1"/>
                <w:color w:val="auto"/>
              </w:rPr>
            </w:pPr>
          </w:p>
        </w:tc>
      </w:tr>
      <w:tr>
        <w:trPr>
          <w:trHeight w:val="404"/>
        </w:trPr>
        <w:tc>
          <w:tcPr>
            <w:tcW w:w="3860" w:type="dxa"/>
            <w:vAlign w:val="bottom"/>
          </w:tcPr>
          <w:p>
            <w:pPr>
              <w:ind w:left="60"/>
              <w:spacing w:after="0"/>
              <w:rPr>
                <w:sz w:val="20"/>
                <w:szCs w:val="20"/>
                <w:color w:val="auto"/>
              </w:rPr>
            </w:pPr>
            <w:r>
              <w:rPr>
                <w:rFonts w:ascii="Arial" w:cs="Arial" w:eastAsia="Arial" w:hAnsi="Arial"/>
                <w:sz w:val="15"/>
                <w:szCs w:val="15"/>
                <w:b w:val="1"/>
                <w:bCs w:val="1"/>
                <w:color w:val="auto"/>
              </w:rPr>
              <w:t>OTHER COMPREHENSIVE LOSS</w:t>
            </w:r>
          </w:p>
        </w:tc>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60"/>
              <w:spacing w:after="0"/>
              <w:rPr>
                <w:sz w:val="20"/>
                <w:szCs w:val="20"/>
                <w:color w:val="auto"/>
              </w:rPr>
            </w:pPr>
            <w:r>
              <w:rPr>
                <w:rFonts w:ascii="Arial" w:cs="Arial" w:eastAsia="Arial" w:hAnsi="Arial"/>
                <w:sz w:val="15"/>
                <w:szCs w:val="15"/>
                <w:color w:val="auto"/>
              </w:rPr>
              <w:t>Foreign currency translation differences for foreign</w:t>
            </w:r>
          </w:p>
        </w:tc>
        <w:tc>
          <w:tcPr>
            <w:tcW w:w="960" w:type="dxa"/>
            <w:vAlign w:val="bottom"/>
          </w:tcPr>
          <w:p>
            <w:pPr>
              <w:spacing w:after="0"/>
              <w:rPr>
                <w:sz w:val="17"/>
                <w:szCs w:val="17"/>
                <w:color w:val="auto"/>
              </w:rPr>
            </w:pPr>
          </w:p>
        </w:tc>
        <w:tc>
          <w:tcPr>
            <w:tcW w:w="1920" w:type="dxa"/>
            <w:vAlign w:val="bottom"/>
            <w:vMerge w:val="restart"/>
          </w:tcPr>
          <w:p>
            <w:pPr>
              <w:jc w:val="right"/>
              <w:ind w:right="386"/>
              <w:spacing w:after="0"/>
              <w:rPr>
                <w:sz w:val="20"/>
                <w:szCs w:val="20"/>
                <w:color w:val="auto"/>
              </w:rPr>
            </w:pPr>
            <w:r>
              <w:rPr>
                <w:rFonts w:ascii="Arial" w:cs="Arial" w:eastAsia="Arial" w:hAnsi="Arial"/>
                <w:sz w:val="15"/>
                <w:szCs w:val="15"/>
                <w:b w:val="1"/>
                <w:bCs w:val="1"/>
                <w:color w:val="auto"/>
              </w:rPr>
              <w:t>515</w:t>
            </w:r>
          </w:p>
        </w:tc>
        <w:tc>
          <w:tcPr>
            <w:tcW w:w="1600" w:type="dxa"/>
            <w:vAlign w:val="bottom"/>
          </w:tcPr>
          <w:p>
            <w:pPr>
              <w:spacing w:after="0"/>
              <w:rPr>
                <w:sz w:val="17"/>
                <w:szCs w:val="17"/>
                <w:color w:val="auto"/>
              </w:rPr>
            </w:pPr>
          </w:p>
        </w:tc>
        <w:tc>
          <w:tcPr>
            <w:tcW w:w="2040" w:type="dxa"/>
            <w:vAlign w:val="bottom"/>
            <w:vMerge w:val="restart"/>
          </w:tcPr>
          <w:p>
            <w:pPr>
              <w:jc w:val="right"/>
              <w:ind w:right="746"/>
              <w:spacing w:after="0"/>
              <w:rPr>
                <w:sz w:val="20"/>
                <w:szCs w:val="20"/>
                <w:color w:val="auto"/>
              </w:rPr>
            </w:pPr>
            <w:r>
              <w:rPr>
                <w:rFonts w:ascii="Arial" w:cs="Arial" w:eastAsia="Arial" w:hAnsi="Arial"/>
                <w:sz w:val="15"/>
                <w:szCs w:val="15"/>
                <w:b w:val="1"/>
                <w:bCs w:val="1"/>
                <w:color w:val="auto"/>
              </w:rPr>
              <w:t>(177)</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operations</w:t>
            </w:r>
          </w:p>
        </w:tc>
        <w:tc>
          <w:tcPr>
            <w:tcW w:w="9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20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38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COMPREHENSIVE LOSS FOR THE PERIOD</w:t>
            </w:r>
          </w:p>
        </w:tc>
        <w:tc>
          <w:tcPr>
            <w:tcW w:w="960" w:type="dxa"/>
            <w:vAlign w:val="bottom"/>
            <w:tcBorders>
              <w:bottom w:val="single" w:sz="8" w:color="auto"/>
            </w:tcBorders>
            <w:shd w:val="clear" w:color="auto" w:fill="D9D9D9"/>
          </w:tcPr>
          <w:p>
            <w:pPr>
              <w:spacing w:after="0"/>
              <w:rPr>
                <w:sz w:val="16"/>
                <w:szCs w:val="16"/>
                <w:color w:val="auto"/>
              </w:rPr>
            </w:pPr>
          </w:p>
        </w:tc>
        <w:tc>
          <w:tcPr>
            <w:tcW w:w="1920" w:type="dxa"/>
            <w:vAlign w:val="bottom"/>
            <w:tcBorders>
              <w:bottom w:val="single" w:sz="8" w:color="auto"/>
            </w:tcBorders>
            <w:shd w:val="clear" w:color="auto" w:fill="D9D9D9"/>
          </w:tcPr>
          <w:p>
            <w:pPr>
              <w:jc w:val="right"/>
              <w:ind w:right="386"/>
              <w:spacing w:after="0"/>
              <w:rPr>
                <w:sz w:val="20"/>
                <w:szCs w:val="20"/>
                <w:color w:val="auto"/>
              </w:rPr>
            </w:pPr>
            <w:r>
              <w:rPr>
                <w:rFonts w:ascii="Arial" w:cs="Arial" w:eastAsia="Arial" w:hAnsi="Arial"/>
                <w:sz w:val="15"/>
                <w:szCs w:val="15"/>
                <w:b w:val="1"/>
                <w:bCs w:val="1"/>
                <w:color w:val="auto"/>
              </w:rPr>
              <w:t>(17,092)</w:t>
            </w:r>
          </w:p>
        </w:tc>
        <w:tc>
          <w:tcPr>
            <w:tcW w:w="1600" w:type="dxa"/>
            <w:vAlign w:val="bottom"/>
            <w:tcBorders>
              <w:bottom w:val="single" w:sz="8" w:color="auto"/>
            </w:tcBorders>
            <w:shd w:val="clear" w:color="auto" w:fill="D9D9D9"/>
          </w:tcPr>
          <w:p>
            <w:pPr>
              <w:jc w:val="right"/>
              <w:ind w:right="327"/>
              <w:spacing w:after="0"/>
              <w:rPr>
                <w:sz w:val="20"/>
                <w:szCs w:val="20"/>
                <w:color w:val="auto"/>
              </w:rPr>
            </w:pPr>
            <w:r>
              <w:rPr>
                <w:rFonts w:ascii="Arial" w:cs="Arial" w:eastAsia="Arial" w:hAnsi="Arial"/>
                <w:sz w:val="15"/>
                <w:szCs w:val="15"/>
                <w:color w:val="auto"/>
              </w:rPr>
              <w:t>(2,660)</w:t>
            </w:r>
          </w:p>
        </w:tc>
        <w:tc>
          <w:tcPr>
            <w:tcW w:w="2040" w:type="dxa"/>
            <w:vAlign w:val="bottom"/>
            <w:tcBorders>
              <w:bottom w:val="single" w:sz="8" w:color="auto"/>
            </w:tcBorders>
            <w:shd w:val="clear" w:color="auto" w:fill="D9D9D9"/>
          </w:tcPr>
          <w:p>
            <w:pPr>
              <w:jc w:val="right"/>
              <w:ind w:right="746"/>
              <w:spacing w:after="0"/>
              <w:rPr>
                <w:sz w:val="20"/>
                <w:szCs w:val="20"/>
                <w:color w:val="auto"/>
              </w:rPr>
            </w:pPr>
            <w:r>
              <w:rPr>
                <w:rFonts w:ascii="Arial" w:cs="Arial" w:eastAsia="Arial" w:hAnsi="Arial"/>
                <w:sz w:val="15"/>
                <w:szCs w:val="15"/>
                <w:b w:val="1"/>
                <w:bCs w:val="1"/>
                <w:color w:val="auto"/>
              </w:rPr>
              <w:t>(32,501)</w:t>
            </w:r>
          </w:p>
        </w:tc>
        <w:tc>
          <w:tcPr>
            <w:tcW w:w="88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(7,023)</w:t>
            </w:r>
          </w:p>
        </w:tc>
        <w:tc>
          <w:tcPr>
            <w:tcW w:w="0" w:type="dxa"/>
            <w:vAlign w:val="bottom"/>
          </w:tcPr>
          <w:p>
            <w:pPr>
              <w:spacing w:after="0"/>
              <w:rPr>
                <w:sz w:val="1"/>
                <w:szCs w:val="1"/>
                <w:color w:val="auto"/>
              </w:rPr>
            </w:pPr>
          </w:p>
        </w:tc>
      </w:tr>
      <w:tr>
        <w:trPr>
          <w:trHeight w:val="360"/>
        </w:trPr>
        <w:tc>
          <w:tcPr>
            <w:tcW w:w="3860" w:type="dxa"/>
            <w:vAlign w:val="bottom"/>
          </w:tcPr>
          <w:p>
            <w:pPr>
              <w:ind w:left="60"/>
              <w:spacing w:after="0"/>
              <w:rPr>
                <w:sz w:val="20"/>
                <w:szCs w:val="20"/>
                <w:color w:val="auto"/>
              </w:rPr>
            </w:pPr>
            <w:r>
              <w:rPr>
                <w:rFonts w:ascii="Arial" w:cs="Arial" w:eastAsia="Arial" w:hAnsi="Arial"/>
                <w:sz w:val="15"/>
                <w:szCs w:val="15"/>
                <w:b w:val="1"/>
                <w:bCs w:val="1"/>
                <w:color w:val="auto"/>
              </w:rPr>
              <w:t>Basic loss per share for the period attributable to</w:t>
            </w:r>
          </w:p>
        </w:tc>
        <w:tc>
          <w:tcPr>
            <w:tcW w:w="960" w:type="dxa"/>
            <w:vAlign w:val="bottom"/>
          </w:tcPr>
          <w:p>
            <w:pPr>
              <w:spacing w:after="0"/>
              <w:rPr>
                <w:sz w:val="24"/>
                <w:szCs w:val="24"/>
                <w:color w:val="auto"/>
              </w:rPr>
            </w:pPr>
          </w:p>
        </w:tc>
        <w:tc>
          <w:tcPr>
            <w:tcW w:w="1920" w:type="dxa"/>
            <w:vAlign w:val="bottom"/>
            <w:vMerge w:val="restart"/>
          </w:tcPr>
          <w:p>
            <w:pPr>
              <w:jc w:val="right"/>
              <w:ind w:right="386"/>
              <w:spacing w:after="0"/>
              <w:rPr>
                <w:sz w:val="20"/>
                <w:szCs w:val="20"/>
                <w:color w:val="auto"/>
              </w:rPr>
            </w:pPr>
            <w:r>
              <w:rPr>
                <w:rFonts w:ascii="Arial" w:cs="Arial" w:eastAsia="Arial" w:hAnsi="Arial"/>
                <w:sz w:val="15"/>
                <w:szCs w:val="15"/>
                <w:b w:val="1"/>
                <w:bCs w:val="1"/>
                <w:color w:val="auto"/>
              </w:rPr>
              <w:t>(0.11)</w:t>
            </w:r>
          </w:p>
        </w:tc>
        <w:tc>
          <w:tcPr>
            <w:tcW w:w="1600" w:type="dxa"/>
            <w:vAlign w:val="bottom"/>
          </w:tcPr>
          <w:p>
            <w:pPr>
              <w:spacing w:after="0"/>
              <w:rPr>
                <w:sz w:val="24"/>
                <w:szCs w:val="24"/>
                <w:color w:val="auto"/>
              </w:rPr>
            </w:pPr>
          </w:p>
        </w:tc>
        <w:tc>
          <w:tcPr>
            <w:tcW w:w="2040" w:type="dxa"/>
            <w:vAlign w:val="bottom"/>
            <w:vMerge w:val="restart"/>
          </w:tcPr>
          <w:p>
            <w:pPr>
              <w:jc w:val="right"/>
              <w:ind w:right="746"/>
              <w:spacing w:after="0"/>
              <w:rPr>
                <w:sz w:val="20"/>
                <w:szCs w:val="20"/>
                <w:color w:val="auto"/>
              </w:rPr>
            </w:pPr>
            <w:r>
              <w:rPr>
                <w:rFonts w:ascii="Arial" w:cs="Arial" w:eastAsia="Arial" w:hAnsi="Arial"/>
                <w:sz w:val="15"/>
                <w:szCs w:val="15"/>
                <w:b w:val="1"/>
                <w:bCs w:val="1"/>
                <w:color w:val="auto"/>
              </w:rPr>
              <w:t>(0.20)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common shareholders</w:t>
            </w:r>
          </w:p>
        </w:tc>
        <w:tc>
          <w:tcPr>
            <w:tcW w:w="9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(0.04)</w:t>
            </w:r>
          </w:p>
        </w:tc>
        <w:tc>
          <w:tcPr>
            <w:tcW w:w="20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(0.10)</w:t>
            </w:r>
          </w:p>
        </w:tc>
        <w:tc>
          <w:tcPr>
            <w:tcW w:w="0" w:type="dxa"/>
            <w:vAlign w:val="bottom"/>
          </w:tcPr>
          <w:p>
            <w:pPr>
              <w:spacing w:after="0"/>
              <w:rPr>
                <w:sz w:val="1"/>
                <w:szCs w:val="1"/>
                <w:color w:val="auto"/>
              </w:rPr>
            </w:pPr>
          </w:p>
        </w:tc>
      </w:tr>
      <w:tr>
        <w:trPr>
          <w:trHeight w:val="139"/>
        </w:trPr>
        <w:tc>
          <w:tcPr>
            <w:tcW w:w="3860" w:type="dxa"/>
            <w:vAlign w:val="bottom"/>
          </w:tcPr>
          <w:p>
            <w:pPr>
              <w:ind w:left="60"/>
              <w:spacing w:after="0" w:line="140" w:lineRule="exact"/>
              <w:rPr>
                <w:sz w:val="20"/>
                <w:szCs w:val="20"/>
                <w:color w:val="auto"/>
              </w:rPr>
            </w:pPr>
            <w:r>
              <w:rPr>
                <w:rFonts w:ascii="Arial" w:cs="Arial" w:eastAsia="Arial" w:hAnsi="Arial"/>
                <w:sz w:val="15"/>
                <w:szCs w:val="15"/>
                <w:b w:val="1"/>
                <w:bCs w:val="1"/>
                <w:color w:val="auto"/>
              </w:rPr>
              <w:t>Weighted average number of common shares</w:t>
            </w:r>
          </w:p>
        </w:tc>
        <w:tc>
          <w:tcPr>
            <w:tcW w:w="960" w:type="dxa"/>
            <w:vAlign w:val="bottom"/>
          </w:tcPr>
          <w:p>
            <w:pPr>
              <w:spacing w:after="0"/>
              <w:rPr>
                <w:sz w:val="12"/>
                <w:szCs w:val="12"/>
                <w:color w:val="auto"/>
              </w:rPr>
            </w:pPr>
          </w:p>
        </w:tc>
        <w:tc>
          <w:tcPr>
            <w:tcW w:w="1920" w:type="dxa"/>
            <w:vAlign w:val="bottom"/>
            <w:vMerge w:val="restart"/>
          </w:tcPr>
          <w:p>
            <w:pPr>
              <w:jc w:val="right"/>
              <w:ind w:right="386"/>
              <w:spacing w:after="0"/>
              <w:rPr>
                <w:sz w:val="20"/>
                <w:szCs w:val="20"/>
                <w:color w:val="auto"/>
              </w:rPr>
            </w:pPr>
            <w:r>
              <w:rPr>
                <w:rFonts w:ascii="Arial" w:cs="Arial" w:eastAsia="Arial" w:hAnsi="Arial"/>
                <w:sz w:val="15"/>
                <w:szCs w:val="15"/>
                <w:b w:val="1"/>
                <w:bCs w:val="1"/>
                <w:color w:val="auto"/>
              </w:rPr>
              <w:t>165,783,294</w:t>
            </w:r>
          </w:p>
        </w:tc>
        <w:tc>
          <w:tcPr>
            <w:tcW w:w="1600" w:type="dxa"/>
            <w:vAlign w:val="bottom"/>
          </w:tcPr>
          <w:p>
            <w:pPr>
              <w:spacing w:after="0"/>
              <w:rPr>
                <w:sz w:val="12"/>
                <w:szCs w:val="12"/>
                <w:color w:val="auto"/>
              </w:rPr>
            </w:pPr>
          </w:p>
        </w:tc>
        <w:tc>
          <w:tcPr>
            <w:tcW w:w="2040" w:type="dxa"/>
            <w:vAlign w:val="bottom"/>
            <w:vMerge w:val="restart"/>
          </w:tcPr>
          <w:p>
            <w:pPr>
              <w:jc w:val="right"/>
              <w:ind w:right="746"/>
              <w:spacing w:after="0"/>
              <w:rPr>
                <w:sz w:val="20"/>
                <w:szCs w:val="20"/>
                <w:color w:val="auto"/>
              </w:rPr>
            </w:pPr>
            <w:r>
              <w:rPr>
                <w:rFonts w:ascii="Arial" w:cs="Arial" w:eastAsia="Arial" w:hAnsi="Arial"/>
                <w:sz w:val="15"/>
                <w:szCs w:val="15"/>
                <w:b w:val="1"/>
                <w:bCs w:val="1"/>
                <w:color w:val="auto"/>
              </w:rPr>
              <w:t>161,750,053</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outstanding - basic</w:t>
            </w:r>
          </w:p>
        </w:tc>
        <w:tc>
          <w:tcPr>
            <w:tcW w:w="9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69,150,254</w:t>
            </w:r>
          </w:p>
        </w:tc>
        <w:tc>
          <w:tcPr>
            <w:tcW w:w="20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69,150,254</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financial statements</w:t>
      </w:r>
    </w:p>
    <w:p>
      <w:pPr>
        <w:sectPr>
          <w:pgSz w:w="11900" w:h="16838" w:orient="portrait"/>
          <w:cols w:equalWidth="0" w:num="1">
            <w:col w:w="11260"/>
          </w:cols>
          <w:pgMar w:left="320" w:top="171" w:right="319" w:bottom="1440" w:gutter="0" w:footer="0" w:header="0"/>
        </w:sectPr>
      </w:pPr>
    </w:p>
    <w:bookmarkStart w:id="7" w:name="page8"/>
    <w:bookmarkEnd w:id="7"/>
    <w:p>
      <w:pPr>
        <w:ind w:left="20"/>
        <w:spacing w:after="0"/>
        <w:rPr>
          <w:sz w:val="20"/>
          <w:szCs w:val="20"/>
          <w:color w:val="auto"/>
        </w:rPr>
      </w:pPr>
      <w:r>
        <w:rPr>
          <w:rFonts w:ascii="Arial" w:cs="Arial" w:eastAsia="Arial" w:hAnsi="Arial"/>
          <w:sz w:val="20"/>
          <w:szCs w:val="20"/>
          <w:b w:val="1"/>
          <w:bCs w:val="1"/>
          <w:color w:val="auto"/>
        </w:rPr>
        <w:t>CYBIN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CONDENSED INTERIM CONSOLIDATED STATEMENTS OF CHANGES IN SHAREHOLDERS’ EQUITY</w:t>
      </w:r>
    </w:p>
    <w:p>
      <w:pPr>
        <w:ind w:left="20"/>
        <w:spacing w:after="0"/>
        <w:rPr>
          <w:sz w:val="20"/>
          <w:szCs w:val="20"/>
          <w:color w:val="auto"/>
        </w:rPr>
      </w:pPr>
      <w:r>
        <w:rPr>
          <w:rFonts w:ascii="Arial" w:cs="Arial" w:eastAsia="Arial" w:hAnsi="Arial"/>
          <w:sz w:val="18"/>
          <w:szCs w:val="18"/>
          <w:b w:val="1"/>
          <w:bCs w:val="1"/>
          <w:color w:val="auto"/>
        </w:rPr>
        <w:t>FOR THE SIX MONTHS ENDED SEPTEMBER 30, 2021 AND SEPTEMBER 30, 2020</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(All amounts expressed in thousands of Canadian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50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475"/>
              <w:spacing w:after="0"/>
              <w:rPr>
                <w:sz w:val="20"/>
                <w:szCs w:val="20"/>
                <w:color w:val="auto"/>
              </w:rPr>
            </w:pPr>
            <w:r>
              <w:rPr>
                <w:rFonts w:ascii="Arial" w:cs="Arial" w:eastAsia="Arial" w:hAnsi="Arial"/>
                <w:sz w:val="13"/>
                <w:szCs w:val="13"/>
                <w:b w:val="1"/>
                <w:bCs w:val="1"/>
                <w:color w:val="auto"/>
              </w:rPr>
              <w:t>Share capital</w:t>
            </w:r>
          </w:p>
        </w:tc>
        <w:tc>
          <w:tcPr>
            <w:tcW w:w="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ind w:right="615"/>
              <w:spacing w:after="0"/>
              <w:rPr>
                <w:sz w:val="20"/>
                <w:szCs w:val="20"/>
                <w:color w:val="auto"/>
              </w:rPr>
            </w:pPr>
            <w:r>
              <w:rPr>
                <w:rFonts w:ascii="Arial" w:cs="Arial" w:eastAsia="Arial" w:hAnsi="Arial"/>
                <w:sz w:val="13"/>
                <w:szCs w:val="13"/>
                <w:b w:val="1"/>
                <w:bCs w:val="1"/>
                <w:color w:val="auto"/>
              </w:rPr>
              <w:t>Reserves</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rPr>
              <w:t>Equity</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jc w:val="center"/>
              <w:ind w:right="35"/>
              <w:spacing w:after="0"/>
              <w:rPr>
                <w:sz w:val="20"/>
                <w:szCs w:val="20"/>
                <w:color w:val="auto"/>
              </w:rPr>
            </w:pPr>
            <w:r>
              <w:rPr>
                <w:rFonts w:ascii="Arial" w:cs="Arial" w:eastAsia="Arial" w:hAnsi="Arial"/>
                <w:sz w:val="13"/>
                <w:szCs w:val="13"/>
                <w:b w:val="1"/>
                <w:bCs w:val="1"/>
                <w:color w:val="auto"/>
              </w:rPr>
              <w:t>Number of</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rPr>
              <w:t>component of</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Contributed</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8"/>
              </w:rPr>
              <w:t>other</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Note</w:t>
            </w:r>
          </w:p>
        </w:tc>
        <w:tc>
          <w:tcPr>
            <w:tcW w:w="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860" w:type="dxa"/>
            <w:vAlign w:val="bottom"/>
            <w:vMerge w:val="restart"/>
          </w:tcPr>
          <w:p>
            <w:pPr>
              <w:jc w:val="right"/>
              <w:ind w:right="175"/>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0"/>
                <w:szCs w:val="10"/>
                <w:color w:val="auto"/>
              </w:rPr>
            </w:pPr>
          </w:p>
        </w:tc>
        <w:tc>
          <w:tcPr>
            <w:tcW w:w="104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rPr>
              <w:t>Warrants</w:t>
            </w:r>
          </w:p>
        </w:tc>
        <w:tc>
          <w:tcPr>
            <w:tcW w:w="840" w:type="dxa"/>
            <w:vAlign w:val="bottom"/>
            <w:vMerge w:val="restart"/>
          </w:tcPr>
          <w:p>
            <w:pPr>
              <w:jc w:val="right"/>
              <w:ind w:right="155"/>
              <w:spacing w:after="0"/>
              <w:rPr>
                <w:sz w:val="20"/>
                <w:szCs w:val="20"/>
                <w:color w:val="auto"/>
              </w:rPr>
            </w:pPr>
            <w:r>
              <w:rPr>
                <w:rFonts w:ascii="Arial" w:cs="Arial" w:eastAsia="Arial" w:hAnsi="Arial"/>
                <w:sz w:val="13"/>
                <w:szCs w:val="13"/>
                <w:b w:val="1"/>
                <w:bCs w:val="1"/>
                <w:color w:val="auto"/>
              </w:rPr>
              <w:t>Options</w:t>
            </w:r>
          </w:p>
        </w:tc>
        <w:tc>
          <w:tcPr>
            <w:tcW w:w="100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rPr>
              <w:t>convertible</w:t>
            </w: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0"/>
                <w:szCs w:val="10"/>
                <w:color w:val="auto"/>
              </w:rPr>
            </w:pPr>
          </w:p>
        </w:tc>
        <w:tc>
          <w:tcPr>
            <w:tcW w:w="104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rPr>
              <w:t>comprehensive</w:t>
            </w:r>
          </w:p>
        </w:tc>
        <w:tc>
          <w:tcPr>
            <w:tcW w:w="60" w:type="dxa"/>
            <w:vAlign w:val="bottom"/>
          </w:tcPr>
          <w:p>
            <w:pPr>
              <w:spacing w:after="0"/>
              <w:rPr>
                <w:sz w:val="10"/>
                <w:szCs w:val="10"/>
                <w:color w:val="auto"/>
              </w:rPr>
            </w:pPr>
          </w:p>
        </w:tc>
        <w:tc>
          <w:tcPr>
            <w:tcW w:w="960" w:type="dxa"/>
            <w:vAlign w:val="bottom"/>
            <w:vMerge w:val="restart"/>
          </w:tcPr>
          <w:p>
            <w:pPr>
              <w:jc w:val="right"/>
              <w:ind w:right="25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rPr>
              <w:t>shares</w:t>
            </w:r>
          </w:p>
        </w:tc>
        <w:tc>
          <w:tcPr>
            <w:tcW w:w="86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debt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Surplus</w:t>
            </w:r>
          </w:p>
        </w:tc>
        <w:tc>
          <w:tcPr>
            <w:tcW w:w="80" w:type="dxa"/>
            <w:vAlign w:val="bottom"/>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income (loss)</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375"/>
              <w:spacing w:after="0"/>
              <w:rPr>
                <w:sz w:val="20"/>
                <w:szCs w:val="20"/>
                <w:color w:val="auto"/>
              </w:rPr>
            </w:pPr>
            <w:r>
              <w:rPr>
                <w:rFonts w:ascii="Arial" w:cs="Arial" w:eastAsia="Arial" w:hAnsi="Arial"/>
                <w:sz w:val="13"/>
                <w:szCs w:val="13"/>
                <w:b w:val="1"/>
                <w:bCs w:val="1"/>
                <w:color w:val="auto"/>
              </w:rPr>
              <w:t>$</w:t>
            </w:r>
          </w:p>
        </w:tc>
        <w:tc>
          <w:tcPr>
            <w:tcW w:w="1100" w:type="dxa"/>
            <w:vAlign w:val="bottom"/>
            <w:gridSpan w:val="2"/>
          </w:tcPr>
          <w:p>
            <w:pPr>
              <w:jc w:val="right"/>
              <w:ind w:right="455"/>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55"/>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20" w:type="dxa"/>
            <w:vAlign w:val="bottom"/>
            <w:gridSpan w:val="2"/>
          </w:tcPr>
          <w:p>
            <w:pPr>
              <w:jc w:val="right"/>
              <w:ind w:right="375"/>
              <w:spacing w:after="0"/>
              <w:rPr>
                <w:sz w:val="20"/>
                <w:szCs w:val="20"/>
                <w:color w:val="auto"/>
              </w:rPr>
            </w:pPr>
            <w:r>
              <w:rPr>
                <w:rFonts w:ascii="Arial" w:cs="Arial" w:eastAsia="Arial" w:hAnsi="Arial"/>
                <w:sz w:val="13"/>
                <w:szCs w:val="13"/>
                <w:b w:val="1"/>
                <w:bCs w:val="1"/>
                <w:color w:val="auto"/>
              </w:rPr>
              <w:t>$</w:t>
            </w:r>
          </w:p>
        </w:tc>
        <w:tc>
          <w:tcPr>
            <w:tcW w:w="1100" w:type="dxa"/>
            <w:vAlign w:val="bottom"/>
            <w:gridSpan w:val="2"/>
          </w:tcPr>
          <w:p>
            <w:pPr>
              <w:jc w:val="right"/>
              <w:ind w:right="375"/>
              <w:spacing w:after="0"/>
              <w:rPr>
                <w:sz w:val="20"/>
                <w:szCs w:val="20"/>
                <w:color w:val="auto"/>
              </w:rPr>
            </w:pPr>
            <w:r>
              <w:rPr>
                <w:rFonts w:ascii="Arial" w:cs="Arial" w:eastAsia="Arial" w:hAnsi="Arial"/>
                <w:sz w:val="13"/>
                <w:szCs w:val="13"/>
                <w:b w:val="1"/>
                <w:bCs w:val="1"/>
                <w:color w:val="auto"/>
              </w:rPr>
              <w:t>$</w:t>
            </w:r>
          </w:p>
        </w:tc>
        <w:tc>
          <w:tcPr>
            <w:tcW w:w="1020" w:type="dxa"/>
            <w:vAlign w:val="bottom"/>
            <w:gridSpan w:val="2"/>
          </w:tcPr>
          <w:p>
            <w:pPr>
              <w:jc w:val="right"/>
              <w:ind w:right="375"/>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7"/>
        </w:trPr>
        <w:tc>
          <w:tcPr>
            <w:tcW w:w="1680" w:type="dxa"/>
            <w:vAlign w:val="bottom"/>
            <w:tcBorders>
              <w:top w:val="single" w:sz="8" w:color="auto"/>
            </w:tcBorders>
            <w:shd w:val="clear" w:color="auto" w:fill="D9D9D9"/>
          </w:tcPr>
          <w:p>
            <w:pPr>
              <w:ind w:left="60"/>
              <w:spacing w:after="0" w:line="127" w:lineRule="exact"/>
              <w:rPr>
                <w:sz w:val="20"/>
                <w:szCs w:val="20"/>
                <w:color w:val="auto"/>
              </w:rPr>
            </w:pPr>
            <w:r>
              <w:rPr>
                <w:rFonts w:ascii="Arial" w:cs="Arial" w:eastAsia="Arial" w:hAnsi="Arial"/>
                <w:sz w:val="13"/>
                <w:szCs w:val="13"/>
                <w:b w:val="1"/>
                <w:bCs w:val="1"/>
                <w:color w:val="auto"/>
              </w:rPr>
              <w:t>Balance at March 31,</w:t>
            </w:r>
          </w:p>
        </w:tc>
        <w:tc>
          <w:tcPr>
            <w:tcW w:w="600" w:type="dxa"/>
            <w:vAlign w:val="bottom"/>
            <w:tcBorders>
              <w:top w:val="single" w:sz="8" w:color="auto"/>
            </w:tcBorders>
            <w:shd w:val="clear" w:color="auto" w:fill="D9D9D9"/>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top w:val="single" w:sz="8" w:color="auto"/>
            </w:tcBorders>
            <w:vMerge w:val="restart"/>
            <w:shd w:val="clear" w:color="auto" w:fill="D9D9D9"/>
          </w:tcPr>
          <w:p>
            <w:pPr>
              <w:jc w:val="right"/>
              <w:ind w:right="75"/>
              <w:spacing w:after="0"/>
              <w:rPr>
                <w:sz w:val="20"/>
                <w:szCs w:val="20"/>
                <w:color w:val="auto"/>
              </w:rPr>
            </w:pPr>
            <w:r>
              <w:rPr>
                <w:rFonts w:ascii="Arial" w:cs="Arial" w:eastAsia="Arial" w:hAnsi="Arial"/>
                <w:sz w:val="13"/>
                <w:szCs w:val="13"/>
                <w:b w:val="1"/>
                <w:bCs w:val="1"/>
                <w:color w:val="auto"/>
              </w:rPr>
              <w:t>56,503,570</w:t>
            </w:r>
          </w:p>
        </w:tc>
        <w:tc>
          <w:tcPr>
            <w:tcW w:w="860" w:type="dxa"/>
            <w:vAlign w:val="bottom"/>
            <w:tcBorders>
              <w:top w:val="single" w:sz="8" w:color="auto"/>
            </w:tcBorders>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2,187</w:t>
            </w:r>
          </w:p>
        </w:tc>
        <w:tc>
          <w:tcPr>
            <w:tcW w:w="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shd w:val="clear" w:color="auto" w:fill="D9D9D9"/>
          </w:tcPr>
          <w:p>
            <w:pPr>
              <w:jc w:val="right"/>
              <w:ind w:right="95"/>
              <w:spacing w:after="0"/>
              <w:rPr>
                <w:sz w:val="20"/>
                <w:szCs w:val="20"/>
                <w:color w:val="auto"/>
              </w:rPr>
            </w:pPr>
            <w:r>
              <w:rPr>
                <w:rFonts w:ascii="Arial" w:cs="Arial" w:eastAsia="Arial" w:hAnsi="Arial"/>
                <w:sz w:val="13"/>
                <w:szCs w:val="13"/>
                <w:b w:val="1"/>
                <w:bCs w:val="1"/>
                <w:color w:val="auto"/>
              </w:rPr>
              <w:t>7</w:t>
            </w:r>
          </w:p>
        </w:tc>
        <w:tc>
          <w:tcPr>
            <w:tcW w:w="840" w:type="dxa"/>
            <w:vAlign w:val="bottom"/>
            <w:tcBorders>
              <w:top w:val="single" w:sz="8" w:color="auto"/>
            </w:tcBorders>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64</w:t>
            </w:r>
          </w:p>
        </w:tc>
        <w:tc>
          <w:tcPr>
            <w:tcW w:w="1000" w:type="dxa"/>
            <w:vAlign w:val="bottom"/>
            <w:tcBorders>
              <w:top w:val="single" w:sz="8" w:color="auto"/>
            </w:tcBorders>
            <w:vMerge w:val="restart"/>
            <w:shd w:val="clear" w:color="auto" w:fill="D9D9D9"/>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vMerge w:val="restart"/>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tcBorders>
              <w:top w:val="single" w:sz="8" w:color="auto"/>
            </w:tcBorders>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(810)</w:t>
            </w:r>
          </w:p>
        </w:tc>
        <w:tc>
          <w:tcPr>
            <w:tcW w:w="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1,448</w:t>
            </w:r>
          </w:p>
        </w:tc>
        <w:tc>
          <w:tcPr>
            <w:tcW w:w="0" w:type="dxa"/>
            <w:vAlign w:val="bottom"/>
          </w:tcPr>
          <w:p>
            <w:pPr>
              <w:spacing w:after="0"/>
              <w:rPr>
                <w:sz w:val="1"/>
                <w:szCs w:val="1"/>
                <w:color w:val="auto"/>
              </w:rPr>
            </w:pPr>
          </w:p>
        </w:tc>
      </w:tr>
      <w:tr>
        <w:trPr>
          <w:trHeight w:val="159"/>
        </w:trPr>
        <w:tc>
          <w:tcPr>
            <w:tcW w:w="168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D9D9D9"/>
            </w:tcBorders>
            <w:shd w:val="clear" w:color="auto" w:fill="D9D9D9"/>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D9D9D9"/>
            </w:tcBorders>
            <w:vMerge w:val="continue"/>
            <w:shd w:val="clear" w:color="auto" w:fill="D9D9D9"/>
          </w:tcPr>
          <w:p>
            <w:pPr>
              <w:spacing w:after="0"/>
              <w:rPr>
                <w:sz w:val="13"/>
                <w:szCs w:val="13"/>
                <w:color w:val="auto"/>
              </w:rPr>
            </w:pPr>
          </w:p>
        </w:tc>
        <w:tc>
          <w:tcPr>
            <w:tcW w:w="860" w:type="dxa"/>
            <w:vAlign w:val="bottom"/>
            <w:tcBorders>
              <w:bottom w:val="single" w:sz="8" w:color="D9D9D9"/>
            </w:tcBorders>
            <w:vMerge w:val="continue"/>
            <w:shd w:val="clear" w:color="auto" w:fill="D9D9D9"/>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D9D9D9"/>
            </w:tcBorders>
            <w:vMerge w:val="continue"/>
            <w:shd w:val="clear" w:color="auto" w:fill="D9D9D9"/>
          </w:tcPr>
          <w:p>
            <w:pPr>
              <w:spacing w:after="0"/>
              <w:rPr>
                <w:sz w:val="13"/>
                <w:szCs w:val="13"/>
                <w:color w:val="auto"/>
              </w:rPr>
            </w:pPr>
          </w:p>
        </w:tc>
        <w:tc>
          <w:tcPr>
            <w:tcW w:w="840" w:type="dxa"/>
            <w:vAlign w:val="bottom"/>
            <w:tcBorders>
              <w:bottom w:val="single" w:sz="8" w:color="D9D9D9"/>
            </w:tcBorders>
            <w:vMerge w:val="continue"/>
            <w:shd w:val="clear" w:color="auto" w:fill="D9D9D9"/>
          </w:tcPr>
          <w:p>
            <w:pPr>
              <w:spacing w:after="0"/>
              <w:rPr>
                <w:sz w:val="13"/>
                <w:szCs w:val="13"/>
                <w:color w:val="auto"/>
              </w:rPr>
            </w:pPr>
          </w:p>
        </w:tc>
        <w:tc>
          <w:tcPr>
            <w:tcW w:w="1000" w:type="dxa"/>
            <w:vAlign w:val="bottom"/>
            <w:tcBorders>
              <w:bottom w:val="single" w:sz="8" w:color="D9D9D9"/>
            </w:tcBorders>
            <w:vMerge w:val="continue"/>
            <w:shd w:val="clear" w:color="auto" w:fill="D9D9D9"/>
          </w:tcPr>
          <w:p>
            <w:pPr>
              <w:spacing w:after="0"/>
              <w:rPr>
                <w:sz w:val="13"/>
                <w:szCs w:val="13"/>
                <w:color w:val="auto"/>
              </w:rPr>
            </w:pPr>
          </w:p>
        </w:tc>
        <w:tc>
          <w:tcPr>
            <w:tcW w:w="920" w:type="dxa"/>
            <w:vAlign w:val="bottom"/>
            <w:tcBorders>
              <w:bottom w:val="single" w:sz="8" w:color="D9D9D9"/>
            </w:tcBorders>
            <w:vMerge w:val="continue"/>
            <w:shd w:val="clear" w:color="auto" w:fill="D9D9D9"/>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D9D9D9"/>
            </w:tcBorders>
            <w:vMerge w:val="continue"/>
            <w:shd w:val="clear" w:color="auto" w:fill="D9D9D9"/>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D9D9D9"/>
            </w:tcBorders>
            <w:vMerge w:val="continue"/>
            <w:shd w:val="clear" w:color="auto" w:fill="D9D9D9"/>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bottom w:val="single" w:sz="8" w:color="D9D9D9"/>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6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color w:val="auto"/>
              </w:rPr>
              <w:t>Shares issued for cash net</w:t>
            </w:r>
          </w:p>
        </w:tc>
        <w:tc>
          <w:tcPr>
            <w:tcW w:w="600" w:type="dxa"/>
            <w:vAlign w:val="bottom"/>
            <w:tcBorders>
              <w:top w:val="single" w:sz="8" w:color="auto"/>
            </w:tcBorders>
          </w:tcPr>
          <w:p>
            <w:pPr>
              <w:spacing w:after="0"/>
              <w:rPr>
                <w:sz w:val="11"/>
                <w:szCs w:val="11"/>
                <w:color w:val="auto"/>
              </w:rPr>
            </w:pPr>
          </w:p>
        </w:tc>
        <w:tc>
          <w:tcPr>
            <w:tcW w:w="80" w:type="dxa"/>
            <w:vAlign w:val="bottom"/>
            <w:vMerge w:val="restart"/>
          </w:tcPr>
          <w:p>
            <w:pPr>
              <w:spacing w:after="0"/>
              <w:rPr>
                <w:sz w:val="11"/>
                <w:szCs w:val="11"/>
                <w:color w:val="auto"/>
              </w:rPr>
            </w:pPr>
          </w:p>
        </w:tc>
        <w:tc>
          <w:tcPr>
            <w:tcW w:w="104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3"/>
                <w:szCs w:val="13"/>
                <w:color w:val="auto"/>
              </w:rPr>
              <w:t>14,246,666</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7,196</w:t>
            </w:r>
          </w:p>
        </w:tc>
        <w:tc>
          <w:tcPr>
            <w:tcW w:w="60" w:type="dxa"/>
            <w:vAlign w:val="bottom"/>
          </w:tcPr>
          <w:p>
            <w:pPr>
              <w:spacing w:after="0"/>
              <w:rPr>
                <w:sz w:val="11"/>
                <w:szCs w:val="11"/>
                <w:color w:val="auto"/>
              </w:rPr>
            </w:pPr>
          </w:p>
        </w:tc>
        <w:tc>
          <w:tcPr>
            <w:tcW w:w="104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spacing w:after="0"/>
              <w:rPr>
                <w:sz w:val="11"/>
                <w:szCs w:val="11"/>
                <w:color w:val="auto"/>
              </w:rPr>
            </w:pPr>
          </w:p>
        </w:tc>
        <w:tc>
          <w:tcPr>
            <w:tcW w:w="9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7,196</w:t>
            </w:r>
          </w:p>
        </w:tc>
        <w:tc>
          <w:tcPr>
            <w:tcW w:w="0" w:type="dxa"/>
            <w:vAlign w:val="bottom"/>
          </w:tcPr>
          <w:p>
            <w:pPr>
              <w:spacing w:after="0"/>
              <w:rPr>
                <w:sz w:val="1"/>
                <w:szCs w:val="1"/>
                <w:color w:val="auto"/>
              </w:rPr>
            </w:pPr>
          </w:p>
        </w:tc>
      </w:tr>
      <w:tr>
        <w:trPr>
          <w:trHeight w:val="122"/>
        </w:trPr>
        <w:tc>
          <w:tcPr>
            <w:tcW w:w="1680" w:type="dxa"/>
            <w:vAlign w:val="bottom"/>
          </w:tcPr>
          <w:p>
            <w:pPr>
              <w:ind w:left="60"/>
              <w:spacing w:after="0" w:line="123" w:lineRule="exact"/>
              <w:rPr>
                <w:sz w:val="20"/>
                <w:szCs w:val="20"/>
                <w:color w:val="auto"/>
              </w:rPr>
            </w:pPr>
            <w:r>
              <w:rPr>
                <w:rFonts w:ascii="Arial" w:cs="Arial" w:eastAsia="Arial" w:hAnsi="Arial"/>
                <w:sz w:val="13"/>
                <w:szCs w:val="13"/>
                <w:color w:val="auto"/>
              </w:rPr>
              <w:t>of share issuance costs –</w:t>
            </w:r>
          </w:p>
        </w:tc>
        <w:tc>
          <w:tcPr>
            <w:tcW w:w="60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680" w:type="dxa"/>
            <w:vAlign w:val="bottom"/>
          </w:tcPr>
          <w:p>
            <w:pPr>
              <w:ind w:left="60"/>
              <w:spacing w:after="0"/>
              <w:rPr>
                <w:sz w:val="20"/>
                <w:szCs w:val="20"/>
                <w:color w:val="auto"/>
              </w:rPr>
            </w:pPr>
            <w:r>
              <w:rPr>
                <w:rFonts w:ascii="Arial" w:cs="Arial" w:eastAsia="Arial" w:hAnsi="Arial"/>
                <w:sz w:val="13"/>
                <w:szCs w:val="13"/>
                <w:color w:val="auto"/>
              </w:rPr>
              <w:t>private placement</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680" w:type="dxa"/>
            <w:vAlign w:val="bottom"/>
          </w:tcPr>
          <w:p>
            <w:pPr>
              <w:ind w:left="60"/>
              <w:spacing w:after="0" w:line="138" w:lineRule="exact"/>
              <w:rPr>
                <w:sz w:val="20"/>
                <w:szCs w:val="20"/>
                <w:color w:val="auto"/>
              </w:rPr>
            </w:pPr>
            <w:r>
              <w:rPr>
                <w:rFonts w:ascii="Arial" w:cs="Arial" w:eastAsia="Arial" w:hAnsi="Arial"/>
                <w:sz w:val="13"/>
                <w:szCs w:val="13"/>
                <w:color w:val="auto"/>
              </w:rPr>
              <w:t>Reversal of share</w:t>
            </w:r>
          </w:p>
        </w:tc>
        <w:tc>
          <w:tcPr>
            <w:tcW w:w="600" w:type="dxa"/>
            <w:vAlign w:val="bottom"/>
          </w:tcPr>
          <w:p>
            <w:pPr>
              <w:spacing w:after="0"/>
              <w:rPr>
                <w:sz w:val="11"/>
                <w:szCs w:val="11"/>
                <w:color w:val="auto"/>
              </w:rPr>
            </w:pPr>
          </w:p>
        </w:tc>
        <w:tc>
          <w:tcPr>
            <w:tcW w:w="1120" w:type="dxa"/>
            <w:vAlign w:val="bottom"/>
            <w:gridSpan w:val="2"/>
            <w:vMerge w:val="restart"/>
          </w:tcPr>
          <w:p>
            <w:pPr>
              <w:jc w:val="right"/>
              <w:ind w:right="75"/>
              <w:spacing w:after="0"/>
              <w:rPr>
                <w:sz w:val="20"/>
                <w:szCs w:val="20"/>
                <w:color w:val="auto"/>
              </w:rPr>
            </w:pPr>
            <w:r>
              <w:rPr>
                <w:rFonts w:ascii="Arial" w:cs="Arial" w:eastAsia="Arial" w:hAnsi="Arial"/>
                <w:sz w:val="13"/>
                <w:szCs w:val="13"/>
                <w:color w:val="auto"/>
              </w:rPr>
              <w:t>(2,799,985)</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(700)</w:t>
            </w:r>
          </w:p>
        </w:tc>
        <w:tc>
          <w:tcPr>
            <w:tcW w:w="60" w:type="dxa"/>
            <w:vAlign w:val="bottom"/>
          </w:tcPr>
          <w:p>
            <w:pPr>
              <w:spacing w:after="0"/>
              <w:rPr>
                <w:sz w:val="11"/>
                <w:szCs w:val="11"/>
                <w:color w:val="auto"/>
              </w:rPr>
            </w:pPr>
          </w:p>
        </w:tc>
        <w:tc>
          <w:tcPr>
            <w:tcW w:w="1040" w:type="dxa"/>
            <w:vAlign w:val="bottom"/>
            <w:vMerge w:val="restart"/>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15"/>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95"/>
        </w:trPr>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subscriptions</w:t>
            </w:r>
          </w:p>
        </w:tc>
        <w:tc>
          <w:tcPr>
            <w:tcW w:w="6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680" w:type="dxa"/>
            <w:vAlign w:val="bottom"/>
          </w:tcPr>
          <w:p>
            <w:pPr>
              <w:ind w:left="60"/>
              <w:spacing w:after="0" w:line="138" w:lineRule="exact"/>
              <w:rPr>
                <w:sz w:val="20"/>
                <w:szCs w:val="20"/>
                <w:color w:val="auto"/>
              </w:rPr>
            </w:pPr>
            <w:r>
              <w:rPr>
                <w:rFonts w:ascii="Arial" w:cs="Arial" w:eastAsia="Arial" w:hAnsi="Arial"/>
                <w:sz w:val="13"/>
                <w:szCs w:val="13"/>
                <w:color w:val="auto"/>
              </w:rPr>
              <w:t>Issuance of convertible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75"/>
              <w:spacing w:after="0" w:line="138"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40" w:type="dxa"/>
            <w:vAlign w:val="bottom"/>
            <w:vMerge w:val="restart"/>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5"/>
              <w:spacing w:after="0"/>
              <w:rPr>
                <w:sz w:val="20"/>
                <w:szCs w:val="20"/>
                <w:color w:val="auto"/>
              </w:rPr>
            </w:pPr>
            <w:r>
              <w:rPr>
                <w:rFonts w:ascii="Arial" w:cs="Arial" w:eastAsia="Arial" w:hAnsi="Arial"/>
                <w:sz w:val="13"/>
                <w:szCs w:val="13"/>
                <w:color w:val="auto"/>
              </w:rPr>
              <w:t>15</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15"/>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95"/>
        </w:trPr>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debt</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680" w:type="dxa"/>
            <w:vAlign w:val="bottom"/>
          </w:tcPr>
          <w:p>
            <w:pPr>
              <w:ind w:left="60"/>
              <w:spacing w:after="0" w:line="138" w:lineRule="exact"/>
              <w:rPr>
                <w:sz w:val="20"/>
                <w:szCs w:val="20"/>
                <w:color w:val="auto"/>
              </w:rPr>
            </w:pPr>
            <w:r>
              <w:rPr>
                <w:rFonts w:ascii="Arial" w:cs="Arial" w:eastAsia="Arial" w:hAnsi="Arial"/>
                <w:sz w:val="13"/>
                <w:szCs w:val="13"/>
                <w:color w:val="auto"/>
              </w:rPr>
              <w:t>Shares issued on</w:t>
            </w:r>
          </w:p>
        </w:tc>
        <w:tc>
          <w:tcPr>
            <w:tcW w:w="600" w:type="dxa"/>
            <w:vAlign w:val="bottom"/>
          </w:tcPr>
          <w:p>
            <w:pPr>
              <w:spacing w:after="0"/>
              <w:rPr>
                <w:sz w:val="11"/>
                <w:szCs w:val="11"/>
                <w:color w:val="auto"/>
              </w:rPr>
            </w:pPr>
          </w:p>
        </w:tc>
        <w:tc>
          <w:tcPr>
            <w:tcW w:w="1120" w:type="dxa"/>
            <w:vAlign w:val="bottom"/>
            <w:gridSpan w:val="2"/>
            <w:vMerge w:val="restart"/>
          </w:tcPr>
          <w:p>
            <w:pPr>
              <w:jc w:val="right"/>
              <w:ind w:right="75"/>
              <w:spacing w:after="0"/>
              <w:rPr>
                <w:sz w:val="20"/>
                <w:szCs w:val="20"/>
                <w:color w:val="auto"/>
              </w:rPr>
            </w:pPr>
            <w:r>
              <w:rPr>
                <w:rFonts w:ascii="Arial" w:cs="Arial" w:eastAsia="Arial" w:hAnsi="Arial"/>
                <w:sz w:val="13"/>
                <w:szCs w:val="13"/>
                <w:color w:val="auto"/>
              </w:rPr>
              <w:t>1,200,000</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310</w:t>
            </w:r>
          </w:p>
        </w:tc>
        <w:tc>
          <w:tcPr>
            <w:tcW w:w="60" w:type="dxa"/>
            <w:vAlign w:val="bottom"/>
          </w:tcPr>
          <w:p>
            <w:pPr>
              <w:spacing w:after="0"/>
              <w:rPr>
                <w:sz w:val="11"/>
                <w:szCs w:val="11"/>
                <w:color w:val="auto"/>
              </w:rPr>
            </w:pPr>
          </w:p>
        </w:tc>
        <w:tc>
          <w:tcPr>
            <w:tcW w:w="1040" w:type="dxa"/>
            <w:vAlign w:val="bottom"/>
            <w:vMerge w:val="restart"/>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5"/>
              <w:spacing w:after="0"/>
              <w:rPr>
                <w:sz w:val="20"/>
                <w:szCs w:val="20"/>
                <w:color w:val="auto"/>
              </w:rPr>
            </w:pPr>
            <w:r>
              <w:rPr>
                <w:rFonts w:ascii="Arial" w:cs="Arial" w:eastAsia="Arial" w:hAnsi="Arial"/>
                <w:sz w:val="13"/>
                <w:szCs w:val="13"/>
                <w:color w:val="auto"/>
              </w:rPr>
              <w:t>(15)</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15"/>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95"/>
        </w:trPr>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conversion of debt</w:t>
            </w:r>
          </w:p>
        </w:tc>
        <w:tc>
          <w:tcPr>
            <w:tcW w:w="6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680" w:type="dxa"/>
            <w:vAlign w:val="bottom"/>
          </w:tcPr>
          <w:p>
            <w:pPr>
              <w:ind w:left="60"/>
              <w:spacing w:after="0" w:line="138" w:lineRule="exact"/>
              <w:rPr>
                <w:sz w:val="20"/>
                <w:szCs w:val="20"/>
                <w:color w:val="auto"/>
              </w:rPr>
            </w:pPr>
            <w:r>
              <w:rPr>
                <w:rFonts w:ascii="Arial" w:cs="Arial" w:eastAsia="Arial" w:hAnsi="Arial"/>
                <w:sz w:val="13"/>
                <w:szCs w:val="13"/>
                <w:color w:val="auto"/>
              </w:rPr>
              <w:t>Founders' round additional</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75"/>
              <w:spacing w:after="0" w:line="138" w:lineRule="exact"/>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164</w:t>
            </w:r>
          </w:p>
        </w:tc>
        <w:tc>
          <w:tcPr>
            <w:tcW w:w="60" w:type="dxa"/>
            <w:vAlign w:val="bottom"/>
          </w:tcPr>
          <w:p>
            <w:pPr>
              <w:spacing w:after="0"/>
              <w:rPr>
                <w:sz w:val="11"/>
                <w:szCs w:val="11"/>
                <w:color w:val="auto"/>
              </w:rPr>
            </w:pPr>
          </w:p>
        </w:tc>
        <w:tc>
          <w:tcPr>
            <w:tcW w:w="1040" w:type="dxa"/>
            <w:vAlign w:val="bottom"/>
            <w:vMerge w:val="restart"/>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15"/>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95"/>
        </w:trPr>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capital</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680" w:type="dxa"/>
            <w:vAlign w:val="bottom"/>
          </w:tcPr>
          <w:p>
            <w:pPr>
              <w:ind w:left="60"/>
              <w:spacing w:after="0"/>
              <w:rPr>
                <w:sz w:val="20"/>
                <w:szCs w:val="20"/>
                <w:color w:val="auto"/>
              </w:rPr>
            </w:pPr>
            <w:r>
              <w:rPr>
                <w:rFonts w:ascii="Arial" w:cs="Arial" w:eastAsia="Arial" w:hAnsi="Arial"/>
                <w:sz w:val="13"/>
                <w:szCs w:val="13"/>
                <w:color w:val="auto"/>
              </w:rPr>
              <w:t>Finders' warrants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(89)</w:t>
            </w:r>
          </w:p>
        </w:tc>
        <w:tc>
          <w:tcPr>
            <w:tcW w:w="1100" w:type="dxa"/>
            <w:vAlign w:val="bottom"/>
            <w:gridSpan w:val="2"/>
          </w:tcPr>
          <w:p>
            <w:pPr>
              <w:jc w:val="right"/>
              <w:ind w:right="95"/>
              <w:spacing w:after="0"/>
              <w:rPr>
                <w:sz w:val="20"/>
                <w:szCs w:val="20"/>
                <w:color w:val="auto"/>
              </w:rPr>
            </w:pPr>
            <w:r>
              <w:rPr>
                <w:rFonts w:ascii="Arial" w:cs="Arial" w:eastAsia="Arial" w:hAnsi="Arial"/>
                <w:sz w:val="13"/>
                <w:szCs w:val="13"/>
                <w:color w:val="auto"/>
              </w:rPr>
              <w:t>89</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680" w:type="dxa"/>
            <w:vAlign w:val="bottom"/>
          </w:tcPr>
          <w:p>
            <w:pPr>
              <w:ind w:left="60"/>
              <w:spacing w:after="0"/>
              <w:rPr>
                <w:sz w:val="20"/>
                <w:szCs w:val="20"/>
                <w:color w:val="auto"/>
              </w:rPr>
            </w:pPr>
            <w:r>
              <w:rPr>
                <w:rFonts w:ascii="Arial" w:cs="Arial" w:eastAsia="Arial" w:hAnsi="Arial"/>
                <w:sz w:val="13"/>
                <w:szCs w:val="13"/>
                <w:color w:val="auto"/>
              </w:rPr>
              <w:t>Share-based compensation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95"/>
              <w:spacing w:after="0"/>
              <w:rPr>
                <w:sz w:val="20"/>
                <w:szCs w:val="20"/>
                <w:color w:val="auto"/>
              </w:rPr>
            </w:pPr>
            <w:r>
              <w:rPr>
                <w:rFonts w:ascii="Arial" w:cs="Arial" w:eastAsia="Arial" w:hAnsi="Arial"/>
                <w:sz w:val="13"/>
                <w:szCs w:val="13"/>
                <w:color w:val="auto"/>
              </w:rPr>
              <w:t>2,855</w:t>
            </w:r>
          </w:p>
        </w:tc>
        <w:tc>
          <w:tcPr>
            <w:tcW w:w="840" w:type="dxa"/>
            <w:vAlign w:val="bottom"/>
          </w:tcPr>
          <w:p>
            <w:pPr>
              <w:jc w:val="right"/>
              <w:spacing w:after="0"/>
              <w:rPr>
                <w:sz w:val="20"/>
                <w:szCs w:val="20"/>
                <w:color w:val="auto"/>
              </w:rPr>
            </w:pPr>
            <w:r>
              <w:rPr>
                <w:rFonts w:ascii="Arial" w:cs="Arial" w:eastAsia="Arial" w:hAnsi="Arial"/>
                <w:sz w:val="13"/>
                <w:szCs w:val="13"/>
                <w:color w:val="auto"/>
              </w:rPr>
              <w:t>419</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5"/>
              <w:spacing w:after="0"/>
              <w:rPr>
                <w:sz w:val="20"/>
                <w:szCs w:val="20"/>
                <w:color w:val="auto"/>
              </w:rPr>
            </w:pPr>
            <w:r>
              <w:rPr>
                <w:rFonts w:ascii="Arial" w:cs="Arial" w:eastAsia="Arial" w:hAnsi="Arial"/>
                <w:sz w:val="13"/>
                <w:szCs w:val="13"/>
                <w:color w:val="auto"/>
              </w:rPr>
              <w:t>3,274</w:t>
            </w:r>
          </w:p>
        </w:tc>
        <w:tc>
          <w:tcPr>
            <w:tcW w:w="0" w:type="dxa"/>
            <w:vAlign w:val="bottom"/>
          </w:tcPr>
          <w:p>
            <w:pPr>
              <w:spacing w:after="0"/>
              <w:rPr>
                <w:sz w:val="1"/>
                <w:szCs w:val="1"/>
                <w:color w:val="auto"/>
              </w:rPr>
            </w:pPr>
          </w:p>
        </w:tc>
      </w:tr>
      <w:tr>
        <w:trPr>
          <w:trHeight w:val="138"/>
        </w:trPr>
        <w:tc>
          <w:tcPr>
            <w:tcW w:w="1680" w:type="dxa"/>
            <w:vAlign w:val="bottom"/>
          </w:tcPr>
          <w:p>
            <w:pPr>
              <w:ind w:left="60"/>
              <w:spacing w:after="0" w:line="138" w:lineRule="exact"/>
              <w:rPr>
                <w:sz w:val="20"/>
                <w:szCs w:val="20"/>
                <w:color w:val="auto"/>
              </w:rPr>
            </w:pPr>
            <w:r>
              <w:rPr>
                <w:rFonts w:ascii="Arial" w:cs="Arial" w:eastAsia="Arial" w:hAnsi="Arial"/>
                <w:sz w:val="13"/>
                <w:szCs w:val="13"/>
                <w:color w:val="auto"/>
              </w:rPr>
              <w:t>Net loss and</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75"/>
              <w:spacing w:after="0" w:line="138"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40" w:type="dxa"/>
            <w:vAlign w:val="bottom"/>
            <w:vMerge w:val="restart"/>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3"/>
                <w:szCs w:val="13"/>
                <w:color w:val="auto"/>
              </w:rPr>
              <w:t>(7,023)</w:t>
            </w:r>
          </w:p>
        </w:tc>
        <w:tc>
          <w:tcPr>
            <w:tcW w:w="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15"/>
              <w:spacing w:after="0"/>
              <w:rPr>
                <w:sz w:val="20"/>
                <w:szCs w:val="20"/>
                <w:color w:val="auto"/>
              </w:rPr>
            </w:pPr>
            <w:r>
              <w:rPr>
                <w:rFonts w:ascii="Arial" w:cs="Arial" w:eastAsia="Arial" w:hAnsi="Arial"/>
                <w:sz w:val="13"/>
                <w:szCs w:val="13"/>
                <w:color w:val="auto"/>
              </w:rPr>
              <w:t>(7,023)</w:t>
            </w:r>
          </w:p>
        </w:tc>
        <w:tc>
          <w:tcPr>
            <w:tcW w:w="0" w:type="dxa"/>
            <w:vAlign w:val="bottom"/>
          </w:tcPr>
          <w:p>
            <w:pPr>
              <w:spacing w:after="0"/>
              <w:rPr>
                <w:sz w:val="1"/>
                <w:szCs w:val="1"/>
                <w:color w:val="auto"/>
              </w:rPr>
            </w:pPr>
          </w:p>
        </w:tc>
      </w:tr>
      <w:tr>
        <w:trPr>
          <w:trHeight w:val="122"/>
        </w:trPr>
        <w:tc>
          <w:tcPr>
            <w:tcW w:w="1680" w:type="dxa"/>
            <w:vAlign w:val="bottom"/>
          </w:tcPr>
          <w:p>
            <w:pPr>
              <w:ind w:left="60"/>
              <w:spacing w:after="0" w:line="123" w:lineRule="exact"/>
              <w:rPr>
                <w:sz w:val="20"/>
                <w:szCs w:val="20"/>
                <w:color w:val="auto"/>
              </w:rPr>
            </w:pPr>
            <w:r>
              <w:rPr>
                <w:rFonts w:ascii="Arial" w:cs="Arial" w:eastAsia="Arial" w:hAnsi="Arial"/>
                <w:sz w:val="13"/>
                <w:szCs w:val="13"/>
                <w:color w:val="auto"/>
              </w:rPr>
              <w:t>comprehensive loss for the</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6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period</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80" w:type="dxa"/>
            <w:vAlign w:val="bottom"/>
            <w:shd w:val="clear" w:color="auto" w:fill="D9D9D9"/>
          </w:tcPr>
          <w:p>
            <w:pPr>
              <w:ind w:left="60"/>
              <w:spacing w:after="0" w:line="127" w:lineRule="exact"/>
              <w:rPr>
                <w:sz w:val="20"/>
                <w:szCs w:val="20"/>
                <w:color w:val="auto"/>
              </w:rPr>
            </w:pPr>
            <w:r>
              <w:rPr>
                <w:rFonts w:ascii="Arial" w:cs="Arial" w:eastAsia="Arial" w:hAnsi="Arial"/>
                <w:sz w:val="13"/>
                <w:szCs w:val="13"/>
                <w:b w:val="1"/>
                <w:bCs w:val="1"/>
                <w:color w:val="auto"/>
              </w:rPr>
              <w:t>Balance at September 30,</w:t>
            </w:r>
          </w:p>
        </w:tc>
        <w:tc>
          <w:tcPr>
            <w:tcW w:w="600" w:type="dxa"/>
            <w:vAlign w:val="bottom"/>
            <w:shd w:val="clear" w:color="auto" w:fill="D9D9D9"/>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restart"/>
            <w:shd w:val="clear" w:color="auto" w:fill="D9D9D9"/>
          </w:tcPr>
          <w:p>
            <w:pPr>
              <w:jc w:val="right"/>
              <w:ind w:right="75"/>
              <w:spacing w:after="0"/>
              <w:rPr>
                <w:sz w:val="20"/>
                <w:szCs w:val="20"/>
                <w:color w:val="auto"/>
              </w:rPr>
            </w:pPr>
            <w:r>
              <w:rPr>
                <w:rFonts w:ascii="Arial" w:cs="Arial" w:eastAsia="Arial" w:hAnsi="Arial"/>
                <w:sz w:val="13"/>
                <w:szCs w:val="13"/>
                <w:b w:val="1"/>
                <w:bCs w:val="1"/>
                <w:color w:val="auto"/>
              </w:rPr>
              <w:t>69,150,251</w:t>
            </w:r>
          </w:p>
        </w:tc>
        <w:tc>
          <w:tcPr>
            <w:tcW w:w="86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9,068</w:t>
            </w:r>
          </w:p>
        </w:tc>
        <w:tc>
          <w:tcPr>
            <w:tcW w:w="60" w:type="dxa"/>
            <w:vAlign w:val="bottom"/>
          </w:tcPr>
          <w:p>
            <w:pPr>
              <w:spacing w:after="0"/>
              <w:rPr>
                <w:sz w:val="11"/>
                <w:szCs w:val="11"/>
                <w:color w:val="auto"/>
              </w:rPr>
            </w:pPr>
          </w:p>
        </w:tc>
        <w:tc>
          <w:tcPr>
            <w:tcW w:w="1040" w:type="dxa"/>
            <w:vAlign w:val="bottom"/>
            <w:vMerge w:val="restart"/>
            <w:shd w:val="clear" w:color="auto" w:fill="D9D9D9"/>
          </w:tcPr>
          <w:p>
            <w:pPr>
              <w:jc w:val="right"/>
              <w:ind w:right="95"/>
              <w:spacing w:after="0"/>
              <w:rPr>
                <w:sz w:val="20"/>
                <w:szCs w:val="20"/>
                <w:color w:val="auto"/>
              </w:rPr>
            </w:pPr>
            <w:r>
              <w:rPr>
                <w:rFonts w:ascii="Arial" w:cs="Arial" w:eastAsia="Arial" w:hAnsi="Arial"/>
                <w:sz w:val="13"/>
                <w:szCs w:val="13"/>
                <w:b w:val="1"/>
                <w:bCs w:val="1"/>
                <w:color w:val="auto"/>
              </w:rPr>
              <w:t>2,951</w:t>
            </w:r>
          </w:p>
        </w:tc>
        <w:tc>
          <w:tcPr>
            <w:tcW w:w="84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483</w:t>
            </w:r>
          </w:p>
        </w:tc>
        <w:tc>
          <w:tcPr>
            <w:tcW w:w="1000" w:type="dxa"/>
            <w:vAlign w:val="bottom"/>
            <w:vMerge w:val="restart"/>
            <w:shd w:val="clear" w:color="auto" w:fill="D9D9D9"/>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94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(7,833)</w:t>
            </w:r>
          </w:p>
        </w:tc>
        <w:tc>
          <w:tcPr>
            <w:tcW w:w="60" w:type="dxa"/>
            <w:vAlign w:val="bottom"/>
          </w:tcPr>
          <w:p>
            <w:pPr>
              <w:spacing w:after="0"/>
              <w:rPr>
                <w:sz w:val="11"/>
                <w:szCs w:val="11"/>
                <w:color w:val="auto"/>
              </w:rPr>
            </w:pPr>
          </w:p>
        </w:tc>
        <w:tc>
          <w:tcPr>
            <w:tcW w:w="1040" w:type="dxa"/>
            <w:vAlign w:val="bottom"/>
            <w:vMerge w:val="restart"/>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60" w:type="dxa"/>
            <w:vAlign w:val="bottom"/>
            <w:vMerge w:val="restart"/>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4,669</w:t>
            </w:r>
          </w:p>
        </w:tc>
        <w:tc>
          <w:tcPr>
            <w:tcW w:w="0" w:type="dxa"/>
            <w:vAlign w:val="bottom"/>
          </w:tcPr>
          <w:p>
            <w:pPr>
              <w:spacing w:after="0"/>
              <w:rPr>
                <w:sz w:val="1"/>
                <w:szCs w:val="1"/>
                <w:color w:val="auto"/>
              </w:rPr>
            </w:pPr>
          </w:p>
        </w:tc>
      </w:tr>
      <w:tr>
        <w:trPr>
          <w:trHeight w:val="159"/>
        </w:trPr>
        <w:tc>
          <w:tcPr>
            <w:tcW w:w="168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D9D9D9"/>
            </w:tcBorders>
            <w:shd w:val="clear" w:color="auto" w:fill="D9D9D9"/>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D9D9D9"/>
            </w:tcBorders>
            <w:vMerge w:val="continue"/>
            <w:shd w:val="clear" w:color="auto" w:fill="D9D9D9"/>
          </w:tcPr>
          <w:p>
            <w:pPr>
              <w:spacing w:after="0"/>
              <w:rPr>
                <w:sz w:val="13"/>
                <w:szCs w:val="13"/>
                <w:color w:val="auto"/>
              </w:rPr>
            </w:pPr>
          </w:p>
        </w:tc>
        <w:tc>
          <w:tcPr>
            <w:tcW w:w="860" w:type="dxa"/>
            <w:vAlign w:val="bottom"/>
            <w:tcBorders>
              <w:bottom w:val="single" w:sz="8" w:color="D9D9D9"/>
            </w:tcBorders>
            <w:vMerge w:val="continue"/>
            <w:shd w:val="clear" w:color="auto" w:fill="D9D9D9"/>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D9D9D9"/>
            </w:tcBorders>
            <w:vMerge w:val="continue"/>
            <w:shd w:val="clear" w:color="auto" w:fill="D9D9D9"/>
          </w:tcPr>
          <w:p>
            <w:pPr>
              <w:spacing w:after="0"/>
              <w:rPr>
                <w:sz w:val="13"/>
                <w:szCs w:val="13"/>
                <w:color w:val="auto"/>
              </w:rPr>
            </w:pPr>
          </w:p>
        </w:tc>
        <w:tc>
          <w:tcPr>
            <w:tcW w:w="840" w:type="dxa"/>
            <w:vAlign w:val="bottom"/>
            <w:tcBorders>
              <w:bottom w:val="single" w:sz="8" w:color="D9D9D9"/>
            </w:tcBorders>
            <w:vMerge w:val="continue"/>
            <w:shd w:val="clear" w:color="auto" w:fill="D9D9D9"/>
          </w:tcPr>
          <w:p>
            <w:pPr>
              <w:spacing w:after="0"/>
              <w:rPr>
                <w:sz w:val="13"/>
                <w:szCs w:val="13"/>
                <w:color w:val="auto"/>
              </w:rPr>
            </w:pPr>
          </w:p>
        </w:tc>
        <w:tc>
          <w:tcPr>
            <w:tcW w:w="1000" w:type="dxa"/>
            <w:vAlign w:val="bottom"/>
            <w:tcBorders>
              <w:bottom w:val="single" w:sz="8" w:color="D9D9D9"/>
            </w:tcBorders>
            <w:vMerge w:val="continue"/>
            <w:shd w:val="clear" w:color="auto" w:fill="D9D9D9"/>
          </w:tcPr>
          <w:p>
            <w:pPr>
              <w:spacing w:after="0"/>
              <w:rPr>
                <w:sz w:val="13"/>
                <w:szCs w:val="13"/>
                <w:color w:val="auto"/>
              </w:rPr>
            </w:pPr>
          </w:p>
        </w:tc>
        <w:tc>
          <w:tcPr>
            <w:tcW w:w="920" w:type="dxa"/>
            <w:vAlign w:val="bottom"/>
            <w:tcBorders>
              <w:bottom w:val="single" w:sz="8" w:color="D9D9D9"/>
            </w:tcBorders>
            <w:vMerge w:val="continue"/>
            <w:shd w:val="clear" w:color="auto" w:fill="D9D9D9"/>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D9D9D9"/>
            </w:tcBorders>
            <w:vMerge w:val="continue"/>
            <w:shd w:val="clear" w:color="auto" w:fill="D9D9D9"/>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D9D9D9"/>
            </w:tcBorders>
            <w:vMerge w:val="continue"/>
            <w:shd w:val="clear" w:color="auto" w:fill="D9D9D9"/>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bottom w:val="single" w:sz="8" w:color="D9D9D9"/>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6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spacing w:after="0"/>
              <w:rPr>
                <w:sz w:val="9"/>
                <w:szCs w:val="9"/>
                <w:color w:val="auto"/>
              </w:rPr>
            </w:pPr>
          </w:p>
        </w:tc>
        <w:tc>
          <w:tcPr>
            <w:tcW w:w="100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104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960" w:type="dxa"/>
            <w:vAlign w:val="bottom"/>
            <w:tcBorders>
              <w:top w:val="single" w:sz="8" w:color="auto"/>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680" w:type="dxa"/>
            <w:vAlign w:val="bottom"/>
            <w:shd w:val="clear" w:color="auto" w:fill="D9D9D9"/>
          </w:tcPr>
          <w:p>
            <w:pPr>
              <w:ind w:left="60"/>
              <w:spacing w:after="0" w:line="127" w:lineRule="exact"/>
              <w:rPr>
                <w:sz w:val="20"/>
                <w:szCs w:val="20"/>
                <w:color w:val="auto"/>
              </w:rPr>
            </w:pPr>
            <w:r>
              <w:rPr>
                <w:rFonts w:ascii="Arial" w:cs="Arial" w:eastAsia="Arial" w:hAnsi="Arial"/>
                <w:sz w:val="13"/>
                <w:szCs w:val="13"/>
                <w:b w:val="1"/>
                <w:bCs w:val="1"/>
                <w:color w:val="auto"/>
              </w:rPr>
              <w:t>Balance at March 31,</w:t>
            </w:r>
          </w:p>
        </w:tc>
        <w:tc>
          <w:tcPr>
            <w:tcW w:w="600" w:type="dxa"/>
            <w:vAlign w:val="bottom"/>
            <w:shd w:val="clear" w:color="auto" w:fill="D9D9D9"/>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restart"/>
            <w:shd w:val="clear" w:color="auto" w:fill="D9D9D9"/>
          </w:tcPr>
          <w:p>
            <w:pPr>
              <w:jc w:val="right"/>
              <w:ind w:right="75"/>
              <w:spacing w:after="0"/>
              <w:rPr>
                <w:sz w:val="20"/>
                <w:szCs w:val="20"/>
                <w:color w:val="auto"/>
              </w:rPr>
            </w:pPr>
            <w:r>
              <w:rPr>
                <w:rFonts w:ascii="Arial" w:cs="Arial" w:eastAsia="Arial" w:hAnsi="Arial"/>
                <w:sz w:val="13"/>
                <w:szCs w:val="13"/>
                <w:b w:val="1"/>
                <w:bCs w:val="1"/>
                <w:color w:val="auto"/>
              </w:rPr>
              <w:t>157,454,415</w:t>
            </w:r>
          </w:p>
        </w:tc>
        <w:tc>
          <w:tcPr>
            <w:tcW w:w="86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100,676</w:t>
            </w:r>
          </w:p>
        </w:tc>
        <w:tc>
          <w:tcPr>
            <w:tcW w:w="60" w:type="dxa"/>
            <w:vAlign w:val="bottom"/>
          </w:tcPr>
          <w:p>
            <w:pPr>
              <w:spacing w:after="0"/>
              <w:rPr>
                <w:sz w:val="11"/>
                <w:szCs w:val="11"/>
                <w:color w:val="auto"/>
              </w:rPr>
            </w:pPr>
          </w:p>
        </w:tc>
        <w:tc>
          <w:tcPr>
            <w:tcW w:w="1040" w:type="dxa"/>
            <w:vAlign w:val="bottom"/>
            <w:vMerge w:val="restart"/>
            <w:shd w:val="clear" w:color="auto" w:fill="D9D9D9"/>
          </w:tcPr>
          <w:p>
            <w:pPr>
              <w:jc w:val="right"/>
              <w:ind w:right="95"/>
              <w:spacing w:after="0"/>
              <w:rPr>
                <w:sz w:val="20"/>
                <w:szCs w:val="20"/>
                <w:color w:val="auto"/>
              </w:rPr>
            </w:pPr>
            <w:r>
              <w:rPr>
                <w:rFonts w:ascii="Arial" w:cs="Arial" w:eastAsia="Arial" w:hAnsi="Arial"/>
                <w:sz w:val="13"/>
                <w:szCs w:val="13"/>
                <w:b w:val="1"/>
                <w:bCs w:val="1"/>
                <w:color w:val="auto"/>
              </w:rPr>
              <w:t>11,166</w:t>
            </w:r>
          </w:p>
        </w:tc>
        <w:tc>
          <w:tcPr>
            <w:tcW w:w="84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7,158</w:t>
            </w:r>
          </w:p>
        </w:tc>
        <w:tc>
          <w:tcPr>
            <w:tcW w:w="1000" w:type="dxa"/>
            <w:vAlign w:val="bottom"/>
            <w:vMerge w:val="restart"/>
            <w:shd w:val="clear" w:color="auto" w:fill="D9D9D9"/>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124</w:t>
            </w:r>
          </w:p>
        </w:tc>
        <w:tc>
          <w:tcPr>
            <w:tcW w:w="80" w:type="dxa"/>
            <w:vAlign w:val="bottom"/>
          </w:tcPr>
          <w:p>
            <w:pPr>
              <w:spacing w:after="0"/>
              <w:rPr>
                <w:sz w:val="11"/>
                <w:szCs w:val="11"/>
                <w:color w:val="auto"/>
              </w:rPr>
            </w:pPr>
          </w:p>
        </w:tc>
        <w:tc>
          <w:tcPr>
            <w:tcW w:w="94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(33,030)</w:t>
            </w:r>
          </w:p>
        </w:tc>
        <w:tc>
          <w:tcPr>
            <w:tcW w:w="60" w:type="dxa"/>
            <w:vAlign w:val="bottom"/>
          </w:tcPr>
          <w:p>
            <w:pPr>
              <w:spacing w:after="0"/>
              <w:rPr>
                <w:sz w:val="11"/>
                <w:szCs w:val="11"/>
                <w:color w:val="auto"/>
              </w:rPr>
            </w:pPr>
          </w:p>
        </w:tc>
        <w:tc>
          <w:tcPr>
            <w:tcW w:w="104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24</w:t>
            </w:r>
          </w:p>
        </w:tc>
        <w:tc>
          <w:tcPr>
            <w:tcW w:w="60" w:type="dxa"/>
            <w:vAlign w:val="bottom"/>
          </w:tcPr>
          <w:p>
            <w:pPr>
              <w:spacing w:after="0"/>
              <w:rPr>
                <w:sz w:val="11"/>
                <w:szCs w:val="11"/>
                <w:color w:val="auto"/>
              </w:rPr>
            </w:pPr>
          </w:p>
        </w:tc>
        <w:tc>
          <w:tcPr>
            <w:tcW w:w="960" w:type="dxa"/>
            <w:vAlign w:val="bottom"/>
            <w:vMerge w:val="restart"/>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86,118</w:t>
            </w:r>
          </w:p>
        </w:tc>
        <w:tc>
          <w:tcPr>
            <w:tcW w:w="0" w:type="dxa"/>
            <w:vAlign w:val="bottom"/>
          </w:tcPr>
          <w:p>
            <w:pPr>
              <w:spacing w:after="0"/>
              <w:rPr>
                <w:sz w:val="1"/>
                <w:szCs w:val="1"/>
                <w:color w:val="auto"/>
              </w:rPr>
            </w:pPr>
          </w:p>
        </w:tc>
      </w:tr>
      <w:tr>
        <w:trPr>
          <w:trHeight w:val="159"/>
        </w:trPr>
        <w:tc>
          <w:tcPr>
            <w:tcW w:w="168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D9D9D9"/>
            </w:tcBorders>
            <w:shd w:val="clear" w:color="auto" w:fill="D9D9D9"/>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D9D9D9"/>
            </w:tcBorders>
            <w:vMerge w:val="continue"/>
            <w:shd w:val="clear" w:color="auto" w:fill="D9D9D9"/>
          </w:tcPr>
          <w:p>
            <w:pPr>
              <w:spacing w:after="0"/>
              <w:rPr>
                <w:sz w:val="13"/>
                <w:szCs w:val="13"/>
                <w:color w:val="auto"/>
              </w:rPr>
            </w:pPr>
          </w:p>
        </w:tc>
        <w:tc>
          <w:tcPr>
            <w:tcW w:w="860" w:type="dxa"/>
            <w:vAlign w:val="bottom"/>
            <w:tcBorders>
              <w:bottom w:val="single" w:sz="8" w:color="D9D9D9"/>
            </w:tcBorders>
            <w:vMerge w:val="continue"/>
            <w:shd w:val="clear" w:color="auto" w:fill="D9D9D9"/>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D9D9D9"/>
            </w:tcBorders>
            <w:vMerge w:val="continue"/>
            <w:shd w:val="clear" w:color="auto" w:fill="D9D9D9"/>
          </w:tcPr>
          <w:p>
            <w:pPr>
              <w:spacing w:after="0"/>
              <w:rPr>
                <w:sz w:val="13"/>
                <w:szCs w:val="13"/>
                <w:color w:val="auto"/>
              </w:rPr>
            </w:pPr>
          </w:p>
        </w:tc>
        <w:tc>
          <w:tcPr>
            <w:tcW w:w="840" w:type="dxa"/>
            <w:vAlign w:val="bottom"/>
            <w:tcBorders>
              <w:bottom w:val="single" w:sz="8" w:color="D9D9D9"/>
            </w:tcBorders>
            <w:vMerge w:val="continue"/>
            <w:shd w:val="clear" w:color="auto" w:fill="D9D9D9"/>
          </w:tcPr>
          <w:p>
            <w:pPr>
              <w:spacing w:after="0"/>
              <w:rPr>
                <w:sz w:val="13"/>
                <w:szCs w:val="13"/>
                <w:color w:val="auto"/>
              </w:rPr>
            </w:pPr>
          </w:p>
        </w:tc>
        <w:tc>
          <w:tcPr>
            <w:tcW w:w="1000" w:type="dxa"/>
            <w:vAlign w:val="bottom"/>
            <w:tcBorders>
              <w:bottom w:val="single" w:sz="8" w:color="D9D9D9"/>
            </w:tcBorders>
            <w:vMerge w:val="continue"/>
            <w:shd w:val="clear" w:color="auto" w:fill="D9D9D9"/>
          </w:tcPr>
          <w:p>
            <w:pPr>
              <w:spacing w:after="0"/>
              <w:rPr>
                <w:sz w:val="13"/>
                <w:szCs w:val="13"/>
                <w:color w:val="auto"/>
              </w:rPr>
            </w:pPr>
          </w:p>
        </w:tc>
        <w:tc>
          <w:tcPr>
            <w:tcW w:w="920" w:type="dxa"/>
            <w:vAlign w:val="bottom"/>
            <w:tcBorders>
              <w:bottom w:val="single" w:sz="8" w:color="D9D9D9"/>
            </w:tcBorders>
            <w:vMerge w:val="continue"/>
            <w:shd w:val="clear" w:color="auto" w:fill="D9D9D9"/>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D9D9D9"/>
            </w:tcBorders>
            <w:vMerge w:val="continue"/>
            <w:shd w:val="clear" w:color="auto" w:fill="D9D9D9"/>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D9D9D9"/>
            </w:tcBorders>
            <w:vMerge w:val="continue"/>
            <w:shd w:val="clear" w:color="auto" w:fill="D9D9D9"/>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bottom w:val="single" w:sz="8" w:color="D9D9D9"/>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6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color w:val="auto"/>
                <w:w w:val="99"/>
              </w:rPr>
              <w:t>Bought deal share offering -</w:t>
            </w:r>
          </w:p>
        </w:tc>
        <w:tc>
          <w:tcPr>
            <w:tcW w:w="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color w:val="auto"/>
              </w:rPr>
              <w:t>8</w:t>
            </w:r>
          </w:p>
        </w:tc>
        <w:tc>
          <w:tcPr>
            <w:tcW w:w="80" w:type="dxa"/>
            <w:vAlign w:val="bottom"/>
            <w:vMerge w:val="restart"/>
          </w:tcPr>
          <w:p>
            <w:pPr>
              <w:spacing w:after="0"/>
              <w:rPr>
                <w:sz w:val="11"/>
                <w:szCs w:val="11"/>
                <w:color w:val="auto"/>
              </w:rPr>
            </w:pPr>
          </w:p>
        </w:tc>
        <w:tc>
          <w:tcPr>
            <w:tcW w:w="104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3"/>
                <w:szCs w:val="13"/>
                <w:color w:val="auto"/>
              </w:rPr>
              <w:t>10,147,600</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31,508</w:t>
            </w:r>
          </w:p>
        </w:tc>
        <w:tc>
          <w:tcPr>
            <w:tcW w:w="60" w:type="dxa"/>
            <w:vAlign w:val="bottom"/>
          </w:tcPr>
          <w:p>
            <w:pPr>
              <w:spacing w:after="0"/>
              <w:rPr>
                <w:sz w:val="11"/>
                <w:szCs w:val="11"/>
                <w:color w:val="auto"/>
              </w:rPr>
            </w:pPr>
          </w:p>
        </w:tc>
        <w:tc>
          <w:tcPr>
            <w:tcW w:w="104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gridSpan w:val="2"/>
            <w:vMerge w:val="restart"/>
          </w:tcPr>
          <w:p>
            <w:pPr>
              <w:jc w:val="right"/>
              <w:ind w:right="15"/>
              <w:spacing w:after="0"/>
              <w:rPr>
                <w:sz w:val="20"/>
                <w:szCs w:val="20"/>
                <w:color w:val="auto"/>
              </w:rPr>
            </w:pPr>
            <w:r>
              <w:rPr>
                <w:rFonts w:ascii="Arial" w:cs="Arial" w:eastAsia="Arial" w:hAnsi="Arial"/>
                <w:sz w:val="13"/>
                <w:szCs w:val="13"/>
                <w:color w:val="auto"/>
              </w:rPr>
              <w:t>31,508</w:t>
            </w:r>
          </w:p>
        </w:tc>
        <w:tc>
          <w:tcPr>
            <w:tcW w:w="0" w:type="dxa"/>
            <w:vAlign w:val="bottom"/>
          </w:tcPr>
          <w:p>
            <w:pPr>
              <w:spacing w:after="0"/>
              <w:rPr>
                <w:sz w:val="1"/>
                <w:szCs w:val="1"/>
                <w:color w:val="auto"/>
              </w:rPr>
            </w:pPr>
          </w:p>
        </w:tc>
      </w:tr>
      <w:tr>
        <w:trPr>
          <w:trHeight w:val="95"/>
        </w:trPr>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net of share issuance costs</w:t>
            </w:r>
          </w:p>
        </w:tc>
        <w:tc>
          <w:tcPr>
            <w:tcW w:w="6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680" w:type="dxa"/>
            <w:vAlign w:val="bottom"/>
          </w:tcPr>
          <w:p>
            <w:pPr>
              <w:ind w:left="60"/>
              <w:spacing w:after="0" w:line="138" w:lineRule="exact"/>
              <w:rPr>
                <w:sz w:val="20"/>
                <w:szCs w:val="20"/>
                <w:color w:val="auto"/>
              </w:rPr>
            </w:pPr>
            <w:r>
              <w:rPr>
                <w:rFonts w:ascii="Arial" w:cs="Arial" w:eastAsia="Arial" w:hAnsi="Arial"/>
                <w:sz w:val="13"/>
                <w:szCs w:val="13"/>
                <w:color w:val="auto"/>
              </w:rPr>
              <w:t>Shares issued on Adelia</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7, 8</w:t>
            </w:r>
          </w:p>
        </w:tc>
        <w:tc>
          <w:tcPr>
            <w:tcW w:w="1120" w:type="dxa"/>
            <w:vAlign w:val="bottom"/>
            <w:gridSpan w:val="2"/>
            <w:vMerge w:val="restart"/>
          </w:tcPr>
          <w:p>
            <w:pPr>
              <w:jc w:val="right"/>
              <w:ind w:right="75"/>
              <w:spacing w:after="0"/>
              <w:rPr>
                <w:sz w:val="20"/>
                <w:szCs w:val="20"/>
                <w:color w:val="auto"/>
              </w:rPr>
            </w:pPr>
            <w:r>
              <w:rPr>
                <w:rFonts w:ascii="Arial" w:cs="Arial" w:eastAsia="Arial" w:hAnsi="Arial"/>
                <w:sz w:val="13"/>
                <w:szCs w:val="13"/>
                <w:color w:val="auto"/>
              </w:rPr>
              <w:t>439,583</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1,237</w:t>
            </w:r>
          </w:p>
        </w:tc>
        <w:tc>
          <w:tcPr>
            <w:tcW w:w="60" w:type="dxa"/>
            <w:vAlign w:val="bottom"/>
          </w:tcPr>
          <w:p>
            <w:pPr>
              <w:spacing w:after="0"/>
              <w:rPr>
                <w:sz w:val="11"/>
                <w:szCs w:val="11"/>
                <w:color w:val="auto"/>
              </w:rPr>
            </w:pPr>
          </w:p>
        </w:tc>
        <w:tc>
          <w:tcPr>
            <w:tcW w:w="1040" w:type="dxa"/>
            <w:vAlign w:val="bottom"/>
            <w:vMerge w:val="restart"/>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15"/>
              <w:spacing w:after="0"/>
              <w:rPr>
                <w:sz w:val="20"/>
                <w:szCs w:val="20"/>
                <w:color w:val="auto"/>
              </w:rPr>
            </w:pPr>
            <w:r>
              <w:rPr>
                <w:rFonts w:ascii="Arial" w:cs="Arial" w:eastAsia="Arial" w:hAnsi="Arial"/>
                <w:sz w:val="13"/>
                <w:szCs w:val="13"/>
                <w:color w:val="auto"/>
              </w:rPr>
              <w:t>1,237</w:t>
            </w:r>
          </w:p>
        </w:tc>
        <w:tc>
          <w:tcPr>
            <w:tcW w:w="0" w:type="dxa"/>
            <w:vAlign w:val="bottom"/>
          </w:tcPr>
          <w:p>
            <w:pPr>
              <w:spacing w:after="0"/>
              <w:rPr>
                <w:sz w:val="1"/>
                <w:szCs w:val="1"/>
                <w:color w:val="auto"/>
              </w:rPr>
            </w:pPr>
          </w:p>
        </w:tc>
      </w:tr>
      <w:tr>
        <w:trPr>
          <w:trHeight w:val="95"/>
        </w:trPr>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milestones</w:t>
            </w:r>
          </w:p>
        </w:tc>
        <w:tc>
          <w:tcPr>
            <w:tcW w:w="60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680" w:type="dxa"/>
            <w:vAlign w:val="bottom"/>
          </w:tcPr>
          <w:p>
            <w:pPr>
              <w:ind w:left="60"/>
              <w:spacing w:after="0"/>
              <w:rPr>
                <w:sz w:val="20"/>
                <w:szCs w:val="20"/>
                <w:color w:val="auto"/>
              </w:rPr>
            </w:pPr>
            <w:r>
              <w:rPr>
                <w:rFonts w:ascii="Arial" w:cs="Arial" w:eastAsia="Arial" w:hAnsi="Arial"/>
                <w:sz w:val="13"/>
                <w:szCs w:val="13"/>
                <w:color w:val="auto"/>
              </w:rPr>
              <w:t>Warrants exercised</w:t>
            </w:r>
          </w:p>
        </w:tc>
        <w:tc>
          <w:tcPr>
            <w:tcW w:w="600" w:type="dxa"/>
            <w:vAlign w:val="bottom"/>
          </w:tcPr>
          <w:p>
            <w:pPr>
              <w:jc w:val="center"/>
              <w:spacing w:after="0"/>
              <w:rPr>
                <w:sz w:val="20"/>
                <w:szCs w:val="20"/>
                <w:color w:val="auto"/>
              </w:rPr>
            </w:pPr>
            <w:r>
              <w:rPr>
                <w:rFonts w:ascii="Arial" w:cs="Arial" w:eastAsia="Arial" w:hAnsi="Arial"/>
                <w:sz w:val="13"/>
                <w:szCs w:val="13"/>
                <w:color w:val="auto"/>
              </w:rPr>
              <w:t>8</w:t>
            </w:r>
          </w:p>
        </w:tc>
        <w:tc>
          <w:tcPr>
            <w:tcW w:w="1120" w:type="dxa"/>
            <w:vAlign w:val="bottom"/>
            <w:gridSpan w:val="2"/>
          </w:tcPr>
          <w:p>
            <w:pPr>
              <w:jc w:val="right"/>
              <w:ind w:right="75"/>
              <w:spacing w:after="0"/>
              <w:rPr>
                <w:sz w:val="20"/>
                <w:szCs w:val="20"/>
                <w:color w:val="auto"/>
              </w:rPr>
            </w:pPr>
            <w:r>
              <w:rPr>
                <w:rFonts w:ascii="Arial" w:cs="Arial" w:eastAsia="Arial" w:hAnsi="Arial"/>
                <w:sz w:val="13"/>
                <w:szCs w:val="13"/>
                <w:color w:val="auto"/>
              </w:rPr>
              <w:t>1,930,176</w:t>
            </w:r>
          </w:p>
        </w:tc>
        <w:tc>
          <w:tcPr>
            <w:tcW w:w="860" w:type="dxa"/>
            <w:vAlign w:val="bottom"/>
          </w:tcPr>
          <w:p>
            <w:pPr>
              <w:jc w:val="right"/>
              <w:spacing w:after="0"/>
              <w:rPr>
                <w:sz w:val="20"/>
                <w:szCs w:val="20"/>
                <w:color w:val="auto"/>
              </w:rPr>
            </w:pPr>
            <w:r>
              <w:rPr>
                <w:rFonts w:ascii="Arial" w:cs="Arial" w:eastAsia="Arial" w:hAnsi="Arial"/>
                <w:sz w:val="13"/>
                <w:szCs w:val="13"/>
                <w:color w:val="auto"/>
              </w:rPr>
              <w:t>3,538</w:t>
            </w:r>
          </w:p>
        </w:tc>
        <w:tc>
          <w:tcPr>
            <w:tcW w:w="1100" w:type="dxa"/>
            <w:vAlign w:val="bottom"/>
            <w:gridSpan w:val="2"/>
          </w:tcPr>
          <w:p>
            <w:pPr>
              <w:jc w:val="right"/>
              <w:ind w:right="95"/>
              <w:spacing w:after="0"/>
              <w:rPr>
                <w:sz w:val="20"/>
                <w:szCs w:val="20"/>
                <w:color w:val="auto"/>
              </w:rPr>
            </w:pPr>
            <w:r>
              <w:rPr>
                <w:rFonts w:ascii="Arial" w:cs="Arial" w:eastAsia="Arial" w:hAnsi="Arial"/>
                <w:sz w:val="13"/>
                <w:szCs w:val="13"/>
                <w:color w:val="auto"/>
              </w:rPr>
              <w:t>(946)</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5"/>
              <w:spacing w:after="0"/>
              <w:rPr>
                <w:sz w:val="20"/>
                <w:szCs w:val="20"/>
                <w:color w:val="auto"/>
              </w:rPr>
            </w:pPr>
            <w:r>
              <w:rPr>
                <w:rFonts w:ascii="Arial" w:cs="Arial" w:eastAsia="Arial" w:hAnsi="Arial"/>
                <w:sz w:val="13"/>
                <w:szCs w:val="13"/>
                <w:color w:val="auto"/>
              </w:rPr>
              <w:t>2,592</w:t>
            </w:r>
          </w:p>
        </w:tc>
        <w:tc>
          <w:tcPr>
            <w:tcW w:w="0" w:type="dxa"/>
            <w:vAlign w:val="bottom"/>
          </w:tcPr>
          <w:p>
            <w:pPr>
              <w:spacing w:after="0"/>
              <w:rPr>
                <w:sz w:val="1"/>
                <w:szCs w:val="1"/>
                <w:color w:val="auto"/>
              </w:rPr>
            </w:pPr>
          </w:p>
        </w:tc>
      </w:tr>
      <w:tr>
        <w:trPr>
          <w:trHeight w:val="171"/>
        </w:trPr>
        <w:tc>
          <w:tcPr>
            <w:tcW w:w="1680" w:type="dxa"/>
            <w:vAlign w:val="bottom"/>
          </w:tcPr>
          <w:p>
            <w:pPr>
              <w:ind w:left="60"/>
              <w:spacing w:after="0"/>
              <w:rPr>
                <w:sz w:val="20"/>
                <w:szCs w:val="20"/>
                <w:color w:val="auto"/>
              </w:rPr>
            </w:pPr>
            <w:r>
              <w:rPr>
                <w:rFonts w:ascii="Arial" w:cs="Arial" w:eastAsia="Arial" w:hAnsi="Arial"/>
                <w:sz w:val="13"/>
                <w:szCs w:val="13"/>
                <w:color w:val="auto"/>
              </w:rPr>
              <w:t>Options exercised</w:t>
            </w:r>
          </w:p>
        </w:tc>
        <w:tc>
          <w:tcPr>
            <w:tcW w:w="600" w:type="dxa"/>
            <w:vAlign w:val="bottom"/>
          </w:tcPr>
          <w:p>
            <w:pPr>
              <w:jc w:val="center"/>
              <w:spacing w:after="0"/>
              <w:rPr>
                <w:sz w:val="20"/>
                <w:szCs w:val="20"/>
                <w:color w:val="auto"/>
              </w:rPr>
            </w:pPr>
            <w:r>
              <w:rPr>
                <w:rFonts w:ascii="Arial" w:cs="Arial" w:eastAsia="Arial" w:hAnsi="Arial"/>
                <w:sz w:val="13"/>
                <w:szCs w:val="13"/>
                <w:color w:val="auto"/>
              </w:rPr>
              <w:t>8</w:t>
            </w:r>
          </w:p>
        </w:tc>
        <w:tc>
          <w:tcPr>
            <w:tcW w:w="1120" w:type="dxa"/>
            <w:vAlign w:val="bottom"/>
            <w:gridSpan w:val="2"/>
          </w:tcPr>
          <w:p>
            <w:pPr>
              <w:jc w:val="right"/>
              <w:ind w:right="75"/>
              <w:spacing w:after="0"/>
              <w:rPr>
                <w:sz w:val="20"/>
                <w:szCs w:val="20"/>
                <w:color w:val="auto"/>
              </w:rPr>
            </w:pPr>
            <w:r>
              <w:rPr>
                <w:rFonts w:ascii="Arial" w:cs="Arial" w:eastAsia="Arial" w:hAnsi="Arial"/>
                <w:sz w:val="13"/>
                <w:szCs w:val="13"/>
                <w:color w:val="auto"/>
              </w:rPr>
              <w:t>450,000</w:t>
            </w:r>
          </w:p>
        </w:tc>
        <w:tc>
          <w:tcPr>
            <w:tcW w:w="860" w:type="dxa"/>
            <w:vAlign w:val="bottom"/>
          </w:tcPr>
          <w:p>
            <w:pPr>
              <w:jc w:val="right"/>
              <w:spacing w:after="0"/>
              <w:rPr>
                <w:sz w:val="20"/>
                <w:szCs w:val="20"/>
                <w:color w:val="auto"/>
              </w:rPr>
            </w:pPr>
            <w:r>
              <w:rPr>
                <w:rFonts w:ascii="Arial" w:cs="Arial" w:eastAsia="Arial" w:hAnsi="Arial"/>
                <w:sz w:val="13"/>
                <w:szCs w:val="13"/>
                <w:color w:val="auto"/>
              </w:rPr>
              <w:t>360</w:t>
            </w:r>
          </w:p>
        </w:tc>
        <w:tc>
          <w:tcPr>
            <w:tcW w:w="60" w:type="dxa"/>
            <w:vAlign w:val="bottom"/>
          </w:tcPr>
          <w:p>
            <w:pPr>
              <w:spacing w:after="0"/>
              <w:rPr>
                <w:sz w:val="14"/>
                <w:szCs w:val="14"/>
                <w:color w:val="auto"/>
              </w:rPr>
            </w:pPr>
          </w:p>
        </w:tc>
        <w:tc>
          <w:tcPr>
            <w:tcW w:w="104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(150)</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5"/>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171"/>
        </w:trPr>
        <w:tc>
          <w:tcPr>
            <w:tcW w:w="1680" w:type="dxa"/>
            <w:vAlign w:val="bottom"/>
          </w:tcPr>
          <w:p>
            <w:pPr>
              <w:ind w:left="60"/>
              <w:spacing w:after="0"/>
              <w:rPr>
                <w:sz w:val="20"/>
                <w:szCs w:val="20"/>
                <w:color w:val="auto"/>
              </w:rPr>
            </w:pPr>
            <w:r>
              <w:rPr>
                <w:rFonts w:ascii="Arial" w:cs="Arial" w:eastAsia="Arial" w:hAnsi="Arial"/>
                <w:sz w:val="13"/>
                <w:szCs w:val="13"/>
                <w:color w:val="auto"/>
              </w:rPr>
              <w:t>Finders' warrants</w:t>
            </w:r>
          </w:p>
        </w:tc>
        <w:tc>
          <w:tcPr>
            <w:tcW w:w="600" w:type="dxa"/>
            <w:vAlign w:val="bottom"/>
          </w:tcPr>
          <w:p>
            <w:pPr>
              <w:jc w:val="center"/>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10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(1,299)</w:t>
            </w:r>
          </w:p>
        </w:tc>
        <w:tc>
          <w:tcPr>
            <w:tcW w:w="1100" w:type="dxa"/>
            <w:vAlign w:val="bottom"/>
            <w:gridSpan w:val="2"/>
          </w:tcPr>
          <w:p>
            <w:pPr>
              <w:jc w:val="right"/>
              <w:ind w:right="95"/>
              <w:spacing w:after="0"/>
              <w:rPr>
                <w:sz w:val="20"/>
                <w:szCs w:val="20"/>
                <w:color w:val="auto"/>
              </w:rPr>
            </w:pPr>
            <w:r>
              <w:rPr>
                <w:rFonts w:ascii="Arial" w:cs="Arial" w:eastAsia="Arial" w:hAnsi="Arial"/>
                <w:sz w:val="13"/>
                <w:szCs w:val="13"/>
                <w:color w:val="auto"/>
              </w:rPr>
              <w:t>1,299</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680" w:type="dxa"/>
            <w:vAlign w:val="bottom"/>
          </w:tcPr>
          <w:p>
            <w:pPr>
              <w:ind w:left="60"/>
              <w:spacing w:after="0"/>
              <w:rPr>
                <w:sz w:val="20"/>
                <w:szCs w:val="20"/>
                <w:color w:val="auto"/>
              </w:rPr>
            </w:pPr>
            <w:r>
              <w:rPr>
                <w:rFonts w:ascii="Arial" w:cs="Arial" w:eastAsia="Arial" w:hAnsi="Arial"/>
                <w:sz w:val="13"/>
                <w:szCs w:val="13"/>
                <w:color w:val="auto"/>
              </w:rPr>
              <w:t>Share-based compensation</w:t>
            </w:r>
          </w:p>
        </w:tc>
        <w:tc>
          <w:tcPr>
            <w:tcW w:w="600" w:type="dxa"/>
            <w:vAlign w:val="bottom"/>
          </w:tcPr>
          <w:p>
            <w:pPr>
              <w:jc w:val="center"/>
              <w:spacing w:after="0"/>
              <w:rPr>
                <w:sz w:val="20"/>
                <w:szCs w:val="20"/>
                <w:color w:val="auto"/>
              </w:rPr>
            </w:pPr>
            <w:r>
              <w:rPr>
                <w:rFonts w:ascii="Arial" w:cs="Arial" w:eastAsia="Arial" w:hAnsi="Arial"/>
                <w:sz w:val="13"/>
                <w:szCs w:val="13"/>
                <w:color w:val="auto"/>
              </w:rPr>
              <w:t>8, 9</w:t>
            </w:r>
          </w:p>
        </w:tc>
        <w:tc>
          <w:tcPr>
            <w:tcW w:w="80" w:type="dxa"/>
            <w:vAlign w:val="bottom"/>
          </w:tcPr>
          <w:p>
            <w:pPr>
              <w:spacing w:after="0"/>
              <w:rPr>
                <w:sz w:val="14"/>
                <w:szCs w:val="14"/>
                <w:color w:val="auto"/>
              </w:rPr>
            </w:pPr>
          </w:p>
        </w:tc>
        <w:tc>
          <w:tcPr>
            <w:tcW w:w="10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95"/>
              <w:spacing w:after="0"/>
              <w:rPr>
                <w:sz w:val="20"/>
                <w:szCs w:val="20"/>
                <w:color w:val="auto"/>
              </w:rPr>
            </w:pPr>
            <w:r>
              <w:rPr>
                <w:rFonts w:ascii="Arial" w:cs="Arial" w:eastAsia="Arial" w:hAnsi="Arial"/>
                <w:sz w:val="13"/>
                <w:szCs w:val="13"/>
                <w:color w:val="auto"/>
              </w:rPr>
              <w:t>178</w:t>
            </w:r>
          </w:p>
        </w:tc>
        <w:tc>
          <w:tcPr>
            <w:tcW w:w="840" w:type="dxa"/>
            <w:vAlign w:val="bottom"/>
          </w:tcPr>
          <w:p>
            <w:pPr>
              <w:jc w:val="right"/>
              <w:spacing w:after="0"/>
              <w:rPr>
                <w:sz w:val="20"/>
                <w:szCs w:val="20"/>
                <w:color w:val="auto"/>
              </w:rPr>
            </w:pPr>
            <w:r>
              <w:rPr>
                <w:rFonts w:ascii="Arial" w:cs="Arial" w:eastAsia="Arial" w:hAnsi="Arial"/>
                <w:sz w:val="13"/>
                <w:szCs w:val="13"/>
                <w:color w:val="auto"/>
              </w:rPr>
              <w:t>10,052</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5"/>
              <w:spacing w:after="0"/>
              <w:rPr>
                <w:sz w:val="20"/>
                <w:szCs w:val="20"/>
                <w:color w:val="auto"/>
              </w:rPr>
            </w:pPr>
            <w:r>
              <w:rPr>
                <w:rFonts w:ascii="Arial" w:cs="Arial" w:eastAsia="Arial" w:hAnsi="Arial"/>
                <w:sz w:val="13"/>
                <w:szCs w:val="13"/>
                <w:color w:val="auto"/>
              </w:rPr>
              <w:t>10,230</w:t>
            </w:r>
          </w:p>
        </w:tc>
        <w:tc>
          <w:tcPr>
            <w:tcW w:w="0" w:type="dxa"/>
            <w:vAlign w:val="bottom"/>
          </w:tcPr>
          <w:p>
            <w:pPr>
              <w:spacing w:after="0"/>
              <w:rPr>
                <w:sz w:val="1"/>
                <w:szCs w:val="1"/>
                <w:color w:val="auto"/>
              </w:rPr>
            </w:pPr>
          </w:p>
        </w:tc>
      </w:tr>
      <w:tr>
        <w:trPr>
          <w:trHeight w:val="171"/>
        </w:trPr>
        <w:tc>
          <w:tcPr>
            <w:tcW w:w="1680" w:type="dxa"/>
            <w:vAlign w:val="bottom"/>
          </w:tcPr>
          <w:p>
            <w:pPr>
              <w:ind w:left="60"/>
              <w:spacing w:after="0"/>
              <w:rPr>
                <w:sz w:val="20"/>
                <w:szCs w:val="20"/>
                <w:color w:val="auto"/>
              </w:rPr>
            </w:pPr>
            <w:r>
              <w:rPr>
                <w:rFonts w:ascii="Arial" w:cs="Arial" w:eastAsia="Arial" w:hAnsi="Arial"/>
                <w:sz w:val="13"/>
                <w:szCs w:val="13"/>
                <w:color w:val="auto"/>
              </w:rPr>
              <w:t>Net loss for the period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(32,324)</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5"/>
              <w:spacing w:after="0"/>
              <w:rPr>
                <w:sz w:val="20"/>
                <w:szCs w:val="20"/>
                <w:color w:val="auto"/>
              </w:rPr>
            </w:pPr>
            <w:r>
              <w:rPr>
                <w:rFonts w:ascii="Arial" w:cs="Arial" w:eastAsia="Arial" w:hAnsi="Arial"/>
                <w:sz w:val="13"/>
                <w:szCs w:val="13"/>
                <w:color w:val="auto"/>
              </w:rPr>
              <w:t>(32,324)</w:t>
            </w:r>
          </w:p>
        </w:tc>
        <w:tc>
          <w:tcPr>
            <w:tcW w:w="0" w:type="dxa"/>
            <w:vAlign w:val="bottom"/>
          </w:tcPr>
          <w:p>
            <w:pPr>
              <w:spacing w:after="0"/>
              <w:rPr>
                <w:sz w:val="1"/>
                <w:szCs w:val="1"/>
                <w:color w:val="auto"/>
              </w:rPr>
            </w:pPr>
          </w:p>
        </w:tc>
      </w:tr>
      <w:tr>
        <w:trPr>
          <w:trHeight w:val="138"/>
        </w:trPr>
        <w:tc>
          <w:tcPr>
            <w:tcW w:w="1680" w:type="dxa"/>
            <w:vAlign w:val="bottom"/>
          </w:tcPr>
          <w:p>
            <w:pPr>
              <w:ind w:left="60"/>
              <w:spacing w:after="0" w:line="138" w:lineRule="exact"/>
              <w:rPr>
                <w:sz w:val="20"/>
                <w:szCs w:val="20"/>
                <w:color w:val="auto"/>
              </w:rPr>
            </w:pPr>
            <w:r>
              <w:rPr>
                <w:rFonts w:ascii="Arial" w:cs="Arial" w:eastAsia="Arial" w:hAnsi="Arial"/>
                <w:sz w:val="13"/>
                <w:szCs w:val="13"/>
                <w:color w:val="auto"/>
              </w:rPr>
              <w:t>Unrealized loss on</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restart"/>
          </w:tcPr>
          <w:p>
            <w:pPr>
              <w:jc w:val="right"/>
              <w:ind w:right="75"/>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40" w:type="dxa"/>
            <w:vAlign w:val="bottom"/>
            <w:vMerge w:val="restart"/>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color w:val="auto"/>
              </w:rPr>
              <w:t>(177)</w:t>
            </w:r>
          </w:p>
        </w:tc>
        <w:tc>
          <w:tcPr>
            <w:tcW w:w="1020" w:type="dxa"/>
            <w:vAlign w:val="bottom"/>
            <w:gridSpan w:val="2"/>
            <w:vMerge w:val="restart"/>
          </w:tcPr>
          <w:p>
            <w:pPr>
              <w:jc w:val="right"/>
              <w:ind w:right="15"/>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22"/>
        </w:trPr>
        <w:tc>
          <w:tcPr>
            <w:tcW w:w="1680" w:type="dxa"/>
            <w:vAlign w:val="bottom"/>
          </w:tcPr>
          <w:p>
            <w:pPr>
              <w:ind w:left="60"/>
              <w:spacing w:after="0" w:line="123" w:lineRule="exact"/>
              <w:rPr>
                <w:sz w:val="20"/>
                <w:szCs w:val="20"/>
                <w:color w:val="auto"/>
              </w:rPr>
            </w:pPr>
            <w:r>
              <w:rPr>
                <w:rFonts w:ascii="Arial" w:cs="Arial" w:eastAsia="Arial" w:hAnsi="Arial"/>
                <w:sz w:val="13"/>
                <w:szCs w:val="13"/>
                <w:color w:val="auto"/>
              </w:rPr>
              <w:t>translation of foreign</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6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operations</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80" w:type="dxa"/>
            <w:vAlign w:val="bottom"/>
            <w:shd w:val="clear" w:color="auto" w:fill="D9D9D9"/>
          </w:tcPr>
          <w:p>
            <w:pPr>
              <w:ind w:left="60"/>
              <w:spacing w:after="0" w:line="127" w:lineRule="exact"/>
              <w:rPr>
                <w:sz w:val="20"/>
                <w:szCs w:val="20"/>
                <w:color w:val="auto"/>
              </w:rPr>
            </w:pPr>
            <w:r>
              <w:rPr>
                <w:rFonts w:ascii="Arial" w:cs="Arial" w:eastAsia="Arial" w:hAnsi="Arial"/>
                <w:sz w:val="13"/>
                <w:szCs w:val="13"/>
                <w:b w:val="1"/>
                <w:bCs w:val="1"/>
                <w:color w:val="auto"/>
              </w:rPr>
              <w:t>Balance at September 30,</w:t>
            </w:r>
          </w:p>
        </w:tc>
        <w:tc>
          <w:tcPr>
            <w:tcW w:w="600" w:type="dxa"/>
            <w:vAlign w:val="bottom"/>
            <w:shd w:val="clear" w:color="auto" w:fill="D9D9D9"/>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restart"/>
            <w:shd w:val="clear" w:color="auto" w:fill="D9D9D9"/>
          </w:tcPr>
          <w:p>
            <w:pPr>
              <w:jc w:val="right"/>
              <w:ind w:right="75"/>
              <w:spacing w:after="0"/>
              <w:rPr>
                <w:sz w:val="20"/>
                <w:szCs w:val="20"/>
                <w:color w:val="auto"/>
              </w:rPr>
            </w:pPr>
            <w:r>
              <w:rPr>
                <w:rFonts w:ascii="Arial" w:cs="Arial" w:eastAsia="Arial" w:hAnsi="Arial"/>
                <w:sz w:val="13"/>
                <w:szCs w:val="13"/>
                <w:b w:val="1"/>
                <w:bCs w:val="1"/>
                <w:color w:val="auto"/>
              </w:rPr>
              <w:t>170,421,774</w:t>
            </w:r>
          </w:p>
        </w:tc>
        <w:tc>
          <w:tcPr>
            <w:tcW w:w="86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136,020</w:t>
            </w:r>
          </w:p>
        </w:tc>
        <w:tc>
          <w:tcPr>
            <w:tcW w:w="60" w:type="dxa"/>
            <w:vAlign w:val="bottom"/>
          </w:tcPr>
          <w:p>
            <w:pPr>
              <w:spacing w:after="0"/>
              <w:rPr>
                <w:sz w:val="11"/>
                <w:szCs w:val="11"/>
                <w:color w:val="auto"/>
              </w:rPr>
            </w:pPr>
          </w:p>
        </w:tc>
        <w:tc>
          <w:tcPr>
            <w:tcW w:w="1040" w:type="dxa"/>
            <w:vAlign w:val="bottom"/>
            <w:vMerge w:val="restart"/>
            <w:shd w:val="clear" w:color="auto" w:fill="D9D9D9"/>
          </w:tcPr>
          <w:p>
            <w:pPr>
              <w:jc w:val="right"/>
              <w:ind w:right="95"/>
              <w:spacing w:after="0"/>
              <w:rPr>
                <w:sz w:val="20"/>
                <w:szCs w:val="20"/>
                <w:color w:val="auto"/>
              </w:rPr>
            </w:pPr>
            <w:r>
              <w:rPr>
                <w:rFonts w:ascii="Arial" w:cs="Arial" w:eastAsia="Arial" w:hAnsi="Arial"/>
                <w:sz w:val="13"/>
                <w:szCs w:val="13"/>
                <w:b w:val="1"/>
                <w:bCs w:val="1"/>
                <w:color w:val="auto"/>
              </w:rPr>
              <w:t>11,697</w:t>
            </w:r>
          </w:p>
        </w:tc>
        <w:tc>
          <w:tcPr>
            <w:tcW w:w="84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17,060</w:t>
            </w:r>
          </w:p>
        </w:tc>
        <w:tc>
          <w:tcPr>
            <w:tcW w:w="1000" w:type="dxa"/>
            <w:vAlign w:val="bottom"/>
            <w:vMerge w:val="restart"/>
            <w:shd w:val="clear" w:color="auto" w:fill="D9D9D9"/>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124</w:t>
            </w:r>
          </w:p>
        </w:tc>
        <w:tc>
          <w:tcPr>
            <w:tcW w:w="80" w:type="dxa"/>
            <w:vAlign w:val="bottom"/>
          </w:tcPr>
          <w:p>
            <w:pPr>
              <w:spacing w:after="0"/>
              <w:rPr>
                <w:sz w:val="11"/>
                <w:szCs w:val="11"/>
                <w:color w:val="auto"/>
              </w:rPr>
            </w:pPr>
          </w:p>
        </w:tc>
        <w:tc>
          <w:tcPr>
            <w:tcW w:w="94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(65,354)</w:t>
            </w:r>
          </w:p>
        </w:tc>
        <w:tc>
          <w:tcPr>
            <w:tcW w:w="60" w:type="dxa"/>
            <w:vAlign w:val="bottom"/>
          </w:tcPr>
          <w:p>
            <w:pPr>
              <w:spacing w:after="0"/>
              <w:rPr>
                <w:sz w:val="11"/>
                <w:szCs w:val="11"/>
                <w:color w:val="auto"/>
              </w:rPr>
            </w:pPr>
          </w:p>
        </w:tc>
        <w:tc>
          <w:tcPr>
            <w:tcW w:w="104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(153)</w:t>
            </w:r>
          </w:p>
        </w:tc>
        <w:tc>
          <w:tcPr>
            <w:tcW w:w="60" w:type="dxa"/>
            <w:vAlign w:val="bottom"/>
          </w:tcPr>
          <w:p>
            <w:pPr>
              <w:spacing w:after="0"/>
              <w:rPr>
                <w:sz w:val="11"/>
                <w:szCs w:val="11"/>
                <w:color w:val="auto"/>
              </w:rPr>
            </w:pPr>
          </w:p>
        </w:tc>
        <w:tc>
          <w:tcPr>
            <w:tcW w:w="960" w:type="dxa"/>
            <w:vAlign w:val="bottom"/>
            <w:vMerge w:val="restart"/>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99,394</w:t>
            </w:r>
          </w:p>
        </w:tc>
        <w:tc>
          <w:tcPr>
            <w:tcW w:w="0" w:type="dxa"/>
            <w:vAlign w:val="bottom"/>
          </w:tcPr>
          <w:p>
            <w:pPr>
              <w:spacing w:after="0"/>
              <w:rPr>
                <w:sz w:val="1"/>
                <w:szCs w:val="1"/>
                <w:color w:val="auto"/>
              </w:rPr>
            </w:pPr>
          </w:p>
        </w:tc>
      </w:tr>
      <w:tr>
        <w:trPr>
          <w:trHeight w:val="139"/>
        </w:trPr>
        <w:tc>
          <w:tcPr>
            <w:tcW w:w="1680" w:type="dxa"/>
            <w:vAlign w:val="bottom"/>
            <w:tcBorders>
              <w:bottom w:val="single" w:sz="8" w:color="D9D9D9"/>
            </w:tcBorders>
            <w:shd w:val="clear" w:color="auto" w:fill="D9D9D9"/>
          </w:tcPr>
          <w:p>
            <w:pPr>
              <w:ind w:left="60"/>
              <w:spacing w:after="0" w:line="139" w:lineRule="exact"/>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D9D9D9"/>
            </w:tcBorders>
            <w:shd w:val="clear" w:color="auto" w:fill="D9D9D9"/>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D9D9D9"/>
            </w:tcBorders>
            <w:vMerge w:val="continue"/>
            <w:shd w:val="clear" w:color="auto" w:fill="D9D9D9"/>
          </w:tcPr>
          <w:p>
            <w:pPr>
              <w:spacing w:after="0"/>
              <w:rPr>
                <w:sz w:val="12"/>
                <w:szCs w:val="12"/>
                <w:color w:val="auto"/>
              </w:rPr>
            </w:pPr>
          </w:p>
        </w:tc>
        <w:tc>
          <w:tcPr>
            <w:tcW w:w="860" w:type="dxa"/>
            <w:vAlign w:val="bottom"/>
            <w:tcBorders>
              <w:bottom w:val="single" w:sz="8" w:color="D9D9D9"/>
            </w:tcBorders>
            <w:vMerge w:val="continue"/>
            <w:shd w:val="clear" w:color="auto" w:fill="D9D9D9"/>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bottom w:val="single" w:sz="8" w:color="D9D9D9"/>
            </w:tcBorders>
            <w:vMerge w:val="continue"/>
            <w:shd w:val="clear" w:color="auto" w:fill="D9D9D9"/>
          </w:tcPr>
          <w:p>
            <w:pPr>
              <w:spacing w:after="0"/>
              <w:rPr>
                <w:sz w:val="12"/>
                <w:szCs w:val="12"/>
                <w:color w:val="auto"/>
              </w:rPr>
            </w:pPr>
          </w:p>
        </w:tc>
        <w:tc>
          <w:tcPr>
            <w:tcW w:w="840" w:type="dxa"/>
            <w:vAlign w:val="bottom"/>
            <w:tcBorders>
              <w:bottom w:val="single" w:sz="8" w:color="D9D9D9"/>
            </w:tcBorders>
            <w:vMerge w:val="continue"/>
            <w:shd w:val="clear" w:color="auto" w:fill="D9D9D9"/>
          </w:tcPr>
          <w:p>
            <w:pPr>
              <w:spacing w:after="0"/>
              <w:rPr>
                <w:sz w:val="12"/>
                <w:szCs w:val="12"/>
                <w:color w:val="auto"/>
              </w:rPr>
            </w:pPr>
          </w:p>
        </w:tc>
        <w:tc>
          <w:tcPr>
            <w:tcW w:w="1000" w:type="dxa"/>
            <w:vAlign w:val="bottom"/>
            <w:tcBorders>
              <w:bottom w:val="single" w:sz="8" w:color="D9D9D9"/>
            </w:tcBorders>
            <w:vMerge w:val="continue"/>
            <w:shd w:val="clear" w:color="auto" w:fill="D9D9D9"/>
          </w:tcPr>
          <w:p>
            <w:pPr>
              <w:spacing w:after="0"/>
              <w:rPr>
                <w:sz w:val="12"/>
                <w:szCs w:val="12"/>
                <w:color w:val="auto"/>
              </w:rPr>
            </w:pPr>
          </w:p>
        </w:tc>
        <w:tc>
          <w:tcPr>
            <w:tcW w:w="920" w:type="dxa"/>
            <w:vAlign w:val="bottom"/>
            <w:tcBorders>
              <w:bottom w:val="single" w:sz="8" w:color="D9D9D9"/>
            </w:tcBorders>
            <w:vMerge w:val="continue"/>
            <w:shd w:val="clear" w:color="auto" w:fill="D9D9D9"/>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bottom w:val="single" w:sz="8" w:color="D9D9D9"/>
            </w:tcBorders>
            <w:vMerge w:val="continue"/>
            <w:shd w:val="clear" w:color="auto" w:fill="D9D9D9"/>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bottom w:val="single" w:sz="8" w:color="D9D9D9"/>
            </w:tcBorders>
            <w:vMerge w:val="continue"/>
            <w:shd w:val="clear" w:color="auto" w:fill="D9D9D9"/>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bottom w:val="single" w:sz="8" w:color="D9D9D9"/>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171" w:right="319" w:bottom="1440" w:gutter="0" w:footer="0" w:header="0"/>
        </w:sectPr>
      </w:pPr>
    </w:p>
    <w:bookmarkStart w:id="8" w:name="page9"/>
    <w:bookmarkEnd w:id="8"/>
    <w:p>
      <w:pPr>
        <w:ind w:left="60"/>
        <w:spacing w:after="0"/>
        <w:rPr>
          <w:sz w:val="20"/>
          <w:szCs w:val="20"/>
          <w:color w:val="auto"/>
        </w:rPr>
      </w:pPr>
      <w:r>
        <w:rPr>
          <w:rFonts w:ascii="Arial" w:cs="Arial" w:eastAsia="Arial" w:hAnsi="Arial"/>
          <w:sz w:val="20"/>
          <w:szCs w:val="20"/>
          <w:b w:val="1"/>
          <w:bCs w:val="1"/>
          <w:color w:val="auto"/>
        </w:rPr>
        <w:t>CYBIN INC.</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CONDENSED INTERIM CONSOLIDATED STATEMENT OF CASH FLOWS</w:t>
      </w:r>
    </w:p>
    <w:p>
      <w:pPr>
        <w:ind w:left="60"/>
        <w:spacing w:after="0"/>
        <w:rPr>
          <w:sz w:val="20"/>
          <w:szCs w:val="20"/>
          <w:color w:val="auto"/>
        </w:rPr>
      </w:pPr>
      <w:r>
        <w:rPr>
          <w:rFonts w:ascii="Arial" w:cs="Arial" w:eastAsia="Arial" w:hAnsi="Arial"/>
          <w:sz w:val="16"/>
          <w:szCs w:val="16"/>
          <w:b w:val="1"/>
          <w:bCs w:val="1"/>
          <w:color w:val="auto"/>
        </w:rPr>
        <w:t>(All amounts expressed in thousands of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50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80" w:type="dxa"/>
            <w:vAlign w:val="bottom"/>
            <w:gridSpan w:val="2"/>
          </w:tcPr>
          <w:p>
            <w:pPr>
              <w:jc w:val="right"/>
              <w:ind w:right="47"/>
              <w:spacing w:after="0"/>
              <w:rPr>
                <w:sz w:val="20"/>
                <w:szCs w:val="20"/>
                <w:color w:val="auto"/>
              </w:rPr>
            </w:pPr>
            <w:r>
              <w:rPr>
                <w:rFonts w:ascii="Arial" w:cs="Arial" w:eastAsia="Arial" w:hAnsi="Arial"/>
                <w:sz w:val="15"/>
                <w:szCs w:val="15"/>
                <w:b w:val="1"/>
                <w:bCs w:val="1"/>
                <w:color w:val="auto"/>
              </w:rPr>
              <w:t>Three months ended September</w:t>
            </w:r>
          </w:p>
        </w:tc>
        <w:tc>
          <w:tcPr>
            <w:tcW w:w="2480" w:type="dxa"/>
            <w:vAlign w:val="bottom"/>
            <w:gridSpan w:val="2"/>
            <w:vMerge w:val="restart"/>
          </w:tcPr>
          <w:p>
            <w:pPr>
              <w:jc w:val="right"/>
              <w:ind w:right="27"/>
              <w:spacing w:after="0"/>
              <w:rPr>
                <w:sz w:val="20"/>
                <w:szCs w:val="20"/>
                <w:color w:val="auto"/>
              </w:rPr>
            </w:pPr>
            <w:r>
              <w:rPr>
                <w:rFonts w:ascii="Arial" w:cs="Arial" w:eastAsia="Arial" w:hAnsi="Arial"/>
                <w:sz w:val="15"/>
                <w:szCs w:val="15"/>
                <w:b w:val="1"/>
                <w:bCs w:val="1"/>
                <w:color w:val="auto"/>
              </w:rPr>
              <w:t>Six months ended September 30,</w:t>
            </w:r>
          </w:p>
        </w:tc>
        <w:tc>
          <w:tcPr>
            <w:tcW w:w="0" w:type="dxa"/>
            <w:vAlign w:val="bottom"/>
          </w:tcPr>
          <w:p>
            <w:pPr>
              <w:spacing w:after="0"/>
              <w:rPr>
                <w:sz w:val="1"/>
                <w:szCs w:val="1"/>
                <w:color w:val="auto"/>
              </w:rPr>
            </w:pPr>
          </w:p>
        </w:tc>
      </w:tr>
      <w:tr>
        <w:trPr>
          <w:trHeight w:val="117"/>
        </w:trPr>
        <w:tc>
          <w:tcPr>
            <w:tcW w:w="5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40" w:type="dxa"/>
            <w:vAlign w:val="bottom"/>
            <w:vMerge w:val="restart"/>
          </w:tcPr>
          <w:p>
            <w:pPr>
              <w:jc w:val="right"/>
              <w:ind w:right="227"/>
              <w:spacing w:after="0"/>
              <w:rPr>
                <w:sz w:val="20"/>
                <w:szCs w:val="20"/>
                <w:color w:val="auto"/>
              </w:rPr>
            </w:pPr>
            <w:r>
              <w:rPr>
                <w:rFonts w:ascii="Arial" w:cs="Arial" w:eastAsia="Arial" w:hAnsi="Arial"/>
                <w:sz w:val="15"/>
                <w:szCs w:val="15"/>
                <w:b w:val="1"/>
                <w:bCs w:val="1"/>
                <w:color w:val="auto"/>
              </w:rPr>
              <w:t>30,</w:t>
            </w:r>
          </w:p>
        </w:tc>
        <w:tc>
          <w:tcPr>
            <w:tcW w:w="840" w:type="dxa"/>
            <w:vAlign w:val="bottom"/>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Notes</w:t>
            </w:r>
          </w:p>
        </w:tc>
        <w:tc>
          <w:tcPr>
            <w:tcW w:w="16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5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2021</w:t>
            </w: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406"/>
        </w:trPr>
        <w:tc>
          <w:tcPr>
            <w:tcW w:w="5600" w:type="dxa"/>
            <w:vAlign w:val="bottom"/>
          </w:tcPr>
          <w:p>
            <w:pPr>
              <w:ind w:left="60"/>
              <w:spacing w:after="0"/>
              <w:rPr>
                <w:sz w:val="20"/>
                <w:szCs w:val="20"/>
                <w:color w:val="auto"/>
              </w:rPr>
            </w:pPr>
            <w:r>
              <w:rPr>
                <w:rFonts w:ascii="Arial" w:cs="Arial" w:eastAsia="Arial" w:hAnsi="Arial"/>
                <w:sz w:val="15"/>
                <w:szCs w:val="15"/>
                <w:b w:val="1"/>
                <w:bCs w:val="1"/>
                <w:color w:val="auto"/>
              </w:rPr>
              <w:t>OPERATING ACTIVITIES</w:t>
            </w: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700" w:type="dxa"/>
            <w:vAlign w:val="bottom"/>
          </w:tcPr>
          <w:p>
            <w:pPr>
              <w:spacing w:after="0"/>
              <w:rPr>
                <w:sz w:val="17"/>
                <w:szCs w:val="17"/>
                <w:color w:val="auto"/>
              </w:rPr>
            </w:pP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(17,607)</w:t>
            </w:r>
          </w:p>
        </w:tc>
        <w:tc>
          <w:tcPr>
            <w:tcW w:w="840" w:type="dxa"/>
            <w:vAlign w:val="bottom"/>
          </w:tcPr>
          <w:p>
            <w:pPr>
              <w:jc w:val="right"/>
              <w:spacing w:after="0"/>
              <w:rPr>
                <w:sz w:val="20"/>
                <w:szCs w:val="20"/>
                <w:color w:val="auto"/>
              </w:rPr>
            </w:pPr>
            <w:r>
              <w:rPr>
                <w:rFonts w:ascii="Arial" w:cs="Arial" w:eastAsia="Arial" w:hAnsi="Arial"/>
                <w:sz w:val="15"/>
                <w:szCs w:val="15"/>
                <w:color w:val="auto"/>
              </w:rPr>
              <w:t>(2,660)</w:t>
            </w:r>
          </w:p>
        </w:tc>
        <w:tc>
          <w:tcPr>
            <w:tcW w:w="1560" w:type="dxa"/>
            <w:vAlign w:val="bottom"/>
          </w:tcPr>
          <w:p>
            <w:pPr>
              <w:jc w:val="right"/>
              <w:ind w:right="307"/>
              <w:spacing w:after="0"/>
              <w:rPr>
                <w:sz w:val="20"/>
                <w:szCs w:val="20"/>
                <w:color w:val="auto"/>
              </w:rPr>
            </w:pPr>
            <w:r>
              <w:rPr>
                <w:rFonts w:ascii="Arial" w:cs="Arial" w:eastAsia="Arial" w:hAnsi="Arial"/>
                <w:sz w:val="15"/>
                <w:szCs w:val="15"/>
                <w:b w:val="1"/>
                <w:bCs w:val="1"/>
                <w:color w:val="auto"/>
              </w:rPr>
              <w:t>(32,324)</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(7,023)</w:t>
            </w:r>
          </w:p>
        </w:tc>
        <w:tc>
          <w:tcPr>
            <w:tcW w:w="0" w:type="dxa"/>
            <w:vAlign w:val="bottom"/>
          </w:tcPr>
          <w:p>
            <w:pPr>
              <w:spacing w:after="0"/>
              <w:rPr>
                <w:sz w:val="1"/>
                <w:szCs w:val="1"/>
                <w:color w:val="auto"/>
              </w:rPr>
            </w:pPr>
          </w:p>
        </w:tc>
      </w:tr>
      <w:tr>
        <w:trPr>
          <w:trHeight w:val="196"/>
        </w:trPr>
        <w:tc>
          <w:tcPr>
            <w:tcW w:w="5600" w:type="dxa"/>
            <w:vAlign w:val="bottom"/>
          </w:tcPr>
          <w:p>
            <w:pPr>
              <w:ind w:left="160"/>
              <w:spacing w:after="0"/>
              <w:rPr>
                <w:sz w:val="20"/>
                <w:szCs w:val="20"/>
                <w:color w:val="auto"/>
              </w:rPr>
            </w:pPr>
            <w:r>
              <w:rPr>
                <w:rFonts w:ascii="Arial" w:cs="Arial" w:eastAsia="Arial" w:hAnsi="Arial"/>
                <w:sz w:val="15"/>
                <w:szCs w:val="15"/>
                <w:b w:val="1"/>
                <w:bCs w:val="1"/>
                <w:color w:val="auto"/>
              </w:rPr>
              <w:t>Adjustments for items not affecting cash:</w:t>
            </w:r>
          </w:p>
        </w:tc>
        <w:tc>
          <w:tcPr>
            <w:tcW w:w="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00" w:type="dxa"/>
            <w:vAlign w:val="bottom"/>
          </w:tcPr>
          <w:p>
            <w:pPr>
              <w:ind w:left="360"/>
              <w:spacing w:after="0"/>
              <w:rPr>
                <w:sz w:val="20"/>
                <w:szCs w:val="20"/>
                <w:color w:val="auto"/>
              </w:rPr>
            </w:pPr>
            <w:r>
              <w:rPr>
                <w:rFonts w:ascii="Arial" w:cs="Arial" w:eastAsia="Arial" w:hAnsi="Arial"/>
                <w:sz w:val="15"/>
                <w:szCs w:val="15"/>
                <w:color w:val="auto"/>
              </w:rPr>
              <w:t>Depreciation</w:t>
            </w:r>
          </w:p>
        </w:tc>
        <w:tc>
          <w:tcPr>
            <w:tcW w:w="700" w:type="dxa"/>
            <w:vAlign w:val="bottom"/>
          </w:tcPr>
          <w:p>
            <w:pPr>
              <w:jc w:val="center"/>
              <w:spacing w:after="0"/>
              <w:rPr>
                <w:sz w:val="20"/>
                <w:szCs w:val="20"/>
                <w:color w:val="auto"/>
              </w:rPr>
            </w:pPr>
            <w:r>
              <w:rPr>
                <w:rFonts w:ascii="Arial" w:cs="Arial" w:eastAsia="Arial" w:hAnsi="Arial"/>
                <w:sz w:val="15"/>
                <w:szCs w:val="15"/>
                <w:i w:val="1"/>
                <w:iCs w:val="1"/>
                <w:color w:val="auto"/>
                <w:w w:val="95"/>
              </w:rPr>
              <w:t>5</w:t>
            </w: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42</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07"/>
              <w:spacing w:after="0"/>
              <w:rPr>
                <w:sz w:val="20"/>
                <w:szCs w:val="20"/>
                <w:color w:val="auto"/>
              </w:rPr>
            </w:pPr>
            <w:r>
              <w:rPr>
                <w:rFonts w:ascii="Arial" w:cs="Arial" w:eastAsia="Arial" w:hAnsi="Arial"/>
                <w:sz w:val="15"/>
                <w:szCs w:val="15"/>
                <w:b w:val="1"/>
                <w:bCs w:val="1"/>
                <w:color w:val="auto"/>
              </w:rPr>
              <w:t>80</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5600" w:type="dxa"/>
            <w:vAlign w:val="bottom"/>
          </w:tcPr>
          <w:p>
            <w:pPr>
              <w:ind w:left="360"/>
              <w:spacing w:after="0"/>
              <w:rPr>
                <w:sz w:val="20"/>
                <w:szCs w:val="20"/>
                <w:color w:val="auto"/>
              </w:rPr>
            </w:pPr>
            <w:r>
              <w:rPr>
                <w:rFonts w:ascii="Arial" w:cs="Arial" w:eastAsia="Arial" w:hAnsi="Arial"/>
                <w:sz w:val="15"/>
                <w:szCs w:val="15"/>
                <w:color w:val="auto"/>
              </w:rPr>
              <w:t>Share-based compensation</w:t>
            </w:r>
          </w:p>
        </w:tc>
        <w:tc>
          <w:tcPr>
            <w:tcW w:w="700" w:type="dxa"/>
            <w:vAlign w:val="bottom"/>
          </w:tcPr>
          <w:p>
            <w:pPr>
              <w:spacing w:after="0"/>
              <w:rPr>
                <w:sz w:val="19"/>
                <w:szCs w:val="19"/>
                <w:color w:val="auto"/>
              </w:rPr>
            </w:pP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5,457</w:t>
            </w:r>
          </w:p>
        </w:tc>
        <w:tc>
          <w:tcPr>
            <w:tcW w:w="840" w:type="dxa"/>
            <w:vAlign w:val="bottom"/>
          </w:tcPr>
          <w:p>
            <w:pPr>
              <w:jc w:val="right"/>
              <w:spacing w:after="0"/>
              <w:rPr>
                <w:sz w:val="20"/>
                <w:szCs w:val="20"/>
                <w:color w:val="auto"/>
              </w:rPr>
            </w:pPr>
            <w:r>
              <w:rPr>
                <w:rFonts w:ascii="Arial" w:cs="Arial" w:eastAsia="Arial" w:hAnsi="Arial"/>
                <w:sz w:val="15"/>
                <w:szCs w:val="15"/>
                <w:color w:val="auto"/>
              </w:rPr>
              <w:t>786</w:t>
            </w:r>
          </w:p>
        </w:tc>
        <w:tc>
          <w:tcPr>
            <w:tcW w:w="1560" w:type="dxa"/>
            <w:vAlign w:val="bottom"/>
          </w:tcPr>
          <w:p>
            <w:pPr>
              <w:jc w:val="right"/>
              <w:ind w:right="307"/>
              <w:spacing w:after="0"/>
              <w:rPr>
                <w:sz w:val="20"/>
                <w:szCs w:val="20"/>
                <w:color w:val="auto"/>
              </w:rPr>
            </w:pPr>
            <w:r>
              <w:rPr>
                <w:rFonts w:ascii="Arial" w:cs="Arial" w:eastAsia="Arial" w:hAnsi="Arial"/>
                <w:sz w:val="15"/>
                <w:szCs w:val="15"/>
                <w:b w:val="1"/>
                <w:bCs w:val="1"/>
                <w:color w:val="auto"/>
              </w:rPr>
              <w:t>10,230</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3,274</w:t>
            </w:r>
          </w:p>
        </w:tc>
        <w:tc>
          <w:tcPr>
            <w:tcW w:w="0" w:type="dxa"/>
            <w:vAlign w:val="bottom"/>
          </w:tcPr>
          <w:p>
            <w:pPr>
              <w:spacing w:after="0"/>
              <w:rPr>
                <w:sz w:val="1"/>
                <w:szCs w:val="1"/>
                <w:color w:val="auto"/>
              </w:rPr>
            </w:pPr>
          </w:p>
        </w:tc>
      </w:tr>
      <w:tr>
        <w:trPr>
          <w:trHeight w:val="220"/>
        </w:trPr>
        <w:tc>
          <w:tcPr>
            <w:tcW w:w="5600" w:type="dxa"/>
            <w:vAlign w:val="bottom"/>
          </w:tcPr>
          <w:p>
            <w:pPr>
              <w:ind w:left="360"/>
              <w:spacing w:after="0"/>
              <w:rPr>
                <w:sz w:val="20"/>
                <w:szCs w:val="20"/>
                <w:color w:val="auto"/>
              </w:rPr>
            </w:pPr>
            <w:r>
              <w:rPr>
                <w:rFonts w:ascii="Arial" w:cs="Arial" w:eastAsia="Arial" w:hAnsi="Arial"/>
                <w:sz w:val="15"/>
                <w:szCs w:val="15"/>
                <w:color w:val="auto"/>
              </w:rPr>
              <w:t>Accretion of convertible debt</w:t>
            </w:r>
          </w:p>
        </w:tc>
        <w:tc>
          <w:tcPr>
            <w:tcW w:w="700" w:type="dxa"/>
            <w:vAlign w:val="bottom"/>
          </w:tcPr>
          <w:p>
            <w:pPr>
              <w:spacing w:after="0"/>
              <w:rPr>
                <w:sz w:val="19"/>
                <w:szCs w:val="19"/>
                <w:color w:val="auto"/>
              </w:rPr>
            </w:pPr>
          </w:p>
        </w:tc>
        <w:tc>
          <w:tcPr>
            <w:tcW w:w="1640" w:type="dxa"/>
            <w:vAlign w:val="bottom"/>
          </w:tcPr>
          <w:p>
            <w:pPr>
              <w:jc w:val="right"/>
              <w:ind w:right="387"/>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0"/>
        </w:trPr>
        <w:tc>
          <w:tcPr>
            <w:tcW w:w="5600" w:type="dxa"/>
            <w:vAlign w:val="bottom"/>
          </w:tcPr>
          <w:p>
            <w:pPr>
              <w:ind w:left="360"/>
              <w:spacing w:after="0"/>
              <w:rPr>
                <w:sz w:val="20"/>
                <w:szCs w:val="20"/>
                <w:color w:val="auto"/>
              </w:rPr>
            </w:pPr>
            <w:r>
              <w:rPr>
                <w:rFonts w:ascii="Arial" w:cs="Arial" w:eastAsia="Arial" w:hAnsi="Arial"/>
                <w:sz w:val="15"/>
                <w:szCs w:val="15"/>
                <w:color w:val="auto"/>
              </w:rPr>
              <w:t>Contingent consideration accretion</w:t>
            </w:r>
          </w:p>
        </w:tc>
        <w:tc>
          <w:tcPr>
            <w:tcW w:w="700" w:type="dxa"/>
            <w:vAlign w:val="bottom"/>
          </w:tcPr>
          <w:p>
            <w:pPr>
              <w:jc w:val="center"/>
              <w:spacing w:after="0"/>
              <w:rPr>
                <w:sz w:val="20"/>
                <w:szCs w:val="20"/>
                <w:color w:val="auto"/>
              </w:rPr>
            </w:pPr>
            <w:r>
              <w:rPr>
                <w:rFonts w:ascii="Arial" w:cs="Arial" w:eastAsia="Arial" w:hAnsi="Arial"/>
                <w:sz w:val="15"/>
                <w:szCs w:val="15"/>
                <w:i w:val="1"/>
                <w:iCs w:val="1"/>
                <w:color w:val="auto"/>
                <w:w w:val="95"/>
              </w:rPr>
              <w:t>7</w:t>
            </w: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70</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07"/>
              <w:spacing w:after="0"/>
              <w:rPr>
                <w:sz w:val="20"/>
                <w:szCs w:val="20"/>
                <w:color w:val="auto"/>
              </w:rPr>
            </w:pPr>
            <w:r>
              <w:rPr>
                <w:rFonts w:ascii="Arial" w:cs="Arial" w:eastAsia="Arial" w:hAnsi="Arial"/>
                <w:sz w:val="15"/>
                <w:szCs w:val="15"/>
                <w:b w:val="1"/>
                <w:bCs w:val="1"/>
                <w:color w:val="auto"/>
              </w:rPr>
              <w:t>231</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5600" w:type="dxa"/>
            <w:vAlign w:val="bottom"/>
          </w:tcPr>
          <w:p>
            <w:pPr>
              <w:ind w:left="360"/>
              <w:spacing w:after="0"/>
              <w:rPr>
                <w:sz w:val="20"/>
                <w:szCs w:val="20"/>
                <w:color w:val="auto"/>
              </w:rPr>
            </w:pPr>
            <w:r>
              <w:rPr>
                <w:rFonts w:ascii="Arial" w:cs="Arial" w:eastAsia="Arial" w:hAnsi="Arial"/>
                <w:sz w:val="15"/>
                <w:szCs w:val="15"/>
                <w:color w:val="auto"/>
              </w:rPr>
              <w:t>Change in fair value of contingent consideration</w:t>
            </w:r>
          </w:p>
        </w:tc>
        <w:tc>
          <w:tcPr>
            <w:tcW w:w="700" w:type="dxa"/>
            <w:vAlign w:val="bottom"/>
          </w:tcPr>
          <w:p>
            <w:pPr>
              <w:jc w:val="center"/>
              <w:spacing w:after="0"/>
              <w:rPr>
                <w:sz w:val="20"/>
                <w:szCs w:val="20"/>
                <w:color w:val="auto"/>
              </w:rPr>
            </w:pPr>
            <w:r>
              <w:rPr>
                <w:rFonts w:ascii="Arial" w:cs="Arial" w:eastAsia="Arial" w:hAnsi="Arial"/>
                <w:sz w:val="15"/>
                <w:szCs w:val="15"/>
                <w:i w:val="1"/>
                <w:iCs w:val="1"/>
                <w:color w:val="auto"/>
                <w:w w:val="95"/>
              </w:rPr>
              <w:t>7</w:t>
            </w: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637</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07"/>
              <w:spacing w:after="0"/>
              <w:rPr>
                <w:sz w:val="20"/>
                <w:szCs w:val="20"/>
                <w:color w:val="auto"/>
              </w:rPr>
            </w:pPr>
            <w:r>
              <w:rPr>
                <w:rFonts w:ascii="Arial" w:cs="Arial" w:eastAsia="Arial" w:hAnsi="Arial"/>
                <w:sz w:val="15"/>
                <w:szCs w:val="15"/>
                <w:b w:val="1"/>
                <w:bCs w:val="1"/>
                <w:color w:val="auto"/>
              </w:rPr>
              <w:t>1,249</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Unrealized foreign currency translation loss (gain)</w:t>
            </w:r>
          </w:p>
        </w:tc>
        <w:tc>
          <w:tcPr>
            <w:tcW w:w="7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(190)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5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(159)</w:t>
            </w: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(11,591)</w:t>
            </w:r>
          </w:p>
        </w:tc>
        <w:tc>
          <w:tcPr>
            <w:tcW w:w="840" w:type="dxa"/>
            <w:vAlign w:val="bottom"/>
          </w:tcPr>
          <w:p>
            <w:pPr>
              <w:jc w:val="right"/>
              <w:spacing w:after="0"/>
              <w:rPr>
                <w:sz w:val="20"/>
                <w:szCs w:val="20"/>
                <w:color w:val="auto"/>
              </w:rPr>
            </w:pPr>
            <w:r>
              <w:rPr>
                <w:rFonts w:ascii="Arial" w:cs="Arial" w:eastAsia="Arial" w:hAnsi="Arial"/>
                <w:sz w:val="15"/>
                <w:szCs w:val="15"/>
                <w:color w:val="auto"/>
              </w:rPr>
              <w:t>(1,872)</w:t>
            </w:r>
          </w:p>
        </w:tc>
        <w:tc>
          <w:tcPr>
            <w:tcW w:w="1560" w:type="dxa"/>
            <w:vAlign w:val="bottom"/>
          </w:tcPr>
          <w:p>
            <w:pPr>
              <w:jc w:val="right"/>
              <w:ind w:right="307"/>
              <w:spacing w:after="0"/>
              <w:rPr>
                <w:sz w:val="20"/>
                <w:szCs w:val="20"/>
                <w:color w:val="auto"/>
              </w:rPr>
            </w:pPr>
            <w:r>
              <w:rPr>
                <w:rFonts w:ascii="Arial" w:cs="Arial" w:eastAsia="Arial" w:hAnsi="Arial"/>
                <w:sz w:val="15"/>
                <w:szCs w:val="15"/>
                <w:b w:val="1"/>
                <w:bCs w:val="1"/>
                <w:color w:val="auto"/>
              </w:rPr>
              <w:t>(20,693)</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(3,735)</w:t>
            </w:r>
          </w:p>
        </w:tc>
        <w:tc>
          <w:tcPr>
            <w:tcW w:w="0" w:type="dxa"/>
            <w:vAlign w:val="bottom"/>
          </w:tcPr>
          <w:p>
            <w:pPr>
              <w:spacing w:after="0"/>
              <w:rPr>
                <w:sz w:val="1"/>
                <w:szCs w:val="1"/>
                <w:color w:val="auto"/>
              </w:rPr>
            </w:pPr>
          </w:p>
        </w:tc>
      </w:tr>
      <w:tr>
        <w:trPr>
          <w:trHeight w:val="195"/>
        </w:trPr>
        <w:tc>
          <w:tcPr>
            <w:tcW w:w="5600" w:type="dxa"/>
            <w:vAlign w:val="bottom"/>
          </w:tcPr>
          <w:p>
            <w:pPr>
              <w:ind w:left="160"/>
              <w:spacing w:after="0"/>
              <w:rPr>
                <w:sz w:val="20"/>
                <w:szCs w:val="20"/>
                <w:color w:val="auto"/>
              </w:rPr>
            </w:pPr>
            <w:r>
              <w:rPr>
                <w:rFonts w:ascii="Arial" w:cs="Arial" w:eastAsia="Arial" w:hAnsi="Arial"/>
                <w:sz w:val="15"/>
                <w:szCs w:val="15"/>
                <w:b w:val="1"/>
                <w:bCs w:val="1"/>
                <w:color w:val="auto"/>
              </w:rPr>
              <w:t>Net changes in non-cash working capital items:</w:t>
            </w:r>
          </w:p>
        </w:tc>
        <w:tc>
          <w:tcPr>
            <w:tcW w:w="7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00" w:type="dxa"/>
            <w:vAlign w:val="bottom"/>
          </w:tcPr>
          <w:p>
            <w:pPr>
              <w:ind w:left="360"/>
              <w:spacing w:after="0"/>
              <w:rPr>
                <w:sz w:val="20"/>
                <w:szCs w:val="20"/>
                <w:color w:val="auto"/>
              </w:rPr>
            </w:pPr>
            <w:r>
              <w:rPr>
                <w:rFonts w:ascii="Arial" w:cs="Arial" w:eastAsia="Arial" w:hAnsi="Arial"/>
                <w:sz w:val="15"/>
                <w:szCs w:val="15"/>
                <w:color w:val="auto"/>
              </w:rPr>
              <w:t>Accounts receivable</w:t>
            </w:r>
          </w:p>
        </w:tc>
        <w:tc>
          <w:tcPr>
            <w:tcW w:w="700" w:type="dxa"/>
            <w:vAlign w:val="bottom"/>
          </w:tcPr>
          <w:p>
            <w:pPr>
              <w:spacing w:after="0"/>
              <w:rPr>
                <w:sz w:val="19"/>
                <w:szCs w:val="19"/>
                <w:color w:val="auto"/>
              </w:rPr>
            </w:pP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(606)</w:t>
            </w:r>
          </w:p>
        </w:tc>
        <w:tc>
          <w:tcPr>
            <w:tcW w:w="840" w:type="dxa"/>
            <w:vAlign w:val="bottom"/>
          </w:tcPr>
          <w:p>
            <w:pPr>
              <w:jc w:val="right"/>
              <w:spacing w:after="0"/>
              <w:rPr>
                <w:sz w:val="20"/>
                <w:szCs w:val="20"/>
                <w:color w:val="auto"/>
              </w:rPr>
            </w:pPr>
            <w:r>
              <w:rPr>
                <w:rFonts w:ascii="Arial" w:cs="Arial" w:eastAsia="Arial" w:hAnsi="Arial"/>
                <w:sz w:val="15"/>
                <w:szCs w:val="15"/>
                <w:color w:val="auto"/>
              </w:rPr>
              <w:t>(158)</w:t>
            </w:r>
          </w:p>
        </w:tc>
        <w:tc>
          <w:tcPr>
            <w:tcW w:w="1560" w:type="dxa"/>
            <w:vAlign w:val="bottom"/>
          </w:tcPr>
          <w:p>
            <w:pPr>
              <w:jc w:val="right"/>
              <w:ind w:right="307"/>
              <w:spacing w:after="0"/>
              <w:rPr>
                <w:sz w:val="20"/>
                <w:szCs w:val="20"/>
                <w:color w:val="auto"/>
              </w:rPr>
            </w:pPr>
            <w:r>
              <w:rPr>
                <w:rFonts w:ascii="Arial" w:cs="Arial" w:eastAsia="Arial" w:hAnsi="Arial"/>
                <w:sz w:val="15"/>
                <w:szCs w:val="15"/>
                <w:b w:val="1"/>
                <w:bCs w:val="1"/>
                <w:color w:val="auto"/>
              </w:rPr>
              <w:t>(952)</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(527)</w:t>
            </w:r>
          </w:p>
        </w:tc>
        <w:tc>
          <w:tcPr>
            <w:tcW w:w="0" w:type="dxa"/>
            <w:vAlign w:val="bottom"/>
          </w:tcPr>
          <w:p>
            <w:pPr>
              <w:spacing w:after="0"/>
              <w:rPr>
                <w:sz w:val="1"/>
                <w:szCs w:val="1"/>
                <w:color w:val="auto"/>
              </w:rPr>
            </w:pPr>
          </w:p>
        </w:tc>
      </w:tr>
      <w:tr>
        <w:trPr>
          <w:trHeight w:val="220"/>
        </w:trPr>
        <w:tc>
          <w:tcPr>
            <w:tcW w:w="5600" w:type="dxa"/>
            <w:vAlign w:val="bottom"/>
          </w:tcPr>
          <w:p>
            <w:pPr>
              <w:ind w:left="360"/>
              <w:spacing w:after="0"/>
              <w:rPr>
                <w:sz w:val="20"/>
                <w:szCs w:val="20"/>
                <w:color w:val="auto"/>
              </w:rPr>
            </w:pPr>
            <w:r>
              <w:rPr>
                <w:rFonts w:ascii="Arial" w:cs="Arial" w:eastAsia="Arial" w:hAnsi="Arial"/>
                <w:sz w:val="15"/>
                <w:szCs w:val="15"/>
                <w:color w:val="auto"/>
              </w:rPr>
              <w:t>Prepaid expenses</w:t>
            </w:r>
          </w:p>
        </w:tc>
        <w:tc>
          <w:tcPr>
            <w:tcW w:w="700" w:type="dxa"/>
            <w:vAlign w:val="bottom"/>
          </w:tcPr>
          <w:p>
            <w:pPr>
              <w:spacing w:after="0"/>
              <w:rPr>
                <w:sz w:val="19"/>
                <w:szCs w:val="19"/>
                <w:color w:val="auto"/>
              </w:rPr>
            </w:pP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(1,172)</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560" w:type="dxa"/>
            <w:vAlign w:val="bottom"/>
          </w:tcPr>
          <w:p>
            <w:pPr>
              <w:jc w:val="right"/>
              <w:ind w:right="307"/>
              <w:spacing w:after="0"/>
              <w:rPr>
                <w:sz w:val="20"/>
                <w:szCs w:val="20"/>
                <w:color w:val="auto"/>
              </w:rPr>
            </w:pPr>
            <w:r>
              <w:rPr>
                <w:rFonts w:ascii="Arial" w:cs="Arial" w:eastAsia="Arial" w:hAnsi="Arial"/>
                <w:sz w:val="15"/>
                <w:szCs w:val="15"/>
                <w:b w:val="1"/>
                <w:bCs w:val="1"/>
                <w:color w:val="auto"/>
              </w:rPr>
              <w:t>(863)</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20"/>
        </w:trPr>
        <w:tc>
          <w:tcPr>
            <w:tcW w:w="5600" w:type="dxa"/>
            <w:vAlign w:val="bottom"/>
          </w:tcPr>
          <w:p>
            <w:pPr>
              <w:ind w:left="360"/>
              <w:spacing w:after="0"/>
              <w:rPr>
                <w:sz w:val="20"/>
                <w:szCs w:val="20"/>
                <w:color w:val="auto"/>
              </w:rPr>
            </w:pPr>
            <w:r>
              <w:rPr>
                <w:rFonts w:ascii="Arial" w:cs="Arial" w:eastAsia="Arial" w:hAnsi="Arial"/>
                <w:sz w:val="15"/>
                <w:szCs w:val="15"/>
                <w:color w:val="auto"/>
              </w:rPr>
              <w:t>Inventory</w:t>
            </w:r>
          </w:p>
        </w:tc>
        <w:tc>
          <w:tcPr>
            <w:tcW w:w="700" w:type="dxa"/>
            <w:vAlign w:val="bottom"/>
          </w:tcPr>
          <w:p>
            <w:pPr>
              <w:spacing w:after="0"/>
              <w:rPr>
                <w:sz w:val="19"/>
                <w:szCs w:val="19"/>
                <w:color w:val="auto"/>
              </w:rPr>
            </w:pPr>
          </w:p>
        </w:tc>
        <w:tc>
          <w:tcPr>
            <w:tcW w:w="1640" w:type="dxa"/>
            <w:vAlign w:val="bottom"/>
          </w:tcPr>
          <w:p>
            <w:pPr>
              <w:jc w:val="right"/>
              <w:ind w:right="387"/>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98</w:t>
            </w:r>
          </w:p>
        </w:tc>
        <w:tc>
          <w:tcPr>
            <w:tcW w:w="156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(460)</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Accounts payable and accrued liabilities</w:t>
            </w:r>
          </w:p>
        </w:tc>
        <w:tc>
          <w:tcPr>
            <w:tcW w:w="7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(423)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w:t>
            </w:r>
          </w:p>
        </w:tc>
        <w:tc>
          <w:tcPr>
            <w:tcW w:w="15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(164)</w:t>
            </w: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857</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Net cash flows used in operating activities</w:t>
            </w:r>
          </w:p>
        </w:tc>
        <w:tc>
          <w:tcPr>
            <w:tcW w:w="700" w:type="dxa"/>
            <w:vAlign w:val="bottom"/>
            <w:tcBorders>
              <w:bottom w:val="single" w:sz="8" w:color="auto"/>
            </w:tcBorders>
            <w:shd w:val="clear" w:color="auto" w:fill="D9D9D9"/>
          </w:tcPr>
          <w:p>
            <w:pPr>
              <w:spacing w:after="0"/>
              <w:rPr>
                <w:sz w:val="16"/>
                <w:szCs w:val="16"/>
                <w:color w:val="auto"/>
              </w:rPr>
            </w:pPr>
          </w:p>
        </w:tc>
        <w:tc>
          <w:tcPr>
            <w:tcW w:w="164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(13,792)</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rPr>
              <w:t>(2,364)</w:t>
            </w:r>
          </w:p>
        </w:tc>
        <w:tc>
          <w:tcPr>
            <w:tcW w:w="1560" w:type="dxa"/>
            <w:vAlign w:val="bottom"/>
            <w:tcBorders>
              <w:bottom w:val="single" w:sz="8" w:color="auto"/>
            </w:tcBorders>
            <w:shd w:val="clear" w:color="auto" w:fill="D9D9D9"/>
          </w:tcPr>
          <w:p>
            <w:pPr>
              <w:jc w:val="right"/>
              <w:ind w:right="307"/>
              <w:spacing w:after="0"/>
              <w:rPr>
                <w:sz w:val="20"/>
                <w:szCs w:val="20"/>
                <w:color w:val="auto"/>
              </w:rPr>
            </w:pPr>
            <w:r>
              <w:rPr>
                <w:rFonts w:ascii="Arial" w:cs="Arial" w:eastAsia="Arial" w:hAnsi="Arial"/>
                <w:sz w:val="15"/>
                <w:szCs w:val="15"/>
                <w:b w:val="1"/>
                <w:bCs w:val="1"/>
                <w:color w:val="auto"/>
              </w:rPr>
              <w:t>(22,672)</w:t>
            </w:r>
          </w:p>
        </w:tc>
        <w:tc>
          <w:tcPr>
            <w:tcW w:w="92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(3,968)</w:t>
            </w:r>
          </w:p>
        </w:tc>
        <w:tc>
          <w:tcPr>
            <w:tcW w:w="0" w:type="dxa"/>
            <w:vAlign w:val="bottom"/>
          </w:tcPr>
          <w:p>
            <w:pPr>
              <w:spacing w:after="0"/>
              <w:rPr>
                <w:sz w:val="1"/>
                <w:szCs w:val="1"/>
                <w:color w:val="auto"/>
              </w:rPr>
            </w:pPr>
          </w:p>
        </w:tc>
      </w:tr>
      <w:tr>
        <w:trPr>
          <w:trHeight w:val="404"/>
        </w:trPr>
        <w:tc>
          <w:tcPr>
            <w:tcW w:w="5600" w:type="dxa"/>
            <w:vAlign w:val="bottom"/>
          </w:tcPr>
          <w:p>
            <w:pPr>
              <w:ind w:left="60"/>
              <w:spacing w:after="0"/>
              <w:rPr>
                <w:sz w:val="20"/>
                <w:szCs w:val="20"/>
                <w:color w:val="auto"/>
              </w:rPr>
            </w:pPr>
            <w:r>
              <w:rPr>
                <w:rFonts w:ascii="Arial" w:cs="Arial" w:eastAsia="Arial" w:hAnsi="Arial"/>
                <w:sz w:val="15"/>
                <w:szCs w:val="15"/>
                <w:b w:val="1"/>
                <w:bCs w:val="1"/>
                <w:color w:val="auto"/>
              </w:rPr>
              <w:t>INVESTING ACTIVITIES</w:t>
            </w: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340"/>
              <w:spacing w:after="0"/>
              <w:rPr>
                <w:sz w:val="20"/>
                <w:szCs w:val="20"/>
                <w:color w:val="auto"/>
              </w:rPr>
            </w:pPr>
            <w:r>
              <w:rPr>
                <w:rFonts w:ascii="Arial" w:cs="Arial" w:eastAsia="Arial" w:hAnsi="Arial"/>
                <w:sz w:val="15"/>
                <w:szCs w:val="15"/>
                <w:color w:val="auto"/>
              </w:rPr>
              <w:t>Issuance of note receivable</w:t>
            </w:r>
          </w:p>
        </w:tc>
        <w:tc>
          <w:tcPr>
            <w:tcW w:w="700" w:type="dxa"/>
            <w:vAlign w:val="bottom"/>
          </w:tcPr>
          <w:p>
            <w:pPr>
              <w:spacing w:after="0"/>
              <w:rPr>
                <w:sz w:val="17"/>
                <w:szCs w:val="17"/>
                <w:color w:val="auto"/>
              </w:rPr>
            </w:pP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(670)</w:t>
            </w:r>
          </w:p>
        </w:tc>
        <w:tc>
          <w:tcPr>
            <w:tcW w:w="1560" w:type="dxa"/>
            <w:vAlign w:val="bottom"/>
          </w:tcPr>
          <w:p>
            <w:pPr>
              <w:jc w:val="right"/>
              <w:ind w:right="307"/>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196"/>
        </w:trPr>
        <w:tc>
          <w:tcPr>
            <w:tcW w:w="5600" w:type="dxa"/>
            <w:vAlign w:val="bottom"/>
          </w:tcPr>
          <w:p>
            <w:pPr>
              <w:ind w:left="340"/>
              <w:spacing w:after="0"/>
              <w:rPr>
                <w:sz w:val="20"/>
                <w:szCs w:val="20"/>
                <w:color w:val="auto"/>
              </w:rPr>
            </w:pPr>
            <w:r>
              <w:rPr>
                <w:rFonts w:ascii="Arial" w:cs="Arial" w:eastAsia="Arial" w:hAnsi="Arial"/>
                <w:sz w:val="15"/>
                <w:szCs w:val="15"/>
                <w:color w:val="auto"/>
              </w:rPr>
              <w:t>Purchase of investment</w:t>
            </w:r>
          </w:p>
        </w:tc>
        <w:tc>
          <w:tcPr>
            <w:tcW w:w="700" w:type="dxa"/>
            <w:vAlign w:val="bottom"/>
          </w:tcPr>
          <w:p>
            <w:pPr>
              <w:spacing w:after="0"/>
              <w:rPr>
                <w:sz w:val="17"/>
                <w:szCs w:val="17"/>
                <w:color w:val="auto"/>
              </w:rPr>
            </w:pP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07"/>
              <w:spacing w:after="0"/>
              <w:rPr>
                <w:sz w:val="20"/>
                <w:szCs w:val="20"/>
                <w:color w:val="auto"/>
              </w:rPr>
            </w:pPr>
            <w:r>
              <w:rPr>
                <w:rFonts w:ascii="Arial" w:cs="Arial" w:eastAsia="Arial" w:hAnsi="Arial"/>
                <w:sz w:val="15"/>
                <w:szCs w:val="15"/>
                <w:b w:val="1"/>
                <w:bCs w:val="1"/>
                <w:color w:val="auto"/>
              </w:rPr>
              <w:t>(250)</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600" w:type="dxa"/>
            <w:vAlign w:val="bottom"/>
          </w:tcPr>
          <w:p>
            <w:pPr>
              <w:ind w:left="340"/>
              <w:spacing w:after="0"/>
              <w:rPr>
                <w:sz w:val="20"/>
                <w:szCs w:val="20"/>
                <w:color w:val="auto"/>
              </w:rPr>
            </w:pPr>
            <w:r>
              <w:rPr>
                <w:rFonts w:ascii="Arial" w:cs="Arial" w:eastAsia="Arial" w:hAnsi="Arial"/>
                <w:sz w:val="15"/>
                <w:szCs w:val="15"/>
                <w:color w:val="auto"/>
              </w:rPr>
              <w:t>Purchase of intangible assets</w:t>
            </w:r>
          </w:p>
        </w:tc>
        <w:tc>
          <w:tcPr>
            <w:tcW w:w="700" w:type="dxa"/>
            <w:vAlign w:val="bottom"/>
          </w:tcPr>
          <w:p>
            <w:pPr>
              <w:spacing w:after="0"/>
              <w:rPr>
                <w:sz w:val="17"/>
                <w:szCs w:val="17"/>
                <w:color w:val="auto"/>
              </w:rPr>
            </w:pP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(67)</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07"/>
              <w:spacing w:after="0"/>
              <w:rPr>
                <w:sz w:val="20"/>
                <w:szCs w:val="20"/>
                <w:color w:val="auto"/>
              </w:rPr>
            </w:pPr>
            <w:r>
              <w:rPr>
                <w:rFonts w:ascii="Arial" w:cs="Arial" w:eastAsia="Arial" w:hAnsi="Arial"/>
                <w:sz w:val="15"/>
                <w:szCs w:val="15"/>
                <w:b w:val="1"/>
                <w:bCs w:val="1"/>
                <w:color w:val="auto"/>
              </w:rPr>
              <w:t>(163)</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Purchase of equipment</w:t>
            </w:r>
          </w:p>
        </w:tc>
        <w:tc>
          <w:tcPr>
            <w:tcW w:w="7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(70)</w:t>
            </w: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Net cash flows used in investing activities</w:t>
            </w:r>
          </w:p>
        </w:tc>
        <w:tc>
          <w:tcPr>
            <w:tcW w:w="700" w:type="dxa"/>
            <w:vAlign w:val="bottom"/>
            <w:tcBorders>
              <w:bottom w:val="single" w:sz="8" w:color="auto"/>
            </w:tcBorders>
            <w:shd w:val="clear" w:color="auto" w:fill="D9D9D9"/>
          </w:tcPr>
          <w:p>
            <w:pPr>
              <w:spacing w:after="0"/>
              <w:rPr>
                <w:sz w:val="16"/>
                <w:szCs w:val="16"/>
                <w:color w:val="auto"/>
              </w:rPr>
            </w:pPr>
          </w:p>
        </w:tc>
        <w:tc>
          <w:tcPr>
            <w:tcW w:w="164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(88)</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rPr>
              <w:t>(670)</w:t>
            </w:r>
          </w:p>
        </w:tc>
        <w:tc>
          <w:tcPr>
            <w:tcW w:w="1560" w:type="dxa"/>
            <w:vAlign w:val="bottom"/>
            <w:tcBorders>
              <w:bottom w:val="single" w:sz="8" w:color="auto"/>
            </w:tcBorders>
            <w:shd w:val="clear" w:color="auto" w:fill="D9D9D9"/>
          </w:tcPr>
          <w:p>
            <w:pPr>
              <w:jc w:val="right"/>
              <w:ind w:right="307"/>
              <w:spacing w:after="0"/>
              <w:rPr>
                <w:sz w:val="20"/>
                <w:szCs w:val="20"/>
                <w:color w:val="auto"/>
              </w:rPr>
            </w:pPr>
            <w:r>
              <w:rPr>
                <w:rFonts w:ascii="Arial" w:cs="Arial" w:eastAsia="Arial" w:hAnsi="Arial"/>
                <w:sz w:val="15"/>
                <w:szCs w:val="15"/>
                <w:b w:val="1"/>
                <w:bCs w:val="1"/>
                <w:color w:val="auto"/>
              </w:rPr>
              <w:t>(483)</w:t>
            </w:r>
          </w:p>
        </w:tc>
        <w:tc>
          <w:tcPr>
            <w:tcW w:w="92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404"/>
        </w:trPr>
        <w:tc>
          <w:tcPr>
            <w:tcW w:w="5600" w:type="dxa"/>
            <w:vAlign w:val="bottom"/>
          </w:tcPr>
          <w:p>
            <w:pPr>
              <w:ind w:left="60"/>
              <w:spacing w:after="0"/>
              <w:rPr>
                <w:sz w:val="20"/>
                <w:szCs w:val="20"/>
                <w:color w:val="auto"/>
              </w:rPr>
            </w:pPr>
            <w:r>
              <w:rPr>
                <w:rFonts w:ascii="Arial" w:cs="Arial" w:eastAsia="Arial" w:hAnsi="Arial"/>
                <w:sz w:val="15"/>
                <w:szCs w:val="15"/>
                <w:b w:val="1"/>
                <w:bCs w:val="1"/>
                <w:color w:val="auto"/>
              </w:rPr>
              <w:t>FINANCING ACTIVITIES</w:t>
            </w: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600" w:type="dxa"/>
            <w:vAlign w:val="bottom"/>
          </w:tcPr>
          <w:p>
            <w:pPr>
              <w:ind w:left="360"/>
              <w:spacing w:after="0"/>
              <w:rPr>
                <w:sz w:val="20"/>
                <w:szCs w:val="20"/>
                <w:color w:val="auto"/>
              </w:rPr>
            </w:pPr>
            <w:r>
              <w:rPr>
                <w:rFonts w:ascii="Arial" w:cs="Arial" w:eastAsia="Arial" w:hAnsi="Arial"/>
                <w:sz w:val="15"/>
                <w:szCs w:val="15"/>
                <w:color w:val="auto"/>
              </w:rPr>
              <w:t>Proceeds from issuance of common shares, net</w:t>
            </w:r>
          </w:p>
        </w:tc>
        <w:tc>
          <w:tcPr>
            <w:tcW w:w="700" w:type="dxa"/>
            <w:vAlign w:val="bottom"/>
          </w:tcPr>
          <w:p>
            <w:pPr>
              <w:spacing w:after="0"/>
              <w:rPr>
                <w:sz w:val="19"/>
                <w:szCs w:val="19"/>
                <w:color w:val="auto"/>
              </w:rPr>
            </w:pP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31,508</w:t>
            </w:r>
          </w:p>
        </w:tc>
        <w:tc>
          <w:tcPr>
            <w:tcW w:w="840" w:type="dxa"/>
            <w:vAlign w:val="bottom"/>
          </w:tcPr>
          <w:p>
            <w:pPr>
              <w:jc w:val="right"/>
              <w:spacing w:after="0"/>
              <w:rPr>
                <w:sz w:val="20"/>
                <w:szCs w:val="20"/>
                <w:color w:val="auto"/>
              </w:rPr>
            </w:pPr>
            <w:r>
              <w:rPr>
                <w:rFonts w:ascii="Arial" w:cs="Arial" w:eastAsia="Arial" w:hAnsi="Arial"/>
                <w:sz w:val="15"/>
                <w:szCs w:val="15"/>
                <w:color w:val="auto"/>
              </w:rPr>
              <w:t>(797)</w:t>
            </w:r>
          </w:p>
        </w:tc>
        <w:tc>
          <w:tcPr>
            <w:tcW w:w="1560" w:type="dxa"/>
            <w:vAlign w:val="bottom"/>
          </w:tcPr>
          <w:p>
            <w:pPr>
              <w:jc w:val="right"/>
              <w:ind w:right="307"/>
              <w:spacing w:after="0"/>
              <w:rPr>
                <w:sz w:val="20"/>
                <w:szCs w:val="20"/>
                <w:color w:val="auto"/>
              </w:rPr>
            </w:pPr>
            <w:r>
              <w:rPr>
                <w:rFonts w:ascii="Arial" w:cs="Arial" w:eastAsia="Arial" w:hAnsi="Arial"/>
                <w:sz w:val="15"/>
                <w:szCs w:val="15"/>
                <w:b w:val="1"/>
                <w:bCs w:val="1"/>
                <w:color w:val="auto"/>
              </w:rPr>
              <w:t>31,508</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6,497</w:t>
            </w:r>
          </w:p>
        </w:tc>
        <w:tc>
          <w:tcPr>
            <w:tcW w:w="0" w:type="dxa"/>
            <w:vAlign w:val="bottom"/>
          </w:tcPr>
          <w:p>
            <w:pPr>
              <w:spacing w:after="0"/>
              <w:rPr>
                <w:sz w:val="1"/>
                <w:szCs w:val="1"/>
                <w:color w:val="auto"/>
              </w:rPr>
            </w:pPr>
          </w:p>
        </w:tc>
      </w:tr>
      <w:tr>
        <w:trPr>
          <w:trHeight w:val="220"/>
        </w:trPr>
        <w:tc>
          <w:tcPr>
            <w:tcW w:w="5600" w:type="dxa"/>
            <w:vAlign w:val="bottom"/>
          </w:tcPr>
          <w:p>
            <w:pPr>
              <w:ind w:left="360"/>
              <w:spacing w:after="0"/>
              <w:rPr>
                <w:sz w:val="20"/>
                <w:szCs w:val="20"/>
                <w:color w:val="auto"/>
              </w:rPr>
            </w:pPr>
            <w:r>
              <w:rPr>
                <w:rFonts w:ascii="Arial" w:cs="Arial" w:eastAsia="Arial" w:hAnsi="Arial"/>
                <w:sz w:val="15"/>
                <w:szCs w:val="15"/>
                <w:color w:val="auto"/>
              </w:rPr>
              <w:t>Issuance of convertible debt</w:t>
            </w:r>
          </w:p>
        </w:tc>
        <w:tc>
          <w:tcPr>
            <w:tcW w:w="700" w:type="dxa"/>
            <w:vAlign w:val="bottom"/>
          </w:tcPr>
          <w:p>
            <w:pPr>
              <w:spacing w:after="0"/>
              <w:rPr>
                <w:sz w:val="19"/>
                <w:szCs w:val="19"/>
                <w:color w:val="auto"/>
              </w:rPr>
            </w:pP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20"/>
        </w:trPr>
        <w:tc>
          <w:tcPr>
            <w:tcW w:w="5600" w:type="dxa"/>
            <w:vAlign w:val="bottom"/>
          </w:tcPr>
          <w:p>
            <w:pPr>
              <w:ind w:left="360"/>
              <w:spacing w:after="0"/>
              <w:rPr>
                <w:sz w:val="20"/>
                <w:szCs w:val="20"/>
                <w:color w:val="auto"/>
              </w:rPr>
            </w:pPr>
            <w:r>
              <w:rPr>
                <w:rFonts w:ascii="Arial" w:cs="Arial" w:eastAsia="Arial" w:hAnsi="Arial"/>
                <w:sz w:val="15"/>
                <w:szCs w:val="15"/>
                <w:color w:val="auto"/>
              </w:rPr>
              <w:t>Additional capital on founders’ round</w:t>
            </w:r>
          </w:p>
        </w:tc>
        <w:tc>
          <w:tcPr>
            <w:tcW w:w="700" w:type="dxa"/>
            <w:vAlign w:val="bottom"/>
          </w:tcPr>
          <w:p>
            <w:pPr>
              <w:spacing w:after="0"/>
              <w:rPr>
                <w:sz w:val="19"/>
                <w:szCs w:val="19"/>
                <w:color w:val="auto"/>
              </w:rPr>
            </w:pP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560" w:type="dxa"/>
            <w:vAlign w:val="bottom"/>
          </w:tcPr>
          <w:p>
            <w:pPr>
              <w:jc w:val="right"/>
              <w:ind w:right="307"/>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220"/>
        </w:trPr>
        <w:tc>
          <w:tcPr>
            <w:tcW w:w="5600" w:type="dxa"/>
            <w:vAlign w:val="bottom"/>
          </w:tcPr>
          <w:p>
            <w:pPr>
              <w:ind w:left="360"/>
              <w:spacing w:after="0"/>
              <w:rPr>
                <w:sz w:val="20"/>
                <w:szCs w:val="20"/>
                <w:color w:val="auto"/>
              </w:rPr>
            </w:pPr>
            <w:r>
              <w:rPr>
                <w:rFonts w:ascii="Arial" w:cs="Arial" w:eastAsia="Arial" w:hAnsi="Arial"/>
                <w:sz w:val="15"/>
                <w:szCs w:val="15"/>
                <w:color w:val="auto"/>
              </w:rPr>
              <w:t>Shares issued for cash - warrant exercise</w:t>
            </w:r>
          </w:p>
        </w:tc>
        <w:tc>
          <w:tcPr>
            <w:tcW w:w="700" w:type="dxa"/>
            <w:vAlign w:val="bottom"/>
          </w:tcPr>
          <w:p>
            <w:pPr>
              <w:jc w:val="center"/>
              <w:spacing w:after="0"/>
              <w:rPr>
                <w:sz w:val="20"/>
                <w:szCs w:val="20"/>
                <w:color w:val="auto"/>
              </w:rPr>
            </w:pPr>
            <w:r>
              <w:rPr>
                <w:rFonts w:ascii="Arial" w:cs="Arial" w:eastAsia="Arial" w:hAnsi="Arial"/>
                <w:sz w:val="15"/>
                <w:szCs w:val="15"/>
                <w:i w:val="1"/>
                <w:iCs w:val="1"/>
                <w:color w:val="auto"/>
                <w:w w:val="95"/>
              </w:rPr>
              <w:t>8</w:t>
            </w:r>
          </w:p>
        </w:tc>
        <w:tc>
          <w:tcPr>
            <w:tcW w:w="1640" w:type="dxa"/>
            <w:vAlign w:val="bottom"/>
          </w:tcPr>
          <w:p>
            <w:pPr>
              <w:jc w:val="right"/>
              <w:ind w:right="387"/>
              <w:spacing w:after="0"/>
              <w:rPr>
                <w:sz w:val="20"/>
                <w:szCs w:val="20"/>
                <w:color w:val="auto"/>
              </w:rPr>
            </w:pPr>
            <w:r>
              <w:rPr>
                <w:rFonts w:ascii="Arial" w:cs="Arial" w:eastAsia="Arial" w:hAnsi="Arial"/>
                <w:sz w:val="15"/>
                <w:szCs w:val="15"/>
                <w:b w:val="1"/>
                <w:bCs w:val="1"/>
                <w:color w:val="auto"/>
              </w:rPr>
              <w:t>2,393</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560" w:type="dxa"/>
            <w:vAlign w:val="bottom"/>
          </w:tcPr>
          <w:p>
            <w:pPr>
              <w:jc w:val="right"/>
              <w:ind w:right="307"/>
              <w:spacing w:after="0"/>
              <w:rPr>
                <w:sz w:val="20"/>
                <w:szCs w:val="20"/>
                <w:color w:val="auto"/>
              </w:rPr>
            </w:pPr>
            <w:r>
              <w:rPr>
                <w:rFonts w:ascii="Arial" w:cs="Arial" w:eastAsia="Arial" w:hAnsi="Arial"/>
                <w:sz w:val="15"/>
                <w:szCs w:val="15"/>
                <w:b w:val="1"/>
                <w:bCs w:val="1"/>
                <w:color w:val="auto"/>
              </w:rPr>
              <w:t>2,592</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Shares issued for cash - options exercise</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5"/>
              </w:rPr>
              <w:t>8</w:t>
            </w:r>
          </w:p>
        </w:tc>
        <w:tc>
          <w:tcPr>
            <w:tcW w:w="16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80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5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210</w:t>
            </w: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Net cash flows from financing activities</w:t>
            </w:r>
          </w:p>
        </w:tc>
        <w:tc>
          <w:tcPr>
            <w:tcW w:w="700" w:type="dxa"/>
            <w:vAlign w:val="bottom"/>
            <w:tcBorders>
              <w:bottom w:val="single" w:sz="8" w:color="auto"/>
            </w:tcBorders>
            <w:shd w:val="clear" w:color="auto" w:fill="D9D9D9"/>
          </w:tcPr>
          <w:p>
            <w:pPr>
              <w:spacing w:after="0"/>
              <w:rPr>
                <w:sz w:val="16"/>
                <w:szCs w:val="16"/>
                <w:color w:val="auto"/>
              </w:rPr>
            </w:pPr>
          </w:p>
        </w:tc>
        <w:tc>
          <w:tcPr>
            <w:tcW w:w="164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33,981</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rPr>
              <w:t>(797)</w:t>
            </w:r>
          </w:p>
        </w:tc>
        <w:tc>
          <w:tcPr>
            <w:tcW w:w="1560" w:type="dxa"/>
            <w:vAlign w:val="bottom"/>
            <w:tcBorders>
              <w:bottom w:val="single" w:sz="8" w:color="auto"/>
            </w:tcBorders>
            <w:shd w:val="clear" w:color="auto" w:fill="D9D9D9"/>
          </w:tcPr>
          <w:p>
            <w:pPr>
              <w:jc w:val="right"/>
              <w:ind w:right="307"/>
              <w:spacing w:after="0"/>
              <w:rPr>
                <w:sz w:val="20"/>
                <w:szCs w:val="20"/>
                <w:color w:val="auto"/>
              </w:rPr>
            </w:pPr>
            <w:r>
              <w:rPr>
                <w:rFonts w:ascii="Arial" w:cs="Arial" w:eastAsia="Arial" w:hAnsi="Arial"/>
                <w:sz w:val="15"/>
                <w:szCs w:val="15"/>
                <w:b w:val="1"/>
                <w:bCs w:val="1"/>
                <w:color w:val="auto"/>
              </w:rPr>
              <w:t>34,310</w:t>
            </w:r>
          </w:p>
        </w:tc>
        <w:tc>
          <w:tcPr>
            <w:tcW w:w="92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6,961</w:t>
            </w:r>
          </w:p>
        </w:tc>
        <w:tc>
          <w:tcPr>
            <w:tcW w:w="0" w:type="dxa"/>
            <w:vAlign w:val="bottom"/>
          </w:tcPr>
          <w:p>
            <w:pPr>
              <w:spacing w:after="0"/>
              <w:rPr>
                <w:sz w:val="1"/>
                <w:szCs w:val="1"/>
                <w:color w:val="auto"/>
              </w:rPr>
            </w:pPr>
          </w:p>
        </w:tc>
      </w:tr>
      <w:tr>
        <w:trPr>
          <w:trHeight w:val="406"/>
        </w:trPr>
        <w:tc>
          <w:tcPr>
            <w:tcW w:w="56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Effects of exchange rate changes on cash</w:t>
            </w:r>
          </w:p>
        </w:tc>
        <w:tc>
          <w:tcPr>
            <w:tcW w:w="700" w:type="dxa"/>
            <w:vAlign w:val="bottom"/>
            <w:tcBorders>
              <w:bottom w:val="single" w:sz="8" w:color="auto"/>
            </w:tcBorders>
          </w:tcPr>
          <w:p>
            <w:pPr>
              <w:spacing w:after="0"/>
              <w:rPr>
                <w:sz w:val="24"/>
                <w:szCs w:val="24"/>
                <w:color w:val="auto"/>
              </w:rPr>
            </w:pPr>
          </w:p>
        </w:tc>
        <w:tc>
          <w:tcPr>
            <w:tcW w:w="1640" w:type="dxa"/>
            <w:vAlign w:val="bottom"/>
            <w:tcBorders>
              <w:bottom w:val="single" w:sz="8" w:color="6D6D6D"/>
            </w:tcBorders>
          </w:tcPr>
          <w:p>
            <w:pPr>
              <w:jc w:val="right"/>
              <w:ind w:right="387"/>
              <w:spacing w:after="0"/>
              <w:rPr>
                <w:sz w:val="20"/>
                <w:szCs w:val="20"/>
                <w:color w:val="auto"/>
              </w:rPr>
            </w:pPr>
            <w:r>
              <w:rPr>
                <w:rFonts w:ascii="Arial" w:cs="Arial" w:eastAsia="Arial" w:hAnsi="Arial"/>
                <w:sz w:val="15"/>
                <w:szCs w:val="15"/>
                <w:b w:val="1"/>
                <w:bCs w:val="1"/>
                <w:color w:val="auto"/>
              </w:rPr>
              <w:t>3</w:t>
            </w:r>
          </w:p>
        </w:tc>
        <w:tc>
          <w:tcPr>
            <w:tcW w:w="840" w:type="dxa"/>
            <w:vAlign w:val="bottom"/>
            <w:tcBorders>
              <w:bottom w:val="single" w:sz="8" w:color="6D6D6D"/>
            </w:tcBorders>
          </w:tcPr>
          <w:p>
            <w:pPr>
              <w:jc w:val="right"/>
              <w:spacing w:after="0"/>
              <w:rPr>
                <w:sz w:val="20"/>
                <w:szCs w:val="20"/>
                <w:color w:val="auto"/>
              </w:rPr>
            </w:pPr>
            <w:r>
              <w:rPr>
                <w:rFonts w:ascii="Arial" w:cs="Arial" w:eastAsia="Arial" w:hAnsi="Arial"/>
                <w:sz w:val="15"/>
                <w:szCs w:val="15"/>
                <w:b w:val="1"/>
                <w:bCs w:val="1"/>
                <w:color w:val="auto"/>
              </w:rPr>
              <w:t>—</w:t>
            </w:r>
          </w:p>
        </w:tc>
        <w:tc>
          <w:tcPr>
            <w:tcW w:w="1560" w:type="dxa"/>
            <w:vAlign w:val="bottom"/>
            <w:tcBorders>
              <w:bottom w:val="single" w:sz="8" w:color="6D6D6D"/>
            </w:tcBorders>
          </w:tcPr>
          <w:p>
            <w:pPr>
              <w:jc w:val="right"/>
              <w:ind w:right="307"/>
              <w:spacing w:after="0"/>
              <w:rPr>
                <w:sz w:val="20"/>
                <w:szCs w:val="20"/>
                <w:color w:val="auto"/>
              </w:rPr>
            </w:pPr>
            <w:r>
              <w:rPr>
                <w:rFonts w:ascii="Arial" w:cs="Arial" w:eastAsia="Arial" w:hAnsi="Arial"/>
                <w:sz w:val="15"/>
                <w:szCs w:val="15"/>
                <w:b w:val="1"/>
                <w:bCs w:val="1"/>
                <w:color w:val="auto"/>
              </w:rPr>
              <w:t>(2)</w:t>
            </w:r>
          </w:p>
        </w:tc>
        <w:tc>
          <w:tcPr>
            <w:tcW w:w="920" w:type="dxa"/>
            <w:vAlign w:val="bottom"/>
            <w:tcBorders>
              <w:bottom w:val="single" w:sz="8" w:color="6D6D6D"/>
            </w:tcBorders>
          </w:tcPr>
          <w:p>
            <w:pPr>
              <w:jc w:val="right"/>
              <w:ind w:right="7"/>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15"/>
        </w:trPr>
        <w:tc>
          <w:tcPr>
            <w:tcW w:w="5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00" w:type="dxa"/>
            <w:vAlign w:val="bottom"/>
            <w:shd w:val="clear" w:color="auto" w:fill="D9D9D9"/>
          </w:tcPr>
          <w:p>
            <w:pPr>
              <w:ind w:left="60"/>
              <w:spacing w:after="0"/>
              <w:rPr>
                <w:sz w:val="20"/>
                <w:szCs w:val="20"/>
                <w:color w:val="auto"/>
              </w:rPr>
            </w:pPr>
            <w:r>
              <w:rPr>
                <w:rFonts w:ascii="Arial" w:cs="Arial" w:eastAsia="Arial" w:hAnsi="Arial"/>
                <w:sz w:val="15"/>
                <w:szCs w:val="15"/>
                <w:b w:val="1"/>
                <w:bCs w:val="1"/>
                <w:color w:val="auto"/>
              </w:rPr>
              <w:t>Change in cash</w:t>
            </w:r>
          </w:p>
        </w:tc>
        <w:tc>
          <w:tcPr>
            <w:tcW w:w="700" w:type="dxa"/>
            <w:vAlign w:val="bottom"/>
            <w:shd w:val="clear" w:color="auto" w:fill="D9D9D9"/>
          </w:tcPr>
          <w:p>
            <w:pPr>
              <w:spacing w:after="0"/>
              <w:rPr>
                <w:sz w:val="16"/>
                <w:szCs w:val="16"/>
                <w:color w:val="auto"/>
              </w:rPr>
            </w:pPr>
          </w:p>
        </w:tc>
        <w:tc>
          <w:tcPr>
            <w:tcW w:w="1640" w:type="dxa"/>
            <w:vAlign w:val="bottom"/>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20,104</w:t>
            </w:r>
          </w:p>
        </w:tc>
        <w:tc>
          <w:tcPr>
            <w:tcW w:w="8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(3,831)</w:t>
            </w:r>
          </w:p>
        </w:tc>
        <w:tc>
          <w:tcPr>
            <w:tcW w:w="1560" w:type="dxa"/>
            <w:vAlign w:val="bottom"/>
            <w:shd w:val="clear" w:color="auto" w:fill="D9D9D9"/>
          </w:tcPr>
          <w:p>
            <w:pPr>
              <w:jc w:val="right"/>
              <w:ind w:right="307"/>
              <w:spacing w:after="0"/>
              <w:rPr>
                <w:sz w:val="20"/>
                <w:szCs w:val="20"/>
                <w:color w:val="auto"/>
              </w:rPr>
            </w:pPr>
            <w:r>
              <w:rPr>
                <w:rFonts w:ascii="Arial" w:cs="Arial" w:eastAsia="Arial" w:hAnsi="Arial"/>
                <w:sz w:val="15"/>
                <w:szCs w:val="15"/>
                <w:b w:val="1"/>
                <w:bCs w:val="1"/>
                <w:color w:val="auto"/>
              </w:rPr>
              <w:t>11,153</w:t>
            </w:r>
          </w:p>
        </w:tc>
        <w:tc>
          <w:tcPr>
            <w:tcW w:w="920" w:type="dxa"/>
            <w:vAlign w:val="bottom"/>
            <w:shd w:val="clear" w:color="auto" w:fill="D9D9D9"/>
          </w:tcPr>
          <w:p>
            <w:pPr>
              <w:jc w:val="right"/>
              <w:ind w:right="7"/>
              <w:spacing w:after="0"/>
              <w:rPr>
                <w:sz w:val="20"/>
                <w:szCs w:val="20"/>
                <w:color w:val="auto"/>
              </w:rPr>
            </w:pPr>
            <w:r>
              <w:rPr>
                <w:rFonts w:ascii="Arial" w:cs="Arial" w:eastAsia="Arial" w:hAnsi="Arial"/>
                <w:sz w:val="15"/>
                <w:szCs w:val="15"/>
                <w:color w:val="auto"/>
              </w:rPr>
              <w:t>2,323</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Cash and cash equivalents, beginning of period</w:t>
            </w:r>
          </w:p>
        </w:tc>
        <w:tc>
          <w:tcPr>
            <w:tcW w:w="700" w:type="dxa"/>
            <w:vAlign w:val="bottom"/>
            <w:tcBorders>
              <w:bottom w:val="single" w:sz="8" w:color="auto"/>
            </w:tcBorders>
            <w:shd w:val="clear" w:color="auto" w:fill="D9D9D9"/>
          </w:tcPr>
          <w:p>
            <w:pPr>
              <w:spacing w:after="0"/>
              <w:rPr>
                <w:sz w:val="17"/>
                <w:szCs w:val="17"/>
                <w:color w:val="auto"/>
              </w:rPr>
            </w:pPr>
          </w:p>
        </w:tc>
        <w:tc>
          <w:tcPr>
            <w:tcW w:w="1640" w:type="dxa"/>
            <w:vAlign w:val="bottom"/>
            <w:tcBorders>
              <w:bottom w:val="single" w:sz="8" w:color="6D6D6D"/>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55,075</w:t>
            </w:r>
          </w:p>
        </w:tc>
        <w:tc>
          <w:tcPr>
            <w:tcW w:w="840" w:type="dxa"/>
            <w:vAlign w:val="bottom"/>
            <w:tcBorders>
              <w:bottom w:val="single" w:sz="8" w:color="6D6D6D"/>
            </w:tcBorders>
            <w:shd w:val="clear" w:color="auto" w:fill="D9D9D9"/>
          </w:tcPr>
          <w:p>
            <w:pPr>
              <w:jc w:val="right"/>
              <w:spacing w:after="0"/>
              <w:rPr>
                <w:sz w:val="20"/>
                <w:szCs w:val="20"/>
                <w:color w:val="auto"/>
              </w:rPr>
            </w:pPr>
            <w:r>
              <w:rPr>
                <w:rFonts w:ascii="Arial" w:cs="Arial" w:eastAsia="Arial" w:hAnsi="Arial"/>
                <w:sz w:val="15"/>
                <w:szCs w:val="15"/>
                <w:color w:val="auto"/>
              </w:rPr>
              <w:t>7,699</w:t>
            </w:r>
          </w:p>
        </w:tc>
        <w:tc>
          <w:tcPr>
            <w:tcW w:w="1560" w:type="dxa"/>
            <w:vAlign w:val="bottom"/>
            <w:tcBorders>
              <w:bottom w:val="single" w:sz="8" w:color="6D6D6D"/>
            </w:tcBorders>
            <w:shd w:val="clear" w:color="auto" w:fill="D9D9D9"/>
          </w:tcPr>
          <w:p>
            <w:pPr>
              <w:jc w:val="right"/>
              <w:ind w:right="307"/>
              <w:spacing w:after="0"/>
              <w:rPr>
                <w:sz w:val="20"/>
                <w:szCs w:val="20"/>
                <w:color w:val="auto"/>
              </w:rPr>
            </w:pPr>
            <w:r>
              <w:rPr>
                <w:rFonts w:ascii="Arial" w:cs="Arial" w:eastAsia="Arial" w:hAnsi="Arial"/>
                <w:sz w:val="15"/>
                <w:szCs w:val="15"/>
                <w:b w:val="1"/>
                <w:bCs w:val="1"/>
                <w:color w:val="auto"/>
              </w:rPr>
              <w:t>64,026</w:t>
            </w:r>
          </w:p>
        </w:tc>
        <w:tc>
          <w:tcPr>
            <w:tcW w:w="920" w:type="dxa"/>
            <w:vAlign w:val="bottom"/>
            <w:tcBorders>
              <w:bottom w:val="single" w:sz="8" w:color="6D6D6D"/>
            </w:tcBorders>
            <w:shd w:val="clear" w:color="auto" w:fill="D9D9D9"/>
          </w:tcPr>
          <w:p>
            <w:pPr>
              <w:jc w:val="right"/>
              <w:ind w:right="7"/>
              <w:spacing w:after="0"/>
              <w:rPr>
                <w:sz w:val="20"/>
                <w:szCs w:val="20"/>
                <w:color w:val="auto"/>
              </w:rPr>
            </w:pPr>
            <w:r>
              <w:rPr>
                <w:rFonts w:ascii="Arial" w:cs="Arial" w:eastAsia="Arial" w:hAnsi="Arial"/>
                <w:sz w:val="15"/>
                <w:szCs w:val="15"/>
                <w:color w:val="auto"/>
              </w:rPr>
              <w:t>1,545</w:t>
            </w:r>
          </w:p>
        </w:tc>
        <w:tc>
          <w:tcPr>
            <w:tcW w:w="0" w:type="dxa"/>
            <w:vAlign w:val="bottom"/>
          </w:tcPr>
          <w:p>
            <w:pPr>
              <w:spacing w:after="0"/>
              <w:rPr>
                <w:sz w:val="1"/>
                <w:szCs w:val="1"/>
                <w:color w:val="auto"/>
              </w:rPr>
            </w:pPr>
          </w:p>
        </w:tc>
      </w:tr>
      <w:tr>
        <w:trPr>
          <w:trHeight w:val="188"/>
        </w:trPr>
        <w:tc>
          <w:tcPr>
            <w:tcW w:w="560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Cash and cash equivalents, end of period</w:t>
            </w:r>
          </w:p>
        </w:tc>
        <w:tc>
          <w:tcPr>
            <w:tcW w:w="700" w:type="dxa"/>
            <w:vAlign w:val="bottom"/>
            <w:tcBorders>
              <w:bottom w:val="single" w:sz="8" w:color="auto"/>
            </w:tcBorders>
            <w:shd w:val="clear" w:color="auto" w:fill="D9D9D9"/>
          </w:tcPr>
          <w:p>
            <w:pPr>
              <w:spacing w:after="0"/>
              <w:rPr>
                <w:sz w:val="16"/>
                <w:szCs w:val="16"/>
                <w:color w:val="auto"/>
              </w:rPr>
            </w:pPr>
          </w:p>
        </w:tc>
        <w:tc>
          <w:tcPr>
            <w:tcW w:w="164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75,179</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rPr>
              <w:t>3,868</w:t>
            </w:r>
          </w:p>
        </w:tc>
        <w:tc>
          <w:tcPr>
            <w:tcW w:w="1560" w:type="dxa"/>
            <w:vAlign w:val="bottom"/>
            <w:tcBorders>
              <w:bottom w:val="single" w:sz="8" w:color="auto"/>
            </w:tcBorders>
            <w:shd w:val="clear" w:color="auto" w:fill="D9D9D9"/>
          </w:tcPr>
          <w:p>
            <w:pPr>
              <w:jc w:val="right"/>
              <w:ind w:right="307"/>
              <w:spacing w:after="0"/>
              <w:rPr>
                <w:sz w:val="20"/>
                <w:szCs w:val="20"/>
                <w:color w:val="auto"/>
              </w:rPr>
            </w:pPr>
            <w:r>
              <w:rPr>
                <w:rFonts w:ascii="Arial" w:cs="Arial" w:eastAsia="Arial" w:hAnsi="Arial"/>
                <w:sz w:val="15"/>
                <w:szCs w:val="15"/>
                <w:b w:val="1"/>
                <w:bCs w:val="1"/>
                <w:color w:val="auto"/>
              </w:rPr>
              <w:t>75,179</w:t>
            </w:r>
          </w:p>
        </w:tc>
        <w:tc>
          <w:tcPr>
            <w:tcW w:w="92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3,868</w:t>
            </w: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sectPr>
      </w:pPr>
    </w:p>
    <w:bookmarkStart w:id="9" w:name="page10"/>
    <w:bookmarkEnd w:id="9"/>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2" w:hanging="322"/>
        <w:spacing w:after="0"/>
        <w:tabs>
          <w:tab w:leader="none" w:pos="322" w:val="left"/>
        </w:tabs>
        <w:numPr>
          <w:ilvl w:val="0"/>
          <w:numId w:val="1"/>
        </w:numPr>
        <w:rPr>
          <w:rFonts w:ascii="Arial" w:cs="Arial" w:eastAsia="Arial" w:hAnsi="Arial"/>
          <w:sz w:val="16"/>
          <w:szCs w:val="16"/>
          <w:b w:val="1"/>
          <w:bCs w:val="1"/>
          <w:color w:val="2D5F91"/>
        </w:rPr>
      </w:pPr>
      <w:r>
        <w:rPr>
          <w:rFonts w:ascii="Arial" w:cs="Arial" w:eastAsia="Arial" w:hAnsi="Arial"/>
          <w:sz w:val="16"/>
          <w:szCs w:val="16"/>
          <w:b w:val="1"/>
          <w:bCs w:val="1"/>
          <w:color w:val="2D5F91"/>
        </w:rPr>
        <w:t>CORPORATE INFORMATION AND CONTINUANCE OF OPERATIONS</w:t>
      </w:r>
    </w:p>
    <w:p>
      <w:pPr>
        <w:spacing w:after="0" w:line="203"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Cybin Inc. (“Cybin”), was incorporated under the Business Corporations Act (British Columbia) on October 13, 2016. These condensed interim consolidated financial statements include the accounts of Cybin’s six subsidiaries (together, with Cybin, the “Company”): Cybin Corp., Natures Journey Inc. (“Journey”), Serenity Life Sciences Inc. (“Serenity”), Cybin US Holdings Inc. (“Cybin US”), Adelia Therapeutics Inc. (“Adelia”) and Cybin IRL Limited. Cybin’s head office, principal address and registered address and records office is 100 King Street West, Suite 5600, Toronto, Ontario M5X 1C9.</w:t>
      </w:r>
    </w:p>
    <w:p>
      <w:pPr>
        <w:spacing w:after="0" w:line="144"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Cybin carries on business through its wholly owned subsidiary Cybin Corp., which was incorporated under the Business Corporations Act (Ontario) on October 22, 2019. The Company is a biotechnology company focused on progressing psychedelic therapeutics. The Company is structuring and supporting clinical studies in North America and other regions, through strategic academic and institutional partnerships and plans to launch psilocybin-based products in jurisdictions where the substance is not banned.</w:t>
      </w:r>
    </w:p>
    <w:p>
      <w:pPr>
        <w:spacing w:after="0" w:line="144"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These condensed interim consolidated financial statements as at, and for the three and six months ended, September 30, 2021 were approved and authorized for issue by the board of directors on November 12, 2021.</w:t>
      </w:r>
    </w:p>
    <w:p>
      <w:pPr>
        <w:spacing w:after="0" w:line="149" w:lineRule="exact"/>
        <w:rPr>
          <w:sz w:val="20"/>
          <w:szCs w:val="20"/>
          <w:color w:val="auto"/>
        </w:rPr>
      </w:pPr>
    </w:p>
    <w:p>
      <w:pPr>
        <w:ind w:left="302"/>
        <w:spacing w:after="0"/>
        <w:rPr>
          <w:sz w:val="20"/>
          <w:szCs w:val="20"/>
          <w:color w:val="auto"/>
        </w:rPr>
      </w:pPr>
      <w:r>
        <w:rPr>
          <w:rFonts w:ascii="Arial" w:cs="Arial" w:eastAsia="Arial" w:hAnsi="Arial"/>
          <w:sz w:val="16"/>
          <w:szCs w:val="16"/>
          <w:u w:val="single" w:color="auto"/>
          <w:color w:val="auto"/>
        </w:rPr>
        <w:t>COVID 19-</w:t>
      </w:r>
    </w:p>
    <w:p>
      <w:pPr>
        <w:spacing w:after="0" w:line="171" w:lineRule="exact"/>
        <w:rPr>
          <w:sz w:val="20"/>
          <w:szCs w:val="20"/>
          <w:color w:val="auto"/>
        </w:rPr>
      </w:pPr>
    </w:p>
    <w:p>
      <w:pPr>
        <w:jc w:val="both"/>
        <w:ind w:left="302"/>
        <w:spacing w:after="0" w:line="257" w:lineRule="auto"/>
        <w:rPr>
          <w:sz w:val="20"/>
          <w:szCs w:val="20"/>
          <w:color w:val="auto"/>
        </w:rPr>
      </w:pPr>
      <w:r>
        <w:rPr>
          <w:rFonts w:ascii="Arial" w:cs="Arial" w:eastAsia="Arial" w:hAnsi="Arial"/>
          <w:sz w:val="16"/>
          <w:szCs w:val="16"/>
          <w:color w:val="auto"/>
        </w:rPr>
        <w:t>In March 2020, the outbreak of the novel strain of corona virus, specifically identified as “COVID-19”,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in future periods.</w:t>
      </w:r>
    </w:p>
    <w:p>
      <w:pPr>
        <w:spacing w:after="0" w:line="150" w:lineRule="exact"/>
        <w:rPr>
          <w:sz w:val="20"/>
          <w:szCs w:val="20"/>
          <w:color w:val="auto"/>
        </w:rPr>
      </w:pPr>
    </w:p>
    <w:p>
      <w:pPr>
        <w:ind w:left="302"/>
        <w:spacing w:after="0"/>
        <w:rPr>
          <w:sz w:val="20"/>
          <w:szCs w:val="20"/>
          <w:color w:val="auto"/>
        </w:rPr>
      </w:pPr>
      <w:r>
        <w:rPr>
          <w:rFonts w:ascii="Arial" w:cs="Arial" w:eastAsia="Arial" w:hAnsi="Arial"/>
          <w:sz w:val="16"/>
          <w:szCs w:val="16"/>
          <w:u w:val="single" w:color="auto"/>
          <w:color w:val="auto"/>
        </w:rPr>
        <w:t>Reverse takeover-</w:t>
      </w:r>
    </w:p>
    <w:p>
      <w:pPr>
        <w:spacing w:after="0" w:line="183" w:lineRule="exact"/>
        <w:rPr>
          <w:sz w:val="20"/>
          <w:szCs w:val="20"/>
          <w:color w:val="auto"/>
        </w:rPr>
      </w:pPr>
    </w:p>
    <w:p>
      <w:pPr>
        <w:jc w:val="both"/>
        <w:ind w:left="302"/>
        <w:spacing w:after="0" w:line="257" w:lineRule="auto"/>
        <w:rPr>
          <w:sz w:val="20"/>
          <w:szCs w:val="20"/>
          <w:color w:val="auto"/>
        </w:rPr>
      </w:pPr>
      <w:r>
        <w:rPr>
          <w:rFonts w:ascii="Arial" w:cs="Arial" w:eastAsia="Arial" w:hAnsi="Arial"/>
          <w:sz w:val="16"/>
          <w:szCs w:val="16"/>
          <w:color w:val="auto"/>
        </w:rPr>
        <w:t>On November 5, 2020, Cybin (formerly Clarmin Explorations Inc.) completed a reverse takeover transaction pursuant to the terms of an amalgamation agreement dated June 26, 2020, as amended on October 21, 2020, among Cybin, Cybin Corp. and 2762898 Ontario Inc. (“SubCo”), a wholly-owned subsidiary of Cybin (the “Reverse Takeover”). The Reverse Takeover was completed by way of a “three-cornered” amalgamation pursuant to the provisions of the Business Corporations Act (Ontario) whereby Cybin Corp. amalgamated with SubCo to form an amalgamated corporation and a wholly owned subsidiary of Cybin. Effective November 5, 2020, Cybin completed a consolidation of its common shares on the basis of 6.672 old common shares into one new common share of Cybin (each, a “Common Share”). All shares and per share amounts have been restated to reflect the share consolidation retrospectively.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7 of 24</w:t>
      </w:r>
    </w:p>
    <w:p>
      <w:pPr>
        <w:sectPr>
          <w:pgSz w:w="11900" w:h="16838" w:orient="portrait"/>
          <w:cols w:equalWidth="0" w:num="1">
            <w:col w:w="11242"/>
          </w:cols>
          <w:pgMar w:left="318" w:top="171" w:right="339" w:bottom="1440" w:gutter="0" w:footer="0" w:header="0"/>
        </w:sectPr>
      </w:pPr>
    </w:p>
    <w:bookmarkStart w:id="10" w:name="page11"/>
    <w:bookmarkEnd w:id="10"/>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302"/>
        <w:spacing w:after="0" w:line="264" w:lineRule="auto"/>
        <w:rPr>
          <w:sz w:val="20"/>
          <w:szCs w:val="20"/>
          <w:color w:val="auto"/>
        </w:rPr>
      </w:pPr>
      <w:r>
        <w:rPr>
          <w:rFonts w:ascii="Arial" w:cs="Arial" w:eastAsia="Arial" w:hAnsi="Arial"/>
          <w:sz w:val="16"/>
          <w:szCs w:val="16"/>
          <w:color w:val="auto"/>
        </w:rPr>
        <w:t xml:space="preserve">In accordance with IFRS 3,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substance of the reverse takeover is a takeover of a non-operating company. The Reverse Takeover does not constitute a business combination as Clarmin Explorations Inc. did not meet the definition of a business under IFRS 3. As a result, the transaction has been accounted for as a capital transaction with Cybin Corp. being identified as the acquirer and the equity consideration being measured at fair value. The resulting consolidated financial statements are presented as a continuation of Cybin Corp. and comparative figures presented in the condensed interim consolidated financial statements are those of Cybin Corp.</w:t>
      </w:r>
    </w:p>
    <w:p>
      <w:pPr>
        <w:spacing w:after="0" w:line="154" w:lineRule="exact"/>
        <w:rPr>
          <w:sz w:val="20"/>
          <w:szCs w:val="20"/>
          <w:color w:val="auto"/>
        </w:rPr>
      </w:pPr>
    </w:p>
    <w:p>
      <w:pPr>
        <w:ind w:left="302"/>
        <w:spacing w:after="0"/>
        <w:rPr>
          <w:sz w:val="20"/>
          <w:szCs w:val="20"/>
          <w:color w:val="auto"/>
        </w:rPr>
      </w:pPr>
      <w:r>
        <w:rPr>
          <w:rFonts w:ascii="Arial" w:cs="Arial" w:eastAsia="Arial" w:hAnsi="Arial"/>
          <w:sz w:val="16"/>
          <w:szCs w:val="16"/>
          <w:u w:val="single" w:color="auto"/>
          <w:color w:val="auto"/>
        </w:rPr>
        <w:t>Stock exchange listing –</w:t>
      </w:r>
    </w:p>
    <w:p>
      <w:pPr>
        <w:spacing w:after="0" w:line="171"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On November 10, 2020, the Common Shares became listed for trading on the Neo Exchange Inc. under the trading symbol “CYBN”. On March 8, 2021, the Company’s Common Shares commenced trading on the OTCQB® Venture Market under the symbol “CLXPF”. On August 5, 2021, the Company’s Common Shares commenced trading on the NYSE American LLC under the symbol “CYBN” and concurrently ceased trading on the OTCQB® Venture Market under the symbol “CLXPF” (see note 15).</w:t>
      </w:r>
    </w:p>
    <w:p>
      <w:pPr>
        <w:spacing w:after="0" w:line="144" w:lineRule="exact"/>
        <w:rPr>
          <w:sz w:val="20"/>
          <w:szCs w:val="20"/>
          <w:color w:val="auto"/>
        </w:rPr>
      </w:pPr>
    </w:p>
    <w:p>
      <w:pPr>
        <w:ind w:left="302"/>
        <w:spacing w:after="0"/>
        <w:rPr>
          <w:sz w:val="20"/>
          <w:szCs w:val="20"/>
          <w:color w:val="auto"/>
        </w:rPr>
      </w:pPr>
      <w:r>
        <w:rPr>
          <w:rFonts w:ascii="Arial" w:cs="Arial" w:eastAsia="Arial" w:hAnsi="Arial"/>
          <w:sz w:val="16"/>
          <w:szCs w:val="16"/>
          <w:u w:val="single" w:color="auto"/>
          <w:color w:val="auto"/>
        </w:rPr>
        <w:t>Acquisition –</w:t>
      </w:r>
    </w:p>
    <w:p>
      <w:pPr>
        <w:spacing w:after="0" w:line="183"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On December 14, 2020, the Company completed its acquisition of Adelia by issuing Class B common shares of Cybin US (“Class B Shares”) that are exchangeable into Common Shares (the “Adelia Transaction”) (see note 8(b)). The Class B Shares were issued in place of Common Shares to permit the deferral of US tax by the former shareholders of Adelia. These condensed interim consolidated financial statements reflect the Class B Shares as if they have already been exchanged for Common Shares.</w:t>
      </w:r>
    </w:p>
    <w:p>
      <w:pPr>
        <w:spacing w:after="0" w:line="124" w:lineRule="exact"/>
        <w:rPr>
          <w:sz w:val="20"/>
          <w:szCs w:val="20"/>
          <w:color w:val="auto"/>
        </w:rPr>
      </w:pPr>
    </w:p>
    <w:p>
      <w:pPr>
        <w:ind w:left="322" w:hanging="322"/>
        <w:spacing w:after="0"/>
        <w:tabs>
          <w:tab w:leader="none" w:pos="322" w:val="left"/>
        </w:tabs>
        <w:numPr>
          <w:ilvl w:val="0"/>
          <w:numId w:val="2"/>
        </w:numPr>
        <w:rPr>
          <w:rFonts w:ascii="Arial" w:cs="Arial" w:eastAsia="Arial" w:hAnsi="Arial"/>
          <w:sz w:val="16"/>
          <w:szCs w:val="16"/>
          <w:b w:val="1"/>
          <w:bCs w:val="1"/>
          <w:color w:val="2D5F91"/>
        </w:rPr>
      </w:pPr>
      <w:r>
        <w:rPr>
          <w:rFonts w:ascii="Arial" w:cs="Arial" w:eastAsia="Arial" w:hAnsi="Arial"/>
          <w:sz w:val="16"/>
          <w:szCs w:val="16"/>
          <w:b w:val="1"/>
          <w:bCs w:val="1"/>
          <w:color w:val="2D5F91"/>
        </w:rPr>
        <w:t>SIGNIFICANT ACCOUNTING POLICIES AND BASIS OF PREPARATION</w:t>
      </w:r>
    </w:p>
    <w:p>
      <w:pPr>
        <w:spacing w:after="0" w:line="171"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Statement of compliance</w:t>
      </w:r>
    </w:p>
    <w:p>
      <w:pPr>
        <w:spacing w:after="0" w:line="203" w:lineRule="exact"/>
        <w:rPr>
          <w:sz w:val="20"/>
          <w:szCs w:val="20"/>
          <w:color w:val="auto"/>
        </w:rPr>
      </w:pPr>
    </w:p>
    <w:p>
      <w:pPr>
        <w:jc w:val="both"/>
        <w:ind w:left="302"/>
        <w:spacing w:after="0" w:line="262" w:lineRule="auto"/>
        <w:rPr>
          <w:sz w:val="20"/>
          <w:szCs w:val="20"/>
          <w:color w:val="auto"/>
        </w:rPr>
      </w:pPr>
      <w:r>
        <w:rPr>
          <w:rFonts w:ascii="Arial" w:cs="Arial" w:eastAsia="Arial" w:hAnsi="Arial"/>
          <w:sz w:val="16"/>
          <w:szCs w:val="16"/>
          <w:color w:val="auto"/>
        </w:rPr>
        <w:t>These condensed interim consolidated financial statements for the three and six months ended September 30, 2021 have been prepared in accordance with International Accounting Standard 34 “Interim Financial Reporting”. Accordingly, certain information and footnote disclosure normally included in annual financial statements prepared in accordance with International Financial Reporting Standards (“IFRS”) have been omitted or condensed.</w:t>
      </w:r>
    </w:p>
    <w:p>
      <w:pPr>
        <w:spacing w:after="0" w:line="144"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 accounting policies adopted in the preparation of the condensed interim consolidated financial statements are consistent with those set out in note 2 “Significant accounting policies and basis of preparation” of the Company’s annual consolidated financial statements for the year ended March 31, 2021.</w:t>
      </w:r>
    </w:p>
    <w:p>
      <w:pPr>
        <w:spacing w:after="0" w:line="332"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These condensed interim consolidated financial statements should be read in conjunction with the consolidated financial statements for the year ended March 31, 2021.</w:t>
      </w:r>
    </w:p>
    <w:p>
      <w:pPr>
        <w:spacing w:after="0" w:line="129"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Basis of measurement</w:t>
      </w:r>
    </w:p>
    <w:p>
      <w:pPr>
        <w:spacing w:after="0" w:line="191"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These condensed interim consolidated financial statements have been prepared on a going concern basis, under the historical cost convention, except for certain financial instruments classified at fair value upon initial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8 of 25</w:t>
      </w:r>
    </w:p>
    <w:p>
      <w:pPr>
        <w:sectPr>
          <w:pgSz w:w="11900" w:h="16838" w:orient="portrait"/>
          <w:cols w:equalWidth="0" w:num="1">
            <w:col w:w="11242"/>
          </w:cols>
          <w:pgMar w:left="318" w:top="171" w:right="339" w:bottom="1440" w:gutter="0" w:footer="0" w:header="0"/>
        </w:sectPr>
      </w:pPr>
    </w:p>
    <w:bookmarkStart w:id="11" w:name="page12"/>
    <w:bookmarkEnd w:id="11"/>
    <w:p>
      <w:pPr>
        <w:ind w:left="60"/>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0"/>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50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u w:val="single" w:color="auto"/>
          <w:color w:val="auto"/>
        </w:rPr>
        <w:t>Functional and presentation currency</w:t>
      </w:r>
    </w:p>
    <w:p>
      <w:pPr>
        <w:spacing w:after="0" w:line="203" w:lineRule="exact"/>
        <w:rPr>
          <w:sz w:val="20"/>
          <w:szCs w:val="20"/>
          <w:color w:val="auto"/>
        </w:rPr>
      </w:pPr>
    </w:p>
    <w:p>
      <w:pPr>
        <w:ind w:left="300" w:right="20"/>
        <w:spacing w:after="0" w:line="270" w:lineRule="auto"/>
        <w:rPr>
          <w:sz w:val="20"/>
          <w:szCs w:val="20"/>
          <w:color w:val="auto"/>
        </w:rPr>
      </w:pPr>
      <w:r>
        <w:rPr>
          <w:rFonts w:ascii="Arial" w:cs="Arial" w:eastAsia="Arial" w:hAnsi="Arial"/>
          <w:sz w:val="16"/>
          <w:szCs w:val="16"/>
          <w:color w:val="auto"/>
        </w:rPr>
        <w:t>The functional currency of a company is the currency of the primary economic environment in which the company operates. The presentation currency for a company is the currency in which the company chooses to present its financial statements.</w:t>
      </w:r>
    </w:p>
    <w:p>
      <w:pPr>
        <w:spacing w:after="0" w:line="136" w:lineRule="exact"/>
        <w:rPr>
          <w:sz w:val="20"/>
          <w:szCs w:val="20"/>
          <w:color w:val="auto"/>
        </w:rPr>
      </w:pPr>
    </w:p>
    <w:p>
      <w:pPr>
        <w:ind w:left="300" w:right="20"/>
        <w:spacing w:after="0" w:line="270" w:lineRule="auto"/>
        <w:rPr>
          <w:sz w:val="20"/>
          <w:szCs w:val="20"/>
          <w:color w:val="auto"/>
        </w:rPr>
      </w:pPr>
      <w:r>
        <w:rPr>
          <w:rFonts w:ascii="Arial" w:cs="Arial" w:eastAsia="Arial" w:hAnsi="Arial"/>
          <w:sz w:val="16"/>
          <w:szCs w:val="16"/>
          <w:color w:val="auto"/>
        </w:rPr>
        <w:t>These condensed interim consolidated financial statements are presented in Canadian dollars, the Company’s presentation currency. The Company’s and its subsidiaries functional currencies are as follows:</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Entity</w:t>
            </w:r>
          </w:p>
        </w:tc>
        <w:tc>
          <w:tcPr>
            <w:tcW w:w="348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Currency</w:t>
            </w:r>
          </w:p>
        </w:tc>
        <w:tc>
          <w:tcPr>
            <w:tcW w:w="4640" w:type="dxa"/>
            <w:vAlign w:val="bottom"/>
            <w:tcBorders>
              <w:bottom w:val="single" w:sz="8" w:color="auto"/>
            </w:tcBorders>
          </w:tcPr>
          <w:p>
            <w:pPr>
              <w:ind w:left="1140"/>
              <w:spacing w:after="0"/>
              <w:rPr>
                <w:sz w:val="20"/>
                <w:szCs w:val="20"/>
                <w:color w:val="auto"/>
              </w:rPr>
            </w:pPr>
            <w:r>
              <w:rPr>
                <w:rFonts w:ascii="Arial" w:cs="Arial" w:eastAsia="Arial" w:hAnsi="Arial"/>
                <w:sz w:val="16"/>
                <w:szCs w:val="16"/>
                <w:b w:val="1"/>
                <w:bCs w:val="1"/>
                <w:color w:val="auto"/>
              </w:rPr>
              <w:t>Ownership</w:t>
            </w:r>
          </w:p>
        </w:tc>
      </w:tr>
      <w:tr>
        <w:trPr>
          <w:trHeight w:val="200"/>
        </w:trPr>
        <w:tc>
          <w:tcPr>
            <w:tcW w:w="2400" w:type="dxa"/>
            <w:vAlign w:val="bottom"/>
          </w:tcPr>
          <w:p>
            <w:pPr>
              <w:spacing w:after="0"/>
              <w:rPr>
                <w:sz w:val="20"/>
                <w:szCs w:val="20"/>
                <w:color w:val="auto"/>
              </w:rPr>
            </w:pPr>
            <w:r>
              <w:rPr>
                <w:rFonts w:ascii="Arial" w:cs="Arial" w:eastAsia="Arial" w:hAnsi="Arial"/>
                <w:sz w:val="16"/>
                <w:szCs w:val="16"/>
                <w:color w:val="auto"/>
              </w:rPr>
              <w:t>Cybin Corp.</w:t>
            </w:r>
          </w:p>
        </w:tc>
        <w:tc>
          <w:tcPr>
            <w:tcW w:w="3480" w:type="dxa"/>
            <w:vAlign w:val="bottom"/>
          </w:tcPr>
          <w:p>
            <w:pPr>
              <w:ind w:left="1120"/>
              <w:spacing w:after="0"/>
              <w:rPr>
                <w:sz w:val="20"/>
                <w:szCs w:val="20"/>
                <w:color w:val="auto"/>
              </w:rPr>
            </w:pPr>
            <w:r>
              <w:rPr>
                <w:rFonts w:ascii="Arial" w:cs="Arial" w:eastAsia="Arial" w:hAnsi="Arial"/>
                <w:sz w:val="16"/>
                <w:szCs w:val="16"/>
                <w:color w:val="auto"/>
              </w:rPr>
              <w:t>Canadian dollars</w:t>
            </w:r>
          </w:p>
        </w:tc>
        <w:tc>
          <w:tcPr>
            <w:tcW w:w="4640" w:type="dxa"/>
            <w:vAlign w:val="bottom"/>
          </w:tcPr>
          <w:p>
            <w:pPr>
              <w:ind w:left="1140"/>
              <w:spacing w:after="0"/>
              <w:rPr>
                <w:sz w:val="20"/>
                <w:szCs w:val="20"/>
                <w:color w:val="auto"/>
              </w:rPr>
            </w:pPr>
            <w:r>
              <w:rPr>
                <w:rFonts w:ascii="Arial" w:cs="Arial" w:eastAsia="Arial" w:hAnsi="Arial"/>
                <w:sz w:val="16"/>
                <w:szCs w:val="16"/>
                <w:color w:val="auto"/>
              </w:rPr>
              <w:t>100%</w:t>
            </w:r>
          </w:p>
        </w:tc>
      </w:tr>
      <w:tr>
        <w:trPr>
          <w:trHeight w:val="208"/>
        </w:trPr>
        <w:tc>
          <w:tcPr>
            <w:tcW w:w="2400" w:type="dxa"/>
            <w:vAlign w:val="bottom"/>
          </w:tcPr>
          <w:p>
            <w:pPr>
              <w:spacing w:after="0"/>
              <w:rPr>
                <w:sz w:val="20"/>
                <w:szCs w:val="20"/>
                <w:color w:val="auto"/>
              </w:rPr>
            </w:pPr>
            <w:r>
              <w:rPr>
                <w:rFonts w:ascii="Arial" w:cs="Arial" w:eastAsia="Arial" w:hAnsi="Arial"/>
                <w:sz w:val="16"/>
                <w:szCs w:val="16"/>
                <w:color w:val="auto"/>
              </w:rPr>
              <w:t>Journey</w:t>
            </w:r>
          </w:p>
        </w:tc>
        <w:tc>
          <w:tcPr>
            <w:tcW w:w="3480" w:type="dxa"/>
            <w:vAlign w:val="bottom"/>
          </w:tcPr>
          <w:p>
            <w:pPr>
              <w:ind w:left="1120"/>
              <w:spacing w:after="0"/>
              <w:rPr>
                <w:sz w:val="20"/>
                <w:szCs w:val="20"/>
                <w:color w:val="auto"/>
              </w:rPr>
            </w:pPr>
            <w:r>
              <w:rPr>
                <w:rFonts w:ascii="Arial" w:cs="Arial" w:eastAsia="Arial" w:hAnsi="Arial"/>
                <w:sz w:val="16"/>
                <w:szCs w:val="16"/>
                <w:color w:val="auto"/>
              </w:rPr>
              <w:t>Canadian dollars</w:t>
            </w:r>
          </w:p>
        </w:tc>
        <w:tc>
          <w:tcPr>
            <w:tcW w:w="4640" w:type="dxa"/>
            <w:vAlign w:val="bottom"/>
          </w:tcPr>
          <w:p>
            <w:pPr>
              <w:ind w:left="1140"/>
              <w:spacing w:after="0"/>
              <w:rPr>
                <w:sz w:val="20"/>
                <w:szCs w:val="20"/>
                <w:color w:val="auto"/>
              </w:rPr>
            </w:pPr>
            <w:r>
              <w:rPr>
                <w:rFonts w:ascii="Arial" w:cs="Arial" w:eastAsia="Arial" w:hAnsi="Arial"/>
                <w:sz w:val="16"/>
                <w:szCs w:val="16"/>
                <w:color w:val="auto"/>
              </w:rPr>
              <w:t>100%</w:t>
            </w:r>
          </w:p>
        </w:tc>
      </w:tr>
      <w:tr>
        <w:trPr>
          <w:trHeight w:val="208"/>
        </w:trPr>
        <w:tc>
          <w:tcPr>
            <w:tcW w:w="2400" w:type="dxa"/>
            <w:vAlign w:val="bottom"/>
          </w:tcPr>
          <w:p>
            <w:pPr>
              <w:spacing w:after="0"/>
              <w:rPr>
                <w:sz w:val="20"/>
                <w:szCs w:val="20"/>
                <w:color w:val="auto"/>
              </w:rPr>
            </w:pPr>
            <w:r>
              <w:rPr>
                <w:rFonts w:ascii="Arial" w:cs="Arial" w:eastAsia="Arial" w:hAnsi="Arial"/>
                <w:sz w:val="16"/>
                <w:szCs w:val="16"/>
                <w:color w:val="auto"/>
              </w:rPr>
              <w:t>Serenity</w:t>
            </w:r>
          </w:p>
        </w:tc>
        <w:tc>
          <w:tcPr>
            <w:tcW w:w="3480" w:type="dxa"/>
            <w:vAlign w:val="bottom"/>
          </w:tcPr>
          <w:p>
            <w:pPr>
              <w:ind w:left="1120"/>
              <w:spacing w:after="0"/>
              <w:rPr>
                <w:sz w:val="20"/>
                <w:szCs w:val="20"/>
                <w:color w:val="auto"/>
              </w:rPr>
            </w:pPr>
            <w:r>
              <w:rPr>
                <w:rFonts w:ascii="Arial" w:cs="Arial" w:eastAsia="Arial" w:hAnsi="Arial"/>
                <w:sz w:val="16"/>
                <w:szCs w:val="16"/>
                <w:color w:val="auto"/>
              </w:rPr>
              <w:t>Canadian dollars</w:t>
            </w:r>
          </w:p>
        </w:tc>
        <w:tc>
          <w:tcPr>
            <w:tcW w:w="4640" w:type="dxa"/>
            <w:vAlign w:val="bottom"/>
          </w:tcPr>
          <w:p>
            <w:pPr>
              <w:ind w:left="1140"/>
              <w:spacing w:after="0"/>
              <w:rPr>
                <w:sz w:val="20"/>
                <w:szCs w:val="20"/>
                <w:color w:val="auto"/>
              </w:rPr>
            </w:pPr>
            <w:r>
              <w:rPr>
                <w:rFonts w:ascii="Arial" w:cs="Arial" w:eastAsia="Arial" w:hAnsi="Arial"/>
                <w:sz w:val="16"/>
                <w:szCs w:val="16"/>
                <w:color w:val="auto"/>
              </w:rPr>
              <w:t>100%</w:t>
            </w:r>
          </w:p>
        </w:tc>
      </w:tr>
      <w:tr>
        <w:trPr>
          <w:trHeight w:val="257"/>
        </w:trPr>
        <w:tc>
          <w:tcPr>
            <w:tcW w:w="2400" w:type="dxa"/>
            <w:vAlign w:val="bottom"/>
          </w:tcPr>
          <w:p>
            <w:pPr>
              <w:spacing w:after="0"/>
              <w:rPr>
                <w:sz w:val="20"/>
                <w:szCs w:val="20"/>
                <w:color w:val="auto"/>
              </w:rPr>
            </w:pPr>
            <w:r>
              <w:rPr>
                <w:rFonts w:ascii="Arial" w:cs="Arial" w:eastAsia="Arial" w:hAnsi="Arial"/>
                <w:sz w:val="16"/>
                <w:szCs w:val="16"/>
                <w:color w:val="auto"/>
              </w:rPr>
              <w:t>Cybin US</w:t>
            </w:r>
          </w:p>
        </w:tc>
        <w:tc>
          <w:tcPr>
            <w:tcW w:w="3480" w:type="dxa"/>
            <w:vAlign w:val="bottom"/>
          </w:tcPr>
          <w:p>
            <w:pPr>
              <w:ind w:left="1120"/>
              <w:spacing w:after="0"/>
              <w:rPr>
                <w:sz w:val="20"/>
                <w:szCs w:val="20"/>
                <w:color w:val="auto"/>
              </w:rPr>
            </w:pPr>
            <w:r>
              <w:rPr>
                <w:rFonts w:ascii="Arial" w:cs="Arial" w:eastAsia="Arial" w:hAnsi="Arial"/>
                <w:sz w:val="16"/>
                <w:szCs w:val="16"/>
                <w:color w:val="auto"/>
              </w:rPr>
              <w:t>Canadian dollars</w:t>
            </w:r>
          </w:p>
        </w:tc>
        <w:tc>
          <w:tcPr>
            <w:tcW w:w="4640" w:type="dxa"/>
            <w:vAlign w:val="bottom"/>
          </w:tcPr>
          <w:p>
            <w:pPr>
              <w:ind w:left="1200"/>
              <w:spacing w:after="0"/>
              <w:rPr>
                <w:sz w:val="20"/>
                <w:szCs w:val="20"/>
                <w:color w:val="auto"/>
              </w:rPr>
            </w:pPr>
            <w:r>
              <w:rPr>
                <w:rFonts w:ascii="Arial" w:cs="Arial" w:eastAsia="Arial" w:hAnsi="Arial"/>
                <w:sz w:val="16"/>
                <w:szCs w:val="16"/>
                <w:color w:val="auto"/>
              </w:rPr>
              <w:t>100%</w:t>
            </w:r>
            <w:r>
              <w:rPr>
                <w:rFonts w:ascii="Arial" w:cs="Arial" w:eastAsia="Arial" w:hAnsi="Arial"/>
                <w:sz w:val="21"/>
                <w:szCs w:val="21"/>
                <w:color w:val="auto"/>
                <w:vertAlign w:val="superscript"/>
              </w:rPr>
              <w:t>1</w:t>
            </w:r>
          </w:p>
        </w:tc>
      </w:tr>
      <w:tr>
        <w:trPr>
          <w:trHeight w:val="196"/>
        </w:trPr>
        <w:tc>
          <w:tcPr>
            <w:tcW w:w="2400" w:type="dxa"/>
            <w:vAlign w:val="bottom"/>
          </w:tcPr>
          <w:p>
            <w:pPr>
              <w:spacing w:after="0"/>
              <w:rPr>
                <w:sz w:val="20"/>
                <w:szCs w:val="20"/>
                <w:color w:val="auto"/>
              </w:rPr>
            </w:pPr>
            <w:r>
              <w:rPr>
                <w:rFonts w:ascii="Arial" w:cs="Arial" w:eastAsia="Arial" w:hAnsi="Arial"/>
                <w:sz w:val="16"/>
                <w:szCs w:val="16"/>
                <w:color w:val="auto"/>
              </w:rPr>
              <w:t>Adelia</w:t>
            </w:r>
          </w:p>
        </w:tc>
        <w:tc>
          <w:tcPr>
            <w:tcW w:w="3480" w:type="dxa"/>
            <w:vAlign w:val="bottom"/>
          </w:tcPr>
          <w:p>
            <w:pPr>
              <w:ind w:left="1120"/>
              <w:spacing w:after="0"/>
              <w:rPr>
                <w:sz w:val="20"/>
                <w:szCs w:val="20"/>
                <w:color w:val="auto"/>
              </w:rPr>
            </w:pPr>
            <w:r>
              <w:rPr>
                <w:rFonts w:ascii="Arial" w:cs="Arial" w:eastAsia="Arial" w:hAnsi="Arial"/>
                <w:sz w:val="16"/>
                <w:szCs w:val="16"/>
                <w:color w:val="auto"/>
              </w:rPr>
              <w:t>U.S. dollars</w:t>
            </w:r>
          </w:p>
        </w:tc>
        <w:tc>
          <w:tcPr>
            <w:tcW w:w="4640" w:type="dxa"/>
            <w:vAlign w:val="bottom"/>
          </w:tcPr>
          <w:p>
            <w:pPr>
              <w:ind w:left="1140"/>
              <w:spacing w:after="0"/>
              <w:rPr>
                <w:sz w:val="20"/>
                <w:szCs w:val="20"/>
                <w:color w:val="auto"/>
              </w:rPr>
            </w:pPr>
            <w:r>
              <w:rPr>
                <w:rFonts w:ascii="Arial" w:cs="Arial" w:eastAsia="Arial" w:hAnsi="Arial"/>
                <w:sz w:val="16"/>
                <w:szCs w:val="16"/>
                <w:color w:val="auto"/>
              </w:rPr>
              <w:t>100%</w:t>
            </w:r>
          </w:p>
        </w:tc>
      </w:tr>
      <w:tr>
        <w:trPr>
          <w:trHeight w:val="220"/>
        </w:trPr>
        <w:tc>
          <w:tcPr>
            <w:tcW w:w="2400" w:type="dxa"/>
            <w:vAlign w:val="bottom"/>
          </w:tcPr>
          <w:p>
            <w:pPr>
              <w:spacing w:after="0"/>
              <w:rPr>
                <w:sz w:val="20"/>
                <w:szCs w:val="20"/>
                <w:color w:val="auto"/>
              </w:rPr>
            </w:pPr>
            <w:r>
              <w:rPr>
                <w:rFonts w:ascii="Arial" w:cs="Arial" w:eastAsia="Arial" w:hAnsi="Arial"/>
                <w:sz w:val="16"/>
                <w:szCs w:val="16"/>
                <w:color w:val="auto"/>
              </w:rPr>
              <w:t>Cybin IRL Limited</w:t>
            </w:r>
          </w:p>
        </w:tc>
        <w:tc>
          <w:tcPr>
            <w:tcW w:w="3480" w:type="dxa"/>
            <w:vAlign w:val="bottom"/>
          </w:tcPr>
          <w:p>
            <w:pPr>
              <w:ind w:left="1120"/>
              <w:spacing w:after="0"/>
              <w:rPr>
                <w:sz w:val="20"/>
                <w:szCs w:val="20"/>
                <w:color w:val="auto"/>
              </w:rPr>
            </w:pPr>
            <w:r>
              <w:rPr>
                <w:rFonts w:ascii="Arial" w:cs="Arial" w:eastAsia="Arial" w:hAnsi="Arial"/>
                <w:sz w:val="16"/>
                <w:szCs w:val="16"/>
                <w:color w:val="auto"/>
              </w:rPr>
              <w:t>U.S. dollars</w:t>
            </w:r>
          </w:p>
        </w:tc>
        <w:tc>
          <w:tcPr>
            <w:tcW w:w="4640" w:type="dxa"/>
            <w:vAlign w:val="bottom"/>
          </w:tcPr>
          <w:p>
            <w:pPr>
              <w:ind w:left="1200"/>
              <w:spacing w:after="0"/>
              <w:rPr>
                <w:sz w:val="20"/>
                <w:szCs w:val="20"/>
                <w:color w:val="auto"/>
              </w:rPr>
            </w:pPr>
            <w:r>
              <w:rPr>
                <w:rFonts w:ascii="Arial" w:cs="Arial" w:eastAsia="Arial" w:hAnsi="Arial"/>
                <w:sz w:val="16"/>
                <w:szCs w:val="16"/>
                <w:color w:val="auto"/>
              </w:rPr>
              <w:t>100%</w:t>
            </w:r>
          </w:p>
        </w:tc>
      </w:tr>
    </w:tbl>
    <w:p>
      <w:pPr>
        <w:spacing w:after="0" w:line="200" w:lineRule="exact"/>
        <w:rPr>
          <w:sz w:val="20"/>
          <w:szCs w:val="20"/>
          <w:color w:val="auto"/>
        </w:rPr>
      </w:pPr>
    </w:p>
    <w:p>
      <w:pPr>
        <w:spacing w:after="0" w:line="294" w:lineRule="exact"/>
        <w:rPr>
          <w:sz w:val="20"/>
          <w:szCs w:val="20"/>
          <w:color w:val="auto"/>
        </w:rPr>
      </w:pPr>
    </w:p>
    <w:p>
      <w:pPr>
        <w:ind w:left="380" w:hanging="89"/>
        <w:spacing w:after="0"/>
        <w:tabs>
          <w:tab w:leader="none" w:pos="380" w:val="left"/>
        </w:tabs>
        <w:numPr>
          <w:ilvl w:val="0"/>
          <w:numId w:val="3"/>
        </w:numPr>
        <w:rPr>
          <w:rFonts w:ascii="Arial" w:cs="Arial" w:eastAsia="Arial" w:hAnsi="Arial"/>
          <w:sz w:val="8"/>
          <w:szCs w:val="8"/>
          <w:color w:val="auto"/>
        </w:rPr>
      </w:pPr>
      <w:r>
        <w:rPr>
          <w:rFonts w:ascii="Arial" w:cs="Arial" w:eastAsia="Arial" w:hAnsi="Arial"/>
          <w:sz w:val="13"/>
          <w:szCs w:val="13"/>
          <w:color w:val="auto"/>
        </w:rPr>
        <w:t>For accounting purposes, Cybin US is a wholly-owned subsidiary of Cybin. Certain former shareholders of Adelia hold Class B Shares in Cybin US.</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u w:val="single" w:color="auto"/>
          <w:color w:val="auto"/>
        </w:rPr>
        <w:t>Significant accounting policies</w:t>
      </w:r>
    </w:p>
    <w:p>
      <w:pPr>
        <w:spacing w:after="0" w:line="191" w:lineRule="exact"/>
        <w:rPr>
          <w:sz w:val="20"/>
          <w:szCs w:val="20"/>
          <w:color w:val="auto"/>
        </w:rPr>
      </w:pPr>
    </w:p>
    <w:p>
      <w:pPr>
        <w:jc w:val="both"/>
        <w:ind w:left="300" w:right="20"/>
        <w:spacing w:after="0" w:line="270" w:lineRule="auto"/>
        <w:rPr>
          <w:sz w:val="20"/>
          <w:szCs w:val="20"/>
          <w:color w:val="auto"/>
        </w:rPr>
      </w:pPr>
      <w:r>
        <w:rPr>
          <w:rFonts w:ascii="Arial" w:cs="Arial" w:eastAsia="Arial" w:hAnsi="Arial"/>
          <w:sz w:val="16"/>
          <w:szCs w:val="16"/>
          <w:color w:val="auto"/>
        </w:rPr>
        <w:t>These condensed interim consolidated financial statements have been prepared using the same accounting policies and methods as those used in the Company’s annual consolidated financial statements for the year ended March 31, 2021.</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u w:val="single" w:color="auto"/>
          <w:color w:val="auto"/>
        </w:rPr>
        <w:t>Use of significant estimates and assumptions</w:t>
      </w:r>
    </w:p>
    <w:p>
      <w:pPr>
        <w:spacing w:after="0" w:line="203" w:lineRule="exact"/>
        <w:rPr>
          <w:sz w:val="20"/>
          <w:szCs w:val="20"/>
          <w:color w:val="auto"/>
        </w:rPr>
      </w:pPr>
    </w:p>
    <w:p>
      <w:pPr>
        <w:jc w:val="both"/>
        <w:ind w:left="300"/>
        <w:spacing w:after="0" w:line="262" w:lineRule="auto"/>
        <w:rPr>
          <w:sz w:val="20"/>
          <w:szCs w:val="20"/>
          <w:color w:val="auto"/>
        </w:rPr>
      </w:pPr>
      <w:r>
        <w:rPr>
          <w:rFonts w:ascii="Arial" w:cs="Arial" w:eastAsia="Arial" w:hAnsi="Arial"/>
          <w:sz w:val="16"/>
          <w:szCs w:val="16"/>
          <w:color w:val="auto"/>
        </w:rPr>
        <w:t>The preparation of financial statements in accordance with IAS 34 requires the use of certain significant estimates and assumptions. It also requires management to exercise judgment when applying the Company’s accounting policies. The critical accounting estimates and judgments have been set out in note 3 of the Company’s annual consolidated financial statements for the year ended March 31, 2021.</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u w:val="single" w:color="auto"/>
          <w:color w:val="auto"/>
        </w:rPr>
        <w:t>New standards and interpretations not yet adopted</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number of new standards, amendments to standards and interpretations are not yet effective at</w:t>
      </w:r>
    </w:p>
    <w:p>
      <w:pPr>
        <w:spacing w:after="0" w:line="12" w:lineRule="exact"/>
        <w:rPr>
          <w:sz w:val="20"/>
          <w:szCs w:val="20"/>
          <w:color w:val="auto"/>
        </w:rPr>
      </w:pPr>
    </w:p>
    <w:p>
      <w:pPr>
        <w:jc w:val="both"/>
        <w:ind w:left="300" w:right="20"/>
        <w:spacing w:after="0" w:line="270" w:lineRule="auto"/>
        <w:rPr>
          <w:sz w:val="20"/>
          <w:szCs w:val="20"/>
          <w:color w:val="auto"/>
        </w:rPr>
      </w:pPr>
      <w:r>
        <w:rPr>
          <w:rFonts w:ascii="Arial" w:cs="Arial" w:eastAsia="Arial" w:hAnsi="Arial"/>
          <w:sz w:val="16"/>
          <w:szCs w:val="16"/>
          <w:color w:val="auto"/>
        </w:rPr>
        <w:t>September 30, 2021, and have not been applied in preparing these condensed interim consolidated financial statements. Management has determined that none of these will have a significant effect on these condensed interim consolidated financial statements of the Company.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gridSpan w:val="2"/>
          </w:tcPr>
          <w:p>
            <w:pPr>
              <w:spacing w:after="0"/>
              <w:rPr>
                <w:sz w:val="20"/>
                <w:szCs w:val="20"/>
                <w:color w:val="auto"/>
              </w:rPr>
            </w:pPr>
            <w:r>
              <w:rPr>
                <w:rFonts w:ascii="Arial" w:cs="Arial" w:eastAsia="Arial" w:hAnsi="Arial"/>
                <w:sz w:val="16"/>
                <w:szCs w:val="16"/>
                <w:b w:val="1"/>
                <w:bCs w:val="1"/>
                <w:color w:val="2D5F91"/>
              </w:rPr>
              <w:t>3.  CASH AND CASH EQUIVALENTS</w:t>
            </w:r>
          </w:p>
        </w:tc>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84"/>
        </w:trPr>
        <w:tc>
          <w:tcPr>
            <w:tcW w:w="3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6"/>
                <w:szCs w:val="16"/>
                <w:b w:val="1"/>
                <w:bCs w:val="1"/>
                <w:color w:val="auto"/>
              </w:rPr>
              <w:t>As at</w:t>
            </w:r>
          </w:p>
        </w:tc>
        <w:tc>
          <w:tcPr>
            <w:tcW w:w="2460" w:type="dxa"/>
            <w:vAlign w:val="bottom"/>
          </w:tcPr>
          <w:p>
            <w:pPr>
              <w:jc w:val="right"/>
              <w:ind w:right="458"/>
              <w:spacing w:after="0"/>
              <w:rPr>
                <w:sz w:val="20"/>
                <w:szCs w:val="20"/>
                <w:color w:val="auto"/>
              </w:rPr>
            </w:pPr>
            <w:r>
              <w:rPr>
                <w:rFonts w:ascii="Arial" w:cs="Arial" w:eastAsia="Arial" w:hAnsi="Arial"/>
                <w:sz w:val="16"/>
                <w:szCs w:val="16"/>
                <w:b w:val="1"/>
                <w:bCs w:val="1"/>
                <w:color w:val="auto"/>
              </w:rPr>
              <w:t>September 30, 2021</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16"/>
        </w:trPr>
        <w:tc>
          <w:tcPr>
            <w:tcW w:w="300" w:type="dxa"/>
            <w:vAlign w:val="bottom"/>
          </w:tcPr>
          <w:p>
            <w:pPr>
              <w:spacing w:after="0"/>
              <w:rPr>
                <w:sz w:val="18"/>
                <w:szCs w:val="18"/>
                <w:color w:val="auto"/>
              </w:rPr>
            </w:pPr>
          </w:p>
        </w:tc>
        <w:tc>
          <w:tcPr>
            <w:tcW w:w="63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$000’s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192"/>
        </w:trPr>
        <w:tc>
          <w:tcPr>
            <w:tcW w:w="300" w:type="dxa"/>
            <w:vAlign w:val="bottom"/>
          </w:tcPr>
          <w:p>
            <w:pPr>
              <w:spacing w:after="0"/>
              <w:rPr>
                <w:sz w:val="16"/>
                <w:szCs w:val="16"/>
                <w:color w:val="auto"/>
              </w:rPr>
            </w:pPr>
          </w:p>
        </w:tc>
        <w:tc>
          <w:tcPr>
            <w:tcW w:w="6320" w:type="dxa"/>
            <w:vAlign w:val="bottom"/>
          </w:tcPr>
          <w:p>
            <w:pPr>
              <w:spacing w:after="0"/>
              <w:rPr>
                <w:sz w:val="20"/>
                <w:szCs w:val="20"/>
                <w:color w:val="auto"/>
              </w:rPr>
            </w:pPr>
            <w:r>
              <w:rPr>
                <w:rFonts w:ascii="Arial" w:cs="Arial" w:eastAsia="Arial" w:hAnsi="Arial"/>
                <w:sz w:val="16"/>
                <w:szCs w:val="16"/>
                <w:color w:val="auto"/>
              </w:rPr>
              <w:t>Cash in bank</w:t>
            </w:r>
          </w:p>
        </w:tc>
        <w:tc>
          <w:tcPr>
            <w:tcW w:w="2460" w:type="dxa"/>
            <w:vAlign w:val="bottom"/>
          </w:tcPr>
          <w:p>
            <w:pPr>
              <w:jc w:val="right"/>
              <w:ind w:right="458"/>
              <w:spacing w:after="0"/>
              <w:rPr>
                <w:sz w:val="20"/>
                <w:szCs w:val="20"/>
                <w:color w:val="auto"/>
              </w:rPr>
            </w:pPr>
            <w:r>
              <w:rPr>
                <w:rFonts w:ascii="Arial" w:cs="Arial" w:eastAsia="Arial" w:hAnsi="Arial"/>
                <w:sz w:val="16"/>
                <w:szCs w:val="16"/>
                <w:b w:val="1"/>
                <w:bCs w:val="1"/>
                <w:color w:val="auto"/>
              </w:rPr>
              <w:t>40,179</w:t>
            </w:r>
          </w:p>
        </w:tc>
        <w:tc>
          <w:tcPr>
            <w:tcW w:w="1760" w:type="dxa"/>
            <w:vAlign w:val="bottom"/>
          </w:tcPr>
          <w:p>
            <w:pPr>
              <w:jc w:val="right"/>
              <w:spacing w:after="0"/>
              <w:rPr>
                <w:sz w:val="20"/>
                <w:szCs w:val="20"/>
                <w:color w:val="auto"/>
              </w:rPr>
            </w:pPr>
            <w:r>
              <w:rPr>
                <w:rFonts w:ascii="Arial" w:cs="Arial" w:eastAsia="Arial" w:hAnsi="Arial"/>
                <w:sz w:val="16"/>
                <w:szCs w:val="16"/>
                <w:color w:val="auto"/>
              </w:rPr>
              <w:t>64,026</w:t>
            </w:r>
          </w:p>
        </w:tc>
      </w:tr>
      <w:tr>
        <w:trPr>
          <w:trHeight w:val="191"/>
        </w:trPr>
        <w:tc>
          <w:tcPr>
            <w:tcW w:w="300" w:type="dxa"/>
            <w:vAlign w:val="bottom"/>
          </w:tcPr>
          <w:p>
            <w:pPr>
              <w:spacing w:after="0"/>
              <w:rPr>
                <w:sz w:val="16"/>
                <w:szCs w:val="16"/>
                <w:color w:val="auto"/>
              </w:rPr>
            </w:pPr>
          </w:p>
        </w:tc>
        <w:tc>
          <w:tcPr>
            <w:tcW w:w="6320" w:type="dxa"/>
            <w:vAlign w:val="bottom"/>
          </w:tcPr>
          <w:p>
            <w:pPr>
              <w:spacing w:after="0"/>
              <w:rPr>
                <w:sz w:val="20"/>
                <w:szCs w:val="20"/>
                <w:color w:val="auto"/>
              </w:rPr>
            </w:pPr>
            <w:r>
              <w:rPr>
                <w:rFonts w:ascii="Arial" w:cs="Arial" w:eastAsia="Arial" w:hAnsi="Arial"/>
                <w:sz w:val="16"/>
                <w:szCs w:val="16"/>
                <w:color w:val="auto"/>
              </w:rPr>
              <w:t>Redeemable GICs earning interest at a rate of 0.40% per annum maturing on May</w:t>
            </w:r>
          </w:p>
        </w:tc>
        <w:tc>
          <w:tcPr>
            <w:tcW w:w="2460" w:type="dxa"/>
            <w:vAlign w:val="bottom"/>
          </w:tcPr>
          <w:p>
            <w:pPr>
              <w:jc w:val="right"/>
              <w:ind w:right="458"/>
              <w:spacing w:after="0"/>
              <w:rPr>
                <w:sz w:val="20"/>
                <w:szCs w:val="20"/>
                <w:color w:val="auto"/>
              </w:rPr>
            </w:pPr>
            <w:r>
              <w:rPr>
                <w:rFonts w:ascii="Arial" w:cs="Arial" w:eastAsia="Arial" w:hAnsi="Arial"/>
                <w:sz w:val="16"/>
                <w:szCs w:val="16"/>
                <w:b w:val="1"/>
                <w:bCs w:val="1"/>
                <w:color w:val="auto"/>
              </w:rPr>
              <w:t>35,000</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6620" w:type="dxa"/>
            <w:vAlign w:val="bottom"/>
            <w:gridSpan w:val="2"/>
          </w:tcPr>
          <w:p>
            <w:pPr>
              <w:ind w:left="300"/>
              <w:spacing w:after="0"/>
              <w:rPr>
                <w:sz w:val="20"/>
                <w:szCs w:val="20"/>
                <w:color w:val="auto"/>
              </w:rPr>
            </w:pPr>
            <w:r>
              <w:rPr>
                <w:rFonts w:ascii="Arial" w:cs="Arial" w:eastAsia="Arial" w:hAnsi="Arial"/>
                <w:sz w:val="16"/>
                <w:szCs w:val="16"/>
                <w:color w:val="auto"/>
              </w:rPr>
              <w:t>12, 2022</w:t>
            </w:r>
          </w:p>
        </w:tc>
        <w:tc>
          <w:tcPr>
            <w:tcW w:w="24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7"/>
        </w:trPr>
        <w:tc>
          <w:tcPr>
            <w:tcW w:w="300" w:type="dxa"/>
            <w:vAlign w:val="bottom"/>
          </w:tcPr>
          <w:p>
            <w:pPr>
              <w:spacing w:after="0"/>
              <w:rPr>
                <w:sz w:val="17"/>
                <w:szCs w:val="17"/>
                <w:color w:val="auto"/>
              </w:rPr>
            </w:pPr>
          </w:p>
        </w:tc>
        <w:tc>
          <w:tcPr>
            <w:tcW w:w="6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Total</w:t>
            </w:r>
          </w:p>
        </w:tc>
        <w:tc>
          <w:tcPr>
            <w:tcW w:w="246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75,179</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Page 9 of 25</w:t>
      </w:r>
    </w:p>
    <w:p>
      <w:pPr>
        <w:sectPr>
          <w:pgSz w:w="11900" w:h="16838" w:orient="portrait"/>
          <w:cols w:equalWidth="0" w:num="1">
            <w:col w:w="11260"/>
          </w:cols>
          <w:pgMar w:left="320" w:top="171" w:right="319" w:bottom="1440" w:gutter="0" w:footer="0" w:header="0"/>
        </w:sectPr>
      </w:pPr>
    </w:p>
    <w:bookmarkStart w:id="12" w:name="page13"/>
    <w:bookmarkEnd w:id="12"/>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2" w:hanging="322"/>
        <w:spacing w:after="0"/>
        <w:tabs>
          <w:tab w:leader="none" w:pos="322" w:val="left"/>
        </w:tabs>
        <w:numPr>
          <w:ilvl w:val="0"/>
          <w:numId w:val="4"/>
        </w:numPr>
        <w:rPr>
          <w:rFonts w:ascii="Arial" w:cs="Arial" w:eastAsia="Arial" w:hAnsi="Arial"/>
          <w:sz w:val="16"/>
          <w:szCs w:val="16"/>
          <w:b w:val="1"/>
          <w:bCs w:val="1"/>
          <w:color w:val="2D5F91"/>
        </w:rPr>
      </w:pPr>
      <w:r>
        <w:rPr>
          <w:rFonts w:ascii="Arial" w:cs="Arial" w:eastAsia="Arial" w:hAnsi="Arial"/>
          <w:sz w:val="16"/>
          <w:szCs w:val="16"/>
          <w:b w:val="1"/>
          <w:bCs w:val="1"/>
          <w:color w:val="2D5F91"/>
        </w:rPr>
        <w:t>INVESTMENTS</w:t>
      </w:r>
    </w:p>
    <w:p>
      <w:pPr>
        <w:spacing w:after="0" w:line="203" w:lineRule="exact"/>
        <w:rPr>
          <w:sz w:val="20"/>
          <w:szCs w:val="20"/>
          <w:color w:val="auto"/>
        </w:rPr>
      </w:pPr>
    </w:p>
    <w:p>
      <w:pPr>
        <w:jc w:val="both"/>
        <w:ind w:left="302"/>
        <w:spacing w:after="0" w:line="256" w:lineRule="auto"/>
        <w:rPr>
          <w:sz w:val="20"/>
          <w:szCs w:val="20"/>
          <w:color w:val="auto"/>
        </w:rPr>
      </w:pPr>
      <w:r>
        <w:rPr>
          <w:rFonts w:ascii="Arial" w:cs="Arial" w:eastAsia="Arial" w:hAnsi="Arial"/>
          <w:sz w:val="16"/>
          <w:szCs w:val="16"/>
          <w:color w:val="auto"/>
        </w:rPr>
        <w:t>On June 8, 2021, the Company entered into a subscription agreement with RxLive Limited (“RxLive”) whereby the Company purchased $250 of 10.0% unsecured convertible redeemable debentures (the “Rx Debentures”). RxLive is a UK-based online platform that connects pharmacists and patients through a secure app that allows for pharmacist consultations, initial or renewal prescription fulfilment and delivery of prescription medication. The Rx Debentures mature and become due on June 8, 2022. The Rx Debentures are exchangeable or convertible into units at a price of equal to 80% of the offering price of any equity financing completed by 1301376 B.C. Ltd. (“Finco”) concurrent with a go public transaction. Each unit is to consist of one common share of Finco (a “Finco Share”) and one Finco Share purchase warrant, with each warrant being exercisable to acquire one Finco Share at a price equal to 125% of the conversion price (the “Rx Conversion Feature”). As a result of the transaction, the Company recorded a hybrid financial instrument representing the Rx Debentures and the Rx Conversion Feature (the “Rx Hybrid Instrument”). The fair value of the Rx Hybrid Instrument was $250 determined by the sum of the fair values of the Rx Debenture and Rx Conversion Feature derived respectively using the discounted cash flow approach and the Black-Scholes model.</w:t>
      </w:r>
    </w:p>
    <w:p>
      <w:pPr>
        <w:spacing w:after="0" w:line="153"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Concurrent with the purchase of the Rx Debentures, the Company entered into a side letter to be the exclusive partner for RxLive’s products and services in the psychedelics space. In addition, Cybin has agreed to participate in a private placement of subscription receipts of Finco in an amount of up to $500 and also has a right of first refusal to purchase any new securities of RxLive until the completion of certain events described in the side letter (together, the “RxLive Derivatives”).</w:t>
      </w:r>
    </w:p>
    <w:p>
      <w:pPr>
        <w:spacing w:after="0" w:line="124"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4480" w:type="dxa"/>
            <w:vAlign w:val="bottom"/>
            <w:gridSpan w:val="2"/>
          </w:tcPr>
          <w:p>
            <w:pPr>
              <w:spacing w:after="0"/>
              <w:rPr>
                <w:sz w:val="20"/>
                <w:szCs w:val="20"/>
                <w:color w:val="auto"/>
              </w:rPr>
            </w:pPr>
            <w:r>
              <w:rPr>
                <w:rFonts w:ascii="Arial" w:cs="Arial" w:eastAsia="Arial" w:hAnsi="Arial"/>
                <w:sz w:val="16"/>
                <w:szCs w:val="16"/>
                <w:b w:val="1"/>
                <w:bCs w:val="1"/>
                <w:color w:val="2D5F91"/>
              </w:rPr>
              <w:t>5.  EQUIPMENT</w:t>
            </w:r>
          </w:p>
        </w:tc>
        <w:tc>
          <w:tcPr>
            <w:tcW w:w="2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67"/>
        </w:trPr>
        <w:tc>
          <w:tcPr>
            <w:tcW w:w="30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Equipment consists as follows:</w:t>
            </w:r>
          </w:p>
        </w:tc>
        <w:tc>
          <w:tcPr>
            <w:tcW w:w="2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84"/>
        </w:trPr>
        <w:tc>
          <w:tcPr>
            <w:tcW w:w="30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Arial" w:cs="Arial" w:eastAsia="Arial" w:hAnsi="Arial"/>
                <w:sz w:val="16"/>
                <w:szCs w:val="16"/>
                <w:b w:val="1"/>
                <w:bCs w:val="1"/>
                <w:color w:val="auto"/>
              </w:rPr>
              <w:t>Cost</w:t>
            </w:r>
          </w:p>
        </w:tc>
        <w:tc>
          <w:tcPr>
            <w:tcW w:w="2540" w:type="dxa"/>
            <w:vAlign w:val="bottom"/>
          </w:tcPr>
          <w:p>
            <w:pPr>
              <w:jc w:val="right"/>
              <w:ind w:right="258"/>
              <w:spacing w:after="0"/>
              <w:rPr>
                <w:sz w:val="20"/>
                <w:szCs w:val="20"/>
                <w:color w:val="auto"/>
              </w:rPr>
            </w:pPr>
            <w:r>
              <w:rPr>
                <w:rFonts w:ascii="Arial" w:cs="Arial" w:eastAsia="Arial" w:hAnsi="Arial"/>
                <w:sz w:val="16"/>
                <w:szCs w:val="16"/>
                <w:b w:val="1"/>
                <w:bCs w:val="1"/>
                <w:color w:val="auto"/>
              </w:rPr>
              <w:t>Lab Equipment</w:t>
            </w:r>
          </w:p>
        </w:tc>
        <w:tc>
          <w:tcPr>
            <w:tcW w:w="2660" w:type="dxa"/>
            <w:vAlign w:val="bottom"/>
          </w:tcPr>
          <w:p>
            <w:pPr>
              <w:jc w:val="right"/>
              <w:ind w:right="578"/>
              <w:spacing w:after="0"/>
              <w:rPr>
                <w:sz w:val="20"/>
                <w:szCs w:val="20"/>
                <w:color w:val="auto"/>
              </w:rPr>
            </w:pPr>
            <w:r>
              <w:rPr>
                <w:rFonts w:ascii="Arial" w:cs="Arial" w:eastAsia="Arial" w:hAnsi="Arial"/>
                <w:sz w:val="16"/>
                <w:szCs w:val="16"/>
                <w:b w:val="1"/>
                <w:bCs w:val="1"/>
                <w:color w:val="auto"/>
              </w:rPr>
              <w:t>Computer Equipment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16"/>
        </w:trPr>
        <w:tc>
          <w:tcPr>
            <w:tcW w:w="300" w:type="dxa"/>
            <w:vAlign w:val="bottom"/>
          </w:tcPr>
          <w:p>
            <w:pPr>
              <w:spacing w:after="0"/>
              <w:rPr>
                <w:sz w:val="18"/>
                <w:szCs w:val="18"/>
                <w:color w:val="auto"/>
              </w:rPr>
            </w:pPr>
          </w:p>
        </w:tc>
        <w:tc>
          <w:tcPr>
            <w:tcW w:w="4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$000’s</w:t>
            </w:r>
          </w:p>
        </w:tc>
        <w:tc>
          <w:tcPr>
            <w:tcW w:w="26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$000’s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208"/>
        </w:trPr>
        <w:tc>
          <w:tcPr>
            <w:tcW w:w="3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6"/>
                <w:szCs w:val="16"/>
                <w:b w:val="1"/>
                <w:bCs w:val="1"/>
                <w:color w:val="auto"/>
              </w:rPr>
              <w:t>Balance as at March 31, 2021</w:t>
            </w:r>
          </w:p>
        </w:tc>
        <w:tc>
          <w:tcPr>
            <w:tcW w:w="2540" w:type="dxa"/>
            <w:vAlign w:val="bottom"/>
          </w:tcPr>
          <w:p>
            <w:pPr>
              <w:jc w:val="right"/>
              <w:ind w:right="258"/>
              <w:spacing w:after="0"/>
              <w:rPr>
                <w:sz w:val="20"/>
                <w:szCs w:val="20"/>
                <w:color w:val="auto"/>
              </w:rPr>
            </w:pPr>
            <w:r>
              <w:rPr>
                <w:rFonts w:ascii="Arial" w:cs="Arial" w:eastAsia="Arial" w:hAnsi="Arial"/>
                <w:sz w:val="16"/>
                <w:szCs w:val="16"/>
                <w:b w:val="1"/>
                <w:bCs w:val="1"/>
                <w:color w:val="auto"/>
              </w:rPr>
              <w:t>470</w:t>
            </w:r>
          </w:p>
        </w:tc>
        <w:tc>
          <w:tcPr>
            <w:tcW w:w="2660" w:type="dxa"/>
            <w:vAlign w:val="bottom"/>
          </w:tcPr>
          <w:p>
            <w:pPr>
              <w:jc w:val="right"/>
              <w:ind w:right="578"/>
              <w:spacing w:after="0"/>
              <w:rPr>
                <w:sz w:val="20"/>
                <w:szCs w:val="20"/>
                <w:color w:val="auto"/>
              </w:rPr>
            </w:pPr>
            <w:r>
              <w:rPr>
                <w:rFonts w:ascii="Arial" w:cs="Arial" w:eastAsia="Arial" w:hAnsi="Arial"/>
                <w:sz w:val="16"/>
                <w:szCs w:val="16"/>
                <w:b w:val="1"/>
                <w:bCs w:val="1"/>
                <w:color w:val="auto"/>
              </w:rPr>
              <w:t>141</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611</w:t>
            </w:r>
          </w:p>
        </w:tc>
      </w:tr>
      <w:tr>
        <w:trPr>
          <w:trHeight w:val="199"/>
        </w:trPr>
        <w:tc>
          <w:tcPr>
            <w:tcW w:w="30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Additions</w:t>
            </w:r>
          </w:p>
        </w:tc>
        <w:tc>
          <w:tcPr>
            <w:tcW w:w="2540" w:type="dxa"/>
            <w:vAlign w:val="bottom"/>
          </w:tcPr>
          <w:p>
            <w:pPr>
              <w:jc w:val="right"/>
              <w:ind w:right="258"/>
              <w:spacing w:after="0"/>
              <w:rPr>
                <w:sz w:val="20"/>
                <w:szCs w:val="20"/>
                <w:color w:val="auto"/>
              </w:rPr>
            </w:pPr>
            <w:r>
              <w:rPr>
                <w:rFonts w:ascii="Arial" w:cs="Arial" w:eastAsia="Arial" w:hAnsi="Arial"/>
                <w:sz w:val="16"/>
                <w:szCs w:val="16"/>
                <w:color w:val="auto"/>
              </w:rPr>
              <w:t>8</w:t>
            </w:r>
          </w:p>
        </w:tc>
        <w:tc>
          <w:tcPr>
            <w:tcW w:w="2660" w:type="dxa"/>
            <w:vAlign w:val="bottom"/>
          </w:tcPr>
          <w:p>
            <w:pPr>
              <w:jc w:val="right"/>
              <w:ind w:right="578"/>
              <w:spacing w:after="0"/>
              <w:rPr>
                <w:sz w:val="20"/>
                <w:szCs w:val="20"/>
                <w:color w:val="auto"/>
              </w:rPr>
            </w:pPr>
            <w:r>
              <w:rPr>
                <w:rFonts w:ascii="Arial" w:cs="Arial" w:eastAsia="Arial" w:hAnsi="Arial"/>
                <w:sz w:val="16"/>
                <w:szCs w:val="16"/>
                <w:color w:val="auto"/>
              </w:rPr>
              <w:t>62</w:t>
            </w:r>
          </w:p>
        </w:tc>
        <w:tc>
          <w:tcPr>
            <w:tcW w:w="122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08"/>
        </w:trPr>
        <w:tc>
          <w:tcPr>
            <w:tcW w:w="300" w:type="dxa"/>
            <w:vAlign w:val="bottom"/>
          </w:tcPr>
          <w:p>
            <w:pPr>
              <w:spacing w:after="0"/>
              <w:rPr>
                <w:sz w:val="18"/>
                <w:szCs w:val="18"/>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foreign exchange</w:t>
            </w:r>
          </w:p>
        </w:tc>
        <w:tc>
          <w:tcPr>
            <w:tcW w:w="25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7</w:t>
            </w:r>
          </w:p>
        </w:tc>
        <w:tc>
          <w:tcPr>
            <w:tcW w:w="26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1"/>
        </w:trPr>
        <w:tc>
          <w:tcPr>
            <w:tcW w:w="300" w:type="dxa"/>
            <w:vAlign w:val="bottom"/>
          </w:tcPr>
          <w:p>
            <w:pPr>
              <w:spacing w:after="0"/>
              <w:rPr>
                <w:sz w:val="17"/>
                <w:szCs w:val="17"/>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at September 30, 2021</w:t>
            </w:r>
          </w:p>
        </w:tc>
        <w:tc>
          <w:tcPr>
            <w:tcW w:w="25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485</w:t>
            </w:r>
          </w:p>
        </w:tc>
        <w:tc>
          <w:tcPr>
            <w:tcW w:w="26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203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688</w:t>
            </w:r>
          </w:p>
        </w:tc>
      </w:tr>
      <w:tr>
        <w:trPr>
          <w:trHeight w:val="420"/>
        </w:trPr>
        <w:tc>
          <w:tcPr>
            <w:tcW w:w="300" w:type="dxa"/>
            <w:vAlign w:val="bottom"/>
          </w:tcPr>
          <w:p>
            <w:pPr>
              <w:spacing w:after="0"/>
              <w:rPr>
                <w:sz w:val="24"/>
                <w:szCs w:val="24"/>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Accumulated Depreciation</w:t>
            </w:r>
          </w:p>
        </w:tc>
        <w:tc>
          <w:tcPr>
            <w:tcW w:w="2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08"/>
        </w:trPr>
        <w:tc>
          <w:tcPr>
            <w:tcW w:w="3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6"/>
                <w:szCs w:val="16"/>
                <w:b w:val="1"/>
                <w:bCs w:val="1"/>
                <w:color w:val="auto"/>
              </w:rPr>
              <w:t>Balance as at March 31, 2021</w:t>
            </w:r>
          </w:p>
        </w:tc>
        <w:tc>
          <w:tcPr>
            <w:tcW w:w="2540" w:type="dxa"/>
            <w:vAlign w:val="bottom"/>
          </w:tcPr>
          <w:p>
            <w:pPr>
              <w:jc w:val="right"/>
              <w:ind w:right="258"/>
              <w:spacing w:after="0"/>
              <w:rPr>
                <w:sz w:val="20"/>
                <w:szCs w:val="20"/>
                <w:color w:val="auto"/>
              </w:rPr>
            </w:pPr>
            <w:r>
              <w:rPr>
                <w:rFonts w:ascii="Arial" w:cs="Arial" w:eastAsia="Arial" w:hAnsi="Arial"/>
                <w:sz w:val="16"/>
                <w:szCs w:val="16"/>
                <w:b w:val="1"/>
                <w:bCs w:val="1"/>
                <w:color w:val="auto"/>
              </w:rPr>
              <w:t>39</w:t>
            </w:r>
          </w:p>
        </w:tc>
        <w:tc>
          <w:tcPr>
            <w:tcW w:w="2660" w:type="dxa"/>
            <w:vAlign w:val="bottom"/>
          </w:tcPr>
          <w:p>
            <w:pPr>
              <w:jc w:val="right"/>
              <w:ind w:right="578"/>
              <w:spacing w:after="0"/>
              <w:rPr>
                <w:sz w:val="20"/>
                <w:szCs w:val="20"/>
                <w:color w:val="auto"/>
              </w:rPr>
            </w:pPr>
            <w:r>
              <w:rPr>
                <w:rFonts w:ascii="Arial" w:cs="Arial" w:eastAsia="Arial" w:hAnsi="Arial"/>
                <w:sz w:val="16"/>
                <w:szCs w:val="16"/>
                <w:b w:val="1"/>
                <w:bCs w:val="1"/>
                <w:color w:val="auto"/>
              </w:rPr>
              <w:t>15</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54</w:t>
            </w:r>
          </w:p>
        </w:tc>
      </w:tr>
      <w:tr>
        <w:trPr>
          <w:trHeight w:val="199"/>
        </w:trPr>
        <w:tc>
          <w:tcPr>
            <w:tcW w:w="30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Depreciation charge</w:t>
            </w:r>
          </w:p>
        </w:tc>
        <w:tc>
          <w:tcPr>
            <w:tcW w:w="2540" w:type="dxa"/>
            <w:vAlign w:val="bottom"/>
          </w:tcPr>
          <w:p>
            <w:pPr>
              <w:jc w:val="right"/>
              <w:ind w:right="258"/>
              <w:spacing w:after="0"/>
              <w:rPr>
                <w:sz w:val="20"/>
                <w:szCs w:val="20"/>
                <w:color w:val="auto"/>
              </w:rPr>
            </w:pPr>
            <w:r>
              <w:rPr>
                <w:rFonts w:ascii="Arial" w:cs="Arial" w:eastAsia="Arial" w:hAnsi="Arial"/>
                <w:sz w:val="16"/>
                <w:szCs w:val="16"/>
                <w:color w:val="auto"/>
              </w:rPr>
              <w:t>50</w:t>
            </w:r>
          </w:p>
        </w:tc>
        <w:tc>
          <w:tcPr>
            <w:tcW w:w="2660" w:type="dxa"/>
            <w:vAlign w:val="bottom"/>
          </w:tcPr>
          <w:p>
            <w:pPr>
              <w:jc w:val="right"/>
              <w:ind w:right="578"/>
              <w:spacing w:after="0"/>
              <w:rPr>
                <w:sz w:val="20"/>
                <w:szCs w:val="20"/>
                <w:color w:val="auto"/>
              </w:rPr>
            </w:pPr>
            <w:r>
              <w:rPr>
                <w:rFonts w:ascii="Arial" w:cs="Arial" w:eastAsia="Arial" w:hAnsi="Arial"/>
                <w:sz w:val="16"/>
                <w:szCs w:val="16"/>
                <w:color w:val="auto"/>
              </w:rPr>
              <w:t>30</w:t>
            </w:r>
          </w:p>
        </w:tc>
        <w:tc>
          <w:tcPr>
            <w:tcW w:w="12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08"/>
        </w:trPr>
        <w:tc>
          <w:tcPr>
            <w:tcW w:w="300" w:type="dxa"/>
            <w:vAlign w:val="bottom"/>
          </w:tcPr>
          <w:p>
            <w:pPr>
              <w:spacing w:after="0"/>
              <w:rPr>
                <w:sz w:val="18"/>
                <w:szCs w:val="18"/>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foreign exchange</w:t>
            </w:r>
          </w:p>
        </w:tc>
        <w:tc>
          <w:tcPr>
            <w:tcW w:w="25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2</w:t>
            </w:r>
          </w:p>
        </w:tc>
        <w:tc>
          <w:tcPr>
            <w:tcW w:w="26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1"/>
        </w:trPr>
        <w:tc>
          <w:tcPr>
            <w:tcW w:w="300" w:type="dxa"/>
            <w:vAlign w:val="bottom"/>
          </w:tcPr>
          <w:p>
            <w:pPr>
              <w:spacing w:after="0"/>
              <w:rPr>
                <w:sz w:val="17"/>
                <w:szCs w:val="17"/>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at September 30, 2021</w:t>
            </w:r>
          </w:p>
        </w:tc>
        <w:tc>
          <w:tcPr>
            <w:tcW w:w="25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91</w:t>
            </w:r>
          </w:p>
        </w:tc>
        <w:tc>
          <w:tcPr>
            <w:tcW w:w="26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45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w:t>
            </w:r>
          </w:p>
        </w:tc>
      </w:tr>
      <w:tr>
        <w:trPr>
          <w:trHeight w:val="212"/>
        </w:trPr>
        <w:tc>
          <w:tcPr>
            <w:tcW w:w="300" w:type="dxa"/>
            <w:vAlign w:val="bottom"/>
          </w:tcPr>
          <w:p>
            <w:pPr>
              <w:spacing w:after="0"/>
              <w:rPr>
                <w:sz w:val="18"/>
                <w:szCs w:val="18"/>
                <w:color w:val="auto"/>
              </w:rPr>
            </w:pPr>
          </w:p>
        </w:tc>
        <w:tc>
          <w:tcPr>
            <w:tcW w:w="4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0"/>
        </w:trPr>
        <w:tc>
          <w:tcPr>
            <w:tcW w:w="300" w:type="dxa"/>
            <w:vAlign w:val="bottom"/>
          </w:tcPr>
          <w:p>
            <w:pPr>
              <w:spacing w:after="0"/>
              <w:rPr>
                <w:sz w:val="17"/>
                <w:szCs w:val="17"/>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book value as at March 31, 2021</w:t>
            </w:r>
          </w:p>
        </w:tc>
        <w:tc>
          <w:tcPr>
            <w:tcW w:w="25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431</w:t>
            </w:r>
          </w:p>
        </w:tc>
        <w:tc>
          <w:tcPr>
            <w:tcW w:w="26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126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557</w:t>
            </w:r>
          </w:p>
        </w:tc>
      </w:tr>
      <w:tr>
        <w:trPr>
          <w:trHeight w:val="200"/>
        </w:trPr>
        <w:tc>
          <w:tcPr>
            <w:tcW w:w="300" w:type="dxa"/>
            <w:vAlign w:val="bottom"/>
          </w:tcPr>
          <w:p>
            <w:pPr>
              <w:spacing w:after="0"/>
              <w:rPr>
                <w:sz w:val="17"/>
                <w:szCs w:val="17"/>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book value as at September 30, 2021</w:t>
            </w:r>
          </w:p>
        </w:tc>
        <w:tc>
          <w:tcPr>
            <w:tcW w:w="25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394</w:t>
            </w:r>
          </w:p>
        </w:tc>
        <w:tc>
          <w:tcPr>
            <w:tcW w:w="26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158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10 of 25</w:t>
      </w:r>
    </w:p>
    <w:p>
      <w:pPr>
        <w:sectPr>
          <w:pgSz w:w="11900" w:h="16838" w:orient="portrait"/>
          <w:cols w:equalWidth="0" w:num="1">
            <w:col w:w="11262"/>
          </w:cols>
          <w:pgMar w:left="318" w:top="171" w:right="319" w:bottom="1440" w:gutter="0" w:footer="0" w:header="0"/>
        </w:sectPr>
      </w:pPr>
    </w:p>
    <w:bookmarkStart w:id="13" w:name="page14"/>
    <w:bookmarkEnd w:id="13"/>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4680" w:type="dxa"/>
            <w:vAlign w:val="bottom"/>
            <w:gridSpan w:val="2"/>
          </w:tcPr>
          <w:p>
            <w:pPr>
              <w:spacing w:after="0"/>
              <w:rPr>
                <w:sz w:val="20"/>
                <w:szCs w:val="20"/>
                <w:color w:val="auto"/>
              </w:rPr>
            </w:pPr>
            <w:r>
              <w:rPr>
                <w:rFonts w:ascii="Arial" w:cs="Arial" w:eastAsia="Arial" w:hAnsi="Arial"/>
                <w:sz w:val="16"/>
                <w:szCs w:val="16"/>
                <w:b w:val="1"/>
                <w:bCs w:val="1"/>
                <w:color w:val="2D5F91"/>
              </w:rPr>
              <w:t>6.  INTANGIBLE ASSETS</w:t>
            </w:r>
          </w:p>
        </w:tc>
        <w:tc>
          <w:tcPr>
            <w:tcW w:w="2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6"/>
        </w:trPr>
        <w:tc>
          <w:tcPr>
            <w:tcW w:w="300" w:type="dxa"/>
            <w:vAlign w:val="bottom"/>
          </w:tcPr>
          <w:p>
            <w:pPr>
              <w:spacing w:after="0"/>
              <w:rPr>
                <w:sz w:val="24"/>
                <w:szCs w:val="24"/>
                <w:color w:val="auto"/>
              </w:rPr>
            </w:pPr>
          </w:p>
        </w:tc>
        <w:tc>
          <w:tcPr>
            <w:tcW w:w="4380" w:type="dxa"/>
            <w:vAlign w:val="bottom"/>
          </w:tcPr>
          <w:p>
            <w:pPr>
              <w:ind w:left="60"/>
              <w:spacing w:after="0"/>
              <w:rPr>
                <w:sz w:val="20"/>
                <w:szCs w:val="20"/>
                <w:color w:val="auto"/>
              </w:rPr>
            </w:pPr>
            <w:r>
              <w:rPr>
                <w:rFonts w:ascii="Arial" w:cs="Arial" w:eastAsia="Arial" w:hAnsi="Arial"/>
                <w:sz w:val="16"/>
                <w:szCs w:val="16"/>
                <w:b w:val="1"/>
                <w:bCs w:val="1"/>
                <w:color w:val="auto"/>
              </w:rPr>
              <w:t>Cost</w:t>
            </w:r>
          </w:p>
        </w:tc>
        <w:tc>
          <w:tcPr>
            <w:tcW w:w="2920" w:type="dxa"/>
            <w:vAlign w:val="bottom"/>
          </w:tcPr>
          <w:p>
            <w:pPr>
              <w:jc w:val="right"/>
              <w:ind w:right="518"/>
              <w:spacing w:after="0"/>
              <w:rPr>
                <w:sz w:val="20"/>
                <w:szCs w:val="20"/>
                <w:color w:val="auto"/>
              </w:rPr>
            </w:pPr>
            <w:r>
              <w:rPr>
                <w:rFonts w:ascii="Arial" w:cs="Arial" w:eastAsia="Arial" w:hAnsi="Arial"/>
                <w:sz w:val="16"/>
                <w:szCs w:val="16"/>
                <w:b w:val="1"/>
                <w:bCs w:val="1"/>
                <w:color w:val="auto"/>
              </w:rPr>
              <w:t>Patents</w:t>
            </w:r>
          </w:p>
        </w:tc>
        <w:tc>
          <w:tcPr>
            <w:tcW w:w="1980" w:type="dxa"/>
            <w:vAlign w:val="bottom"/>
          </w:tcPr>
          <w:p>
            <w:pPr>
              <w:jc w:val="right"/>
              <w:ind w:right="618"/>
              <w:spacing w:after="0"/>
              <w:rPr>
                <w:sz w:val="20"/>
                <w:szCs w:val="20"/>
                <w:color w:val="auto"/>
              </w:rPr>
            </w:pPr>
            <w:r>
              <w:rPr>
                <w:rFonts w:ascii="Arial" w:cs="Arial" w:eastAsia="Arial" w:hAnsi="Arial"/>
                <w:sz w:val="16"/>
                <w:szCs w:val="16"/>
                <w:b w:val="1"/>
                <w:bCs w:val="1"/>
                <w:color w:val="auto"/>
              </w:rPr>
              <w:t>Software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16"/>
        </w:trPr>
        <w:tc>
          <w:tcPr>
            <w:tcW w:w="300" w:type="dxa"/>
            <w:vAlign w:val="bottom"/>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b w:val="1"/>
                <w:bCs w:val="1"/>
                <w:color w:val="auto"/>
              </w:rPr>
              <w:t>$000’s</w:t>
            </w:r>
          </w:p>
        </w:tc>
        <w:tc>
          <w:tcPr>
            <w:tcW w:w="198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b w:val="1"/>
                <w:bCs w:val="1"/>
                <w:color w:val="auto"/>
              </w:rPr>
              <w:t>$000’s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200"/>
        </w:trPr>
        <w:tc>
          <w:tcPr>
            <w:tcW w:w="300" w:type="dxa"/>
            <w:vAlign w:val="bottom"/>
          </w:tcPr>
          <w:p>
            <w:pPr>
              <w:spacing w:after="0"/>
              <w:rPr>
                <w:sz w:val="17"/>
                <w:szCs w:val="17"/>
                <w:color w:val="auto"/>
              </w:rPr>
            </w:pPr>
          </w:p>
        </w:tc>
        <w:tc>
          <w:tcPr>
            <w:tcW w:w="4380" w:type="dxa"/>
            <w:vAlign w:val="bottom"/>
          </w:tcPr>
          <w:p>
            <w:pPr>
              <w:ind w:left="60"/>
              <w:spacing w:after="0"/>
              <w:rPr>
                <w:sz w:val="20"/>
                <w:szCs w:val="20"/>
                <w:color w:val="auto"/>
              </w:rPr>
            </w:pPr>
            <w:r>
              <w:rPr>
                <w:rFonts w:ascii="Arial" w:cs="Arial" w:eastAsia="Arial" w:hAnsi="Arial"/>
                <w:sz w:val="16"/>
                <w:szCs w:val="16"/>
                <w:color w:val="auto"/>
              </w:rPr>
              <w:t>Balance as at March 31, 2021</w:t>
            </w:r>
          </w:p>
        </w:tc>
        <w:tc>
          <w:tcPr>
            <w:tcW w:w="2920" w:type="dxa"/>
            <w:vAlign w:val="bottom"/>
          </w:tcPr>
          <w:p>
            <w:pPr>
              <w:jc w:val="right"/>
              <w:ind w:right="518"/>
              <w:spacing w:after="0"/>
              <w:rPr>
                <w:sz w:val="20"/>
                <w:szCs w:val="20"/>
                <w:color w:val="auto"/>
              </w:rPr>
            </w:pPr>
            <w:r>
              <w:rPr>
                <w:rFonts w:ascii="Arial" w:cs="Arial" w:eastAsia="Arial" w:hAnsi="Arial"/>
                <w:sz w:val="16"/>
                <w:szCs w:val="16"/>
                <w:color w:val="auto"/>
              </w:rPr>
              <w:t>1,701</w:t>
            </w:r>
          </w:p>
        </w:tc>
        <w:tc>
          <w:tcPr>
            <w:tcW w:w="1980" w:type="dxa"/>
            <w:vAlign w:val="bottom"/>
          </w:tcPr>
          <w:p>
            <w:pPr>
              <w:jc w:val="right"/>
              <w:ind w:right="618"/>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1,701</w:t>
            </w:r>
          </w:p>
        </w:tc>
      </w:tr>
      <w:tr>
        <w:trPr>
          <w:trHeight w:val="208"/>
        </w:trPr>
        <w:tc>
          <w:tcPr>
            <w:tcW w:w="30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Arial" w:cs="Arial" w:eastAsia="Arial" w:hAnsi="Arial"/>
                <w:sz w:val="16"/>
                <w:szCs w:val="16"/>
                <w:color w:val="auto"/>
              </w:rPr>
              <w:t>Additions</w:t>
            </w:r>
          </w:p>
        </w:tc>
        <w:tc>
          <w:tcPr>
            <w:tcW w:w="2920" w:type="dxa"/>
            <w:vAlign w:val="bottom"/>
          </w:tcPr>
          <w:p>
            <w:pPr>
              <w:jc w:val="right"/>
              <w:ind w:right="518"/>
              <w:spacing w:after="0"/>
              <w:rPr>
                <w:sz w:val="20"/>
                <w:szCs w:val="20"/>
                <w:color w:val="auto"/>
              </w:rPr>
            </w:pPr>
            <w:r>
              <w:rPr>
                <w:rFonts w:ascii="Arial" w:cs="Arial" w:eastAsia="Arial" w:hAnsi="Arial"/>
                <w:sz w:val="16"/>
                <w:szCs w:val="16"/>
                <w:color w:val="auto"/>
              </w:rPr>
              <w:t>110</w:t>
            </w:r>
          </w:p>
        </w:tc>
        <w:tc>
          <w:tcPr>
            <w:tcW w:w="1980" w:type="dxa"/>
            <w:vAlign w:val="bottom"/>
          </w:tcPr>
          <w:p>
            <w:pPr>
              <w:jc w:val="right"/>
              <w:ind w:right="618"/>
              <w:spacing w:after="0"/>
              <w:rPr>
                <w:sz w:val="20"/>
                <w:szCs w:val="20"/>
                <w:color w:val="auto"/>
              </w:rPr>
            </w:pPr>
            <w:r>
              <w:rPr>
                <w:rFonts w:ascii="Arial" w:cs="Arial" w:eastAsia="Arial" w:hAnsi="Arial"/>
                <w:sz w:val="16"/>
                <w:szCs w:val="16"/>
                <w:color w:val="auto"/>
              </w:rPr>
              <w:t>53</w:t>
            </w:r>
          </w:p>
        </w:tc>
        <w:tc>
          <w:tcPr>
            <w:tcW w:w="124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08"/>
        </w:trPr>
        <w:tc>
          <w:tcPr>
            <w:tcW w:w="300" w:type="dxa"/>
            <w:vAlign w:val="bottom"/>
          </w:tcPr>
          <w:p>
            <w:pPr>
              <w:spacing w:after="0"/>
              <w:rPr>
                <w:sz w:val="18"/>
                <w:szCs w:val="18"/>
                <w:color w:val="auto"/>
              </w:rPr>
            </w:pPr>
          </w:p>
        </w:tc>
        <w:tc>
          <w:tcPr>
            <w:tcW w:w="43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Effect of foreign exchange</w:t>
            </w:r>
          </w:p>
        </w:tc>
        <w:tc>
          <w:tcPr>
            <w:tcW w:w="292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color w:val="auto"/>
              </w:rPr>
              <w:t>6</w:t>
            </w:r>
          </w:p>
        </w:tc>
        <w:tc>
          <w:tcPr>
            <w:tcW w:w="198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1"/>
        </w:trPr>
        <w:tc>
          <w:tcPr>
            <w:tcW w:w="300" w:type="dxa"/>
            <w:vAlign w:val="bottom"/>
          </w:tcPr>
          <w:p>
            <w:pPr>
              <w:spacing w:after="0"/>
              <w:rPr>
                <w:sz w:val="17"/>
                <w:szCs w:val="17"/>
                <w:color w:val="auto"/>
              </w:rPr>
            </w:pPr>
          </w:p>
        </w:tc>
        <w:tc>
          <w:tcPr>
            <w:tcW w:w="43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Balance as at September 30, 2021</w:t>
            </w:r>
          </w:p>
        </w:tc>
        <w:tc>
          <w:tcPr>
            <w:tcW w:w="292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b w:val="1"/>
                <w:bCs w:val="1"/>
                <w:color w:val="auto"/>
              </w:rPr>
              <w:t>1,817</w:t>
            </w:r>
          </w:p>
        </w:tc>
        <w:tc>
          <w:tcPr>
            <w:tcW w:w="198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b w:val="1"/>
                <w:bCs w:val="1"/>
                <w:color w:val="auto"/>
              </w:rPr>
              <w:t>53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1,870</w:t>
            </w:r>
          </w:p>
        </w:tc>
      </w:tr>
    </w:tbl>
    <w:p>
      <w:pPr>
        <w:spacing w:after="0" w:line="224" w:lineRule="exact"/>
        <w:rPr>
          <w:sz w:val="20"/>
          <w:szCs w:val="20"/>
          <w:color w:val="auto"/>
        </w:rPr>
      </w:pPr>
    </w:p>
    <w:p>
      <w:pPr>
        <w:ind w:left="302" w:right="8640" w:hanging="302"/>
        <w:spacing w:after="0" w:line="475" w:lineRule="auto"/>
        <w:tabs>
          <w:tab w:leader="none" w:pos="326" w:val="left"/>
        </w:tabs>
        <w:numPr>
          <w:ilvl w:val="0"/>
          <w:numId w:val="5"/>
        </w:numPr>
        <w:rPr>
          <w:rFonts w:ascii="Arial" w:cs="Arial" w:eastAsia="Arial" w:hAnsi="Arial"/>
          <w:sz w:val="16"/>
          <w:szCs w:val="16"/>
          <w:b w:val="1"/>
          <w:bCs w:val="1"/>
          <w:color w:val="2D5F91"/>
        </w:rPr>
      </w:pPr>
      <w:r>
        <w:rPr>
          <w:rFonts w:ascii="Arial" w:cs="Arial" w:eastAsia="Arial" w:hAnsi="Arial"/>
          <w:sz w:val="16"/>
          <w:szCs w:val="16"/>
          <w:b w:val="1"/>
          <w:bCs w:val="1"/>
          <w:color w:val="2D5F91"/>
        </w:rPr>
        <w:t xml:space="preserve">CONTINGENT LIABILITIES </w:t>
      </w:r>
      <w:r>
        <w:rPr>
          <w:rFonts w:ascii="Arial" w:cs="Arial" w:eastAsia="Arial" w:hAnsi="Arial"/>
          <w:sz w:val="16"/>
          <w:szCs w:val="16"/>
          <w:b w:val="1"/>
          <w:bCs w:val="1"/>
          <w:color w:val="000000"/>
        </w:rPr>
        <w:t>Former Adelia shareholders –</w:t>
      </w:r>
    </w:p>
    <w:p>
      <w:pPr>
        <w:spacing w:after="0" w:line="1"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 Company has commitments to the former shareholders of Adelia (the “Former Adelia Shareholders”) based on milestone achievements. Milestone payments are earned and paid quarterly over the next two years. The discounted fair value of these payments are as follows:</w:t>
      </w:r>
    </w:p>
    <w:p>
      <w:pPr>
        <w:spacing w:after="0" w:line="165" w:lineRule="exact"/>
        <w:rPr>
          <w:sz w:val="20"/>
          <w:szCs w:val="20"/>
          <w:color w:val="auto"/>
        </w:rPr>
      </w:pPr>
    </w:p>
    <w:tbl>
      <w:tblPr>
        <w:tblLayout w:type="fixed"/>
        <w:tblInd w:w="302"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77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$000’s</w:t>
            </w:r>
          </w:p>
        </w:tc>
      </w:tr>
      <w:tr>
        <w:trPr>
          <w:trHeight w:val="200"/>
        </w:trPr>
        <w:tc>
          <w:tcPr>
            <w:tcW w:w="320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2022</w:t>
            </w:r>
          </w:p>
        </w:tc>
        <w:tc>
          <w:tcPr>
            <w:tcW w:w="7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3,079</w:t>
            </w:r>
          </w:p>
        </w:tc>
        <w:tc>
          <w:tcPr>
            <w:tcW w:w="440" w:type="dxa"/>
            <w:vAlign w:val="bottom"/>
          </w:tcPr>
          <w:p>
            <w:pPr>
              <w:spacing w:after="0"/>
              <w:rPr>
                <w:sz w:val="17"/>
                <w:szCs w:val="17"/>
                <w:color w:val="auto"/>
              </w:rPr>
            </w:pPr>
          </w:p>
        </w:tc>
      </w:tr>
      <w:tr>
        <w:trPr>
          <w:trHeight w:val="208"/>
        </w:trPr>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2023</w:t>
            </w:r>
          </w:p>
        </w:tc>
        <w:tc>
          <w:tcPr>
            <w:tcW w:w="7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440" w:type="dxa"/>
            <w:vAlign w:val="bottom"/>
          </w:tcPr>
          <w:p>
            <w:pPr>
              <w:spacing w:after="0"/>
              <w:rPr>
                <w:sz w:val="18"/>
                <w:szCs w:val="18"/>
                <w:color w:val="auto"/>
              </w:rPr>
            </w:pPr>
          </w:p>
        </w:tc>
      </w:tr>
      <w:tr>
        <w:trPr>
          <w:trHeight w:val="201"/>
        </w:trPr>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Balance as at September 30, 2021</w:t>
            </w:r>
          </w:p>
        </w:tc>
        <w:tc>
          <w:tcPr>
            <w:tcW w:w="7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3,442</w:t>
            </w:r>
          </w:p>
        </w:tc>
        <w:tc>
          <w:tcPr>
            <w:tcW w:w="440" w:type="dxa"/>
            <w:vAlign w:val="bottom"/>
          </w:tcPr>
          <w:p>
            <w:pPr>
              <w:spacing w:after="0"/>
              <w:rPr>
                <w:sz w:val="17"/>
                <w:szCs w:val="17"/>
                <w:color w:val="auto"/>
              </w:rPr>
            </w:pPr>
          </w:p>
        </w:tc>
      </w:tr>
      <w:tr>
        <w:trPr>
          <w:trHeight w:val="652"/>
        </w:trPr>
        <w:tc>
          <w:tcPr>
            <w:tcW w:w="3200" w:type="dxa"/>
            <w:vAlign w:val="bottom"/>
          </w:tcPr>
          <w:p>
            <w:pPr>
              <w:spacing w:after="0"/>
              <w:rPr>
                <w:sz w:val="20"/>
                <w:szCs w:val="20"/>
                <w:color w:val="auto"/>
              </w:rPr>
            </w:pPr>
            <w:r>
              <w:rPr>
                <w:rFonts w:ascii="Arial" w:cs="Arial" w:eastAsia="Arial" w:hAnsi="Arial"/>
                <w:sz w:val="16"/>
                <w:szCs w:val="16"/>
                <w:color w:val="auto"/>
              </w:rPr>
              <w:t>The   following   table   presents   the</w:t>
            </w:r>
          </w:p>
        </w:tc>
        <w:tc>
          <w:tcPr>
            <w:tcW w:w="7740" w:type="dxa"/>
            <w:vAlign w:val="bottom"/>
            <w:gridSpan w:val="2"/>
          </w:tcPr>
          <w:p>
            <w:pPr>
              <w:ind w:left="120"/>
              <w:spacing w:after="0"/>
              <w:rPr>
                <w:sz w:val="20"/>
                <w:szCs w:val="20"/>
                <w:color w:val="auto"/>
              </w:rPr>
            </w:pPr>
            <w:r>
              <w:rPr>
                <w:rFonts w:ascii="Arial" w:cs="Arial" w:eastAsia="Arial" w:hAnsi="Arial"/>
                <w:sz w:val="16"/>
                <w:szCs w:val="16"/>
                <w:color w:val="auto"/>
              </w:rPr>
              <w:t>change   in   the   carrying   value   of   the   contingent   consideration   during   the   year.</w:t>
            </w:r>
          </w:p>
        </w:tc>
      </w:tr>
      <w:tr>
        <w:trPr>
          <w:trHeight w:val="484"/>
        </w:trPr>
        <w:tc>
          <w:tcPr>
            <w:tcW w:w="3200" w:type="dxa"/>
            <w:vAlign w:val="bottom"/>
          </w:tcPr>
          <w:p>
            <w:pPr>
              <w:spacing w:after="0"/>
              <w:rPr>
                <w:sz w:val="24"/>
                <w:szCs w:val="24"/>
                <w:color w:val="auto"/>
              </w:rPr>
            </w:pPr>
          </w:p>
        </w:tc>
        <w:tc>
          <w:tcPr>
            <w:tcW w:w="77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$000’s</w:t>
            </w:r>
          </w:p>
        </w:tc>
      </w:tr>
      <w:tr>
        <w:trPr>
          <w:trHeight w:val="206"/>
        </w:trPr>
        <w:tc>
          <w:tcPr>
            <w:tcW w:w="3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as at March 31, 2021</w:t>
            </w:r>
          </w:p>
        </w:tc>
        <w:tc>
          <w:tcPr>
            <w:tcW w:w="7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3,201</w:t>
            </w:r>
          </w:p>
        </w:tc>
        <w:tc>
          <w:tcPr>
            <w:tcW w:w="440" w:type="dxa"/>
            <w:vAlign w:val="bottom"/>
          </w:tcPr>
          <w:p>
            <w:pPr>
              <w:spacing w:after="0"/>
              <w:rPr>
                <w:sz w:val="17"/>
                <w:szCs w:val="17"/>
                <w:color w:val="auto"/>
              </w:rPr>
            </w:pPr>
          </w:p>
        </w:tc>
      </w:tr>
      <w:tr>
        <w:trPr>
          <w:trHeight w:val="220"/>
        </w:trPr>
        <w:tc>
          <w:tcPr>
            <w:tcW w:w="3200" w:type="dxa"/>
            <w:vAlign w:val="bottom"/>
          </w:tcPr>
          <w:p>
            <w:pPr>
              <w:spacing w:after="0"/>
              <w:rPr>
                <w:sz w:val="20"/>
                <w:szCs w:val="20"/>
                <w:color w:val="auto"/>
              </w:rPr>
            </w:pPr>
            <w:r>
              <w:rPr>
                <w:rFonts w:ascii="Arial" w:cs="Arial" w:eastAsia="Arial" w:hAnsi="Arial"/>
                <w:sz w:val="16"/>
                <w:szCs w:val="16"/>
                <w:color w:val="auto"/>
              </w:rPr>
              <w:t>Milestone achieved</w:t>
            </w:r>
          </w:p>
        </w:tc>
        <w:tc>
          <w:tcPr>
            <w:tcW w:w="7300" w:type="dxa"/>
            <w:vAlign w:val="bottom"/>
          </w:tcPr>
          <w:p>
            <w:pPr>
              <w:jc w:val="right"/>
              <w:spacing w:after="0"/>
              <w:rPr>
                <w:sz w:val="20"/>
                <w:szCs w:val="20"/>
                <w:color w:val="auto"/>
              </w:rPr>
            </w:pPr>
            <w:r>
              <w:rPr>
                <w:rFonts w:ascii="Arial" w:cs="Arial" w:eastAsia="Arial" w:hAnsi="Arial"/>
                <w:sz w:val="16"/>
                <w:szCs w:val="16"/>
                <w:color w:val="auto"/>
              </w:rPr>
              <w:t>(1,239)</w:t>
            </w:r>
          </w:p>
        </w:tc>
        <w:tc>
          <w:tcPr>
            <w:tcW w:w="440" w:type="dxa"/>
            <w:vAlign w:val="bottom"/>
          </w:tcPr>
          <w:p>
            <w:pPr>
              <w:spacing w:after="0"/>
              <w:rPr>
                <w:sz w:val="19"/>
                <w:szCs w:val="19"/>
                <w:color w:val="auto"/>
              </w:rPr>
            </w:pPr>
          </w:p>
        </w:tc>
      </w:tr>
      <w:tr>
        <w:trPr>
          <w:trHeight w:val="220"/>
        </w:trPr>
        <w:tc>
          <w:tcPr>
            <w:tcW w:w="3200" w:type="dxa"/>
            <w:vAlign w:val="bottom"/>
          </w:tcPr>
          <w:p>
            <w:pPr>
              <w:spacing w:after="0"/>
              <w:rPr>
                <w:sz w:val="20"/>
                <w:szCs w:val="20"/>
                <w:color w:val="auto"/>
              </w:rPr>
            </w:pPr>
            <w:r>
              <w:rPr>
                <w:rFonts w:ascii="Arial" w:cs="Arial" w:eastAsia="Arial" w:hAnsi="Arial"/>
                <w:sz w:val="16"/>
                <w:szCs w:val="16"/>
                <w:color w:val="auto"/>
              </w:rPr>
              <w:t>Change in fair value</w:t>
            </w:r>
          </w:p>
        </w:tc>
        <w:tc>
          <w:tcPr>
            <w:tcW w:w="7300" w:type="dxa"/>
            <w:vAlign w:val="bottom"/>
          </w:tcPr>
          <w:p>
            <w:pPr>
              <w:jc w:val="right"/>
              <w:spacing w:after="0"/>
              <w:rPr>
                <w:sz w:val="20"/>
                <w:szCs w:val="20"/>
                <w:color w:val="auto"/>
              </w:rPr>
            </w:pPr>
            <w:r>
              <w:rPr>
                <w:rFonts w:ascii="Arial" w:cs="Arial" w:eastAsia="Arial" w:hAnsi="Arial"/>
                <w:sz w:val="16"/>
                <w:szCs w:val="16"/>
                <w:color w:val="auto"/>
              </w:rPr>
              <w:t>1,249</w:t>
            </w:r>
          </w:p>
        </w:tc>
        <w:tc>
          <w:tcPr>
            <w:tcW w:w="440" w:type="dxa"/>
            <w:vAlign w:val="bottom"/>
          </w:tcPr>
          <w:p>
            <w:pPr>
              <w:spacing w:after="0"/>
              <w:rPr>
                <w:sz w:val="19"/>
                <w:szCs w:val="19"/>
                <w:color w:val="auto"/>
              </w:rPr>
            </w:pPr>
          </w:p>
        </w:tc>
      </w:tr>
      <w:tr>
        <w:trPr>
          <w:trHeight w:val="227"/>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Accretion expense</w:t>
            </w:r>
          </w:p>
        </w:tc>
        <w:tc>
          <w:tcPr>
            <w:tcW w:w="7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440" w:type="dxa"/>
            <w:vAlign w:val="bottom"/>
          </w:tcPr>
          <w:p>
            <w:pPr>
              <w:spacing w:after="0"/>
              <w:rPr>
                <w:sz w:val="19"/>
                <w:szCs w:val="19"/>
                <w:color w:val="auto"/>
              </w:rPr>
            </w:pPr>
          </w:p>
        </w:tc>
      </w:tr>
      <w:tr>
        <w:trPr>
          <w:trHeight w:val="217"/>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at September 30, 2021</w:t>
            </w:r>
          </w:p>
        </w:tc>
        <w:tc>
          <w:tcPr>
            <w:tcW w:w="7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3,442</w:t>
            </w:r>
          </w:p>
        </w:tc>
        <w:tc>
          <w:tcPr>
            <w:tcW w:w="440" w:type="dxa"/>
            <w:vAlign w:val="bottom"/>
          </w:tcPr>
          <w:p>
            <w:pPr>
              <w:spacing w:after="0"/>
              <w:rPr>
                <w:sz w:val="18"/>
                <w:szCs w:val="18"/>
                <w:color w:val="auto"/>
              </w:rPr>
            </w:pPr>
          </w:p>
        </w:tc>
      </w:tr>
    </w:tbl>
    <w:p>
      <w:pPr>
        <w:spacing w:after="0" w:line="244"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As a result of changes in fair value of the contingent liabilities, during the three and six months ended September 30, 2021, the Company recorded an expense of $637 and $1,249, respectively, in the statement of loss as “Change in fair value of contingent consideration”. In addition, during the three and six-month periods ended September 30, 2021, the Company recorded an accretion expense of $70 and $231, respectively, in the statement of loss as “Contingent liability accretion”.</w:t>
      </w:r>
    </w:p>
    <w:p>
      <w:pPr>
        <w:spacing w:after="0" w:line="124" w:lineRule="exact"/>
        <w:rPr>
          <w:sz w:val="20"/>
          <w:szCs w:val="20"/>
          <w:color w:val="auto"/>
        </w:rPr>
      </w:pPr>
    </w:p>
    <w:p>
      <w:pPr>
        <w:ind w:left="322" w:hanging="322"/>
        <w:spacing w:after="0"/>
        <w:tabs>
          <w:tab w:leader="none" w:pos="322" w:val="left"/>
        </w:tabs>
        <w:numPr>
          <w:ilvl w:val="0"/>
          <w:numId w:val="6"/>
        </w:numPr>
        <w:rPr>
          <w:rFonts w:ascii="Arial" w:cs="Arial" w:eastAsia="Arial" w:hAnsi="Arial"/>
          <w:sz w:val="16"/>
          <w:szCs w:val="16"/>
          <w:b w:val="1"/>
          <w:bCs w:val="1"/>
          <w:color w:val="2D5F91"/>
        </w:rPr>
      </w:pPr>
      <w:r>
        <w:rPr>
          <w:rFonts w:ascii="Arial" w:cs="Arial" w:eastAsia="Arial" w:hAnsi="Arial"/>
          <w:sz w:val="16"/>
          <w:szCs w:val="16"/>
          <w:b w:val="1"/>
          <w:bCs w:val="1"/>
          <w:color w:val="2D5F91"/>
        </w:rPr>
        <w:t>SHARE CAPITAL</w:t>
      </w:r>
    </w:p>
    <w:p>
      <w:pPr>
        <w:spacing w:after="0" w:line="170" w:lineRule="exact"/>
        <w:rPr>
          <w:rFonts w:ascii="Arial" w:cs="Arial" w:eastAsia="Arial" w:hAnsi="Arial"/>
          <w:sz w:val="16"/>
          <w:szCs w:val="16"/>
          <w:b w:val="1"/>
          <w:bCs w:val="1"/>
          <w:color w:val="2D5F91"/>
        </w:rPr>
      </w:pPr>
    </w:p>
    <w:p>
      <w:pPr>
        <w:ind w:left="602" w:hanging="309"/>
        <w:spacing w:after="0"/>
        <w:tabs>
          <w:tab w:leader="none" w:pos="602" w:val="left"/>
        </w:tabs>
        <w:numPr>
          <w:ilvl w:val="1"/>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Authorized share capital</w:t>
      </w:r>
    </w:p>
    <w:p>
      <w:pPr>
        <w:spacing w:after="0" w:line="203"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Unlimited number of Common Shares and an unlimited number of preferred shares without par value. The board of directors of Cybin would determine the designation, rights, privileges, and conditions attached to any preferred shares prior to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11 of 24</w:t>
      </w:r>
    </w:p>
    <w:p>
      <w:pPr>
        <w:sectPr>
          <w:pgSz w:w="11900" w:h="16838" w:orient="portrait"/>
          <w:cols w:equalWidth="0" w:num="1">
            <w:col w:w="11242"/>
          </w:cols>
          <w:pgMar w:left="318" w:top="171"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0" w:hanging="309"/>
        <w:spacing w:after="0"/>
        <w:tabs>
          <w:tab w:leader="none" w:pos="54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Issued share capital</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Common Shares</w:t>
      </w:r>
    </w:p>
    <w:p>
      <w:pPr>
        <w:spacing w:after="0" w:line="187"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On August 3, 2021, Cybin completed a public offering of 10,147,600 Common Shares at a price of $3.40 per Common Share for gross proceeds of $34,502.</w:t>
      </w:r>
    </w:p>
    <w:p>
      <w:pPr>
        <w:spacing w:after="0" w:line="136"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In connection with the public offering, Cybin paid the underwriters a cash commission of $2,240 and issued 658,860 compensation warrants of Cybin, with each compensation warrant being exercisable to acquire one Common Share at a price of $3.40 for a period of 24 months. In addition, the Company incurred additional share issuance costs related to professional fees of $754.</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at September 30, 2021, the Company has 25,091,534 Common Shares held in escrow (March 31, 2021 - 37,637,300).</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Cybin US Class B Shares</w:t>
      </w:r>
    </w:p>
    <w:p>
      <w:pPr>
        <w:spacing w:after="0" w:line="187"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On June 24, 2021 Adelia completed the remaining requirements of the second milestone. Accordingly, 15,777.10 Class B Shares were issued to the Former Adelia Shareholders, amounting to $458. These Class B Shares are exchangeable for a total of 157,771 Common Shares, representing an effective issue price of $2.90 per Common Share.</w:t>
      </w:r>
    </w:p>
    <w:p>
      <w:pPr>
        <w:spacing w:after="0" w:line="156"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August 17, 2021, an additional 18,788.6 Class B Shares were issues to the Former Adelia Shareholders due to the achievement of certain requirements of the third and fourth milestones, amounting to $633. These Class B Shares are exchangeable for a total of 187,886 Common Shares, representing an effective issue price of $3.37 per Common Share.</w:t>
      </w:r>
    </w:p>
    <w:p>
      <w:pPr>
        <w:spacing w:after="0" w:line="144"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On August 31, 2021, the remaining requirements of the third milestone were achieved. Accordingly, 9,392.6 Class B Shares were issued to the Former Adelia Shareholders, amounting to $317. These Class B Shares are exchangeable for a total of 93,926 Common Shares, representing an effective issue price of $3.38 per Common Share.</w:t>
      </w:r>
    </w:p>
    <w:p>
      <w:pPr>
        <w:spacing w:after="0" w:line="144" w:lineRule="exact"/>
        <w:rPr>
          <w:sz w:val="20"/>
          <w:szCs w:val="20"/>
          <w:color w:val="auto"/>
        </w:rPr>
      </w:pPr>
    </w:p>
    <w:p>
      <w:pPr>
        <w:jc w:val="both"/>
        <w:ind w:left="240" w:right="20"/>
        <w:spacing w:after="0" w:line="260" w:lineRule="auto"/>
        <w:rPr>
          <w:sz w:val="20"/>
          <w:szCs w:val="20"/>
          <w:color w:val="auto"/>
        </w:rPr>
      </w:pPr>
      <w:r>
        <w:rPr>
          <w:rFonts w:ascii="Arial" w:cs="Arial" w:eastAsia="Arial" w:hAnsi="Arial"/>
          <w:sz w:val="16"/>
          <w:szCs w:val="16"/>
          <w:color w:val="auto"/>
        </w:rPr>
        <w:t>As at September 30, 2021, 1,006,201.6 Class B Shares were outstanding, which are exchangeable for a total of 10,062,016 Common Shares. No Class B Shares are exchangeable prior to December 14, 2021, and not more than: (i) 33 1/3% of the Class B Shares are to be exchangeable prior to December 14, 2022; (ii) 66 2/3% of the Class B Shares are to be exchangeable prior to December 14, 2023; and (iii) thereafter, 100% of the Class B Shares are to be exchangeable.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12 of 25</w:t>
      </w:r>
    </w:p>
    <w:p>
      <w:pPr>
        <w:sectPr>
          <w:pgSz w:w="11900" w:h="16838" w:orient="portrait"/>
          <w:cols w:equalWidth="0" w:num="1">
            <w:col w:w="11200"/>
          </w:cols>
          <w:pgMar w:left="380" w:top="171" w:right="31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5520" w:type="dxa"/>
            <w:vAlign w:val="bottom"/>
            <w:gridSpan w:val="3"/>
          </w:tcPr>
          <w:p>
            <w:pPr>
              <w:spacing w:after="0"/>
              <w:rPr>
                <w:sz w:val="20"/>
                <w:szCs w:val="20"/>
                <w:color w:val="auto"/>
              </w:rPr>
            </w:pPr>
            <w:r>
              <w:rPr>
                <w:rFonts w:ascii="Arial" w:cs="Arial" w:eastAsia="Arial" w:hAnsi="Arial"/>
                <w:sz w:val="16"/>
                <w:szCs w:val="16"/>
                <w:b w:val="1"/>
                <w:bCs w:val="1"/>
                <w:color w:val="auto"/>
              </w:rPr>
              <w:t>c)  Warrants</w:t>
            </w:r>
          </w:p>
        </w:tc>
        <w:tc>
          <w:tcPr>
            <w:tcW w:w="3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520" w:type="dxa"/>
            <w:vAlign w:val="bottom"/>
            <w:gridSpan w:val="3"/>
          </w:tcPr>
          <w:p>
            <w:pPr>
              <w:spacing w:after="0"/>
              <w:rPr>
                <w:sz w:val="20"/>
                <w:szCs w:val="20"/>
                <w:color w:val="auto"/>
              </w:rPr>
            </w:pPr>
            <w:r>
              <w:rPr>
                <w:rFonts w:ascii="Arial" w:cs="Arial" w:eastAsia="Arial" w:hAnsi="Arial"/>
                <w:sz w:val="16"/>
                <w:szCs w:val="16"/>
                <w:color w:val="auto"/>
              </w:rPr>
              <w:t>The continuity of the outstanding warrants is as follows:</w:t>
            </w:r>
          </w:p>
        </w:tc>
        <w:tc>
          <w:tcPr>
            <w:tcW w:w="3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40" w:type="dxa"/>
            <w:vAlign w:val="bottom"/>
            <w:vMerge w:val="restart"/>
          </w:tcPr>
          <w:p>
            <w:pPr>
              <w:jc w:val="right"/>
              <w:ind w:right="158"/>
              <w:spacing w:after="0"/>
              <w:rPr>
                <w:sz w:val="20"/>
                <w:szCs w:val="20"/>
                <w:color w:val="auto"/>
              </w:rPr>
            </w:pPr>
            <w:r>
              <w:rPr>
                <w:rFonts w:ascii="Arial" w:cs="Arial" w:eastAsia="Arial" w:hAnsi="Arial"/>
                <w:sz w:val="16"/>
                <w:szCs w:val="16"/>
                <w:b w:val="1"/>
                <w:bCs w:val="1"/>
                <w:color w:val="auto"/>
              </w:rPr>
              <w:t>Number of Warrants</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340" w:type="dxa"/>
            <w:vAlign w:val="bottom"/>
            <w:vMerge w:val="continue"/>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16"/>
        </w:trPr>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0"/>
        </w:trPr>
        <w:tc>
          <w:tcPr>
            <w:tcW w:w="5520" w:type="dxa"/>
            <w:vAlign w:val="bottom"/>
            <w:gridSpan w:val="3"/>
          </w:tcPr>
          <w:p>
            <w:pPr>
              <w:ind w:left="60"/>
              <w:spacing w:after="0"/>
              <w:rPr>
                <w:sz w:val="20"/>
                <w:szCs w:val="20"/>
                <w:color w:val="auto"/>
              </w:rPr>
            </w:pPr>
            <w:r>
              <w:rPr>
                <w:rFonts w:ascii="Arial" w:cs="Arial" w:eastAsia="Arial" w:hAnsi="Arial"/>
                <w:sz w:val="16"/>
                <w:szCs w:val="16"/>
                <w:color w:val="auto"/>
              </w:rPr>
              <w:t>As at April 1, 2021</w:t>
            </w:r>
          </w:p>
        </w:tc>
        <w:tc>
          <w:tcPr>
            <w:tcW w:w="3340" w:type="dxa"/>
            <w:vAlign w:val="bottom"/>
          </w:tcPr>
          <w:p>
            <w:pPr>
              <w:jc w:val="right"/>
              <w:ind w:right="158"/>
              <w:spacing w:after="0"/>
              <w:rPr>
                <w:sz w:val="20"/>
                <w:szCs w:val="20"/>
                <w:color w:val="auto"/>
              </w:rPr>
            </w:pPr>
            <w:r>
              <w:rPr>
                <w:rFonts w:ascii="Arial" w:cs="Arial" w:eastAsia="Arial" w:hAnsi="Arial"/>
                <w:sz w:val="16"/>
                <w:szCs w:val="16"/>
                <w:color w:val="auto"/>
              </w:rPr>
              <w:t>29,564,977</w:t>
            </w:r>
          </w:p>
        </w:tc>
        <w:tc>
          <w:tcPr>
            <w:tcW w:w="17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8"/>
        </w:trPr>
        <w:tc>
          <w:tcPr>
            <w:tcW w:w="5520" w:type="dxa"/>
            <w:vAlign w:val="bottom"/>
            <w:gridSpan w:val="3"/>
          </w:tcPr>
          <w:p>
            <w:pPr>
              <w:ind w:left="60"/>
              <w:spacing w:after="0"/>
              <w:rPr>
                <w:sz w:val="20"/>
                <w:szCs w:val="20"/>
                <w:color w:val="auto"/>
              </w:rPr>
            </w:pPr>
            <w:r>
              <w:rPr>
                <w:rFonts w:ascii="Arial" w:cs="Arial" w:eastAsia="Arial" w:hAnsi="Arial"/>
                <w:sz w:val="16"/>
                <w:szCs w:val="16"/>
                <w:color w:val="auto"/>
              </w:rPr>
              <w:t>Issued</w:t>
            </w:r>
          </w:p>
        </w:tc>
        <w:tc>
          <w:tcPr>
            <w:tcW w:w="3340" w:type="dxa"/>
            <w:vAlign w:val="bottom"/>
          </w:tcPr>
          <w:p>
            <w:pPr>
              <w:jc w:val="right"/>
              <w:ind w:right="178"/>
              <w:spacing w:after="0"/>
              <w:rPr>
                <w:sz w:val="20"/>
                <w:szCs w:val="20"/>
                <w:color w:val="auto"/>
              </w:rPr>
            </w:pPr>
            <w:r>
              <w:rPr>
                <w:rFonts w:ascii="Arial" w:cs="Arial" w:eastAsia="Arial" w:hAnsi="Arial"/>
                <w:sz w:val="16"/>
                <w:szCs w:val="16"/>
                <w:color w:val="auto"/>
              </w:rPr>
              <w:t>658,860</w:t>
            </w:r>
          </w:p>
        </w:tc>
        <w:tc>
          <w:tcPr>
            <w:tcW w:w="170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8"/>
        </w:trPr>
        <w:tc>
          <w:tcPr>
            <w:tcW w:w="55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Exercised</w:t>
            </w:r>
          </w:p>
        </w:tc>
        <w:tc>
          <w:tcPr>
            <w:tcW w:w="33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(1,930,176)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1"/>
        </w:trPr>
        <w:tc>
          <w:tcPr>
            <w:tcW w:w="55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Outstanding as at September 30, 2021</w:t>
            </w:r>
          </w:p>
        </w:tc>
        <w:tc>
          <w:tcPr>
            <w:tcW w:w="33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28,293,661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w:t>
            </w:r>
          </w:p>
        </w:tc>
        <w:tc>
          <w:tcPr>
            <w:tcW w:w="0" w:type="dxa"/>
            <w:vAlign w:val="bottom"/>
          </w:tcPr>
          <w:p>
            <w:pPr>
              <w:spacing w:after="0"/>
              <w:rPr>
                <w:sz w:val="1"/>
                <w:szCs w:val="1"/>
                <w:color w:val="auto"/>
              </w:rPr>
            </w:pPr>
          </w:p>
        </w:tc>
      </w:tr>
      <w:tr>
        <w:trPr>
          <w:trHeight w:val="200"/>
        </w:trPr>
        <w:tc>
          <w:tcPr>
            <w:tcW w:w="55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Exercisable as at September 30, 2021</w:t>
            </w:r>
          </w:p>
        </w:tc>
        <w:tc>
          <w:tcPr>
            <w:tcW w:w="33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26,293,661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240"/>
        <w:spacing w:after="0" w:line="270" w:lineRule="auto"/>
        <w:rPr>
          <w:sz w:val="20"/>
          <w:szCs w:val="20"/>
          <w:color w:val="auto"/>
        </w:rPr>
      </w:pPr>
      <w:r>
        <w:rPr>
          <w:rFonts w:ascii="Arial" w:cs="Arial" w:eastAsia="Arial" w:hAnsi="Arial"/>
          <w:sz w:val="16"/>
          <w:szCs w:val="16"/>
          <w:color w:val="auto"/>
        </w:rPr>
        <w:t>During the three and six months ended September 30, 2021, 1,674,145 and 1,930,176 warrants were exercised by various holders for aggregate proceeds to the Company of $2,393 and $2,592 respectively.</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summarizes information about warrants outstanding at September 30, 2021:</w:t>
      </w:r>
    </w:p>
    <w:p>
      <w:pPr>
        <w:spacing w:after="0" w:line="183"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1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2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rPr>
              <w:t>Weighted average</w:t>
            </w:r>
          </w:p>
        </w:tc>
        <w:tc>
          <w:tcPr>
            <w:tcW w:w="14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59"/>
        </w:trPr>
        <w:tc>
          <w:tcPr>
            <w:tcW w:w="14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540" w:type="dxa"/>
            <w:vAlign w:val="bottom"/>
            <w:vMerge w:val="restart"/>
          </w:tcPr>
          <w:p>
            <w:pPr>
              <w:jc w:val="right"/>
              <w:ind w:right="238"/>
              <w:spacing w:after="0"/>
              <w:rPr>
                <w:sz w:val="20"/>
                <w:szCs w:val="20"/>
                <w:color w:val="auto"/>
              </w:rPr>
            </w:pPr>
            <w:r>
              <w:rPr>
                <w:rFonts w:ascii="Arial" w:cs="Arial" w:eastAsia="Arial" w:hAnsi="Arial"/>
                <w:sz w:val="16"/>
                <w:szCs w:val="16"/>
                <w:b w:val="1"/>
                <w:bCs w:val="1"/>
                <w:color w:val="auto"/>
              </w:rPr>
              <w:t>Warrants</w:t>
            </w: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Warrants</w:t>
            </w:r>
          </w:p>
        </w:tc>
        <w:tc>
          <w:tcPr>
            <w:tcW w:w="1620" w:type="dxa"/>
            <w:vAlign w:val="bottom"/>
            <w:vMerge w:val="continue"/>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Estimated grant</w:t>
            </w:r>
          </w:p>
        </w:tc>
        <w:tc>
          <w:tcPr>
            <w:tcW w:w="152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remaining of</w:t>
            </w:r>
          </w:p>
        </w:tc>
        <w:tc>
          <w:tcPr>
            <w:tcW w:w="0" w:type="dxa"/>
            <w:vAlign w:val="bottom"/>
          </w:tcPr>
          <w:p>
            <w:pPr>
              <w:spacing w:after="0"/>
              <w:rPr>
                <w:sz w:val="1"/>
                <w:szCs w:val="1"/>
                <w:color w:val="auto"/>
              </w:rPr>
            </w:pPr>
          </w:p>
        </w:tc>
      </w:tr>
      <w:tr>
        <w:trPr>
          <w:trHeight w:val="159"/>
        </w:trPr>
        <w:tc>
          <w:tcPr>
            <w:tcW w:w="1400" w:type="dxa"/>
            <w:vAlign w:val="bottom"/>
          </w:tcPr>
          <w:p>
            <w:pPr>
              <w:spacing w:after="0"/>
              <w:rPr>
                <w:sz w:val="13"/>
                <w:szCs w:val="13"/>
                <w:color w:val="auto"/>
              </w:rPr>
            </w:pPr>
          </w:p>
        </w:tc>
        <w:tc>
          <w:tcPr>
            <w:tcW w:w="1880" w:type="dxa"/>
            <w:vAlign w:val="bottom"/>
            <w:vMerge w:val="restart"/>
          </w:tcPr>
          <w:p>
            <w:pPr>
              <w:jc w:val="right"/>
              <w:ind w:right="218"/>
              <w:spacing w:after="0"/>
              <w:rPr>
                <w:sz w:val="20"/>
                <w:szCs w:val="20"/>
                <w:color w:val="auto"/>
              </w:rPr>
            </w:pPr>
            <w:r>
              <w:rPr>
                <w:rFonts w:ascii="Arial" w:cs="Arial" w:eastAsia="Arial" w:hAnsi="Arial"/>
                <w:sz w:val="16"/>
                <w:szCs w:val="16"/>
                <w:b w:val="1"/>
                <w:bCs w:val="1"/>
                <w:color w:val="auto"/>
              </w:rPr>
              <w:t>Warrants issued</w:t>
            </w:r>
          </w:p>
        </w:tc>
        <w:tc>
          <w:tcPr>
            <w:tcW w:w="154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620" w:type="dxa"/>
            <w:vAlign w:val="bottom"/>
          </w:tcPr>
          <w:p>
            <w:pPr>
              <w:jc w:val="right"/>
              <w:ind w:right="78"/>
              <w:spacing w:after="0" w:line="159" w:lineRule="exact"/>
              <w:rPr>
                <w:sz w:val="20"/>
                <w:szCs w:val="20"/>
                <w:color w:val="auto"/>
              </w:rPr>
            </w:pPr>
            <w:r>
              <w:rPr>
                <w:rFonts w:ascii="Arial" w:cs="Arial" w:eastAsia="Arial" w:hAnsi="Arial"/>
                <w:sz w:val="16"/>
                <w:szCs w:val="16"/>
                <w:b w:val="1"/>
                <w:bCs w:val="1"/>
                <w:color w:val="auto"/>
              </w:rPr>
              <w:t>of exercisable</w:t>
            </w:r>
          </w:p>
        </w:tc>
        <w:tc>
          <w:tcPr>
            <w:tcW w:w="1440" w:type="dxa"/>
            <w:vAlign w:val="bottom"/>
            <w:vMerge w:val="continue"/>
          </w:tcPr>
          <w:p>
            <w:pPr>
              <w:spacing w:after="0"/>
              <w:rPr>
                <w:sz w:val="13"/>
                <w:szCs w:val="13"/>
                <w:color w:val="auto"/>
              </w:rPr>
            </w:pPr>
          </w:p>
        </w:tc>
        <w:tc>
          <w:tcPr>
            <w:tcW w:w="152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outstanding</w:t>
            </w:r>
          </w:p>
        </w:tc>
        <w:tc>
          <w:tcPr>
            <w:tcW w:w="0" w:type="dxa"/>
            <w:vAlign w:val="bottom"/>
          </w:tcPr>
          <w:p>
            <w:pPr>
              <w:spacing w:after="0"/>
              <w:rPr>
                <w:sz w:val="1"/>
                <w:szCs w:val="1"/>
                <w:color w:val="auto"/>
              </w:rPr>
            </w:pPr>
          </w:p>
        </w:tc>
      </w:tr>
      <w:tr>
        <w:trPr>
          <w:trHeight w:val="208"/>
        </w:trPr>
        <w:tc>
          <w:tcPr>
            <w:tcW w:w="14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outstanding</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exercisable</w:t>
            </w:r>
          </w:p>
        </w:tc>
        <w:tc>
          <w:tcPr>
            <w:tcW w:w="16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price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date fair value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contractual life</w:t>
            </w:r>
          </w:p>
        </w:tc>
        <w:tc>
          <w:tcPr>
            <w:tcW w:w="0" w:type="dxa"/>
            <w:vAlign w:val="bottom"/>
          </w:tcPr>
          <w:p>
            <w:pPr>
              <w:spacing w:after="0"/>
              <w:rPr>
                <w:sz w:val="1"/>
                <w:szCs w:val="1"/>
                <w:color w:val="auto"/>
              </w:rPr>
            </w:pPr>
          </w:p>
        </w:tc>
      </w:tr>
      <w:tr>
        <w:trPr>
          <w:trHeight w:val="200"/>
        </w:trPr>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Expiry date</w:t>
            </w:r>
          </w:p>
        </w:tc>
        <w:tc>
          <w:tcPr>
            <w:tcW w:w="18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199"/>
        </w:trPr>
        <w:tc>
          <w:tcPr>
            <w:tcW w:w="1400" w:type="dxa"/>
            <w:vAlign w:val="bottom"/>
          </w:tcPr>
          <w:p>
            <w:pPr>
              <w:spacing w:after="0"/>
              <w:rPr>
                <w:sz w:val="20"/>
                <w:szCs w:val="20"/>
                <w:color w:val="auto"/>
              </w:rPr>
            </w:pPr>
            <w:r>
              <w:rPr>
                <w:rFonts w:ascii="Arial" w:cs="Arial" w:eastAsia="Arial" w:hAnsi="Arial"/>
                <w:sz w:val="16"/>
                <w:szCs w:val="16"/>
                <w:color w:val="auto"/>
              </w:rPr>
              <w:t>Feb 28, 2022</w:t>
            </w:r>
          </w:p>
        </w:tc>
        <w:tc>
          <w:tcPr>
            <w:tcW w:w="1880" w:type="dxa"/>
            <w:vAlign w:val="bottom"/>
          </w:tcPr>
          <w:p>
            <w:pPr>
              <w:jc w:val="right"/>
              <w:ind w:right="218"/>
              <w:spacing w:after="0"/>
              <w:rPr>
                <w:sz w:val="20"/>
                <w:szCs w:val="20"/>
                <w:color w:val="auto"/>
              </w:rPr>
            </w:pPr>
            <w:r>
              <w:rPr>
                <w:rFonts w:ascii="Arial" w:cs="Arial" w:eastAsia="Arial" w:hAnsi="Arial"/>
                <w:sz w:val="16"/>
                <w:szCs w:val="16"/>
                <w:color w:val="auto"/>
              </w:rPr>
              <w:t>60,000</w:t>
            </w:r>
          </w:p>
        </w:tc>
        <w:tc>
          <w:tcPr>
            <w:tcW w:w="1540" w:type="dxa"/>
            <w:vAlign w:val="bottom"/>
          </w:tcPr>
          <w:p>
            <w:pPr>
              <w:jc w:val="right"/>
              <w:ind w:right="238"/>
              <w:spacing w:after="0"/>
              <w:rPr>
                <w:sz w:val="20"/>
                <w:szCs w:val="20"/>
                <w:color w:val="auto"/>
              </w:rPr>
            </w:pPr>
            <w:r>
              <w:rPr>
                <w:rFonts w:ascii="Arial" w:cs="Arial" w:eastAsia="Arial" w:hAnsi="Arial"/>
                <w:sz w:val="16"/>
                <w:szCs w:val="16"/>
                <w:color w:val="auto"/>
              </w:rPr>
              <w:t>5,500</w:t>
            </w:r>
          </w:p>
        </w:tc>
        <w:tc>
          <w:tcPr>
            <w:tcW w:w="1280" w:type="dxa"/>
            <w:vAlign w:val="bottom"/>
          </w:tcPr>
          <w:p>
            <w:pPr>
              <w:jc w:val="right"/>
              <w:spacing w:after="0"/>
              <w:rPr>
                <w:sz w:val="20"/>
                <w:szCs w:val="20"/>
                <w:color w:val="auto"/>
              </w:rPr>
            </w:pPr>
            <w:r>
              <w:rPr>
                <w:rFonts w:ascii="Arial" w:cs="Arial" w:eastAsia="Arial" w:hAnsi="Arial"/>
                <w:sz w:val="16"/>
                <w:szCs w:val="16"/>
                <w:color w:val="auto"/>
              </w:rPr>
              <w:t>5,500</w:t>
            </w:r>
          </w:p>
        </w:tc>
        <w:tc>
          <w:tcPr>
            <w:tcW w:w="1620" w:type="dxa"/>
            <w:vAlign w:val="bottom"/>
          </w:tcPr>
          <w:p>
            <w:pPr>
              <w:jc w:val="right"/>
              <w:ind w:right="78"/>
              <w:spacing w:after="0"/>
              <w:rPr>
                <w:sz w:val="20"/>
                <w:szCs w:val="20"/>
                <w:color w:val="auto"/>
              </w:rPr>
            </w:pPr>
            <w:r>
              <w:rPr>
                <w:rFonts w:ascii="Arial" w:cs="Arial" w:eastAsia="Arial" w:hAnsi="Arial"/>
                <w:sz w:val="16"/>
                <w:szCs w:val="16"/>
                <w:color w:val="auto"/>
              </w:rPr>
              <w:t>0.25</w:t>
            </w: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520" w:type="dxa"/>
            <w:vAlign w:val="bottom"/>
          </w:tcPr>
          <w:p>
            <w:pPr>
              <w:jc w:val="right"/>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08"/>
        </w:trPr>
        <w:tc>
          <w:tcPr>
            <w:tcW w:w="1400" w:type="dxa"/>
            <w:vAlign w:val="bottom"/>
          </w:tcPr>
          <w:p>
            <w:pPr>
              <w:spacing w:after="0"/>
              <w:rPr>
                <w:sz w:val="20"/>
                <w:szCs w:val="20"/>
                <w:color w:val="auto"/>
              </w:rPr>
            </w:pPr>
            <w:r>
              <w:rPr>
                <w:rFonts w:ascii="Arial" w:cs="Arial" w:eastAsia="Arial" w:hAnsi="Arial"/>
                <w:sz w:val="16"/>
                <w:szCs w:val="16"/>
                <w:color w:val="auto"/>
              </w:rPr>
              <w:t>Jun 15, 2022</w:t>
            </w:r>
          </w:p>
        </w:tc>
        <w:tc>
          <w:tcPr>
            <w:tcW w:w="1880" w:type="dxa"/>
            <w:vAlign w:val="bottom"/>
          </w:tcPr>
          <w:p>
            <w:pPr>
              <w:jc w:val="right"/>
              <w:ind w:right="218"/>
              <w:spacing w:after="0"/>
              <w:rPr>
                <w:sz w:val="20"/>
                <w:szCs w:val="20"/>
                <w:color w:val="auto"/>
              </w:rPr>
            </w:pPr>
            <w:r>
              <w:rPr>
                <w:rFonts w:ascii="Arial" w:cs="Arial" w:eastAsia="Arial" w:hAnsi="Arial"/>
                <w:sz w:val="16"/>
                <w:szCs w:val="16"/>
                <w:color w:val="auto"/>
              </w:rPr>
              <w:t>2,018,000</w:t>
            </w:r>
          </w:p>
        </w:tc>
        <w:tc>
          <w:tcPr>
            <w:tcW w:w="1540" w:type="dxa"/>
            <w:vAlign w:val="bottom"/>
          </w:tcPr>
          <w:p>
            <w:pPr>
              <w:jc w:val="right"/>
              <w:ind w:right="238"/>
              <w:spacing w:after="0"/>
              <w:rPr>
                <w:sz w:val="20"/>
                <w:szCs w:val="20"/>
                <w:color w:val="auto"/>
              </w:rPr>
            </w:pPr>
            <w:r>
              <w:rPr>
                <w:rFonts w:ascii="Arial" w:cs="Arial" w:eastAsia="Arial" w:hAnsi="Arial"/>
                <w:sz w:val="16"/>
                <w:szCs w:val="16"/>
                <w:color w:val="auto"/>
              </w:rPr>
              <w:t>2,018,000</w:t>
            </w:r>
          </w:p>
        </w:tc>
        <w:tc>
          <w:tcPr>
            <w:tcW w:w="1280" w:type="dxa"/>
            <w:vAlign w:val="bottom"/>
          </w:tcPr>
          <w:p>
            <w:pPr>
              <w:jc w:val="right"/>
              <w:spacing w:after="0"/>
              <w:rPr>
                <w:sz w:val="20"/>
                <w:szCs w:val="20"/>
                <w:color w:val="auto"/>
              </w:rPr>
            </w:pPr>
            <w:r>
              <w:rPr>
                <w:rFonts w:ascii="Arial" w:cs="Arial" w:eastAsia="Arial" w:hAnsi="Arial"/>
                <w:sz w:val="16"/>
                <w:szCs w:val="16"/>
                <w:color w:val="auto"/>
              </w:rPr>
              <w:t>1,018,000</w:t>
            </w:r>
          </w:p>
        </w:tc>
        <w:tc>
          <w:tcPr>
            <w:tcW w:w="1620" w:type="dxa"/>
            <w:vAlign w:val="bottom"/>
          </w:tcPr>
          <w:p>
            <w:pPr>
              <w:jc w:val="right"/>
              <w:ind w:right="78"/>
              <w:spacing w:after="0"/>
              <w:rPr>
                <w:sz w:val="20"/>
                <w:szCs w:val="20"/>
                <w:color w:val="auto"/>
              </w:rPr>
            </w:pPr>
            <w:r>
              <w:rPr>
                <w:rFonts w:ascii="Arial" w:cs="Arial" w:eastAsia="Arial" w:hAnsi="Arial"/>
                <w:sz w:val="16"/>
                <w:szCs w:val="16"/>
                <w:color w:val="auto"/>
              </w:rPr>
              <w:t>0.25</w:t>
            </w:r>
          </w:p>
        </w:tc>
        <w:tc>
          <w:tcPr>
            <w:tcW w:w="1440" w:type="dxa"/>
            <w:vAlign w:val="bottom"/>
          </w:tcPr>
          <w:p>
            <w:pPr>
              <w:jc w:val="right"/>
              <w:spacing w:after="0"/>
              <w:rPr>
                <w:sz w:val="20"/>
                <w:szCs w:val="20"/>
                <w:color w:val="auto"/>
              </w:rPr>
            </w:pPr>
            <w:r>
              <w:rPr>
                <w:rFonts w:ascii="Arial" w:cs="Arial" w:eastAsia="Arial" w:hAnsi="Arial"/>
                <w:sz w:val="16"/>
                <w:szCs w:val="16"/>
                <w:color w:val="auto"/>
              </w:rPr>
              <w:t>190</w:t>
            </w:r>
          </w:p>
        </w:tc>
        <w:tc>
          <w:tcPr>
            <w:tcW w:w="1520" w:type="dxa"/>
            <w:vAlign w:val="bottom"/>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08"/>
        </w:trPr>
        <w:tc>
          <w:tcPr>
            <w:tcW w:w="1400" w:type="dxa"/>
            <w:vAlign w:val="bottom"/>
          </w:tcPr>
          <w:p>
            <w:pPr>
              <w:spacing w:after="0"/>
              <w:rPr>
                <w:sz w:val="20"/>
                <w:szCs w:val="20"/>
                <w:color w:val="auto"/>
              </w:rPr>
            </w:pPr>
            <w:r>
              <w:rPr>
                <w:rFonts w:ascii="Arial" w:cs="Arial" w:eastAsia="Arial" w:hAnsi="Arial"/>
                <w:sz w:val="16"/>
                <w:szCs w:val="16"/>
                <w:color w:val="auto"/>
              </w:rPr>
              <w:t>Jun 16, 2022</w:t>
            </w:r>
          </w:p>
        </w:tc>
        <w:tc>
          <w:tcPr>
            <w:tcW w:w="1880" w:type="dxa"/>
            <w:vAlign w:val="bottom"/>
          </w:tcPr>
          <w:p>
            <w:pPr>
              <w:jc w:val="right"/>
              <w:ind w:right="218"/>
              <w:spacing w:after="0"/>
              <w:rPr>
                <w:sz w:val="20"/>
                <w:szCs w:val="20"/>
                <w:color w:val="auto"/>
              </w:rPr>
            </w:pPr>
            <w:r>
              <w:rPr>
                <w:rFonts w:ascii="Arial" w:cs="Arial" w:eastAsia="Arial" w:hAnsi="Arial"/>
                <w:sz w:val="16"/>
                <w:szCs w:val="16"/>
                <w:color w:val="auto"/>
              </w:rPr>
              <w:t>96,034</w:t>
            </w:r>
          </w:p>
        </w:tc>
        <w:tc>
          <w:tcPr>
            <w:tcW w:w="1540" w:type="dxa"/>
            <w:vAlign w:val="bottom"/>
          </w:tcPr>
          <w:p>
            <w:pPr>
              <w:jc w:val="right"/>
              <w:ind w:right="238"/>
              <w:spacing w:after="0"/>
              <w:rPr>
                <w:sz w:val="20"/>
                <w:szCs w:val="20"/>
                <w:color w:val="auto"/>
              </w:rPr>
            </w:pPr>
            <w:r>
              <w:rPr>
                <w:rFonts w:ascii="Arial" w:cs="Arial" w:eastAsia="Arial" w:hAnsi="Arial"/>
                <w:sz w:val="16"/>
                <w:szCs w:val="16"/>
                <w:color w:val="auto"/>
              </w:rPr>
              <w:t>27,585</w:t>
            </w:r>
          </w:p>
        </w:tc>
        <w:tc>
          <w:tcPr>
            <w:tcW w:w="1280" w:type="dxa"/>
            <w:vAlign w:val="bottom"/>
          </w:tcPr>
          <w:p>
            <w:pPr>
              <w:jc w:val="right"/>
              <w:spacing w:after="0"/>
              <w:rPr>
                <w:sz w:val="20"/>
                <w:szCs w:val="20"/>
                <w:color w:val="auto"/>
              </w:rPr>
            </w:pPr>
            <w:r>
              <w:rPr>
                <w:rFonts w:ascii="Arial" w:cs="Arial" w:eastAsia="Arial" w:hAnsi="Arial"/>
                <w:sz w:val="16"/>
                <w:szCs w:val="16"/>
                <w:color w:val="auto"/>
              </w:rPr>
              <w:t>27,585</w:t>
            </w:r>
          </w:p>
        </w:tc>
        <w:tc>
          <w:tcPr>
            <w:tcW w:w="1620" w:type="dxa"/>
            <w:vAlign w:val="bottom"/>
          </w:tcPr>
          <w:p>
            <w:pPr>
              <w:jc w:val="right"/>
              <w:ind w:right="78"/>
              <w:spacing w:after="0"/>
              <w:rPr>
                <w:sz w:val="20"/>
                <w:szCs w:val="20"/>
                <w:color w:val="auto"/>
              </w:rPr>
            </w:pPr>
            <w:r>
              <w:rPr>
                <w:rFonts w:ascii="Arial" w:cs="Arial" w:eastAsia="Arial" w:hAnsi="Arial"/>
                <w:sz w:val="16"/>
                <w:szCs w:val="16"/>
                <w:color w:val="auto"/>
              </w:rPr>
              <w:t>0.64</w:t>
            </w: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c>
          <w:tcPr>
            <w:tcW w:w="1520" w:type="dxa"/>
            <w:vAlign w:val="bottom"/>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08"/>
        </w:trPr>
        <w:tc>
          <w:tcPr>
            <w:tcW w:w="1400" w:type="dxa"/>
            <w:vAlign w:val="bottom"/>
          </w:tcPr>
          <w:p>
            <w:pPr>
              <w:spacing w:after="0"/>
              <w:rPr>
                <w:sz w:val="20"/>
                <w:szCs w:val="20"/>
                <w:color w:val="auto"/>
              </w:rPr>
            </w:pPr>
            <w:r>
              <w:rPr>
                <w:rFonts w:ascii="Arial" w:cs="Arial" w:eastAsia="Arial" w:hAnsi="Arial"/>
                <w:sz w:val="16"/>
                <w:szCs w:val="16"/>
                <w:color w:val="auto"/>
              </w:rPr>
              <w:t>Jun 26, 2022</w:t>
            </w:r>
          </w:p>
        </w:tc>
        <w:tc>
          <w:tcPr>
            <w:tcW w:w="1880" w:type="dxa"/>
            <w:vAlign w:val="bottom"/>
          </w:tcPr>
          <w:p>
            <w:pPr>
              <w:jc w:val="right"/>
              <w:ind w:right="218"/>
              <w:spacing w:after="0"/>
              <w:rPr>
                <w:sz w:val="20"/>
                <w:szCs w:val="20"/>
                <w:color w:val="auto"/>
              </w:rPr>
            </w:pPr>
            <w:r>
              <w:rPr>
                <w:rFonts w:ascii="Arial" w:cs="Arial" w:eastAsia="Arial" w:hAnsi="Arial"/>
                <w:sz w:val="16"/>
                <w:szCs w:val="16"/>
                <w:color w:val="auto"/>
              </w:rPr>
              <w:t>199,275</w:t>
            </w:r>
          </w:p>
        </w:tc>
        <w:tc>
          <w:tcPr>
            <w:tcW w:w="1540" w:type="dxa"/>
            <w:vAlign w:val="bottom"/>
          </w:tcPr>
          <w:p>
            <w:pPr>
              <w:jc w:val="right"/>
              <w:ind w:right="238"/>
              <w:spacing w:after="0"/>
              <w:rPr>
                <w:sz w:val="20"/>
                <w:szCs w:val="20"/>
                <w:color w:val="auto"/>
              </w:rPr>
            </w:pPr>
            <w:r>
              <w:rPr>
                <w:rFonts w:ascii="Arial" w:cs="Arial" w:eastAsia="Arial" w:hAnsi="Arial"/>
                <w:sz w:val="16"/>
                <w:szCs w:val="16"/>
                <w:color w:val="auto"/>
              </w:rPr>
              <w:t>99,638</w:t>
            </w:r>
          </w:p>
        </w:tc>
        <w:tc>
          <w:tcPr>
            <w:tcW w:w="1280" w:type="dxa"/>
            <w:vAlign w:val="bottom"/>
          </w:tcPr>
          <w:p>
            <w:pPr>
              <w:jc w:val="right"/>
              <w:spacing w:after="0"/>
              <w:rPr>
                <w:sz w:val="20"/>
                <w:szCs w:val="20"/>
                <w:color w:val="auto"/>
              </w:rPr>
            </w:pPr>
            <w:r>
              <w:rPr>
                <w:rFonts w:ascii="Arial" w:cs="Arial" w:eastAsia="Arial" w:hAnsi="Arial"/>
                <w:sz w:val="16"/>
                <w:szCs w:val="16"/>
                <w:color w:val="auto"/>
              </w:rPr>
              <w:t>99,638</w:t>
            </w:r>
          </w:p>
        </w:tc>
        <w:tc>
          <w:tcPr>
            <w:tcW w:w="1620" w:type="dxa"/>
            <w:vAlign w:val="bottom"/>
          </w:tcPr>
          <w:p>
            <w:pPr>
              <w:jc w:val="right"/>
              <w:ind w:right="78"/>
              <w:spacing w:after="0"/>
              <w:rPr>
                <w:sz w:val="20"/>
                <w:szCs w:val="20"/>
                <w:color w:val="auto"/>
              </w:rPr>
            </w:pPr>
            <w:r>
              <w:rPr>
                <w:rFonts w:ascii="Arial" w:cs="Arial" w:eastAsia="Arial" w:hAnsi="Arial"/>
                <w:sz w:val="16"/>
                <w:szCs w:val="16"/>
                <w:color w:val="auto"/>
              </w:rPr>
              <w:t>0.64</w:t>
            </w:r>
          </w:p>
        </w:tc>
        <w:tc>
          <w:tcPr>
            <w:tcW w:w="1440" w:type="dxa"/>
            <w:vAlign w:val="bottom"/>
          </w:tcPr>
          <w:p>
            <w:pPr>
              <w:jc w:val="right"/>
              <w:spacing w:after="0"/>
              <w:rPr>
                <w:sz w:val="20"/>
                <w:szCs w:val="20"/>
                <w:color w:val="auto"/>
              </w:rPr>
            </w:pPr>
            <w:r>
              <w:rPr>
                <w:rFonts w:ascii="Arial" w:cs="Arial" w:eastAsia="Arial" w:hAnsi="Arial"/>
                <w:sz w:val="16"/>
                <w:szCs w:val="16"/>
                <w:color w:val="auto"/>
              </w:rPr>
              <w:t>29</w:t>
            </w:r>
          </w:p>
        </w:tc>
        <w:tc>
          <w:tcPr>
            <w:tcW w:w="1520" w:type="dxa"/>
            <w:vAlign w:val="bottom"/>
          </w:tcPr>
          <w:p>
            <w:pPr>
              <w:jc w:val="right"/>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08"/>
        </w:trPr>
        <w:tc>
          <w:tcPr>
            <w:tcW w:w="1400" w:type="dxa"/>
            <w:vAlign w:val="bottom"/>
          </w:tcPr>
          <w:p>
            <w:pPr>
              <w:spacing w:after="0"/>
              <w:rPr>
                <w:sz w:val="20"/>
                <w:szCs w:val="20"/>
                <w:color w:val="auto"/>
              </w:rPr>
            </w:pPr>
            <w:r>
              <w:rPr>
                <w:rFonts w:ascii="Arial" w:cs="Arial" w:eastAsia="Arial" w:hAnsi="Arial"/>
                <w:sz w:val="16"/>
                <w:szCs w:val="16"/>
                <w:color w:val="auto"/>
              </w:rPr>
              <w:t>Oct 19, 2022</w:t>
            </w:r>
          </w:p>
        </w:tc>
        <w:tc>
          <w:tcPr>
            <w:tcW w:w="1880" w:type="dxa"/>
            <w:vAlign w:val="bottom"/>
          </w:tcPr>
          <w:p>
            <w:pPr>
              <w:jc w:val="right"/>
              <w:ind w:right="218"/>
              <w:spacing w:after="0"/>
              <w:rPr>
                <w:sz w:val="20"/>
                <w:szCs w:val="20"/>
                <w:color w:val="auto"/>
              </w:rPr>
            </w:pPr>
            <w:r>
              <w:rPr>
                <w:rFonts w:ascii="Arial" w:cs="Arial" w:eastAsia="Arial" w:hAnsi="Arial"/>
                <w:sz w:val="16"/>
                <w:szCs w:val="16"/>
                <w:color w:val="auto"/>
              </w:rPr>
              <w:t>143,600</w:t>
            </w:r>
          </w:p>
        </w:tc>
        <w:tc>
          <w:tcPr>
            <w:tcW w:w="1540" w:type="dxa"/>
            <w:vAlign w:val="bottom"/>
          </w:tcPr>
          <w:p>
            <w:pPr>
              <w:jc w:val="right"/>
              <w:ind w:right="238"/>
              <w:spacing w:after="0"/>
              <w:rPr>
                <w:sz w:val="20"/>
                <w:szCs w:val="20"/>
                <w:color w:val="auto"/>
              </w:rPr>
            </w:pPr>
            <w:r>
              <w:rPr>
                <w:rFonts w:ascii="Arial" w:cs="Arial" w:eastAsia="Arial" w:hAnsi="Arial"/>
                <w:sz w:val="16"/>
                <w:szCs w:val="16"/>
                <w:color w:val="auto"/>
              </w:rPr>
              <w:t>113,713</w:t>
            </w:r>
          </w:p>
        </w:tc>
        <w:tc>
          <w:tcPr>
            <w:tcW w:w="1280" w:type="dxa"/>
            <w:vAlign w:val="bottom"/>
          </w:tcPr>
          <w:p>
            <w:pPr>
              <w:jc w:val="right"/>
              <w:spacing w:after="0"/>
              <w:rPr>
                <w:sz w:val="20"/>
                <w:szCs w:val="20"/>
                <w:color w:val="auto"/>
              </w:rPr>
            </w:pPr>
            <w:r>
              <w:rPr>
                <w:rFonts w:ascii="Arial" w:cs="Arial" w:eastAsia="Arial" w:hAnsi="Arial"/>
                <w:sz w:val="16"/>
                <w:szCs w:val="16"/>
                <w:color w:val="auto"/>
              </w:rPr>
              <w:t>113,713</w:t>
            </w:r>
          </w:p>
        </w:tc>
        <w:tc>
          <w:tcPr>
            <w:tcW w:w="1620" w:type="dxa"/>
            <w:vAlign w:val="bottom"/>
          </w:tcPr>
          <w:p>
            <w:pPr>
              <w:jc w:val="right"/>
              <w:ind w:right="78"/>
              <w:spacing w:after="0"/>
              <w:rPr>
                <w:sz w:val="20"/>
                <w:szCs w:val="20"/>
                <w:color w:val="auto"/>
              </w:rPr>
            </w:pPr>
            <w:r>
              <w:rPr>
                <w:rFonts w:ascii="Arial" w:cs="Arial" w:eastAsia="Arial" w:hAnsi="Arial"/>
                <w:sz w:val="16"/>
                <w:szCs w:val="16"/>
                <w:color w:val="auto"/>
              </w:rPr>
              <w:t>0.75</w:t>
            </w:r>
          </w:p>
        </w:tc>
        <w:tc>
          <w:tcPr>
            <w:tcW w:w="1440" w:type="dxa"/>
            <w:vAlign w:val="bottom"/>
          </w:tcPr>
          <w:p>
            <w:pPr>
              <w:jc w:val="right"/>
              <w:spacing w:after="0"/>
              <w:rPr>
                <w:sz w:val="20"/>
                <w:szCs w:val="20"/>
                <w:color w:val="auto"/>
              </w:rPr>
            </w:pPr>
            <w:r>
              <w:rPr>
                <w:rFonts w:ascii="Arial" w:cs="Arial" w:eastAsia="Arial" w:hAnsi="Arial"/>
                <w:sz w:val="16"/>
                <w:szCs w:val="16"/>
                <w:color w:val="auto"/>
              </w:rPr>
              <w:t>42</w:t>
            </w:r>
          </w:p>
        </w:tc>
        <w:tc>
          <w:tcPr>
            <w:tcW w:w="152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8"/>
        </w:trPr>
        <w:tc>
          <w:tcPr>
            <w:tcW w:w="1400" w:type="dxa"/>
            <w:vAlign w:val="bottom"/>
          </w:tcPr>
          <w:p>
            <w:pPr>
              <w:spacing w:after="0"/>
              <w:rPr>
                <w:sz w:val="20"/>
                <w:szCs w:val="20"/>
                <w:color w:val="auto"/>
              </w:rPr>
            </w:pPr>
            <w:r>
              <w:rPr>
                <w:rFonts w:ascii="Arial" w:cs="Arial" w:eastAsia="Arial" w:hAnsi="Arial"/>
                <w:sz w:val="16"/>
                <w:szCs w:val="16"/>
                <w:color w:val="auto"/>
              </w:rPr>
              <w:t>Nov 03, 2022</w:t>
            </w:r>
          </w:p>
        </w:tc>
        <w:tc>
          <w:tcPr>
            <w:tcW w:w="1880" w:type="dxa"/>
            <w:vAlign w:val="bottom"/>
          </w:tcPr>
          <w:p>
            <w:pPr>
              <w:jc w:val="right"/>
              <w:ind w:right="218"/>
              <w:spacing w:after="0"/>
              <w:rPr>
                <w:sz w:val="20"/>
                <w:szCs w:val="20"/>
                <w:color w:val="auto"/>
              </w:rPr>
            </w:pPr>
            <w:r>
              <w:rPr>
                <w:rFonts w:ascii="Arial" w:cs="Arial" w:eastAsia="Arial" w:hAnsi="Arial"/>
                <w:sz w:val="16"/>
                <w:szCs w:val="16"/>
                <w:color w:val="auto"/>
              </w:rPr>
              <w:t>2,590,000</w:t>
            </w:r>
          </w:p>
        </w:tc>
        <w:tc>
          <w:tcPr>
            <w:tcW w:w="1540" w:type="dxa"/>
            <w:vAlign w:val="bottom"/>
          </w:tcPr>
          <w:p>
            <w:pPr>
              <w:jc w:val="right"/>
              <w:ind w:right="238"/>
              <w:spacing w:after="0"/>
              <w:rPr>
                <w:sz w:val="20"/>
                <w:szCs w:val="20"/>
                <w:color w:val="auto"/>
              </w:rPr>
            </w:pPr>
            <w:r>
              <w:rPr>
                <w:rFonts w:ascii="Arial" w:cs="Arial" w:eastAsia="Arial" w:hAnsi="Arial"/>
                <w:sz w:val="16"/>
                <w:szCs w:val="16"/>
                <w:color w:val="auto"/>
              </w:rPr>
              <w:t>1,105,000</w:t>
            </w:r>
          </w:p>
        </w:tc>
        <w:tc>
          <w:tcPr>
            <w:tcW w:w="1280" w:type="dxa"/>
            <w:vAlign w:val="bottom"/>
          </w:tcPr>
          <w:p>
            <w:pPr>
              <w:jc w:val="right"/>
              <w:spacing w:after="0"/>
              <w:rPr>
                <w:sz w:val="20"/>
                <w:szCs w:val="20"/>
                <w:color w:val="auto"/>
              </w:rPr>
            </w:pPr>
            <w:r>
              <w:rPr>
                <w:rFonts w:ascii="Arial" w:cs="Arial" w:eastAsia="Arial" w:hAnsi="Arial"/>
                <w:sz w:val="16"/>
                <w:szCs w:val="16"/>
                <w:color w:val="auto"/>
              </w:rPr>
              <w:t>1,105,000</w:t>
            </w:r>
          </w:p>
        </w:tc>
        <w:tc>
          <w:tcPr>
            <w:tcW w:w="1620" w:type="dxa"/>
            <w:vAlign w:val="bottom"/>
          </w:tcPr>
          <w:p>
            <w:pPr>
              <w:jc w:val="right"/>
              <w:ind w:right="78"/>
              <w:spacing w:after="0"/>
              <w:rPr>
                <w:sz w:val="20"/>
                <w:szCs w:val="20"/>
                <w:color w:val="auto"/>
              </w:rPr>
            </w:pPr>
            <w:r>
              <w:rPr>
                <w:rFonts w:ascii="Arial" w:cs="Arial" w:eastAsia="Arial" w:hAnsi="Arial"/>
                <w:sz w:val="16"/>
                <w:szCs w:val="16"/>
                <w:color w:val="auto"/>
              </w:rPr>
              <w:t>0.75</w:t>
            </w:r>
          </w:p>
        </w:tc>
        <w:tc>
          <w:tcPr>
            <w:tcW w:w="1440" w:type="dxa"/>
            <w:vAlign w:val="bottom"/>
          </w:tcPr>
          <w:p>
            <w:pPr>
              <w:jc w:val="right"/>
              <w:spacing w:after="0"/>
              <w:rPr>
                <w:sz w:val="20"/>
                <w:szCs w:val="20"/>
                <w:color w:val="auto"/>
              </w:rPr>
            </w:pPr>
            <w:r>
              <w:rPr>
                <w:rFonts w:ascii="Arial" w:cs="Arial" w:eastAsia="Arial" w:hAnsi="Arial"/>
                <w:sz w:val="16"/>
                <w:szCs w:val="16"/>
                <w:color w:val="auto"/>
              </w:rPr>
              <w:t>376</w:t>
            </w:r>
          </w:p>
        </w:tc>
        <w:tc>
          <w:tcPr>
            <w:tcW w:w="152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8"/>
        </w:trPr>
        <w:tc>
          <w:tcPr>
            <w:tcW w:w="1400" w:type="dxa"/>
            <w:vAlign w:val="bottom"/>
          </w:tcPr>
          <w:p>
            <w:pPr>
              <w:spacing w:after="0"/>
              <w:rPr>
                <w:sz w:val="20"/>
                <w:szCs w:val="20"/>
                <w:color w:val="auto"/>
              </w:rPr>
            </w:pPr>
            <w:r>
              <w:rPr>
                <w:rFonts w:ascii="Arial" w:cs="Arial" w:eastAsia="Arial" w:hAnsi="Arial"/>
                <w:sz w:val="16"/>
                <w:szCs w:val="16"/>
                <w:color w:val="auto"/>
              </w:rPr>
              <w:t>Aug 03, 2023</w:t>
            </w:r>
          </w:p>
        </w:tc>
        <w:tc>
          <w:tcPr>
            <w:tcW w:w="1880" w:type="dxa"/>
            <w:vAlign w:val="bottom"/>
          </w:tcPr>
          <w:p>
            <w:pPr>
              <w:jc w:val="right"/>
              <w:ind w:right="218"/>
              <w:spacing w:after="0"/>
              <w:rPr>
                <w:sz w:val="20"/>
                <w:szCs w:val="20"/>
                <w:color w:val="auto"/>
              </w:rPr>
            </w:pPr>
            <w:r>
              <w:rPr>
                <w:rFonts w:ascii="Arial" w:cs="Arial" w:eastAsia="Arial" w:hAnsi="Arial"/>
                <w:sz w:val="16"/>
                <w:szCs w:val="16"/>
                <w:color w:val="auto"/>
              </w:rPr>
              <w:t>658,860</w:t>
            </w:r>
          </w:p>
        </w:tc>
        <w:tc>
          <w:tcPr>
            <w:tcW w:w="1540" w:type="dxa"/>
            <w:vAlign w:val="bottom"/>
          </w:tcPr>
          <w:p>
            <w:pPr>
              <w:jc w:val="right"/>
              <w:ind w:right="238"/>
              <w:spacing w:after="0"/>
              <w:rPr>
                <w:sz w:val="20"/>
                <w:szCs w:val="20"/>
                <w:color w:val="auto"/>
              </w:rPr>
            </w:pPr>
            <w:r>
              <w:rPr>
                <w:rFonts w:ascii="Arial" w:cs="Arial" w:eastAsia="Arial" w:hAnsi="Arial"/>
                <w:sz w:val="16"/>
                <w:szCs w:val="16"/>
                <w:color w:val="auto"/>
              </w:rPr>
              <w:t>658,860</w:t>
            </w:r>
          </w:p>
        </w:tc>
        <w:tc>
          <w:tcPr>
            <w:tcW w:w="1280" w:type="dxa"/>
            <w:vAlign w:val="bottom"/>
          </w:tcPr>
          <w:p>
            <w:pPr>
              <w:jc w:val="right"/>
              <w:spacing w:after="0"/>
              <w:rPr>
                <w:sz w:val="20"/>
                <w:szCs w:val="20"/>
                <w:color w:val="auto"/>
              </w:rPr>
            </w:pPr>
            <w:r>
              <w:rPr>
                <w:rFonts w:ascii="Arial" w:cs="Arial" w:eastAsia="Arial" w:hAnsi="Arial"/>
                <w:sz w:val="16"/>
                <w:szCs w:val="16"/>
                <w:color w:val="auto"/>
              </w:rPr>
              <w:t>658,860</w:t>
            </w:r>
          </w:p>
        </w:tc>
        <w:tc>
          <w:tcPr>
            <w:tcW w:w="1620" w:type="dxa"/>
            <w:vAlign w:val="bottom"/>
          </w:tcPr>
          <w:p>
            <w:pPr>
              <w:jc w:val="right"/>
              <w:ind w:right="78"/>
              <w:spacing w:after="0"/>
              <w:rPr>
                <w:sz w:val="20"/>
                <w:szCs w:val="20"/>
                <w:color w:val="auto"/>
              </w:rPr>
            </w:pPr>
            <w:r>
              <w:rPr>
                <w:rFonts w:ascii="Arial" w:cs="Arial" w:eastAsia="Arial" w:hAnsi="Arial"/>
                <w:sz w:val="16"/>
                <w:szCs w:val="16"/>
                <w:color w:val="auto"/>
              </w:rPr>
              <w:t>3.40</w:t>
            </w:r>
          </w:p>
        </w:tc>
        <w:tc>
          <w:tcPr>
            <w:tcW w:w="1440" w:type="dxa"/>
            <w:vAlign w:val="bottom"/>
          </w:tcPr>
          <w:p>
            <w:pPr>
              <w:jc w:val="right"/>
              <w:spacing w:after="0"/>
              <w:rPr>
                <w:sz w:val="20"/>
                <w:szCs w:val="20"/>
                <w:color w:val="auto"/>
              </w:rPr>
            </w:pPr>
            <w:r>
              <w:rPr>
                <w:rFonts w:ascii="Arial" w:cs="Arial" w:eastAsia="Arial" w:hAnsi="Arial"/>
                <w:sz w:val="16"/>
                <w:szCs w:val="16"/>
                <w:color w:val="auto"/>
              </w:rPr>
              <w:t>1,229</w:t>
            </w:r>
          </w:p>
        </w:tc>
        <w:tc>
          <w:tcPr>
            <w:tcW w:w="152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8"/>
        </w:trPr>
        <w:tc>
          <w:tcPr>
            <w:tcW w:w="1400" w:type="dxa"/>
            <w:vAlign w:val="bottom"/>
          </w:tcPr>
          <w:p>
            <w:pPr>
              <w:spacing w:after="0"/>
              <w:rPr>
                <w:sz w:val="20"/>
                <w:szCs w:val="20"/>
                <w:color w:val="auto"/>
              </w:rPr>
            </w:pPr>
            <w:r>
              <w:rPr>
                <w:rFonts w:ascii="Arial" w:cs="Arial" w:eastAsia="Arial" w:hAnsi="Arial"/>
                <w:sz w:val="16"/>
                <w:szCs w:val="16"/>
                <w:color w:val="auto"/>
              </w:rPr>
              <w:t>Feb 01, 2024</w:t>
            </w:r>
          </w:p>
        </w:tc>
        <w:tc>
          <w:tcPr>
            <w:tcW w:w="1880" w:type="dxa"/>
            <w:vAlign w:val="bottom"/>
          </w:tcPr>
          <w:p>
            <w:pPr>
              <w:jc w:val="right"/>
              <w:ind w:right="218"/>
              <w:spacing w:after="0"/>
              <w:rPr>
                <w:sz w:val="20"/>
                <w:szCs w:val="20"/>
                <w:color w:val="auto"/>
              </w:rPr>
            </w:pPr>
            <w:r>
              <w:rPr>
                <w:rFonts w:ascii="Arial" w:cs="Arial" w:eastAsia="Arial" w:hAnsi="Arial"/>
                <w:sz w:val="16"/>
                <w:szCs w:val="16"/>
                <w:color w:val="auto"/>
              </w:rPr>
              <w:t>7,623,000</w:t>
            </w:r>
          </w:p>
        </w:tc>
        <w:tc>
          <w:tcPr>
            <w:tcW w:w="1540" w:type="dxa"/>
            <w:vAlign w:val="bottom"/>
          </w:tcPr>
          <w:p>
            <w:pPr>
              <w:jc w:val="right"/>
              <w:ind w:right="238"/>
              <w:spacing w:after="0"/>
              <w:rPr>
                <w:sz w:val="20"/>
                <w:szCs w:val="20"/>
                <w:color w:val="auto"/>
              </w:rPr>
            </w:pPr>
            <w:r>
              <w:rPr>
                <w:rFonts w:ascii="Arial" w:cs="Arial" w:eastAsia="Arial" w:hAnsi="Arial"/>
                <w:sz w:val="16"/>
                <w:szCs w:val="16"/>
                <w:color w:val="auto"/>
              </w:rPr>
              <w:t>7,146,500</w:t>
            </w:r>
          </w:p>
        </w:tc>
        <w:tc>
          <w:tcPr>
            <w:tcW w:w="1280" w:type="dxa"/>
            <w:vAlign w:val="bottom"/>
          </w:tcPr>
          <w:p>
            <w:pPr>
              <w:jc w:val="right"/>
              <w:spacing w:after="0"/>
              <w:rPr>
                <w:sz w:val="20"/>
                <w:szCs w:val="20"/>
                <w:color w:val="auto"/>
              </w:rPr>
            </w:pPr>
            <w:r>
              <w:rPr>
                <w:rFonts w:ascii="Arial" w:cs="Arial" w:eastAsia="Arial" w:hAnsi="Arial"/>
                <w:sz w:val="16"/>
                <w:szCs w:val="16"/>
                <w:color w:val="auto"/>
              </w:rPr>
              <w:t>7,146,500</w:t>
            </w:r>
          </w:p>
        </w:tc>
        <w:tc>
          <w:tcPr>
            <w:tcW w:w="1620" w:type="dxa"/>
            <w:vAlign w:val="bottom"/>
          </w:tcPr>
          <w:p>
            <w:pPr>
              <w:jc w:val="right"/>
              <w:ind w:right="78"/>
              <w:spacing w:after="0"/>
              <w:rPr>
                <w:sz w:val="20"/>
                <w:szCs w:val="20"/>
                <w:color w:val="auto"/>
              </w:rPr>
            </w:pPr>
            <w:r>
              <w:rPr>
                <w:rFonts w:ascii="Arial" w:cs="Arial" w:eastAsia="Arial" w:hAnsi="Arial"/>
                <w:sz w:val="16"/>
                <w:szCs w:val="16"/>
                <w:color w:val="auto"/>
              </w:rPr>
              <w:t>3.25</w:t>
            </w:r>
          </w:p>
        </w:tc>
        <w:tc>
          <w:tcPr>
            <w:tcW w:w="1440" w:type="dxa"/>
            <w:vAlign w:val="bottom"/>
          </w:tcPr>
          <w:p>
            <w:pPr>
              <w:jc w:val="right"/>
              <w:spacing w:after="0"/>
              <w:rPr>
                <w:sz w:val="20"/>
                <w:szCs w:val="20"/>
                <w:color w:val="auto"/>
              </w:rPr>
            </w:pPr>
            <w:r>
              <w:rPr>
                <w:rFonts w:ascii="Arial" w:cs="Arial" w:eastAsia="Arial" w:hAnsi="Arial"/>
                <w:sz w:val="16"/>
                <w:szCs w:val="16"/>
                <w:color w:val="auto"/>
              </w:rPr>
              <w:t>5,454</w:t>
            </w:r>
          </w:p>
        </w:tc>
        <w:tc>
          <w:tcPr>
            <w:tcW w:w="152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20"/>
        </w:trPr>
        <w:tc>
          <w:tcPr>
            <w:tcW w:w="1400" w:type="dxa"/>
            <w:vAlign w:val="bottom"/>
          </w:tcPr>
          <w:p>
            <w:pPr>
              <w:spacing w:after="0" w:line="220" w:lineRule="exact"/>
              <w:rPr>
                <w:sz w:val="20"/>
                <w:szCs w:val="20"/>
                <w:color w:val="auto"/>
              </w:rPr>
            </w:pPr>
            <w:r>
              <w:rPr>
                <w:rFonts w:ascii="Arial" w:cs="Arial" w:eastAsia="Arial" w:hAnsi="Arial"/>
                <w:sz w:val="16"/>
                <w:szCs w:val="16"/>
                <w:color w:val="auto"/>
              </w:rPr>
              <w:t>Feb 04, 2024</w:t>
            </w:r>
            <w:r>
              <w:rPr>
                <w:rFonts w:ascii="Arial" w:cs="Arial" w:eastAsia="Arial" w:hAnsi="Arial"/>
                <w:sz w:val="21"/>
                <w:szCs w:val="21"/>
                <w:color w:val="auto"/>
                <w:vertAlign w:val="superscript"/>
              </w:rPr>
              <w:t>(1)</w:t>
            </w:r>
          </w:p>
        </w:tc>
        <w:tc>
          <w:tcPr>
            <w:tcW w:w="1880" w:type="dxa"/>
            <w:vAlign w:val="bottom"/>
          </w:tcPr>
          <w:p>
            <w:pPr>
              <w:jc w:val="right"/>
              <w:ind w:right="218"/>
              <w:spacing w:after="0"/>
              <w:rPr>
                <w:sz w:val="20"/>
                <w:szCs w:val="20"/>
                <w:color w:val="auto"/>
              </w:rPr>
            </w:pPr>
            <w:r>
              <w:rPr>
                <w:rFonts w:ascii="Arial" w:cs="Arial" w:eastAsia="Arial" w:hAnsi="Arial"/>
                <w:sz w:val="16"/>
                <w:szCs w:val="16"/>
                <w:color w:val="auto"/>
              </w:rPr>
              <w:t>868,740</w:t>
            </w:r>
          </w:p>
        </w:tc>
        <w:tc>
          <w:tcPr>
            <w:tcW w:w="1540" w:type="dxa"/>
            <w:vAlign w:val="bottom"/>
          </w:tcPr>
          <w:p>
            <w:pPr>
              <w:jc w:val="right"/>
              <w:ind w:right="238"/>
              <w:spacing w:after="0"/>
              <w:rPr>
                <w:sz w:val="20"/>
                <w:szCs w:val="20"/>
                <w:color w:val="auto"/>
              </w:rPr>
            </w:pPr>
            <w:r>
              <w:rPr>
                <w:rFonts w:ascii="Arial" w:cs="Arial" w:eastAsia="Arial" w:hAnsi="Arial"/>
                <w:sz w:val="16"/>
                <w:szCs w:val="16"/>
                <w:color w:val="auto"/>
              </w:rPr>
              <w:t>868,740</w:t>
            </w:r>
          </w:p>
        </w:tc>
        <w:tc>
          <w:tcPr>
            <w:tcW w:w="1280" w:type="dxa"/>
            <w:vAlign w:val="bottom"/>
          </w:tcPr>
          <w:p>
            <w:pPr>
              <w:jc w:val="right"/>
              <w:spacing w:after="0"/>
              <w:rPr>
                <w:sz w:val="20"/>
                <w:szCs w:val="20"/>
                <w:color w:val="auto"/>
              </w:rPr>
            </w:pPr>
            <w:r>
              <w:rPr>
                <w:rFonts w:ascii="Arial" w:cs="Arial" w:eastAsia="Arial" w:hAnsi="Arial"/>
                <w:sz w:val="16"/>
                <w:szCs w:val="16"/>
                <w:color w:val="auto"/>
              </w:rPr>
              <w:t>868,740</w:t>
            </w:r>
          </w:p>
        </w:tc>
        <w:tc>
          <w:tcPr>
            <w:tcW w:w="1620" w:type="dxa"/>
            <w:vAlign w:val="bottom"/>
          </w:tcPr>
          <w:p>
            <w:pPr>
              <w:jc w:val="right"/>
              <w:ind w:right="78"/>
              <w:spacing w:after="0"/>
              <w:rPr>
                <w:sz w:val="20"/>
                <w:szCs w:val="20"/>
                <w:color w:val="auto"/>
              </w:rPr>
            </w:pPr>
            <w:r>
              <w:rPr>
                <w:rFonts w:ascii="Arial" w:cs="Arial" w:eastAsia="Arial" w:hAnsi="Arial"/>
                <w:sz w:val="16"/>
                <w:szCs w:val="16"/>
                <w:color w:val="auto"/>
              </w:rPr>
              <w:t>2.25</w:t>
            </w:r>
          </w:p>
        </w:tc>
        <w:tc>
          <w:tcPr>
            <w:tcW w:w="1440" w:type="dxa"/>
            <w:vAlign w:val="bottom"/>
          </w:tcPr>
          <w:p>
            <w:pPr>
              <w:jc w:val="right"/>
              <w:spacing w:after="0"/>
              <w:rPr>
                <w:sz w:val="20"/>
                <w:szCs w:val="20"/>
                <w:color w:val="auto"/>
              </w:rPr>
            </w:pPr>
            <w:r>
              <w:rPr>
                <w:rFonts w:ascii="Arial" w:cs="Arial" w:eastAsia="Arial" w:hAnsi="Arial"/>
                <w:sz w:val="16"/>
                <w:szCs w:val="16"/>
                <w:color w:val="auto"/>
              </w:rPr>
              <w:t>970</w:t>
            </w:r>
          </w:p>
        </w:tc>
        <w:tc>
          <w:tcPr>
            <w:tcW w:w="152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20"/>
                <w:szCs w:val="20"/>
                <w:color w:val="auto"/>
              </w:rPr>
            </w:pPr>
            <w:r>
              <w:rPr>
                <w:rFonts w:ascii="Arial" w:cs="Arial" w:eastAsia="Arial" w:hAnsi="Arial"/>
                <w:sz w:val="16"/>
                <w:szCs w:val="16"/>
                <w:color w:val="auto"/>
              </w:rPr>
              <w:t>Jun 15, 2025</w:t>
            </w:r>
          </w:p>
        </w:tc>
        <w:tc>
          <w:tcPr>
            <w:tcW w:w="1880" w:type="dxa"/>
            <w:vAlign w:val="bottom"/>
          </w:tcPr>
          <w:p>
            <w:pPr>
              <w:jc w:val="right"/>
              <w:ind w:right="218"/>
              <w:spacing w:after="0"/>
              <w:rPr>
                <w:sz w:val="20"/>
                <w:szCs w:val="20"/>
                <w:color w:val="auto"/>
              </w:rPr>
            </w:pPr>
            <w:r>
              <w:rPr>
                <w:rFonts w:ascii="Arial" w:cs="Arial" w:eastAsia="Arial" w:hAnsi="Arial"/>
                <w:sz w:val="16"/>
                <w:szCs w:val="16"/>
                <w:color w:val="auto"/>
              </w:rPr>
              <w:t>14,725,000</w:t>
            </w:r>
          </w:p>
        </w:tc>
        <w:tc>
          <w:tcPr>
            <w:tcW w:w="1540" w:type="dxa"/>
            <w:vAlign w:val="bottom"/>
          </w:tcPr>
          <w:p>
            <w:pPr>
              <w:jc w:val="right"/>
              <w:ind w:right="238"/>
              <w:spacing w:after="0"/>
              <w:rPr>
                <w:sz w:val="20"/>
                <w:szCs w:val="20"/>
                <w:color w:val="auto"/>
              </w:rPr>
            </w:pPr>
            <w:r>
              <w:rPr>
                <w:rFonts w:ascii="Arial" w:cs="Arial" w:eastAsia="Arial" w:hAnsi="Arial"/>
                <w:sz w:val="16"/>
                <w:szCs w:val="16"/>
                <w:color w:val="auto"/>
              </w:rPr>
              <w:t>14,350,000</w:t>
            </w:r>
          </w:p>
        </w:tc>
        <w:tc>
          <w:tcPr>
            <w:tcW w:w="1280" w:type="dxa"/>
            <w:vAlign w:val="bottom"/>
          </w:tcPr>
          <w:p>
            <w:pPr>
              <w:jc w:val="right"/>
              <w:spacing w:after="0"/>
              <w:rPr>
                <w:sz w:val="20"/>
                <w:szCs w:val="20"/>
                <w:color w:val="auto"/>
              </w:rPr>
            </w:pPr>
            <w:r>
              <w:rPr>
                <w:rFonts w:ascii="Arial" w:cs="Arial" w:eastAsia="Arial" w:hAnsi="Arial"/>
                <w:sz w:val="16"/>
                <w:szCs w:val="16"/>
                <w:color w:val="auto"/>
              </w:rPr>
              <w:t>13,950,000</w:t>
            </w:r>
          </w:p>
        </w:tc>
        <w:tc>
          <w:tcPr>
            <w:tcW w:w="1620" w:type="dxa"/>
            <w:vAlign w:val="bottom"/>
          </w:tcPr>
          <w:p>
            <w:pPr>
              <w:jc w:val="right"/>
              <w:ind w:right="78"/>
              <w:spacing w:after="0"/>
              <w:rPr>
                <w:sz w:val="20"/>
                <w:szCs w:val="20"/>
                <w:color w:val="auto"/>
              </w:rPr>
            </w:pPr>
            <w:r>
              <w:rPr>
                <w:rFonts w:ascii="Arial" w:cs="Arial" w:eastAsia="Arial" w:hAnsi="Arial"/>
                <w:sz w:val="16"/>
                <w:szCs w:val="16"/>
                <w:color w:val="auto"/>
              </w:rPr>
              <w:t>0.25</w:t>
            </w:r>
          </w:p>
        </w:tc>
        <w:tc>
          <w:tcPr>
            <w:tcW w:w="1440" w:type="dxa"/>
            <w:vAlign w:val="bottom"/>
          </w:tcPr>
          <w:p>
            <w:pPr>
              <w:jc w:val="right"/>
              <w:spacing w:after="0"/>
              <w:rPr>
                <w:sz w:val="20"/>
                <w:szCs w:val="20"/>
                <w:color w:val="auto"/>
              </w:rPr>
            </w:pPr>
            <w:r>
              <w:rPr>
                <w:rFonts w:ascii="Arial" w:cs="Arial" w:eastAsia="Arial" w:hAnsi="Arial"/>
                <w:sz w:val="16"/>
                <w:szCs w:val="16"/>
                <w:color w:val="auto"/>
              </w:rPr>
              <w:t>2,590</w:t>
            </w:r>
          </w:p>
        </w:tc>
        <w:tc>
          <w:tcPr>
            <w:tcW w:w="1520" w:type="dxa"/>
            <w:vAlign w:val="bottom"/>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08"/>
        </w:trPr>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Aug 20, 2025</w:t>
            </w:r>
          </w:p>
        </w:tc>
        <w:tc>
          <w:tcPr>
            <w:tcW w:w="18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2,000,125</w:t>
            </w:r>
          </w:p>
        </w:tc>
        <w:tc>
          <w:tcPr>
            <w:tcW w:w="15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1,900,125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1,300,125</w:t>
            </w:r>
          </w:p>
        </w:tc>
        <w:tc>
          <w:tcPr>
            <w:tcW w:w="16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0.64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01"/>
        </w:trPr>
        <w:tc>
          <w:tcPr>
            <w:tcW w:w="14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30,982,634</w:t>
            </w:r>
          </w:p>
        </w:tc>
        <w:tc>
          <w:tcPr>
            <w:tcW w:w="15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28,293,661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26,293,661</w:t>
            </w:r>
          </w:p>
        </w:tc>
        <w:tc>
          <w:tcPr>
            <w:tcW w:w="16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1.26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11,697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40" w:hanging="9"/>
        <w:spacing w:after="0" w:line="236" w:lineRule="auto"/>
        <w:tabs>
          <w:tab w:leader="none" w:pos="400" w:val="left"/>
        </w:tabs>
        <w:numPr>
          <w:ilvl w:val="0"/>
          <w:numId w:val="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868,740 units of the Company at an exercise price of $2.25 per unit, with each unit consisting of one Common Share and one half of one Common Share purchase warrant, with each Common Share purchase warrant being exercisable to acquire one Common Share at an exercise price of $3.25 per Common Share.</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at September 30, 2021, the Company has 6,250,063 warrants held in escrow (March 31, 2021 - 9,375,094).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13 of 25</w:t>
      </w:r>
    </w:p>
    <w:p>
      <w:pPr>
        <w:sectPr>
          <w:pgSz w:w="11900" w:h="16838" w:orient="portrait"/>
          <w:cols w:equalWidth="0" w:num="1">
            <w:col w:w="11180"/>
          </w:cols>
          <w:pgMar w:left="380" w:top="171"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40" w:right="20"/>
        <w:spacing w:after="0" w:line="270" w:lineRule="auto"/>
        <w:rPr>
          <w:sz w:val="20"/>
          <w:szCs w:val="20"/>
          <w:color w:val="auto"/>
        </w:rPr>
      </w:pPr>
      <w:r>
        <w:rPr>
          <w:rFonts w:ascii="Arial" w:cs="Arial" w:eastAsia="Arial" w:hAnsi="Arial"/>
          <w:sz w:val="16"/>
          <w:szCs w:val="16"/>
          <w:color w:val="auto"/>
        </w:rPr>
        <w:t>The Company recognized share-based payments expense related to the issuance of warrants for the three and six months ended September 30, 2021 of $73 and $178 respectively.</w:t>
      </w:r>
    </w:p>
    <w:p>
      <w:pPr>
        <w:spacing w:after="0" w:line="129" w:lineRule="exact"/>
        <w:rPr>
          <w:sz w:val="20"/>
          <w:szCs w:val="20"/>
          <w:color w:val="auto"/>
        </w:rPr>
      </w:pPr>
    </w:p>
    <w:p>
      <w:pPr>
        <w:ind w:left="540" w:hanging="309"/>
        <w:spacing w:after="0"/>
        <w:tabs>
          <w:tab w:leader="none" w:pos="54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options</w:t>
      </w:r>
    </w:p>
    <w:p>
      <w:pPr>
        <w:spacing w:after="0" w:line="191" w:lineRule="exact"/>
        <w:rPr>
          <w:sz w:val="20"/>
          <w:szCs w:val="20"/>
          <w:color w:val="auto"/>
        </w:rPr>
      </w:pPr>
    </w:p>
    <w:p>
      <w:pPr>
        <w:jc w:val="both"/>
        <w:ind w:left="240" w:right="20"/>
        <w:spacing w:after="0" w:line="258" w:lineRule="auto"/>
        <w:rPr>
          <w:sz w:val="20"/>
          <w:szCs w:val="20"/>
          <w:color w:val="auto"/>
        </w:rPr>
      </w:pPr>
      <w:r>
        <w:rPr>
          <w:rFonts w:ascii="Arial" w:cs="Arial" w:eastAsia="Arial" w:hAnsi="Arial"/>
          <w:sz w:val="16"/>
          <w:szCs w:val="16"/>
          <w:color w:val="auto"/>
        </w:rPr>
        <w:t>On November 5, 2020, Cybin adopted a new equity incentive plan. Under the Company’s equity incentive plan, the board of directors may grant share-based awards to acquire such number of Common Shares as is equal to up to 20% of the total number of issued and outstanding Common Shares at the time such awards are granted. Options granted under the plan vest over a period of time at the discretion of the board of directors. On August 16, 2021, the board of directors and the shareholders approved an amendment to the equity incentive plan to modify certain provisions for awards granted to residents of the United States, to increase the fixed number of Incentive Stock Options (as defined in the equity incentive plan) and certain other housekeeping amendments.</w:t>
      </w:r>
    </w:p>
    <w:p>
      <w:pPr>
        <w:spacing w:after="0" w:line="146"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740" w:type="dxa"/>
            <w:vAlign w:val="bottom"/>
          </w:tcPr>
          <w:p>
            <w:pPr>
              <w:spacing w:after="0"/>
              <w:rPr>
                <w:sz w:val="20"/>
                <w:szCs w:val="20"/>
                <w:color w:val="auto"/>
              </w:rPr>
            </w:pPr>
            <w:r>
              <w:rPr>
                <w:rFonts w:ascii="Arial" w:cs="Arial" w:eastAsia="Arial" w:hAnsi="Arial"/>
                <w:sz w:val="16"/>
                <w:szCs w:val="16"/>
                <w:color w:val="auto"/>
              </w:rPr>
              <w:t>The changes in options during the six-months ended September 30, 2021 are as follows:</w:t>
            </w:r>
          </w:p>
        </w:tc>
        <w:tc>
          <w:tcPr>
            <w:tcW w:w="2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6740" w:type="dxa"/>
            <w:vAlign w:val="bottom"/>
          </w:tcPr>
          <w:p>
            <w:pPr>
              <w:spacing w:after="0"/>
              <w:rPr>
                <w:sz w:val="24"/>
                <w:szCs w:val="24"/>
                <w:color w:val="auto"/>
              </w:rPr>
            </w:pPr>
          </w:p>
        </w:tc>
        <w:tc>
          <w:tcPr>
            <w:tcW w:w="208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rPr>
              <w:t>Number of Options</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8"/>
        </w:trPr>
        <w:tc>
          <w:tcPr>
            <w:tcW w:w="67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00"/>
        </w:trPr>
        <w:tc>
          <w:tcPr>
            <w:tcW w:w="67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6740" w:type="dxa"/>
            <w:vAlign w:val="bottom"/>
          </w:tcPr>
          <w:p>
            <w:pPr>
              <w:ind w:left="60"/>
              <w:spacing w:after="0"/>
              <w:rPr>
                <w:sz w:val="20"/>
                <w:szCs w:val="20"/>
                <w:color w:val="auto"/>
              </w:rPr>
            </w:pPr>
            <w:r>
              <w:rPr>
                <w:rFonts w:ascii="Arial" w:cs="Arial" w:eastAsia="Arial" w:hAnsi="Arial"/>
                <w:sz w:val="16"/>
                <w:szCs w:val="16"/>
                <w:color w:val="auto"/>
              </w:rPr>
              <w:t>As at April 1, 2021</w:t>
            </w:r>
          </w:p>
        </w:tc>
        <w:tc>
          <w:tcPr>
            <w:tcW w:w="2080" w:type="dxa"/>
            <w:vAlign w:val="bottom"/>
          </w:tcPr>
          <w:p>
            <w:pPr>
              <w:jc w:val="right"/>
              <w:ind w:right="178"/>
              <w:spacing w:after="0"/>
              <w:rPr>
                <w:sz w:val="20"/>
                <w:szCs w:val="20"/>
                <w:color w:val="auto"/>
              </w:rPr>
            </w:pPr>
            <w:r>
              <w:rPr>
                <w:rFonts w:ascii="Arial" w:cs="Arial" w:eastAsia="Arial" w:hAnsi="Arial"/>
                <w:sz w:val="16"/>
                <w:szCs w:val="16"/>
                <w:color w:val="auto"/>
              </w:rPr>
              <w:t>22,032,452</w:t>
            </w:r>
          </w:p>
        </w:tc>
        <w:tc>
          <w:tcPr>
            <w:tcW w:w="168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8"/>
        </w:trPr>
        <w:tc>
          <w:tcPr>
            <w:tcW w:w="6740" w:type="dxa"/>
            <w:vAlign w:val="bottom"/>
          </w:tcPr>
          <w:p>
            <w:pPr>
              <w:ind w:left="60"/>
              <w:spacing w:after="0"/>
              <w:rPr>
                <w:sz w:val="20"/>
                <w:szCs w:val="20"/>
                <w:color w:val="auto"/>
              </w:rPr>
            </w:pPr>
            <w:r>
              <w:rPr>
                <w:rFonts w:ascii="Arial" w:cs="Arial" w:eastAsia="Arial" w:hAnsi="Arial"/>
                <w:sz w:val="16"/>
                <w:szCs w:val="16"/>
                <w:color w:val="auto"/>
              </w:rPr>
              <w:t>Granted</w:t>
            </w:r>
          </w:p>
        </w:tc>
        <w:tc>
          <w:tcPr>
            <w:tcW w:w="2080" w:type="dxa"/>
            <w:vAlign w:val="bottom"/>
          </w:tcPr>
          <w:p>
            <w:pPr>
              <w:jc w:val="right"/>
              <w:ind w:right="178"/>
              <w:spacing w:after="0"/>
              <w:rPr>
                <w:sz w:val="20"/>
                <w:szCs w:val="20"/>
                <w:color w:val="auto"/>
              </w:rPr>
            </w:pPr>
            <w:r>
              <w:rPr>
                <w:rFonts w:ascii="Arial" w:cs="Arial" w:eastAsia="Arial" w:hAnsi="Arial"/>
                <w:sz w:val="16"/>
                <w:szCs w:val="16"/>
                <w:color w:val="auto"/>
              </w:rPr>
              <w:t>6,319,000</w:t>
            </w:r>
          </w:p>
        </w:tc>
        <w:tc>
          <w:tcPr>
            <w:tcW w:w="168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8"/>
        </w:trPr>
        <w:tc>
          <w:tcPr>
            <w:tcW w:w="6740" w:type="dxa"/>
            <w:vAlign w:val="bottom"/>
          </w:tcPr>
          <w:p>
            <w:pPr>
              <w:ind w:left="60"/>
              <w:spacing w:after="0"/>
              <w:rPr>
                <w:sz w:val="20"/>
                <w:szCs w:val="20"/>
                <w:color w:val="auto"/>
              </w:rPr>
            </w:pPr>
            <w:r>
              <w:rPr>
                <w:rFonts w:ascii="Arial" w:cs="Arial" w:eastAsia="Arial" w:hAnsi="Arial"/>
                <w:sz w:val="16"/>
                <w:szCs w:val="16"/>
                <w:color w:val="auto"/>
              </w:rPr>
              <w:t>Exercised</w:t>
            </w:r>
          </w:p>
        </w:tc>
        <w:tc>
          <w:tcPr>
            <w:tcW w:w="2080" w:type="dxa"/>
            <w:vAlign w:val="bottom"/>
          </w:tcPr>
          <w:p>
            <w:pPr>
              <w:jc w:val="right"/>
              <w:ind w:right="178"/>
              <w:spacing w:after="0"/>
              <w:rPr>
                <w:sz w:val="20"/>
                <w:szCs w:val="20"/>
                <w:color w:val="auto"/>
              </w:rPr>
            </w:pPr>
            <w:r>
              <w:rPr>
                <w:rFonts w:ascii="Arial" w:cs="Arial" w:eastAsia="Arial" w:hAnsi="Arial"/>
                <w:sz w:val="16"/>
                <w:szCs w:val="16"/>
                <w:color w:val="auto"/>
              </w:rPr>
              <w:t>(450,000)</w:t>
            </w:r>
          </w:p>
        </w:tc>
        <w:tc>
          <w:tcPr>
            <w:tcW w:w="1680" w:type="dxa"/>
            <w:vAlign w:val="bottom"/>
          </w:tcPr>
          <w:p>
            <w:pPr>
              <w:jc w:val="right"/>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208"/>
        </w:trPr>
        <w:tc>
          <w:tcPr>
            <w:tcW w:w="67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Forfeited</w:t>
            </w:r>
          </w:p>
        </w:tc>
        <w:tc>
          <w:tcPr>
            <w:tcW w:w="20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(193,750)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1"/>
        </w:trPr>
        <w:tc>
          <w:tcPr>
            <w:tcW w:w="6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Outstanding as at September 30, 2021</w:t>
            </w:r>
          </w:p>
        </w:tc>
        <w:tc>
          <w:tcPr>
            <w:tcW w:w="20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27,707,702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w:t>
            </w:r>
          </w:p>
        </w:tc>
        <w:tc>
          <w:tcPr>
            <w:tcW w:w="0" w:type="dxa"/>
            <w:vAlign w:val="bottom"/>
          </w:tcPr>
          <w:p>
            <w:pPr>
              <w:spacing w:after="0"/>
              <w:rPr>
                <w:sz w:val="1"/>
                <w:szCs w:val="1"/>
                <w:color w:val="auto"/>
              </w:rPr>
            </w:pPr>
          </w:p>
        </w:tc>
      </w:tr>
      <w:tr>
        <w:trPr>
          <w:trHeight w:val="200"/>
        </w:trPr>
        <w:tc>
          <w:tcPr>
            <w:tcW w:w="6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Exercisable as at September 30, 2021</w:t>
            </w:r>
          </w:p>
        </w:tc>
        <w:tc>
          <w:tcPr>
            <w:tcW w:w="20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12,736,998</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left="240"/>
        <w:spacing w:after="0" w:line="259" w:lineRule="auto"/>
        <w:rPr>
          <w:sz w:val="20"/>
          <w:szCs w:val="20"/>
          <w:color w:val="auto"/>
        </w:rPr>
      </w:pPr>
      <w:r>
        <w:rPr>
          <w:rFonts w:ascii="Arial" w:cs="Arial" w:eastAsia="Arial" w:hAnsi="Arial"/>
          <w:sz w:val="16"/>
          <w:szCs w:val="16"/>
          <w:color w:val="auto"/>
        </w:rPr>
        <w:t>On June 28, 2021, the Company granted 3,259,000 options to purchase up to: 1,975,000 Common Shares to executive officers, 1,090,000 Common Shares to employees, and 194,000 Common Shares to consultants, with an exercise price of $2.90 per Common Share and vesting over a 24-month period expiring June 28, 2026. On the same date, the Company granted 550,000 options to purchase 550,000 Common Shares to consultants with an exercise price of $2.90 per Common Share and vesting over a 12-month period expiring June 28, 2026. In addition, the Company granted 25,000 options to purchase 25,000 Common Shares to a consultant that vested immediately with an exercise price of $2.90 per Common Share expiring June 28, 2026.</w:t>
      </w:r>
    </w:p>
    <w:p>
      <w:pPr>
        <w:spacing w:after="0" w:line="3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estimated grant date fair value of the 3,834,000 options granted on June 28, 2021 was determined to be $7,994, calculated using the Black-</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Scholes option pricing model with the following assumptions:</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14 of 25</w:t>
      </w:r>
    </w:p>
    <w:p>
      <w:pPr>
        <w:sectPr>
          <w:pgSz w:w="11900" w:h="16838" w:orient="portrait"/>
          <w:cols w:equalWidth="0" w:num="1">
            <w:col w:w="11200"/>
          </w:cols>
          <w:pgMar w:left="380" w:top="171" w:right="31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August 16, 2021, the Company granted 215,000 options to purchase up to: 165,000 Common Shares to employees, and 50,000 Common Shares to consultants, with an exercise price of $2.48 per Common Share and vesting over a 24-month period expiring August 16, 2026. The estimated grant date fair value of the 215,000 options was determined to be $383, calculated using the Black-Scholes option pricing model with the following assumptions:</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0.81%</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r>
    </w:tbl>
    <w:p>
      <w:pPr>
        <w:spacing w:after="0" w:line="244"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On August 18, 2021, the Company granted 300,000 options to purchase up to 300,000 Common Shares to an executive officer with an exercise price of $2.48 per Common Share and vesting over a 24-month period expiring August 18, 2026. The estimated grant date fair value was determined to be $519, calculated using the Black-Scholes option pricing model with the following assumptions:</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0.82%</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r>
    </w:tbl>
    <w:p>
      <w:pPr>
        <w:spacing w:after="0" w:line="244"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On September 27, 2021, the Company granted 585,000 options to purchase up to 585,000 Common Shares to employees with an exercise price of $3.15 per Common Share and vesting over a 24-month period expiring September 27, 2026. The estimated grant date fair value was determined to be $1,186, calculated using the Black-Scholes option pricing model with the following assumptions:</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r>
    </w:tbl>
    <w:p>
      <w:pPr>
        <w:spacing w:after="0" w:line="244"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On September 27, 2021, the Company granted 195,000 options to purchase up to 195,000 Common Shares to a director with an exercise price of $2.87 per Common Share and vesting over a 24-month period expiring September 27, 2026. The estimated grant date fair value was determined to be $403, calculated using the Black-Scholes option 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15 of 25</w:t>
      </w:r>
    </w:p>
    <w:p>
      <w:pPr>
        <w:sectPr>
          <w:pgSz w:w="11900" w:h="16838" w:orient="portrait"/>
          <w:cols w:equalWidth="0" w:num="1">
            <w:col w:w="11200"/>
          </w:cols>
          <w:pgMar w:left="380" w:top="171" w:right="31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r>
    </w:tbl>
    <w:p>
      <w:pPr>
        <w:spacing w:after="0" w:line="2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September 30, 2021, the Company granted 450,000 options to purchase up to 450,000 Common Shares to employees with an exercise price of $3.15 per Common Share and vesting over a 24-month period expiring September 30, 2026. The estimated grant date fair value was determined to be $878, calculated using the Black-Scholes option pricing model with the following assumptions:</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r>
    </w:tbl>
    <w:p>
      <w:pPr>
        <w:spacing w:after="0" w:line="2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September 30, 2021, the Company granted 40,000 options to purchase up to 40,000 Common Shares to a consultant with an exercise price of $2.78 per Common Share and vesting over a 12-month period expiring June 30, 2023. The estimated grant date fair value was determined to be $48, calculated using the Black-Scholes option pricing model with the following assumptions:</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0.53%</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r>
    </w:tbl>
    <w:p>
      <w:pPr>
        <w:spacing w:after="0" w:line="2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September 30, 2021, the Company granted 700,000 options to purchase up to 700,000 Common Shares to consultants with an exercise price of $2.78 per Common Share and vesting over a 12-month period expiring December 31, 2022. The estimated grant date fair value was determined to be $715, calculated using the Black-Scholes option pricing model with the following assumptions:</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0.41%</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16 of 25</w:t>
      </w:r>
    </w:p>
    <w:p>
      <w:pPr>
        <w:sectPr>
          <w:pgSz w:w="11900" w:h="16838" w:orient="portrait"/>
          <w:cols w:equalWidth="0" w:num="1">
            <w:col w:w="11180"/>
          </w:cols>
          <w:pgMar w:left="380" w:top="171"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40"/>
        <w:spacing w:after="0" w:line="260" w:lineRule="auto"/>
        <w:rPr>
          <w:sz w:val="20"/>
          <w:szCs w:val="20"/>
          <w:color w:val="auto"/>
        </w:rPr>
      </w:pPr>
      <w:r>
        <w:rPr>
          <w:rFonts w:ascii="Arial" w:cs="Arial" w:eastAsia="Arial" w:hAnsi="Arial"/>
          <w:sz w:val="16"/>
          <w:szCs w:val="16"/>
          <w:color w:val="auto"/>
        </w:rPr>
        <w:t>During the six months ended September 30, 2021, the Company amended the vesting and expiry dates of certain options with former employees of the Company, resulting in a modification of terms. As a result of the modifications, the Company calculated the incremental fair value using the Black-Scholes option pricing model. The fair value of the options after modification was determined to be less than the fair value prior to modification and therefore the original fair value of the grant was used and is being recognized over the new vesting schedule.</w:t>
      </w:r>
    </w:p>
    <w:p>
      <w:pPr>
        <w:spacing w:after="0" w:line="157" w:lineRule="exact"/>
        <w:rPr>
          <w:sz w:val="20"/>
          <w:szCs w:val="20"/>
          <w:color w:val="auto"/>
        </w:rPr>
      </w:pPr>
    </w:p>
    <w:p>
      <w:pPr>
        <w:jc w:val="both"/>
        <w:ind w:left="240"/>
        <w:spacing w:after="0" w:line="270" w:lineRule="auto"/>
        <w:rPr>
          <w:sz w:val="20"/>
          <w:szCs w:val="20"/>
          <w:color w:val="auto"/>
        </w:rPr>
      </w:pPr>
      <w:r>
        <w:rPr>
          <w:rFonts w:ascii="Arial" w:cs="Arial" w:eastAsia="Arial" w:hAnsi="Arial"/>
          <w:sz w:val="16"/>
          <w:szCs w:val="16"/>
          <w:color w:val="auto"/>
        </w:rPr>
        <w:t>During the three and six months ended September 30, 2021, 125,000 and 450,000 options were exercised by various holders for aggregate proceeds to the Company of $80 and $210 respectively.</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summarizes information about stock options outstanding on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17 of 25</w:t>
      </w:r>
    </w:p>
    <w:p>
      <w:pPr>
        <w:sectPr>
          <w:pgSz w:w="11900" w:h="16838" w:orient="portrait"/>
          <w:cols w:equalWidth="0" w:num="1">
            <w:col w:w="11180"/>
          </w:cols>
          <w:pgMar w:left="380" w:top="171"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6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rPr>
              <w:t>Number of options</w:t>
            </w:r>
          </w:p>
        </w:tc>
        <w:tc>
          <w:tcPr>
            <w:tcW w:w="176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rPr>
              <w:t>Number of options</w:t>
            </w:r>
          </w:p>
        </w:tc>
        <w:tc>
          <w:tcPr>
            <w:tcW w:w="1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Weighted average</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Recognized</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1840" w:type="dxa"/>
            <w:vAlign w:val="bottom"/>
            <w:vMerge w:val="restart"/>
          </w:tcPr>
          <w:p>
            <w:pPr>
              <w:jc w:val="right"/>
              <w:ind w:right="58"/>
              <w:spacing w:after="0"/>
              <w:rPr>
                <w:sz w:val="20"/>
                <w:szCs w:val="20"/>
                <w:color w:val="auto"/>
              </w:rPr>
            </w:pPr>
            <w:r>
              <w:rPr>
                <w:rFonts w:ascii="Arial" w:cs="Arial" w:eastAsia="Arial" w:hAnsi="Arial"/>
                <w:sz w:val="16"/>
                <w:szCs w:val="16"/>
                <w:b w:val="1"/>
                <w:bCs w:val="1"/>
                <w:color w:val="auto"/>
              </w:rPr>
              <w:t>Exercise Price</w:t>
            </w:r>
          </w:p>
        </w:tc>
        <w:tc>
          <w:tcPr>
            <w:tcW w:w="176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74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estimated grant date</w:t>
            </w:r>
          </w:p>
        </w:tc>
        <w:tc>
          <w:tcPr>
            <w:tcW w:w="0" w:type="dxa"/>
            <w:vAlign w:val="bottom"/>
          </w:tcPr>
          <w:p>
            <w:pPr>
              <w:spacing w:after="0"/>
              <w:rPr>
                <w:sz w:val="1"/>
                <w:szCs w:val="1"/>
                <w:color w:val="auto"/>
              </w:rPr>
            </w:pPr>
          </w:p>
        </w:tc>
      </w:tr>
      <w:tr>
        <w:trPr>
          <w:trHeight w:val="208"/>
        </w:trPr>
        <w:tc>
          <w:tcPr>
            <w:tcW w:w="2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outstanding</w:t>
            </w:r>
          </w:p>
        </w:tc>
        <w:tc>
          <w:tcPr>
            <w:tcW w:w="17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exercisable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remaining life</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0"/>
        </w:trPr>
        <w:tc>
          <w:tcPr>
            <w:tcW w:w="2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Expiry date</w:t>
            </w:r>
          </w:p>
        </w:tc>
        <w:tc>
          <w:tcPr>
            <w:tcW w:w="18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199"/>
        </w:trPr>
        <w:tc>
          <w:tcPr>
            <w:tcW w:w="2200" w:type="dxa"/>
            <w:vAlign w:val="bottom"/>
          </w:tcPr>
          <w:p>
            <w:pPr>
              <w:spacing w:after="0"/>
              <w:rPr>
                <w:sz w:val="20"/>
                <w:szCs w:val="20"/>
                <w:color w:val="auto"/>
              </w:rPr>
            </w:pPr>
            <w:r>
              <w:rPr>
                <w:rFonts w:ascii="Arial" w:cs="Arial" w:eastAsia="Arial" w:hAnsi="Arial"/>
                <w:sz w:val="16"/>
                <w:szCs w:val="16"/>
                <w:color w:val="auto"/>
              </w:rPr>
              <w:t>January 15, 2022</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0.64</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62,500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0.29</w:t>
            </w:r>
          </w:p>
        </w:tc>
        <w:tc>
          <w:tcPr>
            <w:tcW w:w="17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April 15, 2022</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0.64</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37,500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0.54</w:t>
            </w:r>
          </w:p>
        </w:tc>
        <w:tc>
          <w:tcPr>
            <w:tcW w:w="17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August 12, 2022</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2.90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6,250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6,250</w:t>
            </w:r>
          </w:p>
        </w:tc>
        <w:tc>
          <w:tcPr>
            <w:tcW w:w="1660" w:type="dxa"/>
            <w:vAlign w:val="bottom"/>
          </w:tcPr>
          <w:p>
            <w:pPr>
              <w:jc w:val="right"/>
              <w:spacing w:after="0"/>
              <w:rPr>
                <w:sz w:val="20"/>
                <w:szCs w:val="20"/>
                <w:color w:val="auto"/>
              </w:rPr>
            </w:pPr>
            <w:r>
              <w:rPr>
                <w:rFonts w:ascii="Arial" w:cs="Arial" w:eastAsia="Arial" w:hAnsi="Arial"/>
                <w:sz w:val="16"/>
                <w:szCs w:val="16"/>
                <w:color w:val="auto"/>
              </w:rPr>
              <w:t>0.87</w:t>
            </w:r>
          </w:p>
        </w:tc>
        <w:tc>
          <w:tcPr>
            <w:tcW w:w="17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November 27, 2022</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0.91</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200,000</w:t>
            </w:r>
          </w:p>
        </w:tc>
        <w:tc>
          <w:tcPr>
            <w:tcW w:w="1660" w:type="dxa"/>
            <w:vAlign w:val="bottom"/>
          </w:tcPr>
          <w:p>
            <w:pPr>
              <w:jc w:val="right"/>
              <w:spacing w:after="0"/>
              <w:rPr>
                <w:sz w:val="20"/>
                <w:szCs w:val="20"/>
                <w:color w:val="auto"/>
              </w:rPr>
            </w:pPr>
            <w:r>
              <w:rPr>
                <w:rFonts w:ascii="Arial" w:cs="Arial" w:eastAsia="Arial" w:hAnsi="Arial"/>
                <w:sz w:val="16"/>
                <w:szCs w:val="16"/>
                <w:color w:val="auto"/>
              </w:rPr>
              <w:t>1.16</w:t>
            </w:r>
          </w:p>
        </w:tc>
        <w:tc>
          <w:tcPr>
            <w:tcW w:w="174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December 11, 2022</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0.67</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59,952</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59,952</w:t>
            </w:r>
          </w:p>
        </w:tc>
        <w:tc>
          <w:tcPr>
            <w:tcW w:w="1660" w:type="dxa"/>
            <w:vAlign w:val="bottom"/>
          </w:tcPr>
          <w:p>
            <w:pPr>
              <w:jc w:val="right"/>
              <w:spacing w:after="0"/>
              <w:rPr>
                <w:sz w:val="20"/>
                <w:szCs w:val="20"/>
                <w:color w:val="auto"/>
              </w:rPr>
            </w:pPr>
            <w:r>
              <w:rPr>
                <w:rFonts w:ascii="Arial" w:cs="Arial" w:eastAsia="Arial" w:hAnsi="Arial"/>
                <w:sz w:val="16"/>
                <w:szCs w:val="16"/>
                <w:color w:val="auto"/>
              </w:rPr>
              <w:t>1.20</w:t>
            </w: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December 31, 2022</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2.78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191,666</w:t>
            </w:r>
          </w:p>
        </w:tc>
        <w:tc>
          <w:tcPr>
            <w:tcW w:w="1660" w:type="dxa"/>
            <w:vAlign w:val="bottom"/>
          </w:tcPr>
          <w:p>
            <w:pPr>
              <w:jc w:val="right"/>
              <w:spacing w:after="0"/>
              <w:rPr>
                <w:sz w:val="20"/>
                <w:szCs w:val="20"/>
                <w:color w:val="auto"/>
              </w:rPr>
            </w:pPr>
            <w:r>
              <w:rPr>
                <w:rFonts w:ascii="Arial" w:cs="Arial" w:eastAsia="Arial" w:hAnsi="Arial"/>
                <w:sz w:val="16"/>
                <w:szCs w:val="16"/>
                <w:color w:val="auto"/>
              </w:rPr>
              <w:t>1.25</w:t>
            </w:r>
          </w:p>
        </w:tc>
        <w:tc>
          <w:tcPr>
            <w:tcW w:w="1740" w:type="dxa"/>
            <w:vAlign w:val="bottom"/>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June 30, 2023</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2.78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40,000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10,000</w:t>
            </w:r>
          </w:p>
        </w:tc>
        <w:tc>
          <w:tcPr>
            <w:tcW w:w="1660" w:type="dxa"/>
            <w:vAlign w:val="bottom"/>
          </w:tcPr>
          <w:p>
            <w:pPr>
              <w:jc w:val="right"/>
              <w:spacing w:after="0"/>
              <w:rPr>
                <w:sz w:val="20"/>
                <w:szCs w:val="20"/>
                <w:color w:val="auto"/>
              </w:rPr>
            </w:pPr>
            <w:r>
              <w:rPr>
                <w:rFonts w:ascii="Arial" w:cs="Arial" w:eastAsia="Arial" w:hAnsi="Arial"/>
                <w:sz w:val="16"/>
                <w:szCs w:val="16"/>
                <w:color w:val="auto"/>
              </w:rPr>
              <w:t>1.75</w:t>
            </w:r>
          </w:p>
        </w:tc>
        <w:tc>
          <w:tcPr>
            <w:tcW w:w="17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February 27,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0.25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325,000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325,000</w:t>
            </w:r>
          </w:p>
        </w:tc>
        <w:tc>
          <w:tcPr>
            <w:tcW w:w="1660" w:type="dxa"/>
            <w:vAlign w:val="bottom"/>
          </w:tcPr>
          <w:p>
            <w:pPr>
              <w:jc w:val="right"/>
              <w:spacing w:after="0"/>
              <w:rPr>
                <w:sz w:val="20"/>
                <w:szCs w:val="20"/>
                <w:color w:val="auto"/>
              </w:rPr>
            </w:pPr>
            <w:r>
              <w:rPr>
                <w:rFonts w:ascii="Arial" w:cs="Arial" w:eastAsia="Arial" w:hAnsi="Arial"/>
                <w:sz w:val="16"/>
                <w:szCs w:val="16"/>
                <w:color w:val="auto"/>
              </w:rPr>
              <w:t>3.41</w:t>
            </w:r>
          </w:p>
        </w:tc>
        <w:tc>
          <w:tcPr>
            <w:tcW w:w="17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June 15,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0.25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2,350,000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1,737,500</w:t>
            </w:r>
          </w:p>
        </w:tc>
        <w:tc>
          <w:tcPr>
            <w:tcW w:w="1660" w:type="dxa"/>
            <w:vAlign w:val="bottom"/>
          </w:tcPr>
          <w:p>
            <w:pPr>
              <w:jc w:val="right"/>
              <w:spacing w:after="0"/>
              <w:rPr>
                <w:sz w:val="20"/>
                <w:szCs w:val="20"/>
                <w:color w:val="auto"/>
              </w:rPr>
            </w:pPr>
            <w:r>
              <w:rPr>
                <w:rFonts w:ascii="Arial" w:cs="Arial" w:eastAsia="Arial" w:hAnsi="Arial"/>
                <w:sz w:val="16"/>
                <w:szCs w:val="16"/>
                <w:color w:val="auto"/>
              </w:rPr>
              <w:t>3.71</w:t>
            </w:r>
          </w:p>
        </w:tc>
        <w:tc>
          <w:tcPr>
            <w:tcW w:w="1740" w:type="dxa"/>
            <w:vAlign w:val="bottom"/>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October 12,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0.75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3,000,000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1,500,000</w:t>
            </w:r>
          </w:p>
        </w:tc>
        <w:tc>
          <w:tcPr>
            <w:tcW w:w="1660" w:type="dxa"/>
            <w:vAlign w:val="bottom"/>
          </w:tcPr>
          <w:p>
            <w:pPr>
              <w:jc w:val="right"/>
              <w:spacing w:after="0"/>
              <w:rPr>
                <w:sz w:val="20"/>
                <w:szCs w:val="20"/>
                <w:color w:val="auto"/>
              </w:rPr>
            </w:pPr>
            <w:r>
              <w:rPr>
                <w:rFonts w:ascii="Arial" w:cs="Arial" w:eastAsia="Arial" w:hAnsi="Arial"/>
                <w:sz w:val="16"/>
                <w:szCs w:val="16"/>
                <w:color w:val="auto"/>
              </w:rPr>
              <w:t>4.04</w:t>
            </w:r>
          </w:p>
        </w:tc>
        <w:tc>
          <w:tcPr>
            <w:tcW w:w="1740" w:type="dxa"/>
            <w:vAlign w:val="bottom"/>
          </w:tcPr>
          <w:p>
            <w:pPr>
              <w:jc w:val="right"/>
              <w:spacing w:after="0"/>
              <w:rPr>
                <w:sz w:val="20"/>
                <w:szCs w:val="20"/>
                <w:color w:val="auto"/>
              </w:rPr>
            </w:pPr>
            <w:r>
              <w:rPr>
                <w:rFonts w:ascii="Arial" w:cs="Arial" w:eastAsia="Arial" w:hAnsi="Arial"/>
                <w:sz w:val="16"/>
                <w:szCs w:val="16"/>
                <w:color w:val="auto"/>
              </w:rPr>
              <w:t>1,329</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November 4,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0.75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6,000,000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3,000,000</w:t>
            </w:r>
          </w:p>
        </w:tc>
        <w:tc>
          <w:tcPr>
            <w:tcW w:w="1660" w:type="dxa"/>
            <w:vAlign w:val="bottom"/>
          </w:tcPr>
          <w:p>
            <w:pPr>
              <w:jc w:val="right"/>
              <w:spacing w:after="0"/>
              <w:rPr>
                <w:sz w:val="20"/>
                <w:szCs w:val="20"/>
                <w:color w:val="auto"/>
              </w:rPr>
            </w:pPr>
            <w:r>
              <w:rPr>
                <w:rFonts w:ascii="Arial" w:cs="Arial" w:eastAsia="Arial" w:hAnsi="Arial"/>
                <w:sz w:val="16"/>
                <w:szCs w:val="16"/>
                <w:color w:val="auto"/>
              </w:rPr>
              <w:t>4.10</w:t>
            </w:r>
          </w:p>
        </w:tc>
        <w:tc>
          <w:tcPr>
            <w:tcW w:w="1740" w:type="dxa"/>
            <w:vAlign w:val="bottom"/>
          </w:tcPr>
          <w:p>
            <w:pPr>
              <w:jc w:val="right"/>
              <w:spacing w:after="0"/>
              <w:rPr>
                <w:sz w:val="20"/>
                <w:szCs w:val="20"/>
                <w:color w:val="auto"/>
              </w:rPr>
            </w:pPr>
            <w:r>
              <w:rPr>
                <w:rFonts w:ascii="Arial" w:cs="Arial" w:eastAsia="Arial" w:hAnsi="Arial"/>
                <w:sz w:val="16"/>
                <w:szCs w:val="16"/>
                <w:color w:val="auto"/>
              </w:rPr>
              <w:t>2,696</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November 13,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0.88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250,000</w:t>
            </w:r>
          </w:p>
        </w:tc>
        <w:tc>
          <w:tcPr>
            <w:tcW w:w="1660" w:type="dxa"/>
            <w:vAlign w:val="bottom"/>
          </w:tcPr>
          <w:p>
            <w:pPr>
              <w:jc w:val="right"/>
              <w:spacing w:after="0"/>
              <w:rPr>
                <w:sz w:val="20"/>
                <w:szCs w:val="20"/>
                <w:color w:val="auto"/>
              </w:rPr>
            </w:pPr>
            <w:r>
              <w:rPr>
                <w:rFonts w:ascii="Arial" w:cs="Arial" w:eastAsia="Arial" w:hAnsi="Arial"/>
                <w:sz w:val="16"/>
                <w:szCs w:val="16"/>
                <w:color w:val="auto"/>
              </w:rPr>
              <w:t>4.12</w:t>
            </w:r>
          </w:p>
        </w:tc>
        <w:tc>
          <w:tcPr>
            <w:tcW w:w="174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December 11,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1.48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262,500</w:t>
            </w:r>
          </w:p>
        </w:tc>
        <w:tc>
          <w:tcPr>
            <w:tcW w:w="1660" w:type="dxa"/>
            <w:vAlign w:val="bottom"/>
          </w:tcPr>
          <w:p>
            <w:pPr>
              <w:jc w:val="right"/>
              <w:spacing w:after="0"/>
              <w:rPr>
                <w:sz w:val="20"/>
                <w:szCs w:val="20"/>
                <w:color w:val="auto"/>
              </w:rPr>
            </w:pPr>
            <w:r>
              <w:rPr>
                <w:rFonts w:ascii="Arial" w:cs="Arial" w:eastAsia="Arial" w:hAnsi="Arial"/>
                <w:sz w:val="16"/>
                <w:szCs w:val="16"/>
                <w:color w:val="auto"/>
              </w:rPr>
              <w:t>4.20</w:t>
            </w:r>
          </w:p>
        </w:tc>
        <w:tc>
          <w:tcPr>
            <w:tcW w:w="1740" w:type="dxa"/>
            <w:vAlign w:val="bottom"/>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December 14,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1.74</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2,264,100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1,129,547</w:t>
            </w:r>
          </w:p>
        </w:tc>
        <w:tc>
          <w:tcPr>
            <w:tcW w:w="1660" w:type="dxa"/>
            <w:vAlign w:val="bottom"/>
          </w:tcPr>
          <w:p>
            <w:pPr>
              <w:jc w:val="right"/>
              <w:spacing w:after="0"/>
              <w:rPr>
                <w:sz w:val="20"/>
                <w:szCs w:val="20"/>
                <w:color w:val="auto"/>
              </w:rPr>
            </w:pPr>
            <w:r>
              <w:rPr>
                <w:rFonts w:ascii="Arial" w:cs="Arial" w:eastAsia="Arial" w:hAnsi="Arial"/>
                <w:sz w:val="16"/>
                <w:szCs w:val="16"/>
                <w:color w:val="auto"/>
              </w:rPr>
              <w:t>4.21</w:t>
            </w:r>
          </w:p>
        </w:tc>
        <w:tc>
          <w:tcPr>
            <w:tcW w:w="1740" w:type="dxa"/>
            <w:vAlign w:val="bottom"/>
          </w:tcPr>
          <w:p>
            <w:pPr>
              <w:jc w:val="right"/>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December 28,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1.89</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760,000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380,000</w:t>
            </w:r>
          </w:p>
        </w:tc>
        <w:tc>
          <w:tcPr>
            <w:tcW w:w="1660" w:type="dxa"/>
            <w:vAlign w:val="bottom"/>
          </w:tcPr>
          <w:p>
            <w:pPr>
              <w:jc w:val="right"/>
              <w:spacing w:after="0"/>
              <w:rPr>
                <w:sz w:val="20"/>
                <w:szCs w:val="20"/>
                <w:color w:val="auto"/>
              </w:rPr>
            </w:pPr>
            <w:r>
              <w:rPr>
                <w:rFonts w:ascii="Arial" w:cs="Arial" w:eastAsia="Arial" w:hAnsi="Arial"/>
                <w:sz w:val="16"/>
                <w:szCs w:val="16"/>
                <w:color w:val="auto"/>
              </w:rPr>
              <w:t>4.25</w:t>
            </w:r>
          </w:p>
        </w:tc>
        <w:tc>
          <w:tcPr>
            <w:tcW w:w="1740" w:type="dxa"/>
            <w:vAlign w:val="bottom"/>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January 2,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1.89</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225,000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84,375</w:t>
            </w:r>
          </w:p>
        </w:tc>
        <w:tc>
          <w:tcPr>
            <w:tcW w:w="1660" w:type="dxa"/>
            <w:vAlign w:val="bottom"/>
          </w:tcPr>
          <w:p>
            <w:pPr>
              <w:jc w:val="right"/>
              <w:spacing w:after="0"/>
              <w:rPr>
                <w:sz w:val="20"/>
                <w:szCs w:val="20"/>
                <w:color w:val="auto"/>
              </w:rPr>
            </w:pPr>
            <w:r>
              <w:rPr>
                <w:rFonts w:ascii="Arial" w:cs="Arial" w:eastAsia="Arial" w:hAnsi="Arial"/>
                <w:sz w:val="16"/>
                <w:szCs w:val="16"/>
                <w:color w:val="auto"/>
              </w:rPr>
              <w:t>4.26</w:t>
            </w:r>
          </w:p>
        </w:tc>
        <w:tc>
          <w:tcPr>
            <w:tcW w:w="174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February 15,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2.03</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170,000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54,375</w:t>
            </w:r>
          </w:p>
        </w:tc>
        <w:tc>
          <w:tcPr>
            <w:tcW w:w="1660" w:type="dxa"/>
            <w:vAlign w:val="bottom"/>
          </w:tcPr>
          <w:p>
            <w:pPr>
              <w:jc w:val="right"/>
              <w:spacing w:after="0"/>
              <w:rPr>
                <w:sz w:val="20"/>
                <w:szCs w:val="20"/>
                <w:color w:val="auto"/>
              </w:rPr>
            </w:pPr>
            <w:r>
              <w:rPr>
                <w:rFonts w:ascii="Arial" w:cs="Arial" w:eastAsia="Arial" w:hAnsi="Arial"/>
                <w:sz w:val="16"/>
                <w:szCs w:val="16"/>
                <w:color w:val="auto"/>
              </w:rPr>
              <w:t>4.38</w:t>
            </w:r>
          </w:p>
        </w:tc>
        <w:tc>
          <w:tcPr>
            <w:tcW w:w="174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February 16,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2.03</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150,000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56,250</w:t>
            </w:r>
          </w:p>
        </w:tc>
        <w:tc>
          <w:tcPr>
            <w:tcW w:w="1660" w:type="dxa"/>
            <w:vAlign w:val="bottom"/>
          </w:tcPr>
          <w:p>
            <w:pPr>
              <w:jc w:val="right"/>
              <w:spacing w:after="0"/>
              <w:rPr>
                <w:sz w:val="20"/>
                <w:szCs w:val="20"/>
                <w:color w:val="auto"/>
              </w:rPr>
            </w:pPr>
            <w:r>
              <w:rPr>
                <w:rFonts w:ascii="Arial" w:cs="Arial" w:eastAsia="Arial" w:hAnsi="Arial"/>
                <w:sz w:val="16"/>
                <w:szCs w:val="16"/>
                <w:color w:val="auto"/>
              </w:rPr>
              <w:t>4.38</w:t>
            </w:r>
          </w:p>
        </w:tc>
        <w:tc>
          <w:tcPr>
            <w:tcW w:w="174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March 10,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1.39</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1,870,900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1,535,958</w:t>
            </w:r>
          </w:p>
        </w:tc>
        <w:tc>
          <w:tcPr>
            <w:tcW w:w="1660" w:type="dxa"/>
            <w:vAlign w:val="bottom"/>
          </w:tcPr>
          <w:p>
            <w:pPr>
              <w:jc w:val="right"/>
              <w:spacing w:after="0"/>
              <w:rPr>
                <w:sz w:val="20"/>
                <w:szCs w:val="20"/>
                <w:color w:val="auto"/>
              </w:rPr>
            </w:pPr>
            <w:r>
              <w:rPr>
                <w:rFonts w:ascii="Arial" w:cs="Arial" w:eastAsia="Arial" w:hAnsi="Arial"/>
                <w:sz w:val="16"/>
                <w:szCs w:val="16"/>
                <w:color w:val="auto"/>
              </w:rPr>
              <w:t>4.44</w:t>
            </w:r>
          </w:p>
        </w:tc>
        <w:tc>
          <w:tcPr>
            <w:tcW w:w="1740" w:type="dxa"/>
            <w:vAlign w:val="bottom"/>
          </w:tcPr>
          <w:p>
            <w:pPr>
              <w:jc w:val="right"/>
              <w:spacing w:after="0"/>
              <w:rPr>
                <w:sz w:val="20"/>
                <w:szCs w:val="20"/>
                <w:color w:val="auto"/>
              </w:rPr>
            </w:pPr>
            <w:r>
              <w:rPr>
                <w:rFonts w:ascii="Arial" w:cs="Arial" w:eastAsia="Arial" w:hAnsi="Arial"/>
                <w:sz w:val="16"/>
                <w:szCs w:val="16"/>
                <w:color w:val="auto"/>
              </w:rPr>
              <w:t>1,690</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March 15,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1.55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112,500</w:t>
            </w:r>
          </w:p>
        </w:tc>
        <w:tc>
          <w:tcPr>
            <w:tcW w:w="1660" w:type="dxa"/>
            <w:vAlign w:val="bottom"/>
          </w:tcPr>
          <w:p>
            <w:pPr>
              <w:jc w:val="right"/>
              <w:spacing w:after="0"/>
              <w:rPr>
                <w:sz w:val="20"/>
                <w:szCs w:val="20"/>
                <w:color w:val="auto"/>
              </w:rPr>
            </w:pPr>
            <w:r>
              <w:rPr>
                <w:rFonts w:ascii="Arial" w:cs="Arial" w:eastAsia="Arial" w:hAnsi="Arial"/>
                <w:sz w:val="16"/>
                <w:szCs w:val="16"/>
                <w:color w:val="auto"/>
              </w:rPr>
              <w:t>4.46</w:t>
            </w:r>
          </w:p>
        </w:tc>
        <w:tc>
          <w:tcPr>
            <w:tcW w:w="174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March 28,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1.36</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2,075,000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1,071,875</w:t>
            </w:r>
          </w:p>
        </w:tc>
        <w:tc>
          <w:tcPr>
            <w:tcW w:w="1660" w:type="dxa"/>
            <w:vAlign w:val="bottom"/>
          </w:tcPr>
          <w:p>
            <w:pPr>
              <w:jc w:val="right"/>
              <w:spacing w:after="0"/>
              <w:rPr>
                <w:sz w:val="20"/>
                <w:szCs w:val="20"/>
                <w:color w:val="auto"/>
              </w:rPr>
            </w:pPr>
            <w:r>
              <w:rPr>
                <w:rFonts w:ascii="Arial" w:cs="Arial" w:eastAsia="Arial" w:hAnsi="Arial"/>
                <w:sz w:val="16"/>
                <w:szCs w:val="16"/>
                <w:color w:val="auto"/>
              </w:rPr>
              <w:t>4.49</w:t>
            </w:r>
          </w:p>
        </w:tc>
        <w:tc>
          <w:tcPr>
            <w:tcW w:w="1740" w:type="dxa"/>
            <w:vAlign w:val="bottom"/>
          </w:tcPr>
          <w:p>
            <w:pPr>
              <w:jc w:val="right"/>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March 29,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1.32</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37,500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37,500</w:t>
            </w:r>
          </w:p>
        </w:tc>
        <w:tc>
          <w:tcPr>
            <w:tcW w:w="1660" w:type="dxa"/>
            <w:vAlign w:val="bottom"/>
          </w:tcPr>
          <w:p>
            <w:pPr>
              <w:jc w:val="right"/>
              <w:spacing w:after="0"/>
              <w:rPr>
                <w:sz w:val="20"/>
                <w:szCs w:val="20"/>
                <w:color w:val="auto"/>
              </w:rPr>
            </w:pPr>
            <w:r>
              <w:rPr>
                <w:rFonts w:ascii="Arial" w:cs="Arial" w:eastAsia="Arial" w:hAnsi="Arial"/>
                <w:sz w:val="16"/>
                <w:szCs w:val="16"/>
                <w:color w:val="auto"/>
              </w:rPr>
              <w:t>4.50</w:t>
            </w:r>
          </w:p>
        </w:tc>
        <w:tc>
          <w:tcPr>
            <w:tcW w:w="17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March 31,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1.35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345,000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79,375</w:t>
            </w:r>
          </w:p>
        </w:tc>
        <w:tc>
          <w:tcPr>
            <w:tcW w:w="1660" w:type="dxa"/>
            <w:vAlign w:val="bottom"/>
          </w:tcPr>
          <w:p>
            <w:pPr>
              <w:jc w:val="right"/>
              <w:spacing w:after="0"/>
              <w:rPr>
                <w:sz w:val="20"/>
                <w:szCs w:val="20"/>
                <w:color w:val="auto"/>
              </w:rPr>
            </w:pPr>
            <w:r>
              <w:rPr>
                <w:rFonts w:ascii="Arial" w:cs="Arial" w:eastAsia="Arial" w:hAnsi="Arial"/>
                <w:sz w:val="16"/>
                <w:szCs w:val="16"/>
                <w:color w:val="auto"/>
              </w:rPr>
              <w:t>4.50</w:t>
            </w:r>
          </w:p>
        </w:tc>
        <w:tc>
          <w:tcPr>
            <w:tcW w:w="174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June 28,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2.90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3,784,000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563,625</w:t>
            </w:r>
          </w:p>
        </w:tc>
        <w:tc>
          <w:tcPr>
            <w:tcW w:w="1660" w:type="dxa"/>
            <w:vAlign w:val="bottom"/>
          </w:tcPr>
          <w:p>
            <w:pPr>
              <w:jc w:val="right"/>
              <w:spacing w:after="0"/>
              <w:rPr>
                <w:sz w:val="20"/>
                <w:szCs w:val="20"/>
                <w:color w:val="auto"/>
              </w:rPr>
            </w:pPr>
            <w:r>
              <w:rPr>
                <w:rFonts w:ascii="Arial" w:cs="Arial" w:eastAsia="Arial" w:hAnsi="Arial"/>
                <w:sz w:val="16"/>
                <w:szCs w:val="16"/>
                <w:color w:val="auto"/>
              </w:rPr>
              <w:t>4.75</w:t>
            </w:r>
          </w:p>
        </w:tc>
        <w:tc>
          <w:tcPr>
            <w:tcW w:w="1740" w:type="dxa"/>
            <w:vAlign w:val="bottom"/>
          </w:tcPr>
          <w:p>
            <w:pPr>
              <w:jc w:val="right"/>
              <w:spacing w:after="0"/>
              <w:rPr>
                <w:sz w:val="20"/>
                <w:szCs w:val="20"/>
                <w:color w:val="auto"/>
              </w:rPr>
            </w:pPr>
            <w:r>
              <w:rPr>
                <w:rFonts w:ascii="Arial" w:cs="Arial" w:eastAsia="Arial" w:hAnsi="Arial"/>
                <w:sz w:val="16"/>
                <w:szCs w:val="16"/>
                <w:color w:val="auto"/>
              </w:rPr>
              <w:t>3,881</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August 16,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2.48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215,000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26,875</w:t>
            </w:r>
          </w:p>
        </w:tc>
        <w:tc>
          <w:tcPr>
            <w:tcW w:w="1660" w:type="dxa"/>
            <w:vAlign w:val="bottom"/>
          </w:tcPr>
          <w:p>
            <w:pPr>
              <w:jc w:val="right"/>
              <w:spacing w:after="0"/>
              <w:rPr>
                <w:sz w:val="20"/>
                <w:szCs w:val="20"/>
                <w:color w:val="auto"/>
              </w:rPr>
            </w:pPr>
            <w:r>
              <w:rPr>
                <w:rFonts w:ascii="Arial" w:cs="Arial" w:eastAsia="Arial" w:hAnsi="Arial"/>
                <w:sz w:val="16"/>
                <w:szCs w:val="16"/>
                <w:color w:val="auto"/>
              </w:rPr>
              <w:t>4.88</w:t>
            </w:r>
          </w:p>
        </w:tc>
        <w:tc>
          <w:tcPr>
            <w:tcW w:w="174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August 18,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2.48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37,500</w:t>
            </w:r>
          </w:p>
        </w:tc>
        <w:tc>
          <w:tcPr>
            <w:tcW w:w="1660" w:type="dxa"/>
            <w:vAlign w:val="bottom"/>
          </w:tcPr>
          <w:p>
            <w:pPr>
              <w:jc w:val="right"/>
              <w:spacing w:after="0"/>
              <w:rPr>
                <w:sz w:val="20"/>
                <w:szCs w:val="20"/>
                <w:color w:val="auto"/>
              </w:rPr>
            </w:pPr>
            <w:r>
              <w:rPr>
                <w:rFonts w:ascii="Arial" w:cs="Arial" w:eastAsia="Arial" w:hAnsi="Arial"/>
                <w:sz w:val="16"/>
                <w:szCs w:val="16"/>
                <w:color w:val="auto"/>
              </w:rPr>
              <w:t>4.88</w:t>
            </w:r>
          </w:p>
        </w:tc>
        <w:tc>
          <w:tcPr>
            <w:tcW w:w="174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September 27,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3.15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585,000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4.99</w:t>
            </w:r>
          </w:p>
        </w:tc>
        <w:tc>
          <w:tcPr>
            <w:tcW w:w="17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September 27,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2.87</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195,000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24,375</w:t>
            </w:r>
          </w:p>
        </w:tc>
        <w:tc>
          <w:tcPr>
            <w:tcW w:w="1660" w:type="dxa"/>
            <w:vAlign w:val="bottom"/>
          </w:tcPr>
          <w:p>
            <w:pPr>
              <w:jc w:val="right"/>
              <w:spacing w:after="0"/>
              <w:rPr>
                <w:sz w:val="20"/>
                <w:szCs w:val="20"/>
                <w:color w:val="auto"/>
              </w:rPr>
            </w:pPr>
            <w:r>
              <w:rPr>
                <w:rFonts w:ascii="Arial" w:cs="Arial" w:eastAsia="Arial" w:hAnsi="Arial"/>
                <w:sz w:val="16"/>
                <w:szCs w:val="16"/>
                <w:color w:val="auto"/>
              </w:rPr>
              <w:t>4.99</w:t>
            </w:r>
          </w:p>
        </w:tc>
        <w:tc>
          <w:tcPr>
            <w:tcW w:w="17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September 30, 2026</w:t>
            </w:r>
          </w:p>
        </w:tc>
        <w:tc>
          <w:tcPr>
            <w:tcW w:w="18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3.15</w:t>
            </w:r>
          </w:p>
        </w:tc>
        <w:tc>
          <w:tcPr>
            <w:tcW w:w="17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450,000</w:t>
            </w:r>
          </w:p>
        </w:tc>
        <w:tc>
          <w:tcPr>
            <w:tcW w:w="17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60" w:type="dxa"/>
            <w:vAlign w:val="bottom"/>
          </w:tcPr>
          <w:p>
            <w:pPr>
              <w:jc w:val="right"/>
              <w:ind w:right="78"/>
              <w:spacing w:after="0"/>
              <w:rPr>
                <w:sz w:val="20"/>
                <w:szCs w:val="20"/>
                <w:color w:val="auto"/>
              </w:rPr>
            </w:pPr>
            <w:r>
              <w:rPr>
                <w:rFonts w:ascii="Arial" w:cs="Arial" w:eastAsia="Arial" w:hAnsi="Arial"/>
                <w:sz w:val="16"/>
                <w:szCs w:val="16"/>
                <w:b w:val="1"/>
                <w:bCs w:val="1"/>
                <w:color w:val="auto"/>
              </w:rPr>
              <w:t>27,707,702</w:t>
            </w:r>
          </w:p>
        </w:tc>
        <w:tc>
          <w:tcPr>
            <w:tcW w:w="1760" w:type="dxa"/>
            <w:vAlign w:val="bottom"/>
          </w:tcPr>
          <w:p>
            <w:pPr>
              <w:jc w:val="right"/>
              <w:ind w:right="98"/>
              <w:spacing w:after="0"/>
              <w:rPr>
                <w:sz w:val="20"/>
                <w:szCs w:val="20"/>
                <w:color w:val="auto"/>
              </w:rPr>
            </w:pPr>
            <w:r>
              <w:rPr>
                <w:rFonts w:ascii="Arial" w:cs="Arial" w:eastAsia="Arial" w:hAnsi="Arial"/>
                <w:sz w:val="16"/>
                <w:szCs w:val="16"/>
                <w:b w:val="1"/>
                <w:bCs w:val="1"/>
                <w:color w:val="auto"/>
              </w:rPr>
              <w:t>12,736,998</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4.16</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17,060</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The Company recognized share-based payments expense related to the issuance of stock options for the three and six months ended September 30, 2021 of $5,384 and $10,052 respectively.</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at September 30, 2021, the Company has 5,962,500 options held in escrow (March 31, 2021 - 8,475,000).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18 of 25</w:t>
      </w:r>
    </w:p>
    <w:p>
      <w:pPr>
        <w:sectPr>
          <w:pgSz w:w="11900" w:h="16838" w:orient="portrait"/>
          <w:cols w:equalWidth="0" w:num="1">
            <w:col w:w="11200"/>
          </w:cols>
          <w:pgMar w:left="380" w:top="171" w:right="319" w:bottom="1440" w:gutter="0" w:footer="0" w:header="0"/>
        </w:sectPr>
      </w:pPr>
    </w:p>
    <w:bookmarkStart w:id="21" w:name="page22"/>
    <w:bookmarkEnd w:id="21"/>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outstanding options and warrants disclosed above were anti-dilutive for the current period and did not impact the calculation of the loss per share.</w:t>
      </w:r>
    </w:p>
    <w:p>
      <w:pPr>
        <w:spacing w:after="0" w:line="163" w:lineRule="exact"/>
        <w:rPr>
          <w:sz w:val="20"/>
          <w:szCs w:val="20"/>
          <w:color w:val="auto"/>
        </w:rPr>
      </w:pPr>
    </w:p>
    <w:p>
      <w:pPr>
        <w:ind w:left="322" w:hanging="322"/>
        <w:spacing w:after="0"/>
        <w:tabs>
          <w:tab w:leader="none" w:pos="322" w:val="left"/>
        </w:tabs>
        <w:numPr>
          <w:ilvl w:val="0"/>
          <w:numId w:val="10"/>
        </w:numPr>
        <w:rPr>
          <w:rFonts w:ascii="Arial" w:cs="Arial" w:eastAsia="Arial" w:hAnsi="Arial"/>
          <w:sz w:val="16"/>
          <w:szCs w:val="16"/>
          <w:b w:val="1"/>
          <w:bCs w:val="1"/>
          <w:color w:val="2D5F91"/>
        </w:rPr>
      </w:pPr>
      <w:r>
        <w:rPr>
          <w:rFonts w:ascii="Arial" w:cs="Arial" w:eastAsia="Arial" w:hAnsi="Arial"/>
          <w:sz w:val="16"/>
          <w:szCs w:val="16"/>
          <w:b w:val="1"/>
          <w:bCs w:val="1"/>
          <w:color w:val="2D5F91"/>
        </w:rPr>
        <w:t>RELATED PARTY TRANSACTIONS AND BALANCES</w:t>
      </w:r>
    </w:p>
    <w:p>
      <w:pPr>
        <w:spacing w:after="0" w:line="191"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Key management personnel include persons having the authority and responsibility for planning, directing, and controlling the activities of the Company as a whole. The Company has determined its key management personnel to be executive officers and directors of the Company.</w:t>
      </w:r>
    </w:p>
    <w:p>
      <w:pPr>
        <w:spacing w:after="0" w:line="136"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remuneration of key management personnel for the three and six months ended September 30, 2021 are as follows:</w:t>
      </w:r>
    </w:p>
    <w:p>
      <w:pPr>
        <w:spacing w:after="0" w:line="183" w:lineRule="exact"/>
        <w:rPr>
          <w:sz w:val="20"/>
          <w:szCs w:val="20"/>
          <w:color w:val="auto"/>
        </w:rPr>
      </w:pPr>
    </w:p>
    <w:tbl>
      <w:tblPr>
        <w:tblLayout w:type="fixed"/>
        <w:tblInd w:w="302"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3960" w:type="dxa"/>
            <w:vAlign w:val="bottom"/>
            <w:gridSpan w:val="2"/>
          </w:tcPr>
          <w:p>
            <w:pPr>
              <w:jc w:val="right"/>
              <w:ind w:right="398"/>
              <w:spacing w:after="0"/>
              <w:rPr>
                <w:sz w:val="20"/>
                <w:szCs w:val="20"/>
                <w:color w:val="auto"/>
              </w:rPr>
            </w:pPr>
            <w:r>
              <w:rPr>
                <w:rFonts w:ascii="Arial" w:cs="Arial" w:eastAsia="Arial" w:hAnsi="Arial"/>
                <w:sz w:val="16"/>
                <w:szCs w:val="16"/>
                <w:b w:val="1"/>
                <w:bCs w:val="1"/>
                <w:color w:val="auto"/>
              </w:rPr>
              <w:t>Three-months ended September</w:t>
            </w:r>
          </w:p>
        </w:tc>
        <w:tc>
          <w:tcPr>
            <w:tcW w:w="244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Six-months ended</w:t>
            </w:r>
          </w:p>
        </w:tc>
        <w:tc>
          <w:tcPr>
            <w:tcW w:w="0" w:type="dxa"/>
            <w:vAlign w:val="bottom"/>
          </w:tcPr>
          <w:p>
            <w:pPr>
              <w:spacing w:after="0"/>
              <w:rPr>
                <w:sz w:val="1"/>
                <w:szCs w:val="1"/>
                <w:color w:val="auto"/>
              </w:rPr>
            </w:pPr>
          </w:p>
        </w:tc>
      </w:tr>
      <w:tr>
        <w:trPr>
          <w:trHeight w:val="199"/>
        </w:trPr>
        <w:tc>
          <w:tcPr>
            <w:tcW w:w="41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20" w:type="dxa"/>
            <w:vAlign w:val="bottom"/>
          </w:tcPr>
          <w:p>
            <w:pPr>
              <w:jc w:val="right"/>
              <w:ind w:right="398"/>
              <w:spacing w:after="0"/>
              <w:rPr>
                <w:sz w:val="20"/>
                <w:szCs w:val="20"/>
                <w:color w:val="auto"/>
              </w:rPr>
            </w:pPr>
            <w:r>
              <w:rPr>
                <w:rFonts w:ascii="Arial" w:cs="Arial" w:eastAsia="Arial" w:hAnsi="Arial"/>
                <w:sz w:val="16"/>
                <w:szCs w:val="16"/>
                <w:b w:val="1"/>
                <w:bCs w:val="1"/>
                <w:color w:val="auto"/>
              </w:rPr>
              <w:t>30,</w:t>
            </w:r>
          </w:p>
        </w:tc>
        <w:tc>
          <w:tcPr>
            <w:tcW w:w="1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8"/>
        </w:trPr>
        <w:tc>
          <w:tcPr>
            <w:tcW w:w="4100" w:type="dxa"/>
            <w:vAlign w:val="bottom"/>
          </w:tcPr>
          <w:p>
            <w:pPr>
              <w:spacing w:after="0"/>
              <w:rPr>
                <w:sz w:val="18"/>
                <w:szCs w:val="18"/>
                <w:color w:val="auto"/>
              </w:rPr>
            </w:pPr>
          </w:p>
        </w:tc>
        <w:tc>
          <w:tcPr>
            <w:tcW w:w="2540" w:type="dxa"/>
            <w:vAlign w:val="bottom"/>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1420" w:type="dxa"/>
            <w:vAlign w:val="bottom"/>
          </w:tcPr>
          <w:p>
            <w:pPr>
              <w:jc w:val="right"/>
              <w:ind w:right="398"/>
              <w:spacing w:after="0"/>
              <w:rPr>
                <w:sz w:val="20"/>
                <w:szCs w:val="20"/>
                <w:color w:val="auto"/>
              </w:rPr>
            </w:pPr>
            <w:r>
              <w:rPr>
                <w:rFonts w:ascii="Arial" w:cs="Arial" w:eastAsia="Arial" w:hAnsi="Arial"/>
                <w:sz w:val="16"/>
                <w:szCs w:val="16"/>
                <w:b w:val="1"/>
                <w:bCs w:val="1"/>
                <w:color w:val="auto"/>
              </w:rPr>
              <w:t>2020</w:t>
            </w:r>
          </w:p>
        </w:tc>
        <w:tc>
          <w:tcPr>
            <w:tcW w:w="1120" w:type="dxa"/>
            <w:vAlign w:val="bottom"/>
          </w:tcPr>
          <w:p>
            <w:pPr>
              <w:jc w:val="right"/>
              <w:ind w:right="58"/>
              <w:spacing w:after="0"/>
              <w:rPr>
                <w:sz w:val="20"/>
                <w:szCs w:val="20"/>
                <w:color w:val="auto"/>
              </w:rPr>
            </w:pPr>
            <w:r>
              <w:rPr>
                <w:rFonts w:ascii="Arial" w:cs="Arial" w:eastAsia="Arial" w:hAnsi="Arial"/>
                <w:sz w:val="16"/>
                <w:szCs w:val="16"/>
                <w:b w:val="1"/>
                <w:bCs w:val="1"/>
                <w:color w:val="auto"/>
              </w:rPr>
              <w:t>2021</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$000’s</w:t>
            </w:r>
          </w:p>
        </w:tc>
        <w:tc>
          <w:tcPr>
            <w:tcW w:w="142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$000’s</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$000’s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208"/>
        </w:trPr>
        <w:tc>
          <w:tcPr>
            <w:tcW w:w="4100" w:type="dxa"/>
            <w:vAlign w:val="bottom"/>
          </w:tcPr>
          <w:p>
            <w:pPr>
              <w:ind w:left="60"/>
              <w:spacing w:after="0"/>
              <w:rPr>
                <w:sz w:val="20"/>
                <w:szCs w:val="20"/>
                <w:color w:val="auto"/>
              </w:rPr>
            </w:pPr>
            <w:r>
              <w:rPr>
                <w:rFonts w:ascii="Arial" w:cs="Arial" w:eastAsia="Arial" w:hAnsi="Arial"/>
                <w:sz w:val="16"/>
                <w:szCs w:val="16"/>
                <w:color w:val="auto"/>
              </w:rPr>
              <w:t>Consulting fees, payroll and other benefits</w:t>
            </w:r>
          </w:p>
        </w:tc>
        <w:tc>
          <w:tcPr>
            <w:tcW w:w="2540" w:type="dxa"/>
            <w:vAlign w:val="bottom"/>
          </w:tcPr>
          <w:p>
            <w:pPr>
              <w:jc w:val="right"/>
              <w:ind w:right="378"/>
              <w:spacing w:after="0"/>
              <w:rPr>
                <w:sz w:val="20"/>
                <w:szCs w:val="20"/>
                <w:color w:val="auto"/>
              </w:rPr>
            </w:pPr>
            <w:r>
              <w:rPr>
                <w:rFonts w:ascii="Arial" w:cs="Arial" w:eastAsia="Arial" w:hAnsi="Arial"/>
                <w:sz w:val="16"/>
                <w:szCs w:val="16"/>
                <w:b w:val="1"/>
                <w:bCs w:val="1"/>
                <w:color w:val="auto"/>
              </w:rPr>
              <w:t>1,840</w:t>
            </w:r>
          </w:p>
        </w:tc>
        <w:tc>
          <w:tcPr>
            <w:tcW w:w="1420" w:type="dxa"/>
            <w:vAlign w:val="bottom"/>
          </w:tcPr>
          <w:p>
            <w:pPr>
              <w:jc w:val="right"/>
              <w:ind w:right="398"/>
              <w:spacing w:after="0"/>
              <w:rPr>
                <w:sz w:val="20"/>
                <w:szCs w:val="20"/>
                <w:color w:val="auto"/>
              </w:rPr>
            </w:pPr>
            <w:r>
              <w:rPr>
                <w:rFonts w:ascii="Arial" w:cs="Arial" w:eastAsia="Arial" w:hAnsi="Arial"/>
                <w:sz w:val="16"/>
                <w:szCs w:val="16"/>
                <w:color w:val="auto"/>
              </w:rPr>
              <w:t>397</w:t>
            </w:r>
          </w:p>
        </w:tc>
        <w:tc>
          <w:tcPr>
            <w:tcW w:w="1120" w:type="dxa"/>
            <w:vAlign w:val="bottom"/>
          </w:tcPr>
          <w:p>
            <w:pPr>
              <w:jc w:val="right"/>
              <w:ind w:right="58"/>
              <w:spacing w:after="0"/>
              <w:rPr>
                <w:sz w:val="20"/>
                <w:szCs w:val="20"/>
                <w:color w:val="auto"/>
              </w:rPr>
            </w:pPr>
            <w:r>
              <w:rPr>
                <w:rFonts w:ascii="Arial" w:cs="Arial" w:eastAsia="Arial" w:hAnsi="Arial"/>
                <w:sz w:val="16"/>
                <w:szCs w:val="16"/>
                <w:b w:val="1"/>
                <w:bCs w:val="1"/>
                <w:color w:val="auto"/>
              </w:rPr>
              <w:t>2,963</w:t>
            </w:r>
          </w:p>
        </w:tc>
        <w:tc>
          <w:tcPr>
            <w:tcW w:w="1320" w:type="dxa"/>
            <w:vAlign w:val="bottom"/>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199"/>
        </w:trPr>
        <w:tc>
          <w:tcPr>
            <w:tcW w:w="4100" w:type="dxa"/>
            <w:vAlign w:val="bottom"/>
          </w:tcPr>
          <w:p>
            <w:pPr>
              <w:ind w:left="60"/>
              <w:spacing w:after="0"/>
              <w:rPr>
                <w:sz w:val="20"/>
                <w:szCs w:val="20"/>
                <w:color w:val="auto"/>
              </w:rPr>
            </w:pPr>
            <w:r>
              <w:rPr>
                <w:rFonts w:ascii="Arial" w:cs="Arial" w:eastAsia="Arial" w:hAnsi="Arial"/>
                <w:sz w:val="16"/>
                <w:szCs w:val="16"/>
                <w:color w:val="auto"/>
              </w:rPr>
              <w:t>Share-based payments</w:t>
            </w:r>
          </w:p>
        </w:tc>
        <w:tc>
          <w:tcPr>
            <w:tcW w:w="2540" w:type="dxa"/>
            <w:vAlign w:val="bottom"/>
            <w:vMerge w:val="restart"/>
          </w:tcPr>
          <w:p>
            <w:pPr>
              <w:jc w:val="right"/>
              <w:ind w:right="378"/>
              <w:spacing w:after="0"/>
              <w:rPr>
                <w:sz w:val="20"/>
                <w:szCs w:val="20"/>
                <w:color w:val="auto"/>
              </w:rPr>
            </w:pPr>
            <w:r>
              <w:rPr>
                <w:rFonts w:ascii="Arial" w:cs="Arial" w:eastAsia="Arial" w:hAnsi="Arial"/>
                <w:sz w:val="16"/>
                <w:szCs w:val="16"/>
                <w:b w:val="1"/>
                <w:bCs w:val="1"/>
                <w:color w:val="auto"/>
              </w:rPr>
              <w:t>2,868</w:t>
            </w:r>
          </w:p>
        </w:tc>
        <w:tc>
          <w:tcPr>
            <w:tcW w:w="1420" w:type="dxa"/>
            <w:vAlign w:val="bottom"/>
          </w:tcPr>
          <w:p>
            <w:pPr>
              <w:spacing w:after="0"/>
              <w:rPr>
                <w:sz w:val="17"/>
                <w:szCs w:val="17"/>
                <w:color w:val="auto"/>
              </w:rPr>
            </w:pPr>
          </w:p>
        </w:tc>
        <w:tc>
          <w:tcPr>
            <w:tcW w:w="1120" w:type="dxa"/>
            <w:vAlign w:val="bottom"/>
            <w:vMerge w:val="restart"/>
          </w:tcPr>
          <w:p>
            <w:pPr>
              <w:jc w:val="right"/>
              <w:ind w:right="58"/>
              <w:spacing w:after="0"/>
              <w:rPr>
                <w:sz w:val="20"/>
                <w:szCs w:val="20"/>
                <w:color w:val="auto"/>
              </w:rPr>
            </w:pPr>
            <w:r>
              <w:rPr>
                <w:rFonts w:ascii="Arial" w:cs="Arial" w:eastAsia="Arial" w:hAnsi="Arial"/>
                <w:sz w:val="16"/>
                <w:szCs w:val="16"/>
                <w:b w:val="1"/>
                <w:bCs w:val="1"/>
                <w:color w:val="auto"/>
              </w:rPr>
              <w:t>4,979</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00" w:type="dxa"/>
            <w:vAlign w:val="bottom"/>
          </w:tcPr>
          <w:p>
            <w:pPr>
              <w:ind w:left="240"/>
              <w:spacing w:after="0"/>
              <w:rPr>
                <w:sz w:val="20"/>
                <w:szCs w:val="20"/>
                <w:color w:val="auto"/>
              </w:rPr>
            </w:pPr>
            <w:r>
              <w:rPr>
                <w:rFonts w:ascii="Arial" w:cs="Arial" w:eastAsia="Arial" w:hAnsi="Arial"/>
                <w:sz w:val="16"/>
                <w:szCs w:val="16"/>
                <w:color w:val="auto"/>
              </w:rPr>
              <w:t>Options</w:t>
            </w:r>
          </w:p>
        </w:tc>
        <w:tc>
          <w:tcPr>
            <w:tcW w:w="2540" w:type="dxa"/>
            <w:vAlign w:val="bottom"/>
            <w:vMerge w:val="continue"/>
          </w:tcPr>
          <w:p>
            <w:pPr>
              <w:spacing w:after="0"/>
              <w:rPr>
                <w:sz w:val="17"/>
                <w:szCs w:val="17"/>
                <w:color w:val="auto"/>
              </w:rPr>
            </w:pPr>
          </w:p>
        </w:tc>
        <w:tc>
          <w:tcPr>
            <w:tcW w:w="1420" w:type="dxa"/>
            <w:vAlign w:val="bottom"/>
          </w:tcPr>
          <w:p>
            <w:pPr>
              <w:jc w:val="right"/>
              <w:ind w:right="398"/>
              <w:spacing w:after="0"/>
              <w:rPr>
                <w:sz w:val="20"/>
                <w:szCs w:val="20"/>
                <w:color w:val="auto"/>
              </w:rPr>
            </w:pPr>
            <w:r>
              <w:rPr>
                <w:rFonts w:ascii="Arial" w:cs="Arial" w:eastAsia="Arial" w:hAnsi="Arial"/>
                <w:sz w:val="16"/>
                <w:szCs w:val="16"/>
                <w:color w:val="auto"/>
              </w:rPr>
              <w:t>94</w:t>
            </w:r>
          </w:p>
        </w:tc>
        <w:tc>
          <w:tcPr>
            <w:tcW w:w="1120" w:type="dxa"/>
            <w:vAlign w:val="bottom"/>
            <w:vMerge w:val="continue"/>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Warrants</w:t>
            </w:r>
          </w:p>
        </w:tc>
        <w:tc>
          <w:tcPr>
            <w:tcW w:w="25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28</w:t>
            </w:r>
          </w:p>
        </w:tc>
        <w:tc>
          <w:tcPr>
            <w:tcW w:w="142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69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201"/>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25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4,736</w:t>
            </w:r>
          </w:p>
        </w:tc>
        <w:tc>
          <w:tcPr>
            <w:tcW w:w="142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color w:val="auto"/>
              </w:rPr>
              <w:t>491</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8,011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2,929</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02" w:hanging="402"/>
        <w:spacing w:after="0"/>
        <w:tabs>
          <w:tab w:leader="none" w:pos="402" w:val="left"/>
        </w:tabs>
        <w:numPr>
          <w:ilvl w:val="0"/>
          <w:numId w:val="11"/>
        </w:numPr>
        <w:rPr>
          <w:rFonts w:ascii="Arial" w:cs="Arial" w:eastAsia="Arial" w:hAnsi="Arial"/>
          <w:sz w:val="16"/>
          <w:szCs w:val="16"/>
          <w:b w:val="1"/>
          <w:bCs w:val="1"/>
          <w:color w:val="2D5F91"/>
        </w:rPr>
      </w:pPr>
      <w:r>
        <w:rPr>
          <w:rFonts w:ascii="Arial" w:cs="Arial" w:eastAsia="Arial" w:hAnsi="Arial"/>
          <w:sz w:val="16"/>
          <w:szCs w:val="16"/>
          <w:b w:val="1"/>
          <w:bCs w:val="1"/>
          <w:color w:val="2D5F91"/>
        </w:rPr>
        <w:t>GENERAL AND ADMINISTRATIVE EXPENSES</w:t>
      </w:r>
    </w:p>
    <w:p>
      <w:pPr>
        <w:spacing w:after="0" w:line="48" w:lineRule="exact"/>
        <w:rPr>
          <w:sz w:val="20"/>
          <w:szCs w:val="20"/>
          <w:color w:val="auto"/>
        </w:rPr>
      </w:pPr>
    </w:p>
    <w:tbl>
      <w:tblPr>
        <w:tblLayout w:type="fixed"/>
        <w:tblInd w:w="242"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4220" w:type="dxa"/>
            <w:vAlign w:val="bottom"/>
            <w:gridSpan w:val="2"/>
          </w:tcPr>
          <w:p>
            <w:pPr>
              <w:jc w:val="right"/>
              <w:ind w:right="38"/>
              <w:spacing w:after="0"/>
              <w:rPr>
                <w:sz w:val="20"/>
                <w:szCs w:val="20"/>
                <w:color w:val="auto"/>
              </w:rPr>
            </w:pPr>
            <w:r>
              <w:rPr>
                <w:rFonts w:ascii="Arial" w:cs="Arial" w:eastAsia="Arial" w:hAnsi="Arial"/>
                <w:sz w:val="16"/>
                <w:szCs w:val="16"/>
                <w:b w:val="1"/>
                <w:bCs w:val="1"/>
                <w:color w:val="auto"/>
              </w:rPr>
              <w:t>Three-months ended September 30,</w:t>
            </w:r>
          </w:p>
        </w:tc>
        <w:tc>
          <w:tcPr>
            <w:tcW w:w="274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Six-months ended September 30,</w:t>
            </w:r>
          </w:p>
        </w:tc>
      </w:tr>
      <w:tr>
        <w:trPr>
          <w:trHeight w:val="208"/>
        </w:trPr>
        <w:tc>
          <w:tcPr>
            <w:tcW w:w="3740" w:type="dxa"/>
            <w:vAlign w:val="bottom"/>
          </w:tcPr>
          <w:p>
            <w:pPr>
              <w:spacing w:after="0"/>
              <w:rPr>
                <w:sz w:val="18"/>
                <w:szCs w:val="18"/>
                <w:color w:val="auto"/>
              </w:rPr>
            </w:pPr>
          </w:p>
        </w:tc>
        <w:tc>
          <w:tcPr>
            <w:tcW w:w="3100" w:type="dxa"/>
            <w:vAlign w:val="bottom"/>
          </w:tcPr>
          <w:p>
            <w:pPr>
              <w:jc w:val="right"/>
              <w:ind w:right="398"/>
              <w:spacing w:after="0"/>
              <w:rPr>
                <w:sz w:val="20"/>
                <w:szCs w:val="20"/>
                <w:color w:val="auto"/>
              </w:rPr>
            </w:pPr>
            <w:r>
              <w:rPr>
                <w:rFonts w:ascii="Arial" w:cs="Arial" w:eastAsia="Arial" w:hAnsi="Arial"/>
                <w:sz w:val="16"/>
                <w:szCs w:val="16"/>
                <w:b w:val="1"/>
                <w:bCs w:val="1"/>
                <w:color w:val="auto"/>
              </w:rPr>
              <w:t>2021</w:t>
            </w:r>
          </w:p>
        </w:tc>
        <w:tc>
          <w:tcPr>
            <w:tcW w:w="1120" w:type="dxa"/>
            <w:vAlign w:val="bottom"/>
          </w:tcPr>
          <w:p>
            <w:pPr>
              <w:jc w:val="right"/>
              <w:ind w:right="38"/>
              <w:spacing w:after="0"/>
              <w:rPr>
                <w:sz w:val="20"/>
                <w:szCs w:val="20"/>
                <w:color w:val="auto"/>
              </w:rPr>
            </w:pPr>
            <w:r>
              <w:rPr>
                <w:rFonts w:ascii="Arial" w:cs="Arial" w:eastAsia="Arial" w:hAnsi="Arial"/>
                <w:sz w:val="16"/>
                <w:szCs w:val="16"/>
                <w:b w:val="1"/>
                <w:bCs w:val="1"/>
                <w:color w:val="auto"/>
              </w:rPr>
              <w:t>2020</w:t>
            </w:r>
          </w:p>
        </w:tc>
        <w:tc>
          <w:tcPr>
            <w:tcW w:w="1740" w:type="dxa"/>
            <w:vAlign w:val="bottom"/>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r>
      <w:tr>
        <w:trPr>
          <w:trHeight w:val="216"/>
        </w:trPr>
        <w:tc>
          <w:tcPr>
            <w:tcW w:w="37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$000’s</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$000’s</w:t>
            </w:r>
          </w:p>
        </w:tc>
        <w:tc>
          <w:tcPr>
            <w:tcW w:w="17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$000’s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192"/>
        </w:trPr>
        <w:tc>
          <w:tcPr>
            <w:tcW w:w="3740" w:type="dxa"/>
            <w:vAlign w:val="bottom"/>
          </w:tcPr>
          <w:p>
            <w:pPr>
              <w:ind w:left="60"/>
              <w:spacing w:after="0"/>
              <w:rPr>
                <w:sz w:val="20"/>
                <w:szCs w:val="20"/>
                <w:color w:val="auto"/>
              </w:rPr>
            </w:pPr>
            <w:r>
              <w:rPr>
                <w:rFonts w:ascii="Arial" w:cs="Arial" w:eastAsia="Arial" w:hAnsi="Arial"/>
                <w:sz w:val="16"/>
                <w:szCs w:val="16"/>
                <w:color w:val="auto"/>
              </w:rPr>
              <w:t>Marketing</w:t>
            </w:r>
          </w:p>
        </w:tc>
        <w:tc>
          <w:tcPr>
            <w:tcW w:w="3100" w:type="dxa"/>
            <w:vAlign w:val="bottom"/>
          </w:tcPr>
          <w:p>
            <w:pPr>
              <w:jc w:val="right"/>
              <w:ind w:right="398"/>
              <w:spacing w:after="0"/>
              <w:rPr>
                <w:sz w:val="20"/>
                <w:szCs w:val="20"/>
                <w:color w:val="auto"/>
              </w:rPr>
            </w:pPr>
            <w:r>
              <w:rPr>
                <w:rFonts w:ascii="Arial" w:cs="Arial" w:eastAsia="Arial" w:hAnsi="Arial"/>
                <w:sz w:val="16"/>
                <w:szCs w:val="16"/>
                <w:b w:val="1"/>
                <w:bCs w:val="1"/>
                <w:color w:val="auto"/>
              </w:rPr>
              <w:t>3,450</w:t>
            </w: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367</w:t>
            </w:r>
          </w:p>
        </w:tc>
        <w:tc>
          <w:tcPr>
            <w:tcW w:w="1740" w:type="dxa"/>
            <w:vAlign w:val="bottom"/>
          </w:tcPr>
          <w:p>
            <w:pPr>
              <w:jc w:val="right"/>
              <w:ind w:right="378"/>
              <w:spacing w:after="0"/>
              <w:rPr>
                <w:sz w:val="20"/>
                <w:szCs w:val="20"/>
                <w:color w:val="auto"/>
              </w:rPr>
            </w:pPr>
            <w:r>
              <w:rPr>
                <w:rFonts w:ascii="Arial" w:cs="Arial" w:eastAsia="Arial" w:hAnsi="Arial"/>
                <w:sz w:val="16"/>
                <w:szCs w:val="16"/>
                <w:b w:val="1"/>
                <w:bCs w:val="1"/>
                <w:color w:val="auto"/>
              </w:rPr>
              <w:t>6,409</w:t>
            </w:r>
          </w:p>
        </w:tc>
        <w:tc>
          <w:tcPr>
            <w:tcW w:w="1000" w:type="dxa"/>
            <w:vAlign w:val="bottom"/>
          </w:tcPr>
          <w:p>
            <w:pPr>
              <w:jc w:val="right"/>
              <w:spacing w:after="0"/>
              <w:rPr>
                <w:sz w:val="20"/>
                <w:szCs w:val="20"/>
                <w:color w:val="auto"/>
              </w:rPr>
            </w:pPr>
            <w:r>
              <w:rPr>
                <w:rFonts w:ascii="Arial" w:cs="Arial" w:eastAsia="Arial" w:hAnsi="Arial"/>
                <w:sz w:val="16"/>
                <w:szCs w:val="16"/>
                <w:color w:val="auto"/>
              </w:rPr>
              <w:t>536</w:t>
            </w:r>
          </w:p>
        </w:tc>
      </w:tr>
      <w:tr>
        <w:trPr>
          <w:trHeight w:val="208"/>
        </w:trPr>
        <w:tc>
          <w:tcPr>
            <w:tcW w:w="3740" w:type="dxa"/>
            <w:vAlign w:val="bottom"/>
          </w:tcPr>
          <w:p>
            <w:pPr>
              <w:ind w:left="60"/>
              <w:spacing w:after="0"/>
              <w:rPr>
                <w:sz w:val="20"/>
                <w:szCs w:val="20"/>
                <w:color w:val="auto"/>
              </w:rPr>
            </w:pPr>
            <w:r>
              <w:rPr>
                <w:rFonts w:ascii="Arial" w:cs="Arial" w:eastAsia="Arial" w:hAnsi="Arial"/>
                <w:sz w:val="16"/>
                <w:szCs w:val="16"/>
                <w:color w:val="auto"/>
              </w:rPr>
              <w:t>Payroll, consulting and benefits</w:t>
            </w:r>
          </w:p>
        </w:tc>
        <w:tc>
          <w:tcPr>
            <w:tcW w:w="3100" w:type="dxa"/>
            <w:vAlign w:val="bottom"/>
          </w:tcPr>
          <w:p>
            <w:pPr>
              <w:jc w:val="right"/>
              <w:ind w:right="398"/>
              <w:spacing w:after="0"/>
              <w:rPr>
                <w:sz w:val="20"/>
                <w:szCs w:val="20"/>
                <w:color w:val="auto"/>
              </w:rPr>
            </w:pPr>
            <w:r>
              <w:rPr>
                <w:rFonts w:ascii="Arial" w:cs="Arial" w:eastAsia="Arial" w:hAnsi="Arial"/>
                <w:sz w:val="16"/>
                <w:szCs w:val="16"/>
                <w:b w:val="1"/>
                <w:bCs w:val="1"/>
                <w:color w:val="auto"/>
              </w:rPr>
              <w:t>2,349</w:t>
            </w: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387</w:t>
            </w:r>
          </w:p>
        </w:tc>
        <w:tc>
          <w:tcPr>
            <w:tcW w:w="1740" w:type="dxa"/>
            <w:vAlign w:val="bottom"/>
          </w:tcPr>
          <w:p>
            <w:pPr>
              <w:jc w:val="right"/>
              <w:ind w:right="378"/>
              <w:spacing w:after="0"/>
              <w:rPr>
                <w:sz w:val="20"/>
                <w:szCs w:val="20"/>
                <w:color w:val="auto"/>
              </w:rPr>
            </w:pPr>
            <w:r>
              <w:rPr>
                <w:rFonts w:ascii="Arial" w:cs="Arial" w:eastAsia="Arial" w:hAnsi="Arial"/>
                <w:sz w:val="16"/>
                <w:szCs w:val="16"/>
                <w:b w:val="1"/>
                <w:bCs w:val="1"/>
                <w:color w:val="auto"/>
              </w:rPr>
              <w:t>3,573</w:t>
            </w:r>
          </w:p>
        </w:tc>
        <w:tc>
          <w:tcPr>
            <w:tcW w:w="1000" w:type="dxa"/>
            <w:vAlign w:val="bottom"/>
          </w:tcPr>
          <w:p>
            <w:pPr>
              <w:jc w:val="right"/>
              <w:spacing w:after="0"/>
              <w:rPr>
                <w:sz w:val="20"/>
                <w:szCs w:val="20"/>
                <w:color w:val="auto"/>
              </w:rPr>
            </w:pPr>
            <w:r>
              <w:rPr>
                <w:rFonts w:ascii="Arial" w:cs="Arial" w:eastAsia="Arial" w:hAnsi="Arial"/>
                <w:sz w:val="16"/>
                <w:szCs w:val="16"/>
                <w:color w:val="auto"/>
              </w:rPr>
              <w:t>859</w:t>
            </w:r>
          </w:p>
        </w:tc>
      </w:tr>
      <w:tr>
        <w:trPr>
          <w:trHeight w:val="208"/>
        </w:trPr>
        <w:tc>
          <w:tcPr>
            <w:tcW w:w="3740" w:type="dxa"/>
            <w:vAlign w:val="bottom"/>
          </w:tcPr>
          <w:p>
            <w:pPr>
              <w:ind w:left="60"/>
              <w:spacing w:after="0"/>
              <w:rPr>
                <w:sz w:val="20"/>
                <w:szCs w:val="20"/>
                <w:color w:val="auto"/>
              </w:rPr>
            </w:pPr>
            <w:r>
              <w:rPr>
                <w:rFonts w:ascii="Arial" w:cs="Arial" w:eastAsia="Arial" w:hAnsi="Arial"/>
                <w:sz w:val="16"/>
                <w:szCs w:val="16"/>
                <w:color w:val="auto"/>
              </w:rPr>
              <w:t>Office and administration</w:t>
            </w:r>
          </w:p>
        </w:tc>
        <w:tc>
          <w:tcPr>
            <w:tcW w:w="3100" w:type="dxa"/>
            <w:vAlign w:val="bottom"/>
          </w:tcPr>
          <w:p>
            <w:pPr>
              <w:jc w:val="right"/>
              <w:ind w:right="398"/>
              <w:spacing w:after="0"/>
              <w:rPr>
                <w:sz w:val="20"/>
                <w:szCs w:val="20"/>
                <w:color w:val="auto"/>
              </w:rPr>
            </w:pPr>
            <w:r>
              <w:rPr>
                <w:rFonts w:ascii="Arial" w:cs="Arial" w:eastAsia="Arial" w:hAnsi="Arial"/>
                <w:sz w:val="16"/>
                <w:szCs w:val="16"/>
                <w:b w:val="1"/>
                <w:bCs w:val="1"/>
                <w:color w:val="auto"/>
              </w:rPr>
              <w:t>1,071</w:t>
            </w: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102</w:t>
            </w:r>
          </w:p>
        </w:tc>
        <w:tc>
          <w:tcPr>
            <w:tcW w:w="1740" w:type="dxa"/>
            <w:vAlign w:val="bottom"/>
          </w:tcPr>
          <w:p>
            <w:pPr>
              <w:jc w:val="right"/>
              <w:ind w:right="378"/>
              <w:spacing w:after="0"/>
              <w:rPr>
                <w:sz w:val="20"/>
                <w:szCs w:val="20"/>
                <w:color w:val="auto"/>
              </w:rPr>
            </w:pPr>
            <w:r>
              <w:rPr>
                <w:rFonts w:ascii="Arial" w:cs="Arial" w:eastAsia="Arial" w:hAnsi="Arial"/>
                <w:sz w:val="16"/>
                <w:szCs w:val="16"/>
                <w:b w:val="1"/>
                <w:bCs w:val="1"/>
                <w:color w:val="auto"/>
              </w:rPr>
              <w:t>1,909</w:t>
            </w:r>
          </w:p>
        </w:tc>
        <w:tc>
          <w:tcPr>
            <w:tcW w:w="100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08"/>
        </w:trPr>
        <w:tc>
          <w:tcPr>
            <w:tcW w:w="3740" w:type="dxa"/>
            <w:vAlign w:val="bottom"/>
          </w:tcPr>
          <w:p>
            <w:pPr>
              <w:ind w:left="60"/>
              <w:spacing w:after="0"/>
              <w:rPr>
                <w:sz w:val="20"/>
                <w:szCs w:val="20"/>
                <w:color w:val="auto"/>
              </w:rPr>
            </w:pPr>
            <w:r>
              <w:rPr>
                <w:rFonts w:ascii="Arial" w:cs="Arial" w:eastAsia="Arial" w:hAnsi="Arial"/>
                <w:sz w:val="16"/>
                <w:szCs w:val="16"/>
                <w:color w:val="auto"/>
              </w:rPr>
              <w:t>Professional and consulting fees</w:t>
            </w:r>
          </w:p>
        </w:tc>
        <w:tc>
          <w:tcPr>
            <w:tcW w:w="3100" w:type="dxa"/>
            <w:vAlign w:val="bottom"/>
          </w:tcPr>
          <w:p>
            <w:pPr>
              <w:jc w:val="right"/>
              <w:ind w:right="398"/>
              <w:spacing w:after="0"/>
              <w:rPr>
                <w:sz w:val="20"/>
                <w:szCs w:val="20"/>
                <w:color w:val="auto"/>
              </w:rPr>
            </w:pPr>
            <w:r>
              <w:rPr>
                <w:rFonts w:ascii="Arial" w:cs="Arial" w:eastAsia="Arial" w:hAnsi="Arial"/>
                <w:sz w:val="16"/>
                <w:szCs w:val="16"/>
                <w:b w:val="1"/>
                <w:bCs w:val="1"/>
                <w:color w:val="auto"/>
              </w:rPr>
              <w:t>725</w:t>
            </w: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339</w:t>
            </w:r>
          </w:p>
        </w:tc>
        <w:tc>
          <w:tcPr>
            <w:tcW w:w="1740" w:type="dxa"/>
            <w:vAlign w:val="bottom"/>
          </w:tcPr>
          <w:p>
            <w:pPr>
              <w:jc w:val="right"/>
              <w:ind w:right="378"/>
              <w:spacing w:after="0"/>
              <w:rPr>
                <w:sz w:val="20"/>
                <w:szCs w:val="20"/>
                <w:color w:val="auto"/>
              </w:rPr>
            </w:pPr>
            <w:r>
              <w:rPr>
                <w:rFonts w:ascii="Arial" w:cs="Arial" w:eastAsia="Arial" w:hAnsi="Arial"/>
                <w:sz w:val="16"/>
                <w:szCs w:val="16"/>
                <w:b w:val="1"/>
                <w:bCs w:val="1"/>
                <w:color w:val="auto"/>
              </w:rPr>
              <w:t>1,793</w:t>
            </w:r>
          </w:p>
        </w:tc>
        <w:tc>
          <w:tcPr>
            <w:tcW w:w="1000" w:type="dxa"/>
            <w:vAlign w:val="bottom"/>
          </w:tcPr>
          <w:p>
            <w:pPr>
              <w:jc w:val="right"/>
              <w:spacing w:after="0"/>
              <w:rPr>
                <w:sz w:val="20"/>
                <w:szCs w:val="20"/>
                <w:color w:val="auto"/>
              </w:rPr>
            </w:pPr>
            <w:r>
              <w:rPr>
                <w:rFonts w:ascii="Arial" w:cs="Arial" w:eastAsia="Arial" w:hAnsi="Arial"/>
                <w:sz w:val="16"/>
                <w:szCs w:val="16"/>
                <w:color w:val="auto"/>
              </w:rPr>
              <w:t>894</w:t>
            </w:r>
          </w:p>
        </w:tc>
      </w:tr>
      <w:tr>
        <w:trPr>
          <w:trHeight w:val="216"/>
        </w:trPr>
        <w:tc>
          <w:tcPr>
            <w:tcW w:w="37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Listing fees</w:t>
            </w:r>
          </w:p>
        </w:tc>
        <w:tc>
          <w:tcPr>
            <w:tcW w:w="310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236</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145</w:t>
            </w:r>
          </w:p>
        </w:tc>
        <w:tc>
          <w:tcPr>
            <w:tcW w:w="17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337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201"/>
        </w:trPr>
        <w:tc>
          <w:tcPr>
            <w:tcW w:w="3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310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7,831</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1,340</w:t>
            </w:r>
          </w:p>
        </w:tc>
        <w:tc>
          <w:tcPr>
            <w:tcW w:w="17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14,021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2,567</w:t>
            </w:r>
          </w:p>
        </w:tc>
      </w:tr>
    </w:tbl>
    <w:p>
      <w:pPr>
        <w:spacing w:after="0" w:line="224" w:lineRule="exact"/>
        <w:rPr>
          <w:sz w:val="20"/>
          <w:szCs w:val="20"/>
          <w:color w:val="auto"/>
        </w:rPr>
      </w:pPr>
    </w:p>
    <w:p>
      <w:pPr>
        <w:ind w:left="402" w:hanging="402"/>
        <w:spacing w:after="0"/>
        <w:tabs>
          <w:tab w:leader="none" w:pos="402" w:val="left"/>
        </w:tabs>
        <w:numPr>
          <w:ilvl w:val="0"/>
          <w:numId w:val="12"/>
        </w:numPr>
        <w:rPr>
          <w:rFonts w:ascii="Arial" w:cs="Arial" w:eastAsia="Arial" w:hAnsi="Arial"/>
          <w:sz w:val="16"/>
          <w:szCs w:val="16"/>
          <w:b w:val="1"/>
          <w:bCs w:val="1"/>
          <w:color w:val="2D5F91"/>
        </w:rPr>
      </w:pPr>
      <w:r>
        <w:rPr>
          <w:rFonts w:ascii="Arial" w:cs="Arial" w:eastAsia="Arial" w:hAnsi="Arial"/>
          <w:sz w:val="16"/>
          <w:szCs w:val="16"/>
          <w:b w:val="1"/>
          <w:bCs w:val="1"/>
          <w:color w:val="2D5F91"/>
        </w:rPr>
        <w:t>CONTRACTS AND COMMITMENTS</w:t>
      </w:r>
    </w:p>
    <w:p>
      <w:pPr>
        <w:spacing w:after="0" w:line="191"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In connection with the investment in RxLive, Cybin has agreed to participate in a private placement of subscription receipts of Finco in an amount of up to $500.</w:t>
      </w:r>
    </w:p>
    <w:p>
      <w:pPr>
        <w:spacing w:after="0" w:line="136"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As at September 30, 2021, the Company had also entered into agreements for preclinical studies which may require the Company to spend up to an additional $7,054 (US$5,537). The Company expects to pay this amount within the next 18 months, however the timing and certainty of the payments are contingent on availability of materials and successful completion of certain milestones. The Company has the right to cancel the preclinical studies at its discretion, in which case a cancellation fee may apply, however the Company is not liable to pay the full amount of the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19 of 25</w:t>
      </w:r>
    </w:p>
    <w:p>
      <w:pPr>
        <w:sectPr>
          <w:pgSz w:w="11900" w:h="16838" w:orient="portrait"/>
          <w:cols w:equalWidth="0" w:num="1">
            <w:col w:w="11242"/>
          </w:cols>
          <w:pgMar w:left="318" w:top="171" w:right="339" w:bottom="1440" w:gutter="0" w:footer="0" w:header="0"/>
        </w:sectPr>
      </w:pPr>
    </w:p>
    <w:bookmarkStart w:id="22" w:name="page23"/>
    <w:bookmarkEnd w:id="22"/>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2" w:hanging="402"/>
        <w:spacing w:after="0"/>
        <w:tabs>
          <w:tab w:leader="none" w:pos="402" w:val="left"/>
        </w:tabs>
        <w:numPr>
          <w:ilvl w:val="0"/>
          <w:numId w:val="13"/>
        </w:numPr>
        <w:rPr>
          <w:rFonts w:ascii="Arial" w:cs="Arial" w:eastAsia="Arial" w:hAnsi="Arial"/>
          <w:sz w:val="16"/>
          <w:szCs w:val="16"/>
          <w:b w:val="1"/>
          <w:bCs w:val="1"/>
          <w:color w:val="2D5F91"/>
        </w:rPr>
      </w:pPr>
      <w:r>
        <w:rPr>
          <w:rFonts w:ascii="Arial" w:cs="Arial" w:eastAsia="Arial" w:hAnsi="Arial"/>
          <w:sz w:val="16"/>
          <w:szCs w:val="16"/>
          <w:b w:val="1"/>
          <w:bCs w:val="1"/>
          <w:color w:val="2D5F91"/>
        </w:rPr>
        <w:t>CAPITAL MANAGEMENT</w:t>
      </w:r>
    </w:p>
    <w:p>
      <w:pPr>
        <w:spacing w:after="0" w:line="203"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 Company’s objectives when managing capital are to safeguard the Company’s ability to continue as a going concern in order to pursue business opportunities and to maintain a flexible capital structure that optimizes the costs of capital at an acceptable risk.</w:t>
      </w:r>
    </w:p>
    <w:p>
      <w:pPr>
        <w:spacing w:after="0" w:line="136"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 Company requires capital to fund existing and future operations and meet regulatory capital requirements. The Company’s policy is to maintain adequate levels of capital at all times.</w:t>
      </w:r>
    </w:p>
    <w:p>
      <w:pPr>
        <w:spacing w:after="0" w:line="136" w:lineRule="exact"/>
        <w:rPr>
          <w:sz w:val="20"/>
          <w:szCs w:val="20"/>
          <w:color w:val="auto"/>
        </w:rPr>
      </w:pPr>
    </w:p>
    <w:tbl>
      <w:tblPr>
        <w:tblLayout w:type="fixed"/>
        <w:tblInd w:w="302" w:type="dxa"/>
        <w:tblCellMar>
          <w:top w:w="0" w:type="dxa"/>
          <w:left w:w="0" w:type="dxa"/>
          <w:bottom w:w="0" w:type="dxa"/>
          <w:right w:w="0" w:type="dxa"/>
        </w:tblCellMar>
      </w:tblPr>
      <w:tr>
        <w:trPr>
          <w:trHeight w:val="196"/>
        </w:trPr>
        <w:tc>
          <w:tcPr>
            <w:tcW w:w="5500" w:type="dxa"/>
            <w:vAlign w:val="bottom"/>
          </w:tcPr>
          <w:p>
            <w:pPr>
              <w:spacing w:after="0"/>
              <w:rPr>
                <w:sz w:val="20"/>
                <w:szCs w:val="20"/>
                <w:color w:val="auto"/>
              </w:rPr>
            </w:pPr>
            <w:r>
              <w:rPr>
                <w:rFonts w:ascii="Arial" w:cs="Arial" w:eastAsia="Arial" w:hAnsi="Arial"/>
                <w:sz w:val="16"/>
                <w:szCs w:val="16"/>
                <w:color w:val="auto"/>
              </w:rPr>
              <w:t>The Company’s capital structure includes the following:</w:t>
            </w:r>
          </w:p>
        </w:tc>
        <w:tc>
          <w:tcPr>
            <w:tcW w:w="34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96"/>
        </w:trPr>
        <w:tc>
          <w:tcPr>
            <w:tcW w:w="5500" w:type="dxa"/>
            <w:vAlign w:val="bottom"/>
          </w:tcPr>
          <w:p>
            <w:pPr>
              <w:ind w:left="60"/>
              <w:spacing w:after="0"/>
              <w:rPr>
                <w:sz w:val="20"/>
                <w:szCs w:val="20"/>
                <w:color w:val="auto"/>
              </w:rPr>
            </w:pPr>
            <w:r>
              <w:rPr>
                <w:rFonts w:ascii="Arial" w:cs="Arial" w:eastAsia="Arial" w:hAnsi="Arial"/>
                <w:sz w:val="16"/>
                <w:szCs w:val="16"/>
                <w:b w:val="1"/>
                <w:bCs w:val="1"/>
                <w:color w:val="auto"/>
              </w:rPr>
              <w:t>As at</w:t>
            </w:r>
          </w:p>
        </w:tc>
        <w:tc>
          <w:tcPr>
            <w:tcW w:w="3440" w:type="dxa"/>
            <w:vAlign w:val="bottom"/>
          </w:tcPr>
          <w:p>
            <w:pPr>
              <w:jc w:val="right"/>
              <w:ind w:right="305"/>
              <w:spacing w:after="0"/>
              <w:rPr>
                <w:sz w:val="20"/>
                <w:szCs w:val="20"/>
                <w:color w:val="auto"/>
              </w:rPr>
            </w:pPr>
            <w:r>
              <w:rPr>
                <w:rFonts w:ascii="Arial" w:cs="Arial" w:eastAsia="Arial" w:hAnsi="Arial"/>
                <w:sz w:val="16"/>
                <w:szCs w:val="16"/>
                <w:b w:val="1"/>
                <w:bCs w:val="1"/>
                <w:color w:val="auto"/>
              </w:rPr>
              <w:t>September 30, 2021</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16"/>
        </w:trPr>
        <w:tc>
          <w:tcPr>
            <w:tcW w:w="55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$000’s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200"/>
        </w:trPr>
        <w:tc>
          <w:tcPr>
            <w:tcW w:w="5500" w:type="dxa"/>
            <w:vAlign w:val="bottom"/>
          </w:tcPr>
          <w:p>
            <w:pPr>
              <w:ind w:left="60"/>
              <w:spacing w:after="0"/>
              <w:rPr>
                <w:sz w:val="20"/>
                <w:szCs w:val="20"/>
                <w:color w:val="auto"/>
              </w:rPr>
            </w:pPr>
            <w:r>
              <w:rPr>
                <w:rFonts w:ascii="Arial" w:cs="Arial" w:eastAsia="Arial" w:hAnsi="Arial"/>
                <w:sz w:val="16"/>
                <w:szCs w:val="16"/>
                <w:color w:val="auto"/>
              </w:rPr>
              <w:t>Shareholders’ equity comprised of:</w:t>
            </w:r>
          </w:p>
        </w:tc>
        <w:tc>
          <w:tcPr>
            <w:tcW w:w="34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8"/>
        </w:trPr>
        <w:tc>
          <w:tcPr>
            <w:tcW w:w="5500" w:type="dxa"/>
            <w:vAlign w:val="bottom"/>
          </w:tcPr>
          <w:p>
            <w:pPr>
              <w:ind w:left="160"/>
              <w:spacing w:after="0"/>
              <w:rPr>
                <w:sz w:val="20"/>
                <w:szCs w:val="20"/>
                <w:color w:val="auto"/>
              </w:rPr>
            </w:pPr>
            <w:r>
              <w:rPr>
                <w:rFonts w:ascii="Arial" w:cs="Arial" w:eastAsia="Arial" w:hAnsi="Arial"/>
                <w:sz w:val="16"/>
                <w:szCs w:val="16"/>
                <w:color w:val="auto"/>
              </w:rPr>
              <w:t>Share capital</w:t>
            </w:r>
          </w:p>
        </w:tc>
        <w:tc>
          <w:tcPr>
            <w:tcW w:w="3440" w:type="dxa"/>
            <w:vAlign w:val="bottom"/>
          </w:tcPr>
          <w:p>
            <w:pPr>
              <w:jc w:val="right"/>
              <w:ind w:right="305"/>
              <w:spacing w:after="0"/>
              <w:rPr>
                <w:sz w:val="20"/>
                <w:szCs w:val="20"/>
                <w:color w:val="auto"/>
              </w:rPr>
            </w:pPr>
            <w:r>
              <w:rPr>
                <w:rFonts w:ascii="Arial" w:cs="Arial" w:eastAsia="Arial" w:hAnsi="Arial"/>
                <w:sz w:val="15"/>
                <w:szCs w:val="15"/>
                <w:b w:val="1"/>
                <w:bCs w:val="1"/>
                <w:color w:val="auto"/>
              </w:rPr>
              <w:t>136,020</w:t>
            </w:r>
          </w:p>
        </w:tc>
        <w:tc>
          <w:tcPr>
            <w:tcW w:w="1560" w:type="dxa"/>
            <w:vAlign w:val="bottom"/>
          </w:tcPr>
          <w:p>
            <w:pPr>
              <w:jc w:val="right"/>
              <w:spacing w:after="0"/>
              <w:rPr>
                <w:sz w:val="20"/>
                <w:szCs w:val="20"/>
                <w:color w:val="auto"/>
              </w:rPr>
            </w:pPr>
            <w:r>
              <w:rPr>
                <w:rFonts w:ascii="Arial" w:cs="Arial" w:eastAsia="Arial" w:hAnsi="Arial"/>
                <w:sz w:val="15"/>
                <w:szCs w:val="15"/>
                <w:color w:val="auto"/>
              </w:rPr>
              <w:t>100,676</w:t>
            </w:r>
          </w:p>
        </w:tc>
      </w:tr>
      <w:tr>
        <w:trPr>
          <w:trHeight w:val="208"/>
        </w:trPr>
        <w:tc>
          <w:tcPr>
            <w:tcW w:w="5500" w:type="dxa"/>
            <w:vAlign w:val="bottom"/>
          </w:tcPr>
          <w:p>
            <w:pPr>
              <w:ind w:left="160"/>
              <w:spacing w:after="0"/>
              <w:rPr>
                <w:sz w:val="20"/>
                <w:szCs w:val="20"/>
                <w:color w:val="auto"/>
              </w:rPr>
            </w:pPr>
            <w:r>
              <w:rPr>
                <w:rFonts w:ascii="Arial" w:cs="Arial" w:eastAsia="Arial" w:hAnsi="Arial"/>
                <w:sz w:val="16"/>
                <w:szCs w:val="16"/>
                <w:color w:val="auto"/>
              </w:rPr>
              <w:t>Contributed surplus</w:t>
            </w:r>
          </w:p>
        </w:tc>
        <w:tc>
          <w:tcPr>
            <w:tcW w:w="3440" w:type="dxa"/>
            <w:vAlign w:val="bottom"/>
          </w:tcPr>
          <w:p>
            <w:pPr>
              <w:jc w:val="right"/>
              <w:ind w:right="305"/>
              <w:spacing w:after="0"/>
              <w:rPr>
                <w:sz w:val="20"/>
                <w:szCs w:val="20"/>
                <w:color w:val="auto"/>
              </w:rPr>
            </w:pPr>
            <w:r>
              <w:rPr>
                <w:rFonts w:ascii="Arial" w:cs="Arial" w:eastAsia="Arial" w:hAnsi="Arial"/>
                <w:sz w:val="15"/>
                <w:szCs w:val="15"/>
                <w:b w:val="1"/>
                <w:bCs w:val="1"/>
                <w:color w:val="auto"/>
              </w:rPr>
              <w:t>124</w:t>
            </w:r>
          </w:p>
        </w:tc>
        <w:tc>
          <w:tcPr>
            <w:tcW w:w="1560" w:type="dxa"/>
            <w:vAlign w:val="bottom"/>
          </w:tcPr>
          <w:p>
            <w:pPr>
              <w:jc w:val="right"/>
              <w:spacing w:after="0"/>
              <w:rPr>
                <w:sz w:val="20"/>
                <w:szCs w:val="20"/>
                <w:color w:val="auto"/>
              </w:rPr>
            </w:pPr>
            <w:r>
              <w:rPr>
                <w:rFonts w:ascii="Arial" w:cs="Arial" w:eastAsia="Arial" w:hAnsi="Arial"/>
                <w:sz w:val="15"/>
                <w:szCs w:val="15"/>
                <w:color w:val="auto"/>
              </w:rPr>
              <w:t>124</w:t>
            </w:r>
          </w:p>
        </w:tc>
      </w:tr>
      <w:tr>
        <w:trPr>
          <w:trHeight w:val="208"/>
        </w:trPr>
        <w:tc>
          <w:tcPr>
            <w:tcW w:w="5500" w:type="dxa"/>
            <w:vAlign w:val="bottom"/>
          </w:tcPr>
          <w:p>
            <w:pPr>
              <w:ind w:left="160"/>
              <w:spacing w:after="0"/>
              <w:rPr>
                <w:sz w:val="20"/>
                <w:szCs w:val="20"/>
                <w:color w:val="auto"/>
              </w:rPr>
            </w:pPr>
            <w:r>
              <w:rPr>
                <w:rFonts w:ascii="Arial" w:cs="Arial" w:eastAsia="Arial" w:hAnsi="Arial"/>
                <w:sz w:val="16"/>
                <w:szCs w:val="16"/>
                <w:color w:val="auto"/>
              </w:rPr>
              <w:t>Options reserve</w:t>
            </w:r>
          </w:p>
        </w:tc>
        <w:tc>
          <w:tcPr>
            <w:tcW w:w="3440" w:type="dxa"/>
            <w:vAlign w:val="bottom"/>
          </w:tcPr>
          <w:p>
            <w:pPr>
              <w:jc w:val="right"/>
              <w:ind w:right="305"/>
              <w:spacing w:after="0"/>
              <w:rPr>
                <w:sz w:val="20"/>
                <w:szCs w:val="20"/>
                <w:color w:val="auto"/>
              </w:rPr>
            </w:pPr>
            <w:r>
              <w:rPr>
                <w:rFonts w:ascii="Arial" w:cs="Arial" w:eastAsia="Arial" w:hAnsi="Arial"/>
                <w:sz w:val="15"/>
                <w:szCs w:val="15"/>
                <w:b w:val="1"/>
                <w:bCs w:val="1"/>
                <w:color w:val="auto"/>
              </w:rPr>
              <w:t>17,060</w:t>
            </w:r>
          </w:p>
        </w:tc>
        <w:tc>
          <w:tcPr>
            <w:tcW w:w="1560" w:type="dxa"/>
            <w:vAlign w:val="bottom"/>
          </w:tcPr>
          <w:p>
            <w:pPr>
              <w:jc w:val="right"/>
              <w:spacing w:after="0"/>
              <w:rPr>
                <w:sz w:val="20"/>
                <w:szCs w:val="20"/>
                <w:color w:val="auto"/>
              </w:rPr>
            </w:pPr>
            <w:r>
              <w:rPr>
                <w:rFonts w:ascii="Arial" w:cs="Arial" w:eastAsia="Arial" w:hAnsi="Arial"/>
                <w:sz w:val="15"/>
                <w:szCs w:val="15"/>
                <w:color w:val="auto"/>
              </w:rPr>
              <w:t>7,158</w:t>
            </w:r>
          </w:p>
        </w:tc>
      </w:tr>
      <w:tr>
        <w:trPr>
          <w:trHeight w:val="208"/>
        </w:trPr>
        <w:tc>
          <w:tcPr>
            <w:tcW w:w="5500" w:type="dxa"/>
            <w:vAlign w:val="bottom"/>
          </w:tcPr>
          <w:p>
            <w:pPr>
              <w:ind w:left="160"/>
              <w:spacing w:after="0"/>
              <w:rPr>
                <w:sz w:val="20"/>
                <w:szCs w:val="20"/>
                <w:color w:val="auto"/>
              </w:rPr>
            </w:pPr>
            <w:r>
              <w:rPr>
                <w:rFonts w:ascii="Arial" w:cs="Arial" w:eastAsia="Arial" w:hAnsi="Arial"/>
                <w:sz w:val="16"/>
                <w:szCs w:val="16"/>
                <w:color w:val="auto"/>
              </w:rPr>
              <w:t>Warrants reserve</w:t>
            </w:r>
          </w:p>
        </w:tc>
        <w:tc>
          <w:tcPr>
            <w:tcW w:w="3440" w:type="dxa"/>
            <w:vAlign w:val="bottom"/>
          </w:tcPr>
          <w:p>
            <w:pPr>
              <w:jc w:val="right"/>
              <w:ind w:right="305"/>
              <w:spacing w:after="0"/>
              <w:rPr>
                <w:sz w:val="20"/>
                <w:szCs w:val="20"/>
                <w:color w:val="auto"/>
              </w:rPr>
            </w:pPr>
            <w:r>
              <w:rPr>
                <w:rFonts w:ascii="Arial" w:cs="Arial" w:eastAsia="Arial" w:hAnsi="Arial"/>
                <w:sz w:val="15"/>
                <w:szCs w:val="15"/>
                <w:b w:val="1"/>
                <w:bCs w:val="1"/>
                <w:color w:val="auto"/>
              </w:rPr>
              <w:t>11,697</w:t>
            </w:r>
          </w:p>
        </w:tc>
        <w:tc>
          <w:tcPr>
            <w:tcW w:w="1560" w:type="dxa"/>
            <w:vAlign w:val="bottom"/>
          </w:tcPr>
          <w:p>
            <w:pPr>
              <w:jc w:val="right"/>
              <w:spacing w:after="0"/>
              <w:rPr>
                <w:sz w:val="20"/>
                <w:szCs w:val="20"/>
                <w:color w:val="auto"/>
              </w:rPr>
            </w:pPr>
            <w:r>
              <w:rPr>
                <w:rFonts w:ascii="Arial" w:cs="Arial" w:eastAsia="Arial" w:hAnsi="Arial"/>
                <w:sz w:val="15"/>
                <w:szCs w:val="15"/>
                <w:color w:val="auto"/>
              </w:rPr>
              <w:t>11,166</w:t>
            </w:r>
          </w:p>
        </w:tc>
      </w:tr>
      <w:tr>
        <w:trPr>
          <w:trHeight w:val="208"/>
        </w:trPr>
        <w:tc>
          <w:tcPr>
            <w:tcW w:w="550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3440" w:type="dxa"/>
            <w:vAlign w:val="bottom"/>
          </w:tcPr>
          <w:p>
            <w:pPr>
              <w:jc w:val="right"/>
              <w:ind w:right="265"/>
              <w:spacing w:after="0"/>
              <w:rPr>
                <w:sz w:val="20"/>
                <w:szCs w:val="20"/>
                <w:color w:val="auto"/>
              </w:rPr>
            </w:pPr>
            <w:r>
              <w:rPr>
                <w:rFonts w:ascii="Arial" w:cs="Arial" w:eastAsia="Arial" w:hAnsi="Arial"/>
                <w:sz w:val="15"/>
                <w:szCs w:val="15"/>
                <w:b w:val="1"/>
                <w:bCs w:val="1"/>
                <w:color w:val="auto"/>
              </w:rPr>
              <w:t>(153)</w:t>
            </w:r>
          </w:p>
        </w:tc>
        <w:tc>
          <w:tcPr>
            <w:tcW w:w="156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08"/>
        </w:trPr>
        <w:tc>
          <w:tcPr>
            <w:tcW w:w="55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Deficit</w:t>
            </w:r>
          </w:p>
        </w:tc>
        <w:tc>
          <w:tcPr>
            <w:tcW w:w="3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(65,354)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(33,030)</w:t>
            </w:r>
          </w:p>
        </w:tc>
      </w:tr>
      <w:tr>
        <w:trPr>
          <w:trHeight w:val="201"/>
        </w:trPr>
        <w:tc>
          <w:tcPr>
            <w:tcW w:w="55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344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99,394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86,118</w:t>
            </w:r>
          </w:p>
        </w:tc>
      </w:tr>
    </w:tbl>
    <w:p>
      <w:pPr>
        <w:spacing w:after="0" w:line="244" w:lineRule="exact"/>
        <w:rPr>
          <w:sz w:val="20"/>
          <w:szCs w:val="20"/>
          <w:color w:val="auto"/>
        </w:rPr>
      </w:pPr>
    </w:p>
    <w:p>
      <w:pPr>
        <w:jc w:val="both"/>
        <w:ind w:left="302"/>
        <w:spacing w:after="0" w:line="259" w:lineRule="auto"/>
        <w:rPr>
          <w:sz w:val="20"/>
          <w:szCs w:val="20"/>
          <w:color w:val="auto"/>
        </w:rPr>
      </w:pPr>
      <w:r>
        <w:rPr>
          <w:rFonts w:ascii="Arial" w:cs="Arial" w:eastAsia="Arial" w:hAnsi="Arial"/>
          <w:sz w:val="16"/>
          <w:szCs w:val="16"/>
          <w:color w:val="auto"/>
        </w:rPr>
        <w:t>The Company’s objectives when managing capital are to (i) provide financial capacity and flexibility in order to preserve its ability to meet its strategic objectives and financial obligations; (ii) maintain a capital structure which allows the Company to respond to changes in economic and marketplace conditions and affords the Company the ability to participate in new investments; (iii) optimize the use of its capital to provide an appropriate investment return to its shareholders equal with the level of risk; and (iv) maintain a flexible capital structure which optimizes the cost of capital at acceptable levels of risk.</w:t>
      </w:r>
    </w:p>
    <w:p>
      <w:pPr>
        <w:spacing w:after="0" w:line="145"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The Company’s financial strategy is formulated and adapted according to market conditions in order to maintain a flexible capital structure that is consistent with its objectives and the risk characteristics of its underlying assets. The Company manages its capital structure and makes adjustments to it in light of changes in economic conditions and the risk characteristics of its underlying assets. The Company maintains or adjusts its capital level to enable it to meet its objectives by raising capital through the issuance of securities.</w:t>
      </w:r>
    </w:p>
    <w:p>
      <w:pPr>
        <w:spacing w:after="0" w:line="144"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 Company’s capital management objectives, policies and processes generally remained unchanged during the three and six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20 of 25</w:t>
      </w:r>
    </w:p>
    <w:p>
      <w:pPr>
        <w:sectPr>
          <w:pgSz w:w="11900" w:h="16838" w:orient="portrait"/>
          <w:cols w:equalWidth="0" w:num="1">
            <w:col w:w="11242"/>
          </w:cols>
          <w:pgMar w:left="318" w:top="171" w:right="339" w:bottom="1440" w:gutter="0" w:footer="0" w:header="0"/>
        </w:sectPr>
      </w:pPr>
    </w:p>
    <w:bookmarkStart w:id="23" w:name="page24"/>
    <w:bookmarkEnd w:id="23"/>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2" w:hanging="402"/>
        <w:spacing w:after="0"/>
        <w:tabs>
          <w:tab w:leader="none" w:pos="402" w:val="left"/>
        </w:tabs>
        <w:numPr>
          <w:ilvl w:val="0"/>
          <w:numId w:val="14"/>
        </w:numPr>
        <w:rPr>
          <w:rFonts w:ascii="Arial" w:cs="Arial" w:eastAsia="Arial" w:hAnsi="Arial"/>
          <w:sz w:val="16"/>
          <w:szCs w:val="16"/>
          <w:b w:val="1"/>
          <w:bCs w:val="1"/>
          <w:color w:val="2D5F91"/>
        </w:rPr>
      </w:pPr>
      <w:r>
        <w:rPr>
          <w:rFonts w:ascii="Arial" w:cs="Arial" w:eastAsia="Arial" w:hAnsi="Arial"/>
          <w:sz w:val="16"/>
          <w:szCs w:val="16"/>
          <w:b w:val="1"/>
          <w:bCs w:val="1"/>
          <w:color w:val="2D5F91"/>
        </w:rPr>
        <w:t>FINANCIAL INSTRUMENTS</w:t>
      </w:r>
    </w:p>
    <w:p>
      <w:pPr>
        <w:spacing w:after="0" w:line="20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The Company’s financial instruments are exposed to certain financial risks, which include currency risk, credit risk, liquidity risk and interest rate risk.</w:t>
      </w:r>
    </w:p>
    <w:p>
      <w:pPr>
        <w:spacing w:after="0" w:line="171" w:lineRule="exact"/>
        <w:rPr>
          <w:sz w:val="20"/>
          <w:szCs w:val="20"/>
          <w:color w:val="auto"/>
        </w:rPr>
      </w:pPr>
    </w:p>
    <w:tbl>
      <w:tblPr>
        <w:tblLayout w:type="fixed"/>
        <w:tblInd w:w="302" w:type="dxa"/>
        <w:tblCellMar>
          <w:top w:w="0" w:type="dxa"/>
          <w:left w:w="0" w:type="dxa"/>
          <w:bottom w:w="0" w:type="dxa"/>
          <w:right w:w="0" w:type="dxa"/>
        </w:tblCellMar>
      </w:tblPr>
      <w:tr>
        <w:trPr>
          <w:trHeight w:val="196"/>
        </w:trPr>
        <w:tc>
          <w:tcPr>
            <w:tcW w:w="5820" w:type="dxa"/>
            <w:vAlign w:val="bottom"/>
          </w:tcPr>
          <w:p>
            <w:pPr>
              <w:spacing w:after="0"/>
              <w:rPr>
                <w:sz w:val="20"/>
                <w:szCs w:val="20"/>
                <w:color w:val="auto"/>
              </w:rPr>
            </w:pPr>
            <w:r>
              <w:rPr>
                <w:rFonts w:ascii="Arial" w:cs="Arial" w:eastAsia="Arial" w:hAnsi="Arial"/>
                <w:sz w:val="16"/>
                <w:szCs w:val="16"/>
                <w:color w:val="auto"/>
              </w:rPr>
              <w:t>The Company has classified its financial instruments as follows:</w:t>
            </w:r>
          </w:p>
        </w:tc>
        <w:tc>
          <w:tcPr>
            <w:tcW w:w="33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4"/>
        </w:trPr>
        <w:tc>
          <w:tcPr>
            <w:tcW w:w="5820" w:type="dxa"/>
            <w:vAlign w:val="bottom"/>
          </w:tcPr>
          <w:p>
            <w:pPr>
              <w:ind w:left="60"/>
              <w:spacing w:after="0"/>
              <w:rPr>
                <w:sz w:val="20"/>
                <w:szCs w:val="20"/>
                <w:color w:val="auto"/>
              </w:rPr>
            </w:pPr>
            <w:r>
              <w:rPr>
                <w:rFonts w:ascii="Arial" w:cs="Arial" w:eastAsia="Arial" w:hAnsi="Arial"/>
                <w:sz w:val="16"/>
                <w:szCs w:val="16"/>
                <w:b w:val="1"/>
                <w:bCs w:val="1"/>
                <w:color w:val="auto"/>
              </w:rPr>
              <w:t>As at</w:t>
            </w:r>
          </w:p>
        </w:tc>
        <w:tc>
          <w:tcPr>
            <w:tcW w:w="3340" w:type="dxa"/>
            <w:vAlign w:val="bottom"/>
          </w:tcPr>
          <w:p>
            <w:pPr>
              <w:jc w:val="right"/>
              <w:ind w:right="500"/>
              <w:spacing w:after="0"/>
              <w:rPr>
                <w:sz w:val="20"/>
                <w:szCs w:val="20"/>
                <w:color w:val="auto"/>
              </w:rPr>
            </w:pPr>
            <w:r>
              <w:rPr>
                <w:rFonts w:ascii="Arial" w:cs="Arial" w:eastAsia="Arial" w:hAnsi="Arial"/>
                <w:sz w:val="16"/>
                <w:szCs w:val="16"/>
                <w:b w:val="1"/>
                <w:bCs w:val="1"/>
                <w:color w:val="auto"/>
              </w:rPr>
              <w:t>September 30, 2021</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16"/>
        </w:trPr>
        <w:tc>
          <w:tcPr>
            <w:tcW w:w="58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$000’s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208"/>
        </w:trPr>
        <w:tc>
          <w:tcPr>
            <w:tcW w:w="5820" w:type="dxa"/>
            <w:vAlign w:val="bottom"/>
          </w:tcPr>
          <w:p>
            <w:pPr>
              <w:ind w:left="60"/>
              <w:spacing w:after="0"/>
              <w:rPr>
                <w:sz w:val="20"/>
                <w:szCs w:val="20"/>
                <w:color w:val="auto"/>
              </w:rPr>
            </w:pPr>
            <w:r>
              <w:rPr>
                <w:rFonts w:ascii="Arial" w:cs="Arial" w:eastAsia="Arial" w:hAnsi="Arial"/>
                <w:sz w:val="16"/>
                <w:szCs w:val="16"/>
                <w:b w:val="1"/>
                <w:bCs w:val="1"/>
                <w:color w:val="auto"/>
              </w:rPr>
              <w:t>Financial assets, measured at fair value:</w:t>
            </w:r>
          </w:p>
        </w:tc>
        <w:tc>
          <w:tcPr>
            <w:tcW w:w="33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199"/>
        </w:trPr>
        <w:tc>
          <w:tcPr>
            <w:tcW w:w="582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3340" w:type="dxa"/>
            <w:vAlign w:val="bottom"/>
          </w:tcPr>
          <w:p>
            <w:pPr>
              <w:jc w:val="right"/>
              <w:ind w:right="500"/>
              <w:spacing w:after="0"/>
              <w:rPr>
                <w:sz w:val="20"/>
                <w:szCs w:val="20"/>
                <w:color w:val="auto"/>
              </w:rPr>
            </w:pPr>
            <w:r>
              <w:rPr>
                <w:rFonts w:ascii="Arial" w:cs="Arial" w:eastAsia="Arial" w:hAnsi="Arial"/>
                <w:sz w:val="15"/>
                <w:szCs w:val="15"/>
                <w:b w:val="1"/>
                <w:bCs w:val="1"/>
                <w:color w:val="auto"/>
              </w:rPr>
              <w:t>75,179</w:t>
            </w:r>
          </w:p>
        </w:tc>
        <w:tc>
          <w:tcPr>
            <w:tcW w:w="1800" w:type="dxa"/>
            <w:vAlign w:val="bottom"/>
          </w:tcPr>
          <w:p>
            <w:pPr>
              <w:jc w:val="right"/>
              <w:spacing w:after="0"/>
              <w:rPr>
                <w:sz w:val="20"/>
                <w:szCs w:val="20"/>
                <w:color w:val="auto"/>
              </w:rPr>
            </w:pPr>
            <w:r>
              <w:rPr>
                <w:rFonts w:ascii="Arial" w:cs="Arial" w:eastAsia="Arial" w:hAnsi="Arial"/>
                <w:sz w:val="16"/>
                <w:szCs w:val="16"/>
                <w:color w:val="auto"/>
              </w:rPr>
              <w:t>64,026</w:t>
            </w:r>
          </w:p>
        </w:tc>
      </w:tr>
      <w:tr>
        <w:trPr>
          <w:trHeight w:val="200"/>
        </w:trPr>
        <w:tc>
          <w:tcPr>
            <w:tcW w:w="5820" w:type="dxa"/>
            <w:vAlign w:val="bottom"/>
          </w:tcPr>
          <w:p>
            <w:pPr>
              <w:ind w:left="160"/>
              <w:spacing w:after="0"/>
              <w:rPr>
                <w:sz w:val="20"/>
                <w:szCs w:val="20"/>
                <w:color w:val="auto"/>
              </w:rPr>
            </w:pPr>
            <w:r>
              <w:rPr>
                <w:rFonts w:ascii="Arial" w:cs="Arial" w:eastAsia="Arial" w:hAnsi="Arial"/>
                <w:sz w:val="16"/>
                <w:szCs w:val="16"/>
                <w:color w:val="auto"/>
              </w:rPr>
              <w:t>Investments</w:t>
            </w:r>
          </w:p>
        </w:tc>
        <w:tc>
          <w:tcPr>
            <w:tcW w:w="3340" w:type="dxa"/>
            <w:vAlign w:val="bottom"/>
          </w:tcPr>
          <w:p>
            <w:pPr>
              <w:jc w:val="right"/>
              <w:ind w:right="500"/>
              <w:spacing w:after="0"/>
              <w:rPr>
                <w:sz w:val="20"/>
                <w:szCs w:val="20"/>
                <w:color w:val="auto"/>
              </w:rPr>
            </w:pPr>
            <w:r>
              <w:rPr>
                <w:rFonts w:ascii="Arial" w:cs="Arial" w:eastAsia="Arial" w:hAnsi="Arial"/>
                <w:sz w:val="16"/>
                <w:szCs w:val="16"/>
                <w:color w:val="auto"/>
              </w:rPr>
              <w:t>250</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20" w:type="dxa"/>
            <w:vAlign w:val="bottom"/>
          </w:tcPr>
          <w:p>
            <w:pPr>
              <w:ind w:left="60"/>
              <w:spacing w:after="0"/>
              <w:rPr>
                <w:sz w:val="20"/>
                <w:szCs w:val="20"/>
                <w:color w:val="auto"/>
              </w:rPr>
            </w:pPr>
            <w:r>
              <w:rPr>
                <w:rFonts w:ascii="Arial" w:cs="Arial" w:eastAsia="Arial" w:hAnsi="Arial"/>
                <w:sz w:val="16"/>
                <w:szCs w:val="16"/>
                <w:b w:val="1"/>
                <w:bCs w:val="1"/>
                <w:color w:val="auto"/>
              </w:rPr>
              <w:t>Financial assets, measured at amortized cost:</w:t>
            </w:r>
          </w:p>
        </w:tc>
        <w:tc>
          <w:tcPr>
            <w:tcW w:w="33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0"/>
        </w:trPr>
        <w:tc>
          <w:tcPr>
            <w:tcW w:w="582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3340" w:type="dxa"/>
            <w:vAlign w:val="bottom"/>
          </w:tcPr>
          <w:p>
            <w:pPr>
              <w:jc w:val="right"/>
              <w:ind w:right="500"/>
              <w:spacing w:after="0"/>
              <w:rPr>
                <w:sz w:val="20"/>
                <w:szCs w:val="20"/>
                <w:color w:val="auto"/>
              </w:rPr>
            </w:pPr>
            <w:r>
              <w:rPr>
                <w:rFonts w:ascii="Arial" w:cs="Arial" w:eastAsia="Arial" w:hAnsi="Arial"/>
                <w:sz w:val="16"/>
                <w:szCs w:val="16"/>
                <w:color w:val="auto"/>
              </w:rPr>
              <w:t>342</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20" w:type="dxa"/>
            <w:vAlign w:val="bottom"/>
          </w:tcPr>
          <w:p>
            <w:pPr>
              <w:ind w:left="60"/>
              <w:spacing w:after="0"/>
              <w:rPr>
                <w:sz w:val="20"/>
                <w:szCs w:val="20"/>
                <w:color w:val="auto"/>
              </w:rPr>
            </w:pPr>
            <w:r>
              <w:rPr>
                <w:rFonts w:ascii="Arial" w:cs="Arial" w:eastAsia="Arial" w:hAnsi="Arial"/>
                <w:sz w:val="16"/>
                <w:szCs w:val="16"/>
                <w:b w:val="1"/>
                <w:bCs w:val="1"/>
                <w:color w:val="auto"/>
              </w:rPr>
              <w:t>Financial liabilities, measured at fair value:</w:t>
            </w:r>
          </w:p>
        </w:tc>
        <w:tc>
          <w:tcPr>
            <w:tcW w:w="33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0"/>
        </w:trPr>
        <w:tc>
          <w:tcPr>
            <w:tcW w:w="5820" w:type="dxa"/>
            <w:vAlign w:val="bottom"/>
          </w:tcPr>
          <w:p>
            <w:pPr>
              <w:ind w:left="160"/>
              <w:spacing w:after="0"/>
              <w:rPr>
                <w:sz w:val="20"/>
                <w:szCs w:val="20"/>
                <w:color w:val="auto"/>
              </w:rPr>
            </w:pPr>
            <w:r>
              <w:rPr>
                <w:rFonts w:ascii="Arial" w:cs="Arial" w:eastAsia="Arial" w:hAnsi="Arial"/>
                <w:sz w:val="16"/>
                <w:szCs w:val="16"/>
                <w:color w:val="auto"/>
              </w:rPr>
              <w:t>Contingent consideration payable</w:t>
            </w:r>
          </w:p>
        </w:tc>
        <w:tc>
          <w:tcPr>
            <w:tcW w:w="3340" w:type="dxa"/>
            <w:vAlign w:val="bottom"/>
          </w:tcPr>
          <w:p>
            <w:pPr>
              <w:jc w:val="right"/>
              <w:ind w:right="500"/>
              <w:spacing w:after="0"/>
              <w:rPr>
                <w:sz w:val="20"/>
                <w:szCs w:val="20"/>
                <w:color w:val="auto"/>
              </w:rPr>
            </w:pPr>
            <w:r>
              <w:rPr>
                <w:rFonts w:ascii="Arial" w:cs="Arial" w:eastAsia="Arial" w:hAnsi="Arial"/>
                <w:sz w:val="16"/>
                <w:szCs w:val="16"/>
                <w:color w:val="auto"/>
              </w:rPr>
              <w:t>3,442</w:t>
            </w:r>
          </w:p>
        </w:tc>
        <w:tc>
          <w:tcPr>
            <w:tcW w:w="1800" w:type="dxa"/>
            <w:vAlign w:val="bottom"/>
          </w:tcPr>
          <w:p>
            <w:pPr>
              <w:jc w:val="right"/>
              <w:spacing w:after="0"/>
              <w:rPr>
                <w:sz w:val="20"/>
                <w:szCs w:val="20"/>
                <w:color w:val="auto"/>
              </w:rPr>
            </w:pPr>
            <w:r>
              <w:rPr>
                <w:rFonts w:ascii="Arial" w:cs="Arial" w:eastAsia="Arial" w:hAnsi="Arial"/>
                <w:sz w:val="16"/>
                <w:szCs w:val="16"/>
                <w:color w:val="auto"/>
              </w:rPr>
              <w:t>3,201</w:t>
            </w:r>
          </w:p>
        </w:tc>
      </w:tr>
      <w:tr>
        <w:trPr>
          <w:trHeight w:val="232"/>
        </w:trPr>
        <w:tc>
          <w:tcPr>
            <w:tcW w:w="5820" w:type="dxa"/>
            <w:vAlign w:val="bottom"/>
          </w:tcPr>
          <w:p>
            <w:pPr>
              <w:ind w:left="60"/>
              <w:spacing w:after="0"/>
              <w:rPr>
                <w:sz w:val="20"/>
                <w:szCs w:val="20"/>
                <w:color w:val="auto"/>
              </w:rPr>
            </w:pPr>
            <w:r>
              <w:rPr>
                <w:rFonts w:ascii="Arial" w:cs="Arial" w:eastAsia="Arial" w:hAnsi="Arial"/>
                <w:sz w:val="16"/>
                <w:szCs w:val="16"/>
                <w:b w:val="1"/>
                <w:bCs w:val="1"/>
                <w:color w:val="auto"/>
              </w:rPr>
              <w:t>Financial liabilities, measured at amortized cost:</w:t>
            </w:r>
          </w:p>
        </w:tc>
        <w:tc>
          <w:tcPr>
            <w:tcW w:w="3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08"/>
        </w:trPr>
        <w:tc>
          <w:tcPr>
            <w:tcW w:w="58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Accounts payable and accrued liabilities</w:t>
            </w:r>
          </w:p>
        </w:tc>
        <w:tc>
          <w:tcPr>
            <w:tcW w:w="33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2,629</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w:t>
            </w:r>
          </w:p>
        </w:tc>
      </w:tr>
    </w:tbl>
    <w:p>
      <w:pPr>
        <w:spacing w:after="0" w:line="24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carrying value of the Company’s financial instruments approximate their fair value.</w:t>
      </w:r>
    </w:p>
    <w:p>
      <w:pPr>
        <w:spacing w:after="0" w:line="163" w:lineRule="exact"/>
        <w:rPr>
          <w:sz w:val="20"/>
          <w:szCs w:val="20"/>
          <w:color w:val="auto"/>
        </w:rPr>
      </w:pPr>
    </w:p>
    <w:p>
      <w:pPr>
        <w:ind w:left="302"/>
        <w:spacing w:after="0"/>
        <w:rPr>
          <w:sz w:val="20"/>
          <w:szCs w:val="20"/>
          <w:color w:val="auto"/>
        </w:rPr>
      </w:pPr>
      <w:r>
        <w:rPr>
          <w:rFonts w:ascii="Arial" w:cs="Arial" w:eastAsia="Arial" w:hAnsi="Arial"/>
          <w:sz w:val="16"/>
          <w:szCs w:val="16"/>
          <w:b w:val="1"/>
          <w:bCs w:val="1"/>
          <w:u w:val="single" w:color="auto"/>
          <w:color w:val="auto"/>
        </w:rPr>
        <w:t>Fair value Hierarchy of Financial Instruments</w:t>
      </w:r>
    </w:p>
    <w:p>
      <w:pPr>
        <w:spacing w:after="0" w:line="191" w:lineRule="exact"/>
        <w:rPr>
          <w:sz w:val="20"/>
          <w:szCs w:val="20"/>
          <w:color w:val="auto"/>
        </w:rPr>
      </w:pPr>
    </w:p>
    <w:p>
      <w:pPr>
        <w:jc w:val="both"/>
        <w:ind w:left="302" w:right="20"/>
        <w:spacing w:after="0" w:line="270" w:lineRule="auto"/>
        <w:rPr>
          <w:sz w:val="20"/>
          <w:szCs w:val="20"/>
          <w:color w:val="auto"/>
        </w:rPr>
      </w:pPr>
      <w:r>
        <w:rPr>
          <w:rFonts w:ascii="Arial" w:cs="Arial" w:eastAsia="Arial" w:hAnsi="Arial"/>
          <w:sz w:val="16"/>
          <w:szCs w:val="16"/>
          <w:color w:val="auto"/>
        </w:rPr>
        <w:t>The Company has categorized its financial instruments that are carried at fair value, based on the priority of the inputs to the valuation techniques used to measure fair value, into a three-level fair value hierarchy as follows:</w:t>
      </w:r>
    </w:p>
    <w:p>
      <w:pPr>
        <w:spacing w:after="0" w:line="136" w:lineRule="exact"/>
        <w:rPr>
          <w:sz w:val="20"/>
          <w:szCs w:val="20"/>
          <w:color w:val="auto"/>
        </w:rPr>
      </w:pPr>
    </w:p>
    <w:p>
      <w:pPr>
        <w:jc w:val="both"/>
        <w:ind w:left="302" w:right="20"/>
        <w:spacing w:after="0" w:line="270" w:lineRule="auto"/>
        <w:rPr>
          <w:sz w:val="20"/>
          <w:szCs w:val="20"/>
          <w:color w:val="auto"/>
        </w:rPr>
      </w:pPr>
      <w:r>
        <w:rPr>
          <w:rFonts w:ascii="Arial" w:cs="Arial" w:eastAsia="Arial" w:hAnsi="Arial"/>
          <w:sz w:val="16"/>
          <w:szCs w:val="16"/>
          <w:color w:val="auto"/>
        </w:rPr>
        <w:t>Level 1: Fair value is based on unadjusted quoted prices for identical assets or liabilities in an active market. The types of assets and liabilities classified as Level 1 generally included cash.</w:t>
      </w:r>
    </w:p>
    <w:p>
      <w:pPr>
        <w:spacing w:after="0" w:line="149" w:lineRule="exact"/>
        <w:rPr>
          <w:sz w:val="20"/>
          <w:szCs w:val="20"/>
          <w:color w:val="auto"/>
        </w:rPr>
      </w:pPr>
    </w:p>
    <w:p>
      <w:pPr>
        <w:jc w:val="both"/>
        <w:ind w:left="302" w:right="20"/>
        <w:spacing w:after="0" w:line="262" w:lineRule="auto"/>
        <w:rPr>
          <w:sz w:val="20"/>
          <w:szCs w:val="20"/>
          <w:color w:val="auto"/>
        </w:rPr>
      </w:pPr>
      <w:r>
        <w:rPr>
          <w:rFonts w:ascii="Arial" w:cs="Arial" w:eastAsia="Arial" w:hAnsi="Arial"/>
          <w:sz w:val="16"/>
          <w:szCs w:val="16"/>
          <w:color w:val="auto"/>
        </w:rPr>
        <w:t>Level 2: Fair value is based on quoted prices for similar assets or liabilities in active markets, valuation that is based on significant observable inputs, or inputs that are derived principally from or corroborated with observable market data through correlation or other means. Currently, the Company has no financial instruments that would be classified as Level 2.</w:t>
      </w:r>
    </w:p>
    <w:p>
      <w:pPr>
        <w:spacing w:after="0" w:line="144" w:lineRule="exact"/>
        <w:rPr>
          <w:sz w:val="20"/>
          <w:szCs w:val="20"/>
          <w:color w:val="auto"/>
        </w:rPr>
      </w:pPr>
    </w:p>
    <w:p>
      <w:pPr>
        <w:jc w:val="both"/>
        <w:ind w:left="302" w:right="20"/>
        <w:spacing w:after="0" w:line="262" w:lineRule="auto"/>
        <w:rPr>
          <w:sz w:val="20"/>
          <w:szCs w:val="20"/>
          <w:color w:val="auto"/>
        </w:rPr>
      </w:pPr>
      <w:r>
        <w:rPr>
          <w:rFonts w:ascii="Arial" w:cs="Arial" w:eastAsia="Arial" w:hAnsi="Arial"/>
          <w:sz w:val="16"/>
          <w:szCs w:val="16"/>
          <w:color w:val="auto"/>
        </w:rPr>
        <w:t>Level 3: Fair value is based on valuation techniques that require one or more significant inputs that are not based on observable market inputs. These unobservable inputs reflect the Company’s assumptions about the assumptions market participants would use in pricing the asset or liability. The investments in 3W Wellness Inc. and RxLive and the contingent liabilities are classified as Level 3.</w:t>
      </w:r>
    </w:p>
    <w:p>
      <w:pPr>
        <w:spacing w:after="0" w:line="14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There were no transfers between levels of the fair value hierarchy for the three and six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21 of 25</w:t>
      </w:r>
    </w:p>
    <w:p>
      <w:pPr>
        <w:sectPr>
          <w:pgSz w:w="11900" w:h="16838" w:orient="portrait"/>
          <w:cols w:equalWidth="0" w:num="1">
            <w:col w:w="11262"/>
          </w:cols>
          <w:pgMar w:left="318" w:top="171" w:right="31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quantitative information about the significant unobservable inputs used in level 3 fair value measurements:</w:t>
      </w: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 as at</w:t>
            </w:r>
          </w:p>
        </w:tc>
        <w:tc>
          <w:tcPr>
            <w:tcW w:w="1240" w:type="dxa"/>
            <w:vAlign w:val="bottom"/>
            <w:tcBorders>
              <w:bottom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Relationship of</w:t>
            </w:r>
          </w:p>
        </w:tc>
        <w:tc>
          <w:tcPr>
            <w:tcW w:w="0" w:type="dxa"/>
            <w:vAlign w:val="bottom"/>
          </w:tcPr>
          <w:p>
            <w:pPr>
              <w:spacing w:after="0"/>
              <w:rPr>
                <w:sz w:val="1"/>
                <w:szCs w:val="1"/>
                <w:color w:val="auto"/>
              </w:rPr>
            </w:pPr>
          </w:p>
        </w:tc>
      </w:tr>
      <w:tr>
        <w:trPr>
          <w:trHeight w:val="91"/>
        </w:trPr>
        <w:tc>
          <w:tcPr>
            <w:tcW w:w="1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0" w:type="dxa"/>
            <w:vAlign w:val="bottom"/>
            <w:vMerge w:val="restart"/>
          </w:tcPr>
          <w:p>
            <w:pPr>
              <w:jc w:val="right"/>
              <w:ind w:right="418"/>
              <w:spacing w:after="0"/>
              <w:rPr>
                <w:sz w:val="20"/>
                <w:szCs w:val="20"/>
                <w:color w:val="auto"/>
              </w:rPr>
            </w:pPr>
            <w:r>
              <w:rPr>
                <w:rFonts w:ascii="Arial" w:cs="Arial" w:eastAsia="Arial" w:hAnsi="Arial"/>
                <w:sz w:val="16"/>
                <w:szCs w:val="16"/>
                <w:b w:val="1"/>
                <w:bCs w:val="1"/>
                <w:color w:val="auto"/>
              </w:rPr>
              <w:t>September 30, 2021</w:t>
            </w: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March 31, 2021</w:t>
            </w:r>
          </w:p>
        </w:tc>
        <w:tc>
          <w:tcPr>
            <w:tcW w:w="2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960" w:type="dxa"/>
            <w:vAlign w:val="bottom"/>
            <w:vMerge w:val="restart"/>
          </w:tcPr>
          <w:p>
            <w:pPr>
              <w:jc w:val="right"/>
              <w:spacing w:after="0" w:line="159" w:lineRule="exact"/>
              <w:rPr>
                <w:sz w:val="20"/>
                <w:szCs w:val="20"/>
                <w:color w:val="auto"/>
              </w:rPr>
            </w:pPr>
            <w:r>
              <w:rPr>
                <w:rFonts w:ascii="Arial" w:cs="Arial" w:eastAsia="Arial" w:hAnsi="Arial"/>
                <w:sz w:val="16"/>
                <w:szCs w:val="16"/>
                <w:b w:val="1"/>
                <w:bCs w:val="1"/>
                <w:color w:val="auto"/>
              </w:rPr>
              <w:t>Range of</w:t>
            </w:r>
          </w:p>
        </w:tc>
        <w:tc>
          <w:tcPr>
            <w:tcW w:w="2100" w:type="dxa"/>
            <w:vAlign w:val="bottom"/>
            <w:vMerge w:val="restart"/>
          </w:tcPr>
          <w:p>
            <w:pPr>
              <w:jc w:val="right"/>
              <w:spacing w:after="0" w:line="159" w:lineRule="exact"/>
              <w:rPr>
                <w:sz w:val="20"/>
                <w:szCs w:val="20"/>
                <w:color w:val="auto"/>
              </w:rPr>
            </w:pPr>
            <w:r>
              <w:rPr>
                <w:rFonts w:ascii="Arial" w:cs="Arial" w:eastAsia="Arial" w:hAnsi="Arial"/>
                <w:sz w:val="16"/>
                <w:szCs w:val="16"/>
                <w:b w:val="1"/>
                <w:bCs w:val="1"/>
                <w:color w:val="auto"/>
              </w:rPr>
              <w:t>unobservable inputs to</w:t>
            </w:r>
          </w:p>
        </w:tc>
        <w:tc>
          <w:tcPr>
            <w:tcW w:w="0" w:type="dxa"/>
            <w:vAlign w:val="bottom"/>
          </w:tcPr>
          <w:p>
            <w:pPr>
              <w:spacing w:after="0"/>
              <w:rPr>
                <w:sz w:val="1"/>
                <w:szCs w:val="1"/>
                <w:color w:val="auto"/>
              </w:rPr>
            </w:pPr>
          </w:p>
        </w:tc>
      </w:tr>
      <w:tr>
        <w:trPr>
          <w:trHeight w:val="38"/>
        </w:trPr>
        <w:tc>
          <w:tcPr>
            <w:tcW w:w="22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w:t>
            </w:r>
          </w:p>
        </w:tc>
        <w:tc>
          <w:tcPr>
            <w:tcW w:w="2200" w:type="dxa"/>
            <w:vAlign w:val="bottom"/>
            <w:vMerge w:val="restart"/>
          </w:tcPr>
          <w:p>
            <w:pPr>
              <w:jc w:val="right"/>
              <w:ind w:right="458"/>
              <w:spacing w:after="0"/>
              <w:rPr>
                <w:sz w:val="20"/>
                <w:szCs w:val="20"/>
                <w:color w:val="auto"/>
              </w:rPr>
            </w:pPr>
            <w:r>
              <w:rPr>
                <w:rFonts w:ascii="Arial" w:cs="Arial" w:eastAsia="Arial" w:hAnsi="Arial"/>
                <w:sz w:val="16"/>
                <w:szCs w:val="16"/>
                <w:b w:val="1"/>
                <w:bCs w:val="1"/>
                <w:color w:val="auto"/>
              </w:rPr>
              <w:t>000’s</w:t>
            </w: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000’s</w:t>
            </w:r>
          </w:p>
        </w:tc>
        <w:tc>
          <w:tcPr>
            <w:tcW w:w="220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Unobservable inputs</w:t>
            </w:r>
          </w:p>
        </w:tc>
        <w:tc>
          <w:tcPr>
            <w:tcW w:w="960" w:type="dxa"/>
            <w:vAlign w:val="bottom"/>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260" w:type="dxa"/>
            <w:vAlign w:val="bottom"/>
            <w:tcBorders>
              <w:bottom w:val="single" w:sz="8" w:color="auto"/>
            </w:tcBorders>
            <w:gridSpan w:val="3"/>
            <w:vMerge w:val="continue"/>
          </w:tcPr>
          <w:p>
            <w:pPr>
              <w:spacing w:after="0"/>
              <w:rPr>
                <w:sz w:val="18"/>
                <w:szCs w:val="18"/>
                <w:color w:val="auto"/>
              </w:rPr>
            </w:pPr>
          </w:p>
        </w:tc>
        <w:tc>
          <w:tcPr>
            <w:tcW w:w="2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inputs</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63"/>
        </w:trPr>
        <w:tc>
          <w:tcPr>
            <w:tcW w:w="2260" w:type="dxa"/>
            <w:vAlign w:val="bottom"/>
            <w:gridSpan w:val="3"/>
          </w:tcPr>
          <w:p>
            <w:pPr>
              <w:spacing w:after="0" w:line="163" w:lineRule="exact"/>
              <w:rPr>
                <w:sz w:val="20"/>
                <w:szCs w:val="20"/>
                <w:color w:val="auto"/>
              </w:rPr>
            </w:pPr>
            <w:r>
              <w:rPr>
                <w:rFonts w:ascii="Arial" w:cs="Arial" w:eastAsia="Arial" w:hAnsi="Arial"/>
                <w:sz w:val="16"/>
                <w:szCs w:val="16"/>
                <w:color w:val="auto"/>
              </w:rPr>
              <w:t>Rx Hybrid Instrument and</w:t>
            </w:r>
          </w:p>
        </w:tc>
        <w:tc>
          <w:tcPr>
            <w:tcW w:w="2200" w:type="dxa"/>
            <w:vAlign w:val="bottom"/>
          </w:tcPr>
          <w:p>
            <w:pPr>
              <w:jc w:val="right"/>
              <w:ind w:right="458"/>
              <w:spacing w:after="0" w:line="163" w:lineRule="exact"/>
              <w:rPr>
                <w:sz w:val="20"/>
                <w:szCs w:val="20"/>
                <w:color w:val="auto"/>
              </w:rPr>
            </w:pPr>
            <w:r>
              <w:rPr>
                <w:rFonts w:ascii="Arial" w:cs="Arial" w:eastAsia="Arial" w:hAnsi="Arial"/>
                <w:sz w:val="16"/>
                <w:szCs w:val="16"/>
                <w:color w:val="auto"/>
              </w:rPr>
              <w:t>250</w:t>
            </w:r>
          </w:p>
        </w:tc>
        <w:tc>
          <w:tcPr>
            <w:tcW w:w="124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2200" w:type="dxa"/>
            <w:vAlign w:val="bottom"/>
          </w:tcPr>
          <w:p>
            <w:pPr>
              <w:jc w:val="right"/>
              <w:ind w:right="98"/>
              <w:spacing w:after="0" w:line="163" w:lineRule="exact"/>
              <w:rPr>
                <w:sz w:val="20"/>
                <w:szCs w:val="20"/>
                <w:color w:val="auto"/>
              </w:rPr>
            </w:pPr>
            <w:r>
              <w:rPr>
                <w:rFonts w:ascii="Arial" w:cs="Arial" w:eastAsia="Arial" w:hAnsi="Arial"/>
                <w:sz w:val="16"/>
                <w:szCs w:val="16"/>
                <w:color w:val="auto"/>
              </w:rPr>
              <w:t>Fair value interest rate of</w:t>
            </w:r>
          </w:p>
        </w:tc>
        <w:tc>
          <w:tcPr>
            <w:tcW w:w="960" w:type="dxa"/>
            <w:vAlign w:val="bottom"/>
          </w:tcPr>
          <w:p>
            <w:pPr>
              <w:jc w:val="right"/>
              <w:spacing w:after="0" w:line="163" w:lineRule="exact"/>
              <w:rPr>
                <w:sz w:val="20"/>
                <w:szCs w:val="20"/>
                <w:color w:val="auto"/>
              </w:rPr>
            </w:pPr>
            <w:r>
              <w:rPr>
                <w:rFonts w:ascii="Arial" w:cs="Arial" w:eastAsia="Arial" w:hAnsi="Arial"/>
                <w:sz w:val="16"/>
                <w:szCs w:val="16"/>
                <w:color w:val="auto"/>
              </w:rPr>
              <w:t>10%</w:t>
            </w:r>
          </w:p>
        </w:tc>
        <w:tc>
          <w:tcPr>
            <w:tcW w:w="2100" w:type="dxa"/>
            <w:vAlign w:val="bottom"/>
          </w:tcPr>
          <w:p>
            <w:pPr>
              <w:jc w:val="right"/>
              <w:spacing w:after="0" w:line="163" w:lineRule="exact"/>
              <w:rPr>
                <w:sz w:val="20"/>
                <w:szCs w:val="20"/>
                <w:color w:val="auto"/>
              </w:rPr>
            </w:pPr>
            <w:r>
              <w:rPr>
                <w:rFonts w:ascii="Arial" w:cs="Arial" w:eastAsia="Arial" w:hAnsi="Arial"/>
                <w:sz w:val="16"/>
                <w:szCs w:val="16"/>
                <w:color w:val="auto"/>
              </w:rPr>
              <w:t>Increase/decrease in the</w:t>
            </w:r>
          </w:p>
        </w:tc>
        <w:tc>
          <w:tcPr>
            <w:tcW w:w="0" w:type="dxa"/>
            <w:vAlign w:val="bottom"/>
          </w:tcPr>
          <w:p>
            <w:pPr>
              <w:spacing w:after="0"/>
              <w:rPr>
                <w:sz w:val="1"/>
                <w:szCs w:val="1"/>
                <w:color w:val="auto"/>
              </w:rPr>
            </w:pPr>
          </w:p>
        </w:tc>
      </w:tr>
      <w:tr>
        <w:trPr>
          <w:trHeight w:val="159"/>
        </w:trPr>
        <w:tc>
          <w:tcPr>
            <w:tcW w:w="2260" w:type="dxa"/>
            <w:vAlign w:val="bottom"/>
            <w:gridSpan w:val="3"/>
          </w:tcPr>
          <w:p>
            <w:pPr>
              <w:spacing w:after="0" w:line="159" w:lineRule="exact"/>
              <w:rPr>
                <w:sz w:val="20"/>
                <w:szCs w:val="20"/>
                <w:color w:val="auto"/>
              </w:rPr>
            </w:pPr>
            <w:r>
              <w:rPr>
                <w:rFonts w:ascii="Arial" w:cs="Arial" w:eastAsia="Arial" w:hAnsi="Arial"/>
                <w:sz w:val="16"/>
                <w:szCs w:val="16"/>
                <w:color w:val="auto"/>
              </w:rPr>
              <w:t>RxLive Derivatives</w:t>
            </w:r>
          </w:p>
        </w:tc>
        <w:tc>
          <w:tcPr>
            <w:tcW w:w="2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0" w:type="dxa"/>
            <w:vAlign w:val="bottom"/>
          </w:tcPr>
          <w:p>
            <w:pPr>
              <w:jc w:val="right"/>
              <w:ind w:right="98"/>
              <w:spacing w:after="0" w:line="159" w:lineRule="exact"/>
              <w:rPr>
                <w:sz w:val="20"/>
                <w:szCs w:val="20"/>
                <w:color w:val="auto"/>
              </w:rPr>
            </w:pPr>
            <w:r>
              <w:rPr>
                <w:rFonts w:ascii="Arial" w:cs="Arial" w:eastAsia="Arial" w:hAnsi="Arial"/>
                <w:sz w:val="16"/>
                <w:szCs w:val="16"/>
                <w:color w:val="auto"/>
              </w:rPr>
              <w:t>loan and conversion feature</w:t>
            </w:r>
          </w:p>
        </w:tc>
        <w:tc>
          <w:tcPr>
            <w:tcW w:w="960" w:type="dxa"/>
            <w:vAlign w:val="bottom"/>
          </w:tcPr>
          <w:p>
            <w:pPr>
              <w:spacing w:after="0"/>
              <w:rPr>
                <w:sz w:val="13"/>
                <w:szCs w:val="13"/>
                <w:color w:val="auto"/>
              </w:rPr>
            </w:pPr>
          </w:p>
        </w:tc>
        <w:tc>
          <w:tcPr>
            <w:tcW w:w="2100" w:type="dxa"/>
            <w:vAlign w:val="bottom"/>
          </w:tcPr>
          <w:p>
            <w:pPr>
              <w:jc w:val="right"/>
              <w:spacing w:after="0" w:line="159" w:lineRule="exact"/>
              <w:rPr>
                <w:sz w:val="20"/>
                <w:szCs w:val="20"/>
                <w:color w:val="auto"/>
              </w:rPr>
            </w:pPr>
            <w:r>
              <w:rPr>
                <w:rFonts w:ascii="Arial" w:cs="Arial" w:eastAsia="Arial" w:hAnsi="Arial"/>
                <w:sz w:val="16"/>
                <w:szCs w:val="16"/>
                <w:color w:val="auto"/>
              </w:rPr>
              <w:t>fair value rate by 1% would</w:t>
            </w:r>
          </w:p>
        </w:tc>
        <w:tc>
          <w:tcPr>
            <w:tcW w:w="0" w:type="dxa"/>
            <w:vAlign w:val="bottom"/>
          </w:tcPr>
          <w:p>
            <w:pPr>
              <w:spacing w:after="0"/>
              <w:rPr>
                <w:sz w:val="1"/>
                <w:szCs w:val="1"/>
                <w:color w:val="auto"/>
              </w:rPr>
            </w:pPr>
          </w:p>
        </w:tc>
      </w:tr>
      <w:tr>
        <w:trPr>
          <w:trHeight w:val="159"/>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00" w:type="dxa"/>
            <w:vAlign w:val="bottom"/>
          </w:tcPr>
          <w:p>
            <w:pPr>
              <w:jc w:val="right"/>
              <w:spacing w:after="0" w:line="159" w:lineRule="exact"/>
              <w:rPr>
                <w:sz w:val="20"/>
                <w:szCs w:val="20"/>
                <w:color w:val="auto"/>
              </w:rPr>
            </w:pPr>
            <w:r>
              <w:rPr>
                <w:rFonts w:ascii="Arial" w:cs="Arial" w:eastAsia="Arial" w:hAnsi="Arial"/>
                <w:sz w:val="16"/>
                <w:szCs w:val="16"/>
                <w:color w:val="auto"/>
              </w:rPr>
              <w:t>not have a material effect</w:t>
            </w:r>
          </w:p>
        </w:tc>
        <w:tc>
          <w:tcPr>
            <w:tcW w:w="0" w:type="dxa"/>
            <w:vAlign w:val="bottom"/>
          </w:tcPr>
          <w:p>
            <w:pPr>
              <w:spacing w:after="0"/>
              <w:rPr>
                <w:sz w:val="1"/>
                <w:szCs w:val="1"/>
                <w:color w:val="auto"/>
              </w:rPr>
            </w:pPr>
          </w:p>
        </w:tc>
      </w:tr>
      <w:tr>
        <w:trPr>
          <w:trHeight w:val="159"/>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00" w:type="dxa"/>
            <w:vAlign w:val="bottom"/>
          </w:tcPr>
          <w:p>
            <w:pPr>
              <w:jc w:val="right"/>
              <w:spacing w:after="0" w:line="159" w:lineRule="exact"/>
              <w:rPr>
                <w:sz w:val="20"/>
                <w:szCs w:val="20"/>
                <w:color w:val="auto"/>
              </w:rPr>
            </w:pPr>
            <w:r>
              <w:rPr>
                <w:rFonts w:ascii="Arial" w:cs="Arial" w:eastAsia="Arial" w:hAnsi="Arial"/>
                <w:sz w:val="16"/>
                <w:szCs w:val="16"/>
                <w:color w:val="auto"/>
              </w:rPr>
              <w:t>on the fair value of the</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investment</w:t>
            </w:r>
          </w:p>
        </w:tc>
        <w:tc>
          <w:tcPr>
            <w:tcW w:w="0" w:type="dxa"/>
            <w:vAlign w:val="bottom"/>
          </w:tcPr>
          <w:p>
            <w:pPr>
              <w:spacing w:after="0"/>
              <w:rPr>
                <w:sz w:val="1"/>
                <w:szCs w:val="1"/>
                <w:color w:val="auto"/>
              </w:rPr>
            </w:pPr>
          </w:p>
        </w:tc>
      </w:tr>
      <w:tr>
        <w:trPr>
          <w:trHeight w:val="396"/>
        </w:trPr>
        <w:tc>
          <w:tcPr>
            <w:tcW w:w="2260" w:type="dxa"/>
            <w:vAlign w:val="bottom"/>
            <w:gridSpan w:val="3"/>
          </w:tcPr>
          <w:p>
            <w:pPr>
              <w:spacing w:after="0"/>
              <w:rPr>
                <w:sz w:val="20"/>
                <w:szCs w:val="20"/>
                <w:color w:val="auto"/>
              </w:rPr>
            </w:pPr>
            <w:r>
              <w:rPr>
                <w:rFonts w:ascii="Arial" w:cs="Arial" w:eastAsia="Arial" w:hAnsi="Arial"/>
                <w:sz w:val="16"/>
                <w:szCs w:val="16"/>
                <w:b w:val="1"/>
                <w:bCs w:val="1"/>
                <w:color w:val="auto"/>
              </w:rPr>
              <w:t>Financial risk management</w:t>
            </w:r>
          </w:p>
        </w:tc>
        <w:tc>
          <w:tcPr>
            <w:tcW w:w="2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Credit risk</w:t>
            </w: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Credit risk is the risk that one party to a financial instrument will cause a financial loss for the other party by failing to discharge an obligation. The Company’s cash is exposed to credit risk. The Company reduces its credit risk on cash by placing these instruments with institutions of high credit worthiness. As at September 30, 2021, the Company’s maximum exposure to credit risk is the carrying value of its financial assets.</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Liquidity risk</w:t>
      </w:r>
    </w:p>
    <w:p>
      <w:pPr>
        <w:spacing w:after="0" w:line="191"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Liquidity risk is the risk that an entity will encounter difficulty in raising funds to meet commitments associated with financial instruments. The Company manages liquidity by maintaining adequate cash balances to meet liabilities as they become due.</w:t>
      </w:r>
    </w:p>
    <w:p>
      <w:pPr>
        <w:spacing w:after="0" w:line="136"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As at September 30, 2021, the Company had cash and cash equivalents of $75,179 (March 31, 2021 - $64,026) in order to meet current liabilities. Accounts payable and accrued liabilities include trade payables and other obligations of $2,629 (March 31, 2021 - $2,793), all amounts are due within the next 12 months. In addition, the Company has agreed to participate in a private placement of subscription receipts of Finco in an amount of up to $500.</w:t>
      </w:r>
    </w:p>
    <w:p>
      <w:pPr>
        <w:spacing w:after="0" w:line="33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Market risk</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significant market risks to which the Company is exposed are interest rate risk and currency risk.</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6"/>
          <w:szCs w:val="16"/>
          <w:i w:val="1"/>
          <w:iCs w:val="1"/>
          <w:u w:val="single" w:color="auto"/>
          <w:color w:val="auto"/>
        </w:rPr>
        <w:t>Interest rate risk</w:t>
      </w:r>
    </w:p>
    <w:p>
      <w:pPr>
        <w:spacing w:after="0" w:line="199"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Interest rate risk is the risk that the fair value or the future cash flows of a financial instrument will fluctuate because of changes in market interest rate. In seeking to minimize the risks from interest rate fluctuations, the Company manages exposure through its normal operating and financing activities. As at September 30, 2021, the Company has determined its exposure to interest rate risk is minimal.</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6"/>
          <w:szCs w:val="16"/>
          <w:i w:val="1"/>
          <w:iCs w:val="1"/>
          <w:u w:val="single" w:color="auto"/>
          <w:color w:val="auto"/>
        </w:rPr>
        <w:t>Currency risk</w:t>
      </w:r>
    </w:p>
    <w:p>
      <w:pPr>
        <w:spacing w:after="0" w:line="187"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The Company is exposed to currency risk to the extent that monetary operational expenses are denominated in both CAD and USD while functional currency of CAD in used for reporting. The Company has not entered into any foreign currency contracts to mitigate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22 of 25</w:t>
      </w:r>
    </w:p>
    <w:p>
      <w:pPr>
        <w:sectPr>
          <w:pgSz w:w="11900" w:h="16838" w:orient="portrait"/>
          <w:cols w:equalWidth="0" w:num="1">
            <w:col w:w="11200"/>
          </w:cols>
          <w:pgMar w:left="380" w:top="171" w:right="319" w:bottom="1440" w:gutter="0" w:footer="0" w:header="0"/>
        </w:sectPr>
      </w:pPr>
    </w:p>
    <w:bookmarkStart w:id="25" w:name="page26"/>
    <w:bookmarkEnd w:id="25"/>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02" w:type="dxa"/>
        <w:tblCellMar>
          <w:top w:w="0" w:type="dxa"/>
          <w:left w:w="0" w:type="dxa"/>
          <w:bottom w:w="0" w:type="dxa"/>
          <w:right w:w="0" w:type="dxa"/>
        </w:tblCellMar>
      </w:tblPr>
      <w:tr>
        <w:trPr>
          <w:trHeight w:val="196"/>
        </w:trPr>
        <w:tc>
          <w:tcPr>
            <w:tcW w:w="9580" w:type="dxa"/>
            <w:vAlign w:val="bottom"/>
            <w:gridSpan w:val="2"/>
          </w:tcPr>
          <w:p>
            <w:pPr>
              <w:spacing w:after="0"/>
              <w:rPr>
                <w:sz w:val="20"/>
                <w:szCs w:val="20"/>
                <w:color w:val="auto"/>
              </w:rPr>
            </w:pPr>
            <w:r>
              <w:rPr>
                <w:rFonts w:ascii="Arial" w:cs="Arial" w:eastAsia="Arial" w:hAnsi="Arial"/>
                <w:sz w:val="16"/>
                <w:szCs w:val="16"/>
                <w:color w:val="auto"/>
              </w:rPr>
              <w:t>The Company had the following balances in monetary assets and monetary liabilities which are subject to fluctuation against CAD:</w:t>
            </w:r>
          </w:p>
        </w:tc>
        <w:tc>
          <w:tcPr>
            <w:tcW w:w="980" w:type="dxa"/>
            <w:vAlign w:val="bottom"/>
          </w:tcPr>
          <w:p>
            <w:pPr>
              <w:spacing w:after="0"/>
              <w:rPr>
                <w:sz w:val="17"/>
                <w:szCs w:val="17"/>
                <w:color w:val="auto"/>
              </w:rPr>
            </w:pPr>
          </w:p>
        </w:tc>
      </w:tr>
      <w:tr>
        <w:trPr>
          <w:trHeight w:val="404"/>
        </w:trPr>
        <w:tc>
          <w:tcPr>
            <w:tcW w:w="51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858"/>
              <w:spacing w:after="0"/>
              <w:rPr>
                <w:sz w:val="20"/>
                <w:szCs w:val="20"/>
                <w:color w:val="auto"/>
              </w:rPr>
            </w:pPr>
            <w:r>
              <w:rPr>
                <w:rFonts w:ascii="Arial" w:cs="Arial" w:eastAsia="Arial" w:hAnsi="Arial"/>
                <w:sz w:val="16"/>
                <w:szCs w:val="16"/>
                <w:b w:val="1"/>
                <w:bCs w:val="1"/>
                <w:color w:val="auto"/>
              </w:rPr>
              <w:t>Denominated in: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US$000’s</w:t>
            </w: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Cash</w:t>
            </w:r>
          </w:p>
        </w:tc>
        <w:tc>
          <w:tcPr>
            <w:tcW w:w="4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943</w:t>
            </w:r>
          </w:p>
        </w:tc>
      </w:t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Accounts payable and accrued liabilities</w:t>
            </w:r>
          </w:p>
        </w:tc>
        <w:tc>
          <w:tcPr>
            <w:tcW w:w="4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(264)</w:t>
            </w:r>
          </w:p>
        </w:tc>
      </w:tr>
      <w:tr>
        <w:trPr>
          <w:trHeight w:val="208"/>
        </w:trPr>
        <w:tc>
          <w:tcPr>
            <w:tcW w:w="51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679</w:t>
            </w:r>
          </w:p>
        </w:tc>
      </w:tr>
      <w:tr>
        <w:trPr>
          <w:trHeight w:val="200"/>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rate</w:t>
            </w:r>
          </w:p>
        </w:tc>
        <w:tc>
          <w:tcPr>
            <w:tcW w:w="4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1.2741</w:t>
            </w:r>
          </w:p>
        </w:tc>
      </w:tr>
      <w:tr>
        <w:trPr>
          <w:trHeight w:val="201"/>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Equivalent in Canadian dollars</w:t>
            </w:r>
          </w:p>
        </w:tc>
        <w:tc>
          <w:tcPr>
            <w:tcW w:w="4440" w:type="dxa"/>
            <w:vAlign w:val="bottom"/>
            <w:tcBorders>
              <w:bottom w:val="single" w:sz="8" w:color="auto"/>
            </w:tcBorders>
          </w:tcPr>
          <w:p>
            <w:pPr>
              <w:jc w:val="right"/>
              <w:ind w:right="738"/>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865</w:t>
            </w:r>
          </w:p>
        </w:tc>
      </w:tr>
    </w:tbl>
    <w:p>
      <w:pPr>
        <w:spacing w:after="0" w:line="244"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Based on the above net exposures as at September 30, 2021, and assuming that all other variables remain constant, a 10% change of the USD against the CAD would impact net loss by approximately by $87.</w:t>
      </w:r>
    </w:p>
    <w:p>
      <w:pPr>
        <w:spacing w:after="0" w:line="116" w:lineRule="exact"/>
        <w:rPr>
          <w:sz w:val="20"/>
          <w:szCs w:val="20"/>
          <w:color w:val="auto"/>
        </w:rPr>
      </w:pPr>
    </w:p>
    <w:p>
      <w:pPr>
        <w:ind w:left="402" w:hanging="402"/>
        <w:spacing w:after="0"/>
        <w:tabs>
          <w:tab w:leader="none" w:pos="402" w:val="left"/>
        </w:tabs>
        <w:numPr>
          <w:ilvl w:val="0"/>
          <w:numId w:val="15"/>
        </w:numPr>
        <w:rPr>
          <w:rFonts w:ascii="Arial" w:cs="Arial" w:eastAsia="Arial" w:hAnsi="Arial"/>
          <w:sz w:val="16"/>
          <w:szCs w:val="16"/>
          <w:b w:val="1"/>
          <w:bCs w:val="1"/>
          <w:color w:val="2D5F91"/>
        </w:rPr>
      </w:pPr>
      <w:r>
        <w:rPr>
          <w:rFonts w:ascii="Arial" w:cs="Arial" w:eastAsia="Arial" w:hAnsi="Arial"/>
          <w:sz w:val="16"/>
          <w:szCs w:val="16"/>
          <w:b w:val="1"/>
          <w:bCs w:val="1"/>
          <w:color w:val="2D5F91"/>
        </w:rPr>
        <w:t>INCOME TAX</w:t>
      </w:r>
    </w:p>
    <w:p>
      <w:pPr>
        <w:spacing w:after="0" w:line="191" w:lineRule="exact"/>
        <w:rPr>
          <w:sz w:val="20"/>
          <w:szCs w:val="20"/>
          <w:color w:val="auto"/>
        </w:rPr>
      </w:pPr>
    </w:p>
    <w:p>
      <w:pPr>
        <w:ind w:left="302"/>
        <w:spacing w:after="0"/>
        <w:rPr>
          <w:sz w:val="20"/>
          <w:szCs w:val="20"/>
          <w:color w:val="auto"/>
        </w:rPr>
      </w:pPr>
      <w:r>
        <w:rPr>
          <w:rFonts w:ascii="Arial" w:cs="Arial" w:eastAsia="Arial" w:hAnsi="Arial"/>
          <w:sz w:val="16"/>
          <w:szCs w:val="16"/>
          <w:color w:val="auto"/>
        </w:rPr>
        <w:t>Major items causing the Company’s income tax rate to differ from the Canadian statutory rate of approximately 26.50% are as follows:</w:t>
      </w:r>
    </w:p>
    <w:p>
      <w:pPr>
        <w:spacing w:after="0" w:line="195" w:lineRule="exact"/>
        <w:rPr>
          <w:sz w:val="20"/>
          <w:szCs w:val="20"/>
          <w:color w:val="auto"/>
        </w:rPr>
      </w:pPr>
    </w:p>
    <w:p>
      <w:pPr>
        <w:ind w:left="5462"/>
        <w:spacing w:after="0"/>
        <w:rPr>
          <w:sz w:val="20"/>
          <w:szCs w:val="20"/>
          <w:color w:val="auto"/>
        </w:rPr>
      </w:pPr>
      <w:r>
        <w:rPr>
          <w:rFonts w:ascii="Arial" w:cs="Arial" w:eastAsia="Arial" w:hAnsi="Arial"/>
          <w:sz w:val="16"/>
          <w:szCs w:val="16"/>
          <w:b w:val="1"/>
          <w:bCs w:val="1"/>
          <w:color w:val="auto"/>
        </w:rPr>
        <w:t>Three-months ended September</w:t>
      </w:r>
    </w:p>
    <w:tbl>
      <w:tblPr>
        <w:tblLayout w:type="fixed"/>
        <w:tblInd w:w="302" w:type="dxa"/>
        <w:tblCellMar>
          <w:top w:w="0" w:type="dxa"/>
          <w:left w:w="0" w:type="dxa"/>
          <w:bottom w:w="0" w:type="dxa"/>
          <w:right w:w="0" w:type="dxa"/>
        </w:tblCellMar>
      </w:tblPr>
      <w:tr>
        <w:trPr>
          <w:trHeight w:val="188"/>
        </w:trPr>
        <w:tc>
          <w:tcPr>
            <w:tcW w:w="48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60" w:type="dxa"/>
            <w:vAlign w:val="bottom"/>
            <w:gridSpan w:val="3"/>
          </w:tcPr>
          <w:p>
            <w:pPr>
              <w:jc w:val="right"/>
              <w:spacing w:after="0"/>
              <w:rPr>
                <w:sz w:val="20"/>
                <w:szCs w:val="20"/>
                <w:color w:val="auto"/>
              </w:rPr>
            </w:pPr>
            <w:r>
              <w:rPr>
                <w:rFonts w:ascii="Arial" w:cs="Arial" w:eastAsia="Arial" w:hAnsi="Arial"/>
                <w:sz w:val="16"/>
                <w:szCs w:val="16"/>
                <w:b w:val="1"/>
                <w:bCs w:val="1"/>
                <w:color w:val="auto"/>
              </w:rPr>
              <w:t>30,  Six-months ended September 30,</w:t>
            </w:r>
          </w:p>
        </w:tc>
      </w:tr>
      <w:tr>
        <w:trPr>
          <w:trHeight w:val="216"/>
        </w:trPr>
        <w:tc>
          <w:tcPr>
            <w:tcW w:w="48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2021</w:t>
            </w:r>
          </w:p>
        </w:tc>
        <w:tc>
          <w:tcPr>
            <w:tcW w:w="13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2020</w:t>
            </w:r>
          </w:p>
        </w:tc>
        <w:tc>
          <w:tcPr>
            <w:tcW w:w="14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1"/>
        </w:trPr>
        <w:tc>
          <w:tcPr>
            <w:tcW w:w="4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loss and comprehensive loss before income taxes</w:t>
            </w:r>
          </w:p>
        </w:tc>
        <w:tc>
          <w:tcPr>
            <w:tcW w:w="19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(17,607)</w:t>
            </w:r>
          </w:p>
        </w:tc>
        <w:tc>
          <w:tcPr>
            <w:tcW w:w="13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(2,660)</w:t>
            </w:r>
          </w:p>
        </w:tc>
        <w:tc>
          <w:tcPr>
            <w:tcW w:w="14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(32,324)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(7,023)</w:t>
            </w:r>
          </w:p>
        </w:tc>
      </w:tr>
      <w:tr>
        <w:trPr>
          <w:trHeight w:val="375"/>
        </w:trPr>
        <w:tc>
          <w:tcPr>
            <w:tcW w:w="4800" w:type="dxa"/>
            <w:vAlign w:val="bottom"/>
          </w:tcPr>
          <w:p>
            <w:pPr>
              <w:spacing w:after="0"/>
              <w:rPr>
                <w:sz w:val="20"/>
                <w:szCs w:val="20"/>
                <w:color w:val="auto"/>
              </w:rPr>
            </w:pPr>
            <w:r>
              <w:rPr>
                <w:rFonts w:ascii="Arial" w:cs="Arial" w:eastAsia="Arial" w:hAnsi="Arial"/>
                <w:sz w:val="16"/>
                <w:szCs w:val="16"/>
                <w:color w:val="auto"/>
              </w:rPr>
              <w:t>Expected recovery at statutory rate</w:t>
            </w:r>
          </w:p>
        </w:tc>
        <w:tc>
          <w:tcPr>
            <w:tcW w:w="1920" w:type="dxa"/>
            <w:vAlign w:val="bottom"/>
          </w:tcPr>
          <w:p>
            <w:pPr>
              <w:jc w:val="right"/>
              <w:ind w:right="338"/>
              <w:spacing w:after="0"/>
              <w:rPr>
                <w:sz w:val="20"/>
                <w:szCs w:val="20"/>
                <w:color w:val="auto"/>
              </w:rPr>
            </w:pPr>
            <w:r>
              <w:rPr>
                <w:rFonts w:ascii="Arial" w:cs="Arial" w:eastAsia="Arial" w:hAnsi="Arial"/>
                <w:sz w:val="16"/>
                <w:szCs w:val="16"/>
                <w:b w:val="1"/>
                <w:bCs w:val="1"/>
                <w:color w:val="auto"/>
              </w:rPr>
              <w:t>(4,666)</w:t>
            </w:r>
          </w:p>
        </w:tc>
        <w:tc>
          <w:tcPr>
            <w:tcW w:w="1320" w:type="dxa"/>
            <w:vAlign w:val="bottom"/>
          </w:tcPr>
          <w:p>
            <w:pPr>
              <w:jc w:val="right"/>
              <w:ind w:right="298"/>
              <w:spacing w:after="0"/>
              <w:rPr>
                <w:sz w:val="20"/>
                <w:szCs w:val="20"/>
                <w:color w:val="auto"/>
              </w:rPr>
            </w:pPr>
            <w:r>
              <w:rPr>
                <w:rFonts w:ascii="Arial" w:cs="Arial" w:eastAsia="Arial" w:hAnsi="Arial"/>
                <w:sz w:val="16"/>
                <w:szCs w:val="16"/>
                <w:color w:val="auto"/>
              </w:rPr>
              <w:t>(705)</w:t>
            </w:r>
          </w:p>
        </w:tc>
        <w:tc>
          <w:tcPr>
            <w:tcW w:w="1420" w:type="dxa"/>
            <w:vAlign w:val="bottom"/>
          </w:tcPr>
          <w:p>
            <w:pPr>
              <w:jc w:val="right"/>
              <w:ind w:right="358"/>
              <w:spacing w:after="0"/>
              <w:rPr>
                <w:sz w:val="20"/>
                <w:szCs w:val="20"/>
                <w:color w:val="auto"/>
              </w:rPr>
            </w:pPr>
            <w:r>
              <w:rPr>
                <w:rFonts w:ascii="Arial" w:cs="Arial" w:eastAsia="Arial" w:hAnsi="Arial"/>
                <w:sz w:val="16"/>
                <w:szCs w:val="16"/>
                <w:b w:val="1"/>
                <w:bCs w:val="1"/>
                <w:color w:val="auto"/>
              </w:rPr>
              <w:t>(8,566)</w:t>
            </w:r>
          </w:p>
        </w:tc>
        <w:tc>
          <w:tcPr>
            <w:tcW w:w="1020" w:type="dxa"/>
            <w:vAlign w:val="bottom"/>
          </w:tcPr>
          <w:p>
            <w:pPr>
              <w:jc w:val="right"/>
              <w:spacing w:after="0"/>
              <w:rPr>
                <w:sz w:val="20"/>
                <w:szCs w:val="20"/>
                <w:color w:val="auto"/>
              </w:rPr>
            </w:pPr>
            <w:r>
              <w:rPr>
                <w:rFonts w:ascii="Arial" w:cs="Arial" w:eastAsia="Arial" w:hAnsi="Arial"/>
                <w:sz w:val="16"/>
                <w:szCs w:val="16"/>
                <w:color w:val="auto"/>
              </w:rPr>
              <w:t>(1,861)</w:t>
            </w:r>
          </w:p>
        </w:tc>
      </w:tr>
      <w:tr>
        <w:trPr>
          <w:trHeight w:val="208"/>
        </w:trPr>
        <w:tc>
          <w:tcPr>
            <w:tcW w:w="48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920" w:type="dxa"/>
            <w:vAlign w:val="bottom"/>
          </w:tcPr>
          <w:p>
            <w:pPr>
              <w:jc w:val="right"/>
              <w:ind w:right="338"/>
              <w:spacing w:after="0"/>
              <w:rPr>
                <w:sz w:val="20"/>
                <w:szCs w:val="20"/>
                <w:color w:val="auto"/>
              </w:rPr>
            </w:pPr>
            <w:r>
              <w:rPr>
                <w:rFonts w:ascii="Arial" w:cs="Arial" w:eastAsia="Arial" w:hAnsi="Arial"/>
                <w:sz w:val="16"/>
                <w:szCs w:val="16"/>
                <w:b w:val="1"/>
                <w:bCs w:val="1"/>
                <w:color w:val="auto"/>
              </w:rPr>
              <w:t>1,446</w:t>
            </w:r>
          </w:p>
        </w:tc>
        <w:tc>
          <w:tcPr>
            <w:tcW w:w="1320" w:type="dxa"/>
            <w:vAlign w:val="bottom"/>
          </w:tcPr>
          <w:p>
            <w:pPr>
              <w:jc w:val="right"/>
              <w:ind w:right="298"/>
              <w:spacing w:after="0"/>
              <w:rPr>
                <w:sz w:val="20"/>
                <w:szCs w:val="20"/>
                <w:color w:val="auto"/>
              </w:rPr>
            </w:pPr>
            <w:r>
              <w:rPr>
                <w:rFonts w:ascii="Arial" w:cs="Arial" w:eastAsia="Arial" w:hAnsi="Arial"/>
                <w:sz w:val="16"/>
                <w:szCs w:val="16"/>
                <w:color w:val="auto"/>
              </w:rPr>
              <w:t>208</w:t>
            </w:r>
          </w:p>
        </w:tc>
        <w:tc>
          <w:tcPr>
            <w:tcW w:w="1420" w:type="dxa"/>
            <w:vAlign w:val="bottom"/>
          </w:tcPr>
          <w:p>
            <w:pPr>
              <w:jc w:val="right"/>
              <w:ind w:right="358"/>
              <w:spacing w:after="0"/>
              <w:rPr>
                <w:sz w:val="20"/>
                <w:szCs w:val="20"/>
                <w:color w:val="auto"/>
              </w:rPr>
            </w:pPr>
            <w:r>
              <w:rPr>
                <w:rFonts w:ascii="Arial" w:cs="Arial" w:eastAsia="Arial" w:hAnsi="Arial"/>
                <w:sz w:val="16"/>
                <w:szCs w:val="16"/>
                <w:b w:val="1"/>
                <w:bCs w:val="1"/>
                <w:color w:val="auto"/>
              </w:rPr>
              <w:t>2,711</w:t>
            </w:r>
          </w:p>
        </w:tc>
        <w:tc>
          <w:tcPr>
            <w:tcW w:w="1020" w:type="dxa"/>
            <w:vAlign w:val="bottom"/>
          </w:tcPr>
          <w:p>
            <w:pPr>
              <w:jc w:val="right"/>
              <w:spacing w:after="0"/>
              <w:rPr>
                <w:sz w:val="20"/>
                <w:szCs w:val="20"/>
                <w:color w:val="auto"/>
              </w:rPr>
            </w:pPr>
            <w:r>
              <w:rPr>
                <w:rFonts w:ascii="Arial" w:cs="Arial" w:eastAsia="Arial" w:hAnsi="Arial"/>
                <w:sz w:val="16"/>
                <w:szCs w:val="16"/>
                <w:color w:val="auto"/>
              </w:rPr>
              <w:t>867</w:t>
            </w:r>
          </w:p>
        </w:tc>
      </w:tr>
      <w:tr>
        <w:trPr>
          <w:trHeight w:val="208"/>
        </w:trPr>
        <w:tc>
          <w:tcPr>
            <w:tcW w:w="4800" w:type="dxa"/>
            <w:vAlign w:val="bottom"/>
          </w:tcPr>
          <w:p>
            <w:pPr>
              <w:spacing w:after="0"/>
              <w:rPr>
                <w:sz w:val="20"/>
                <w:szCs w:val="20"/>
                <w:color w:val="auto"/>
              </w:rPr>
            </w:pPr>
            <w:r>
              <w:rPr>
                <w:rFonts w:ascii="Arial" w:cs="Arial" w:eastAsia="Arial" w:hAnsi="Arial"/>
                <w:sz w:val="16"/>
                <w:szCs w:val="16"/>
                <w:color w:val="auto"/>
              </w:rPr>
              <w:t>Difference between Canadian and foreign tax rates</w:t>
            </w:r>
          </w:p>
        </w:tc>
        <w:tc>
          <w:tcPr>
            <w:tcW w:w="1920" w:type="dxa"/>
            <w:vAlign w:val="bottom"/>
          </w:tcPr>
          <w:p>
            <w:pPr>
              <w:jc w:val="right"/>
              <w:ind w:right="338"/>
              <w:spacing w:after="0"/>
              <w:rPr>
                <w:sz w:val="20"/>
                <w:szCs w:val="20"/>
                <w:color w:val="auto"/>
              </w:rPr>
            </w:pPr>
            <w:r>
              <w:rPr>
                <w:rFonts w:ascii="Arial" w:cs="Arial" w:eastAsia="Arial" w:hAnsi="Arial"/>
                <w:sz w:val="16"/>
                <w:szCs w:val="16"/>
                <w:b w:val="1"/>
                <w:bCs w:val="1"/>
                <w:color w:val="auto"/>
              </w:rPr>
              <w:t>537</w:t>
            </w:r>
          </w:p>
        </w:tc>
        <w:tc>
          <w:tcPr>
            <w:tcW w:w="1320" w:type="dxa"/>
            <w:vAlign w:val="bottom"/>
          </w:tcPr>
          <w:p>
            <w:pPr>
              <w:jc w:val="right"/>
              <w:ind w:right="298"/>
              <w:spacing w:after="0"/>
              <w:rPr>
                <w:sz w:val="20"/>
                <w:szCs w:val="20"/>
                <w:color w:val="auto"/>
              </w:rPr>
            </w:pPr>
            <w:r>
              <w:rPr>
                <w:rFonts w:ascii="Arial" w:cs="Arial" w:eastAsia="Arial" w:hAnsi="Arial"/>
                <w:sz w:val="16"/>
                <w:szCs w:val="16"/>
                <w:color w:val="auto"/>
              </w:rPr>
              <w:t>(3)</w:t>
            </w:r>
          </w:p>
        </w:tc>
        <w:tc>
          <w:tcPr>
            <w:tcW w:w="1420" w:type="dxa"/>
            <w:vAlign w:val="bottom"/>
          </w:tcPr>
          <w:p>
            <w:pPr>
              <w:jc w:val="right"/>
              <w:ind w:right="358"/>
              <w:spacing w:after="0"/>
              <w:rPr>
                <w:sz w:val="20"/>
                <w:szCs w:val="20"/>
                <w:color w:val="auto"/>
              </w:rPr>
            </w:pPr>
            <w:r>
              <w:rPr>
                <w:rFonts w:ascii="Arial" w:cs="Arial" w:eastAsia="Arial" w:hAnsi="Arial"/>
                <w:sz w:val="16"/>
                <w:szCs w:val="16"/>
                <w:b w:val="1"/>
                <w:bCs w:val="1"/>
                <w:color w:val="auto"/>
              </w:rPr>
              <w:t>653</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4800" w:type="dxa"/>
            <w:vAlign w:val="bottom"/>
          </w:tcPr>
          <w:p>
            <w:pPr>
              <w:spacing w:after="0"/>
              <w:rPr>
                <w:sz w:val="20"/>
                <w:szCs w:val="20"/>
                <w:color w:val="auto"/>
              </w:rPr>
            </w:pPr>
            <w:r>
              <w:rPr>
                <w:rFonts w:ascii="Arial" w:cs="Arial" w:eastAsia="Arial" w:hAnsi="Arial"/>
                <w:sz w:val="16"/>
                <w:szCs w:val="16"/>
                <w:color w:val="auto"/>
              </w:rPr>
              <w:t>Accretion of convertible note</w:t>
            </w:r>
          </w:p>
        </w:tc>
        <w:tc>
          <w:tcPr>
            <w:tcW w:w="1920" w:type="dxa"/>
            <w:vAlign w:val="bottom"/>
          </w:tcPr>
          <w:p>
            <w:pPr>
              <w:jc w:val="right"/>
              <w:ind w:right="338"/>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298"/>
              <w:spacing w:after="0"/>
              <w:rPr>
                <w:sz w:val="20"/>
                <w:szCs w:val="20"/>
                <w:color w:val="auto"/>
              </w:rPr>
            </w:pPr>
            <w:r>
              <w:rPr>
                <w:rFonts w:ascii="Arial" w:cs="Arial" w:eastAsia="Arial" w:hAnsi="Arial"/>
                <w:sz w:val="16"/>
                <w:szCs w:val="16"/>
                <w:color w:val="auto"/>
              </w:rPr>
              <w:t>3</w:t>
            </w:r>
          </w:p>
        </w:tc>
        <w:tc>
          <w:tcPr>
            <w:tcW w:w="1420" w:type="dxa"/>
            <w:vAlign w:val="bottom"/>
          </w:tcPr>
          <w:p>
            <w:pPr>
              <w:jc w:val="right"/>
              <w:ind w:right="358"/>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4800" w:type="dxa"/>
            <w:vAlign w:val="bottom"/>
          </w:tcPr>
          <w:p>
            <w:pPr>
              <w:spacing w:after="0"/>
              <w:rPr>
                <w:sz w:val="20"/>
                <w:szCs w:val="20"/>
                <w:color w:val="auto"/>
              </w:rPr>
            </w:pPr>
            <w:r>
              <w:rPr>
                <w:rFonts w:ascii="Arial" w:cs="Arial" w:eastAsia="Arial" w:hAnsi="Arial"/>
                <w:sz w:val="16"/>
                <w:szCs w:val="16"/>
                <w:color w:val="auto"/>
              </w:rPr>
              <w:t>Non-deductible expenses</w:t>
            </w:r>
          </w:p>
        </w:tc>
        <w:tc>
          <w:tcPr>
            <w:tcW w:w="1920" w:type="dxa"/>
            <w:vAlign w:val="bottom"/>
          </w:tcPr>
          <w:p>
            <w:pPr>
              <w:jc w:val="right"/>
              <w:ind w:right="338"/>
              <w:spacing w:after="0"/>
              <w:rPr>
                <w:sz w:val="20"/>
                <w:szCs w:val="20"/>
                <w:color w:val="auto"/>
              </w:rPr>
            </w:pPr>
            <w:r>
              <w:rPr>
                <w:rFonts w:ascii="Arial" w:cs="Arial" w:eastAsia="Arial" w:hAnsi="Arial"/>
                <w:sz w:val="16"/>
                <w:szCs w:val="16"/>
                <w:b w:val="1"/>
                <w:bCs w:val="1"/>
                <w:color w:val="auto"/>
              </w:rPr>
              <w:t>229</w:t>
            </w:r>
          </w:p>
        </w:tc>
        <w:tc>
          <w:tcPr>
            <w:tcW w:w="1320" w:type="dxa"/>
            <w:vAlign w:val="bottom"/>
          </w:tcPr>
          <w:p>
            <w:pPr>
              <w:jc w:val="right"/>
              <w:ind w:right="298"/>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58"/>
              <w:spacing w:after="0"/>
              <w:rPr>
                <w:sz w:val="20"/>
                <w:szCs w:val="20"/>
                <w:color w:val="auto"/>
              </w:rPr>
            </w:pPr>
            <w:r>
              <w:rPr>
                <w:rFonts w:ascii="Arial" w:cs="Arial" w:eastAsia="Arial" w:hAnsi="Arial"/>
                <w:sz w:val="16"/>
                <w:szCs w:val="16"/>
                <w:b w:val="1"/>
                <w:bCs w:val="1"/>
                <w:color w:val="auto"/>
              </w:rPr>
              <w:t>495</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Change in unrecognized deferred tax assets</w:t>
            </w:r>
          </w:p>
        </w:tc>
        <w:tc>
          <w:tcPr>
            <w:tcW w:w="19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2,454</w:t>
            </w:r>
          </w:p>
        </w:tc>
        <w:tc>
          <w:tcPr>
            <w:tcW w:w="13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497</w:t>
            </w:r>
          </w:p>
        </w:tc>
        <w:tc>
          <w:tcPr>
            <w:tcW w:w="14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4,707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w:t>
            </w:r>
          </w:p>
        </w:tc>
      </w:tr>
      <w:tr>
        <w:trPr>
          <w:trHeight w:val="201"/>
        </w:trPr>
        <w:tc>
          <w:tcPr>
            <w:tcW w:w="4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Income tax recovery</w:t>
            </w:r>
          </w:p>
        </w:tc>
        <w:tc>
          <w:tcPr>
            <w:tcW w:w="19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 —</w:t>
            </w:r>
          </w:p>
        </w:tc>
        <w:tc>
          <w:tcPr>
            <w:tcW w:w="13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bl>
    <w:p>
      <w:pPr>
        <w:spacing w:after="0" w:line="244"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The significant components of the Company’s deferred tax assets, resulting from temporary differences, unused tax credits and unused tax losses, that have not been included on the consolidated statements of financial position, are as follows:</w:t>
      </w:r>
    </w:p>
    <w:p>
      <w:pPr>
        <w:spacing w:after="0" w:line="153" w:lineRule="exact"/>
        <w:rPr>
          <w:sz w:val="20"/>
          <w:szCs w:val="20"/>
          <w:color w:val="auto"/>
        </w:rPr>
      </w:pPr>
    </w:p>
    <w:tbl>
      <w:tblPr>
        <w:tblLayout w:type="fixed"/>
        <w:tblInd w:w="302" w:type="dxa"/>
        <w:tblCellMar>
          <w:top w:w="0" w:type="dxa"/>
          <w:left w:w="0" w:type="dxa"/>
          <w:bottom w:w="0" w:type="dxa"/>
          <w:right w:w="0" w:type="dxa"/>
        </w:tblCellMar>
      </w:tblPr>
      <w:tr>
        <w:trPr>
          <w:trHeight w:val="216"/>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 at</w:t>
            </w:r>
          </w:p>
        </w:tc>
        <w:tc>
          <w:tcPr>
            <w:tcW w:w="430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September 30, 2021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192"/>
        </w:trPr>
        <w:tc>
          <w:tcPr>
            <w:tcW w:w="4620" w:type="dxa"/>
            <w:vAlign w:val="bottom"/>
          </w:tcPr>
          <w:p>
            <w:pPr>
              <w:spacing w:after="0"/>
              <w:rPr>
                <w:sz w:val="20"/>
                <w:szCs w:val="20"/>
                <w:color w:val="auto"/>
              </w:rPr>
            </w:pPr>
            <w:r>
              <w:rPr>
                <w:rFonts w:ascii="Arial" w:cs="Arial" w:eastAsia="Arial" w:hAnsi="Arial"/>
                <w:sz w:val="16"/>
                <w:szCs w:val="16"/>
                <w:color w:val="auto"/>
              </w:rPr>
              <w:t>Non-capital loss carryforwards</w:t>
            </w:r>
          </w:p>
        </w:tc>
        <w:tc>
          <w:tcPr>
            <w:tcW w:w="4300" w:type="dxa"/>
            <w:vAlign w:val="bottom"/>
          </w:tcPr>
          <w:p>
            <w:pPr>
              <w:jc w:val="right"/>
              <w:ind w:right="278"/>
              <w:spacing w:after="0"/>
              <w:rPr>
                <w:sz w:val="20"/>
                <w:szCs w:val="20"/>
                <w:color w:val="auto"/>
              </w:rPr>
            </w:pPr>
            <w:r>
              <w:rPr>
                <w:rFonts w:ascii="Arial" w:cs="Arial" w:eastAsia="Arial" w:hAnsi="Arial"/>
                <w:sz w:val="16"/>
                <w:szCs w:val="16"/>
                <w:b w:val="1"/>
                <w:bCs w:val="1"/>
                <w:color w:val="auto"/>
              </w:rPr>
              <w:t>10,272</w:t>
            </w:r>
          </w:p>
        </w:tc>
        <w:tc>
          <w:tcPr>
            <w:tcW w:w="1580" w:type="dxa"/>
            <w:vAlign w:val="bottom"/>
          </w:tcPr>
          <w:p>
            <w:pPr>
              <w:jc w:val="right"/>
              <w:spacing w:after="0"/>
              <w:rPr>
                <w:sz w:val="20"/>
                <w:szCs w:val="20"/>
                <w:color w:val="auto"/>
              </w:rPr>
            </w:pPr>
            <w:r>
              <w:rPr>
                <w:rFonts w:ascii="Arial" w:cs="Arial" w:eastAsia="Arial" w:hAnsi="Arial"/>
                <w:sz w:val="16"/>
                <w:szCs w:val="16"/>
                <w:color w:val="auto"/>
              </w:rPr>
              <w:t>5,660</w:t>
            </w:r>
          </w:p>
        </w:tc>
      </w:tr>
      <w:tr>
        <w:trPr>
          <w:trHeight w:val="208"/>
        </w:trPr>
        <w:tc>
          <w:tcPr>
            <w:tcW w:w="4620" w:type="dxa"/>
            <w:vAlign w:val="bottom"/>
          </w:tcPr>
          <w:p>
            <w:pPr>
              <w:spacing w:after="0"/>
              <w:rPr>
                <w:sz w:val="20"/>
                <w:szCs w:val="20"/>
                <w:color w:val="auto"/>
              </w:rPr>
            </w:pPr>
            <w:r>
              <w:rPr>
                <w:rFonts w:ascii="Arial" w:cs="Arial" w:eastAsia="Arial" w:hAnsi="Arial"/>
                <w:sz w:val="16"/>
                <w:szCs w:val="16"/>
                <w:color w:val="auto"/>
              </w:rPr>
              <w:t>Share issuance costs</w:t>
            </w:r>
          </w:p>
        </w:tc>
        <w:tc>
          <w:tcPr>
            <w:tcW w:w="4300" w:type="dxa"/>
            <w:vAlign w:val="bottom"/>
          </w:tcPr>
          <w:p>
            <w:pPr>
              <w:jc w:val="right"/>
              <w:ind w:right="278"/>
              <w:spacing w:after="0"/>
              <w:rPr>
                <w:sz w:val="20"/>
                <w:szCs w:val="20"/>
                <w:color w:val="auto"/>
              </w:rPr>
            </w:pPr>
            <w:r>
              <w:rPr>
                <w:rFonts w:ascii="Arial" w:cs="Arial" w:eastAsia="Arial" w:hAnsi="Arial"/>
                <w:sz w:val="16"/>
                <w:szCs w:val="16"/>
                <w:b w:val="1"/>
                <w:bCs w:val="1"/>
                <w:color w:val="auto"/>
              </w:rPr>
              <w:t>993</w:t>
            </w:r>
          </w:p>
        </w:tc>
        <w:tc>
          <w:tcPr>
            <w:tcW w:w="1580" w:type="dxa"/>
            <w:vAlign w:val="bottom"/>
          </w:tcPr>
          <w:p>
            <w:pPr>
              <w:jc w:val="right"/>
              <w:spacing w:after="0"/>
              <w:rPr>
                <w:sz w:val="20"/>
                <w:szCs w:val="20"/>
                <w:color w:val="auto"/>
              </w:rPr>
            </w:pPr>
            <w:r>
              <w:rPr>
                <w:rFonts w:ascii="Arial" w:cs="Arial" w:eastAsia="Arial" w:hAnsi="Arial"/>
                <w:sz w:val="16"/>
                <w:szCs w:val="16"/>
                <w:color w:val="auto"/>
              </w:rPr>
              <w:t>1,126</w:t>
            </w:r>
          </w:p>
        </w:tc>
      </w:tr>
      <w:tr>
        <w:trPr>
          <w:trHeight w:val="208"/>
        </w:trPr>
        <w:tc>
          <w:tcPr>
            <w:tcW w:w="4620" w:type="dxa"/>
            <w:vAlign w:val="bottom"/>
          </w:tcPr>
          <w:p>
            <w:pPr>
              <w:spacing w:after="0"/>
              <w:rPr>
                <w:sz w:val="20"/>
                <w:szCs w:val="20"/>
                <w:color w:val="auto"/>
              </w:rPr>
            </w:pPr>
            <w:r>
              <w:rPr>
                <w:rFonts w:ascii="Arial" w:cs="Arial" w:eastAsia="Arial" w:hAnsi="Arial"/>
                <w:sz w:val="16"/>
                <w:szCs w:val="16"/>
                <w:color w:val="auto"/>
              </w:rPr>
              <w:t>Depreciation/CCA differences</w:t>
            </w:r>
          </w:p>
        </w:tc>
        <w:tc>
          <w:tcPr>
            <w:tcW w:w="4300" w:type="dxa"/>
            <w:vAlign w:val="bottom"/>
          </w:tcPr>
          <w:p>
            <w:pPr>
              <w:jc w:val="right"/>
              <w:ind w:right="278"/>
              <w:spacing w:after="0"/>
              <w:rPr>
                <w:sz w:val="20"/>
                <w:szCs w:val="20"/>
                <w:color w:val="auto"/>
              </w:rPr>
            </w:pPr>
            <w:r>
              <w:rPr>
                <w:rFonts w:ascii="Arial" w:cs="Arial" w:eastAsia="Arial" w:hAnsi="Arial"/>
                <w:sz w:val="16"/>
                <w:szCs w:val="16"/>
                <w:b w:val="1"/>
                <w:bCs w:val="1"/>
                <w:color w:val="auto"/>
              </w:rPr>
              <w:t>231</w:t>
            </w:r>
          </w:p>
        </w:tc>
        <w:tc>
          <w:tcPr>
            <w:tcW w:w="15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430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32</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192"/>
        </w:trPr>
        <w:tc>
          <w:tcPr>
            <w:tcW w:w="4620" w:type="dxa"/>
            <w:vAlign w:val="bottom"/>
          </w:tcPr>
          <w:p>
            <w:pPr>
              <w:spacing w:after="0"/>
              <w:rPr>
                <w:sz w:val="16"/>
                <w:szCs w:val="16"/>
                <w:color w:val="auto"/>
              </w:rPr>
            </w:pPr>
          </w:p>
        </w:tc>
        <w:tc>
          <w:tcPr>
            <w:tcW w:w="4300" w:type="dxa"/>
            <w:vAlign w:val="bottom"/>
          </w:tcPr>
          <w:p>
            <w:pPr>
              <w:jc w:val="right"/>
              <w:ind w:right="278"/>
              <w:spacing w:after="0"/>
              <w:rPr>
                <w:sz w:val="20"/>
                <w:szCs w:val="20"/>
                <w:color w:val="auto"/>
              </w:rPr>
            </w:pPr>
            <w:r>
              <w:rPr>
                <w:rFonts w:ascii="Arial" w:cs="Arial" w:eastAsia="Arial" w:hAnsi="Arial"/>
                <w:sz w:val="16"/>
                <w:szCs w:val="16"/>
                <w:b w:val="1"/>
                <w:bCs w:val="1"/>
                <w:color w:val="auto"/>
              </w:rPr>
              <w:t>11,528</w:t>
            </w:r>
          </w:p>
        </w:tc>
        <w:tc>
          <w:tcPr>
            <w:tcW w:w="1580" w:type="dxa"/>
            <w:vAlign w:val="bottom"/>
          </w:tcPr>
          <w:p>
            <w:pPr>
              <w:jc w:val="right"/>
              <w:spacing w:after="0"/>
              <w:rPr>
                <w:sz w:val="20"/>
                <w:szCs w:val="20"/>
                <w:color w:val="auto"/>
              </w:rPr>
            </w:pPr>
            <w:r>
              <w:rPr>
                <w:rFonts w:ascii="Arial" w:cs="Arial" w:eastAsia="Arial" w:hAnsi="Arial"/>
                <w:sz w:val="16"/>
                <w:szCs w:val="16"/>
                <w:color w:val="auto"/>
              </w:rPr>
              <w:t>6,821</w:t>
            </w:r>
          </w:p>
        </w:tc>
      </w:tr>
      <w:tr>
        <w:trPr>
          <w:trHeight w:val="216"/>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Valuation allowance</w:t>
            </w:r>
          </w:p>
        </w:tc>
        <w:tc>
          <w:tcPr>
            <w:tcW w:w="430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(11,528)</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(6,821)</w:t>
            </w:r>
          </w:p>
        </w:tc>
      </w:tr>
      <w:tr>
        <w:trPr>
          <w:trHeight w:val="201"/>
        </w:trPr>
        <w:tc>
          <w:tcPr>
            <w:tcW w:w="46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23 of 25</w:t>
      </w:r>
    </w:p>
    <w:p>
      <w:pPr>
        <w:sectPr>
          <w:pgSz w:w="11900" w:h="16838" w:orient="portrait"/>
          <w:cols w:equalWidth="0" w:num="1">
            <w:col w:w="11242"/>
          </w:cols>
          <w:pgMar w:left="318" w:top="171"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40"/>
        <w:spacing w:after="0" w:line="270" w:lineRule="auto"/>
        <w:rPr>
          <w:sz w:val="20"/>
          <w:szCs w:val="20"/>
          <w:color w:val="auto"/>
        </w:rPr>
      </w:pPr>
      <w:r>
        <w:rPr>
          <w:rFonts w:ascii="Arial" w:cs="Arial" w:eastAsia="Arial" w:hAnsi="Arial"/>
          <w:sz w:val="16"/>
          <w:szCs w:val="16"/>
          <w:color w:val="auto"/>
        </w:rPr>
        <w:t>These deferred tax assets have not been recognized because it is not probable that future taxable profit will be available against which the Company will be able to use these potential benefits.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Non-capital loss balance</w:t>
      </w:r>
    </w:p>
    <w:p>
      <w:pPr>
        <w:spacing w:after="0" w:line="191"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As at September 30, 2021, the Company has non-capital losses in Canada, which under certain circumstances can be used to reduce the taxable income of future years. The non-capital losses expire as follows:</w:t>
      </w:r>
    </w:p>
    <w:p>
      <w:pPr>
        <w:spacing w:after="0" w:line="173"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Year of expiry</w:t>
            </w:r>
          </w:p>
        </w:tc>
        <w:tc>
          <w:tcPr>
            <w:tcW w:w="5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5480" w:type="dxa"/>
            <w:vAlign w:val="bottom"/>
          </w:tcPr>
          <w:p>
            <w:pPr>
              <w:spacing w:after="0"/>
              <w:rPr>
                <w:sz w:val="20"/>
                <w:szCs w:val="20"/>
                <w:color w:val="auto"/>
              </w:rPr>
            </w:pPr>
            <w:r>
              <w:rPr>
                <w:rFonts w:ascii="Arial" w:cs="Arial" w:eastAsia="Arial" w:hAnsi="Arial"/>
                <w:sz w:val="16"/>
                <w:szCs w:val="16"/>
                <w:color w:val="auto"/>
              </w:rPr>
              <w:t>2040</w:t>
            </w:r>
          </w:p>
        </w:tc>
        <w:tc>
          <w:tcPr>
            <w:tcW w:w="5040" w:type="dxa"/>
            <w:vAlign w:val="bottom"/>
          </w:tcPr>
          <w:p>
            <w:pPr>
              <w:jc w:val="right"/>
              <w:spacing w:after="0"/>
              <w:rPr>
                <w:sz w:val="20"/>
                <w:szCs w:val="20"/>
                <w:color w:val="auto"/>
              </w:rPr>
            </w:pPr>
            <w:r>
              <w:rPr>
                <w:rFonts w:ascii="Arial" w:cs="Arial" w:eastAsia="Arial" w:hAnsi="Arial"/>
                <w:sz w:val="16"/>
                <w:szCs w:val="16"/>
                <w:b w:val="1"/>
                <w:bCs w:val="1"/>
                <w:color w:val="auto"/>
              </w:rPr>
              <w:t>740</w:t>
            </w:r>
          </w:p>
        </w:tc>
      </w:tr>
      <w:tr>
        <w:trPr>
          <w:trHeight w:val="208"/>
        </w:trPr>
        <w:tc>
          <w:tcPr>
            <w:tcW w:w="5480" w:type="dxa"/>
            <w:vAlign w:val="bottom"/>
          </w:tcPr>
          <w:p>
            <w:pPr>
              <w:spacing w:after="0"/>
              <w:rPr>
                <w:sz w:val="20"/>
                <w:szCs w:val="20"/>
                <w:color w:val="auto"/>
              </w:rPr>
            </w:pPr>
            <w:r>
              <w:rPr>
                <w:rFonts w:ascii="Arial" w:cs="Arial" w:eastAsia="Arial" w:hAnsi="Arial"/>
                <w:sz w:val="16"/>
                <w:szCs w:val="16"/>
                <w:color w:val="auto"/>
              </w:rPr>
              <w:t>2041</w:t>
            </w:r>
          </w:p>
        </w:tc>
        <w:tc>
          <w:tcPr>
            <w:tcW w:w="5040" w:type="dxa"/>
            <w:vAlign w:val="bottom"/>
          </w:tcPr>
          <w:p>
            <w:pPr>
              <w:jc w:val="right"/>
              <w:spacing w:after="0"/>
              <w:rPr>
                <w:sz w:val="20"/>
                <w:szCs w:val="20"/>
                <w:color w:val="auto"/>
              </w:rPr>
            </w:pPr>
            <w:r>
              <w:rPr>
                <w:rFonts w:ascii="Arial" w:cs="Arial" w:eastAsia="Arial" w:hAnsi="Arial"/>
                <w:sz w:val="16"/>
                <w:szCs w:val="16"/>
                <w:b w:val="1"/>
                <w:bCs w:val="1"/>
                <w:color w:val="auto"/>
              </w:rPr>
              <w:t>19,373</w:t>
            </w:r>
          </w:p>
        </w:tc>
      </w:tr>
      <w:tr>
        <w:trPr>
          <w:trHeight w:val="216"/>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2042</w:t>
            </w:r>
          </w:p>
        </w:tc>
        <w:tc>
          <w:tcPr>
            <w:tcW w:w="5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15,158</w:t>
            </w:r>
          </w:p>
        </w:tc>
      </w:tr>
      <w:tr>
        <w:trPr>
          <w:trHeight w:val="201"/>
        </w:trPr>
        <w:tc>
          <w:tcPr>
            <w:tcW w:w="548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35,271</w:t>
            </w:r>
          </w:p>
        </w:tc>
      </w:tr>
    </w:tbl>
    <w:p>
      <w:pPr>
        <w:spacing w:after="0" w:line="244"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As at September 30, 2021, the Company has non-capital losses in the United States, which under certain circumstances can be used to reduce the taxable income of future years. The non-capital losses, stated in Canadian dollars, that will expire as follows:</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Year of expiry</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400" w:type="dxa"/>
            <w:vAlign w:val="bottom"/>
          </w:tcPr>
          <w:p>
            <w:pPr>
              <w:spacing w:after="0"/>
              <w:rPr>
                <w:sz w:val="20"/>
                <w:szCs w:val="20"/>
                <w:color w:val="auto"/>
              </w:rPr>
            </w:pPr>
            <w:r>
              <w:rPr>
                <w:rFonts w:ascii="Arial" w:cs="Arial" w:eastAsia="Arial" w:hAnsi="Arial"/>
                <w:sz w:val="16"/>
                <w:szCs w:val="16"/>
                <w:color w:val="auto"/>
              </w:rPr>
              <w:t>2041</w:t>
            </w:r>
          </w:p>
        </w:tc>
        <w:tc>
          <w:tcPr>
            <w:tcW w:w="7460" w:type="dxa"/>
            <w:vAlign w:val="bottom"/>
          </w:tcPr>
          <w:p>
            <w:pPr>
              <w:ind w:left="20"/>
              <w:spacing w:after="0"/>
              <w:rPr>
                <w:sz w:val="20"/>
                <w:szCs w:val="20"/>
                <w:color w:val="auto"/>
              </w:rPr>
            </w:pPr>
            <w:r>
              <w:rPr>
                <w:rFonts w:ascii="Arial" w:cs="Arial" w:eastAsia="Arial" w:hAnsi="Arial"/>
                <w:sz w:val="16"/>
                <w:szCs w:val="16"/>
                <w:color w:val="auto"/>
              </w:rPr>
              <w:t>- Pre-acquisition loss generated up to December 4, 2020</w:t>
            </w: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1,208</w:t>
            </w:r>
          </w:p>
        </w:tc>
      </w:tr>
      <w:tr>
        <w:trPr>
          <w:trHeight w:val="208"/>
        </w:trPr>
        <w:tc>
          <w:tcPr>
            <w:tcW w:w="400" w:type="dxa"/>
            <w:vAlign w:val="bottom"/>
          </w:tcPr>
          <w:p>
            <w:pPr>
              <w:spacing w:after="0"/>
              <w:rPr>
                <w:sz w:val="20"/>
                <w:szCs w:val="20"/>
                <w:color w:val="auto"/>
              </w:rPr>
            </w:pPr>
            <w:r>
              <w:rPr>
                <w:rFonts w:ascii="Arial" w:cs="Arial" w:eastAsia="Arial" w:hAnsi="Arial"/>
                <w:sz w:val="16"/>
                <w:szCs w:val="16"/>
                <w:color w:val="auto"/>
              </w:rPr>
              <w:t>2041</w:t>
            </w:r>
          </w:p>
        </w:tc>
        <w:tc>
          <w:tcPr>
            <w:tcW w:w="7460" w:type="dxa"/>
            <w:vAlign w:val="bottom"/>
          </w:tcPr>
          <w:p>
            <w:pPr>
              <w:ind w:left="20"/>
              <w:spacing w:after="0"/>
              <w:rPr>
                <w:sz w:val="20"/>
                <w:szCs w:val="20"/>
                <w:color w:val="auto"/>
              </w:rPr>
            </w:pPr>
            <w:r>
              <w:rPr>
                <w:rFonts w:ascii="Arial" w:cs="Arial" w:eastAsia="Arial" w:hAnsi="Arial"/>
                <w:sz w:val="16"/>
                <w:szCs w:val="16"/>
                <w:color w:val="auto"/>
              </w:rPr>
              <w:t>- Loss generated in the period from December 4, 2020 to March 31, 2021</w:t>
            </w: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1,572</w:t>
            </w:r>
          </w:p>
        </w:tc>
      </w:tr>
      <w:tr>
        <w:trPr>
          <w:trHeight w:val="216"/>
        </w:trPr>
        <w:tc>
          <w:tcPr>
            <w:tcW w:w="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2042</w:t>
            </w:r>
          </w:p>
        </w:tc>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Loss generated in the six-month period ended September 30, 2021</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2,178</w:t>
            </w:r>
          </w:p>
        </w:tc>
      </w:tr>
      <w:tr>
        <w:trPr>
          <w:trHeight w:val="201"/>
        </w:trPr>
        <w:tc>
          <w:tcPr>
            <w:tcW w:w="400" w:type="dxa"/>
            <w:vAlign w:val="bottom"/>
            <w:tcBorders>
              <w:bottom w:val="single" w:sz="8" w:color="auto"/>
            </w:tcBorders>
          </w:tcPr>
          <w:p>
            <w:pPr>
              <w:spacing w:after="0"/>
              <w:rPr>
                <w:sz w:val="17"/>
                <w:szCs w:val="17"/>
                <w:color w:val="auto"/>
              </w:rPr>
            </w:pPr>
          </w:p>
        </w:tc>
        <w:tc>
          <w:tcPr>
            <w:tcW w:w="74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4,958</w:t>
            </w:r>
          </w:p>
        </w:tc>
      </w:tr>
    </w:tbl>
    <w:p>
      <w:pPr>
        <w:spacing w:after="0" w:line="244"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Although the US federal losses carryforward indefinitely, they are subject to restrictions on their deductibility. The deductibility of the pre-acquisition loss and the post-acquisition loss is restricted to 80% of taxable income in the year of deduction. The pre-acquisition loss is further restricted to an annual limitation under Section 382. As at September 30, 2021, the annual limitation was $136.</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Massachusetts allows for a 20-year carryforward period for restricted and unrestricted losses without limitation.</w:t>
      </w:r>
    </w:p>
    <w:p>
      <w:pPr>
        <w:spacing w:after="0" w:line="391" w:lineRule="exact"/>
        <w:rPr>
          <w:sz w:val="20"/>
          <w:szCs w:val="20"/>
          <w:color w:val="auto"/>
        </w:rPr>
      </w:pPr>
    </w:p>
    <w:p>
      <w:pPr>
        <w:jc w:val="both"/>
        <w:ind w:left="240"/>
        <w:spacing w:after="0" w:line="270" w:lineRule="auto"/>
        <w:rPr>
          <w:sz w:val="20"/>
          <w:szCs w:val="20"/>
          <w:color w:val="auto"/>
        </w:rPr>
      </w:pPr>
      <w:r>
        <w:rPr>
          <w:rFonts w:ascii="Arial" w:cs="Arial" w:eastAsia="Arial" w:hAnsi="Arial"/>
          <w:sz w:val="16"/>
          <w:szCs w:val="16"/>
          <w:color w:val="auto"/>
        </w:rPr>
        <w:t>As at September 30, 2021, the Company has non-capital losses in Ireland, which under certain circumstances can be used to reduce the taxable income of future years. The non-capital losses, stated in Canadian dollars, expire as follows:</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208"/>
        </w:trPr>
        <w:tc>
          <w:tcPr>
            <w:tcW w:w="5580" w:type="dxa"/>
            <w:vAlign w:val="bottom"/>
          </w:tcPr>
          <w:p>
            <w:pPr>
              <w:spacing w:after="0"/>
              <w:rPr>
                <w:sz w:val="20"/>
                <w:szCs w:val="20"/>
                <w:color w:val="auto"/>
              </w:rPr>
            </w:pPr>
            <w:r>
              <w:rPr>
                <w:rFonts w:ascii="Arial" w:cs="Arial" w:eastAsia="Arial" w:hAnsi="Arial"/>
                <w:sz w:val="16"/>
                <w:szCs w:val="16"/>
                <w:color w:val="auto"/>
              </w:rPr>
              <w:t>Year of expiry</w:t>
            </w:r>
          </w:p>
        </w:tc>
        <w:tc>
          <w:tcPr>
            <w:tcW w:w="5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
        </w:trPr>
        <w:tc>
          <w:tcPr>
            <w:tcW w:w="5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11"/>
        </w:trPr>
        <w:tc>
          <w:tcPr>
            <w:tcW w:w="5580" w:type="dxa"/>
            <w:vAlign w:val="bottom"/>
          </w:tcPr>
          <w:p>
            <w:pPr>
              <w:spacing w:after="0"/>
              <w:rPr>
                <w:sz w:val="20"/>
                <w:szCs w:val="20"/>
                <w:color w:val="auto"/>
              </w:rPr>
            </w:pPr>
            <w:r>
              <w:rPr>
                <w:rFonts w:ascii="Arial" w:cs="Arial" w:eastAsia="Arial" w:hAnsi="Arial"/>
                <w:sz w:val="16"/>
                <w:szCs w:val="16"/>
                <w:color w:val="auto"/>
              </w:rPr>
              <w:t>2042</w:t>
            </w:r>
          </w:p>
        </w:tc>
        <w:tc>
          <w:tcPr>
            <w:tcW w:w="5060" w:type="dxa"/>
            <w:vAlign w:val="bottom"/>
          </w:tcPr>
          <w:p>
            <w:pPr>
              <w:jc w:val="right"/>
              <w:spacing w:after="0"/>
              <w:rPr>
                <w:sz w:val="20"/>
                <w:szCs w:val="20"/>
                <w:color w:val="auto"/>
              </w:rPr>
            </w:pPr>
            <w:r>
              <w:rPr>
                <w:rFonts w:ascii="Arial" w:cs="Arial" w:eastAsia="Arial" w:hAnsi="Arial"/>
                <w:sz w:val="16"/>
                <w:szCs w:val="16"/>
                <w:b w:val="1"/>
                <w:bCs w:val="1"/>
                <w:color w:val="auto"/>
              </w:rPr>
              <w:t>1,176</w:t>
            </w:r>
          </w:p>
        </w:tc>
      </w:tr>
      <w:tr>
        <w:trPr>
          <w:trHeight w:val="25"/>
        </w:trPr>
        <w:tc>
          <w:tcPr>
            <w:tcW w:w="5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00"/>
        </w:trPr>
        <w:tc>
          <w:tcPr>
            <w:tcW w:w="558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24 of 25</w:t>
      </w:r>
    </w:p>
    <w:p>
      <w:pPr>
        <w:sectPr>
          <w:pgSz w:w="11900" w:h="16838" w:orient="portrait"/>
          <w:cols w:equalWidth="0" w:num="1">
            <w:col w:w="11200"/>
          </w:cols>
          <w:pgMar w:left="380" w:top="171" w:right="319" w:bottom="1440" w:gutter="0" w:footer="0" w:header="0"/>
        </w:sectPr>
      </w:pPr>
    </w:p>
    <w:bookmarkStart w:id="27" w:name="page28"/>
    <w:bookmarkEnd w:id="27"/>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six months ended September 30, 2021 and September 30,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2" w:hanging="402"/>
        <w:spacing w:after="0"/>
        <w:tabs>
          <w:tab w:leader="none" w:pos="402" w:val="left"/>
        </w:tabs>
        <w:numPr>
          <w:ilvl w:val="0"/>
          <w:numId w:val="16"/>
        </w:numPr>
        <w:rPr>
          <w:rFonts w:ascii="Arial" w:cs="Arial" w:eastAsia="Arial" w:hAnsi="Arial"/>
          <w:sz w:val="16"/>
          <w:szCs w:val="16"/>
          <w:b w:val="1"/>
          <w:bCs w:val="1"/>
          <w:color w:val="2D5F91"/>
        </w:rPr>
      </w:pPr>
      <w:r>
        <w:rPr>
          <w:rFonts w:ascii="Arial" w:cs="Arial" w:eastAsia="Arial" w:hAnsi="Arial"/>
          <w:sz w:val="16"/>
          <w:szCs w:val="16"/>
          <w:b w:val="1"/>
          <w:bCs w:val="1"/>
          <w:color w:val="2D5F91"/>
        </w:rPr>
        <w:t>SUBSEQUENT EVENTS</w:t>
      </w:r>
    </w:p>
    <w:p>
      <w:pPr>
        <w:spacing w:after="0" w:line="232" w:lineRule="exact"/>
        <w:rPr>
          <w:sz w:val="20"/>
          <w:szCs w:val="20"/>
          <w:color w:val="auto"/>
        </w:rPr>
      </w:pPr>
    </w:p>
    <w:p>
      <w:pPr>
        <w:ind w:left="302"/>
        <w:spacing w:after="0"/>
        <w:rPr>
          <w:sz w:val="20"/>
          <w:szCs w:val="20"/>
          <w:color w:val="auto"/>
        </w:rPr>
      </w:pPr>
      <w:r>
        <w:rPr>
          <w:rFonts w:ascii="Arial" w:cs="Arial" w:eastAsia="Arial" w:hAnsi="Arial"/>
          <w:sz w:val="16"/>
          <w:szCs w:val="16"/>
          <w:b w:val="1"/>
          <w:bCs w:val="1"/>
          <w:color w:val="auto"/>
        </w:rPr>
        <w:t>(a) Exercised securities</w:t>
      </w:r>
    </w:p>
    <w:p>
      <w:pPr>
        <w:spacing w:after="0" w:line="203" w:lineRule="exact"/>
        <w:rPr>
          <w:sz w:val="20"/>
          <w:szCs w:val="20"/>
          <w:color w:val="auto"/>
        </w:rPr>
      </w:pPr>
    </w:p>
    <w:p>
      <w:pPr>
        <w:jc w:val="both"/>
        <w:ind w:left="302" w:right="20"/>
        <w:spacing w:after="0" w:line="270" w:lineRule="auto"/>
        <w:rPr>
          <w:sz w:val="20"/>
          <w:szCs w:val="20"/>
          <w:color w:val="auto"/>
        </w:rPr>
      </w:pPr>
      <w:r>
        <w:rPr>
          <w:rFonts w:ascii="Arial" w:cs="Arial" w:eastAsia="Arial" w:hAnsi="Arial"/>
          <w:sz w:val="16"/>
          <w:szCs w:val="16"/>
          <w:color w:val="auto"/>
        </w:rPr>
        <w:t>During the period from October 1, 2021 to November 12, 2021, holders of options and warrants exercised securities resulting in the issuance of 498,500 Common Shares for gross proceeds of approximately $291.</w:t>
      </w:r>
    </w:p>
    <w:p>
      <w:pPr>
        <w:spacing w:after="0" w:line="178" w:lineRule="exact"/>
        <w:rPr>
          <w:sz w:val="20"/>
          <w:szCs w:val="20"/>
          <w:color w:val="auto"/>
        </w:rPr>
      </w:pPr>
    </w:p>
    <w:p>
      <w:pPr>
        <w:ind w:left="302"/>
        <w:spacing w:after="0"/>
        <w:rPr>
          <w:sz w:val="20"/>
          <w:szCs w:val="20"/>
          <w:color w:val="auto"/>
        </w:rPr>
      </w:pPr>
      <w:r>
        <w:rPr>
          <w:rFonts w:ascii="Arial" w:cs="Arial" w:eastAsia="Arial" w:hAnsi="Arial"/>
          <w:sz w:val="16"/>
          <w:szCs w:val="16"/>
          <w:b w:val="1"/>
          <w:bCs w:val="1"/>
          <w:color w:val="auto"/>
        </w:rPr>
        <w:t>(b) Adelia Milestone</w:t>
      </w:r>
    </w:p>
    <w:p>
      <w:pPr>
        <w:spacing w:after="0" w:line="191" w:lineRule="exact"/>
        <w:rPr>
          <w:sz w:val="20"/>
          <w:szCs w:val="20"/>
          <w:color w:val="auto"/>
        </w:rPr>
      </w:pPr>
    </w:p>
    <w:p>
      <w:pPr>
        <w:jc w:val="both"/>
        <w:ind w:left="302" w:right="20"/>
        <w:spacing w:after="0" w:line="262" w:lineRule="auto"/>
        <w:rPr>
          <w:sz w:val="20"/>
          <w:szCs w:val="20"/>
          <w:color w:val="auto"/>
        </w:rPr>
      </w:pPr>
      <w:r>
        <w:rPr>
          <w:rFonts w:ascii="Arial" w:cs="Arial" w:eastAsia="Arial" w:hAnsi="Arial"/>
          <w:sz w:val="16"/>
          <w:szCs w:val="16"/>
          <w:color w:val="auto"/>
        </w:rPr>
        <w:t>On October 7, 2021, Adelia completed a portion of certain milestones, as contemplated by the terms of the purchase agreement. Accordingly, Class B Shares having an aggregate value of $707 became due to be issued to the Former Adelia Shareholders, at a price per share to be determined in accordance with the terms of the purchase agreement and applicable securities laws.</w:t>
      </w:r>
    </w:p>
    <w:p>
      <w:pPr>
        <w:spacing w:after="0" w:line="185" w:lineRule="exact"/>
        <w:rPr>
          <w:sz w:val="20"/>
          <w:szCs w:val="20"/>
          <w:color w:val="auto"/>
        </w:rPr>
      </w:pPr>
    </w:p>
    <w:p>
      <w:pPr>
        <w:ind w:left="302"/>
        <w:spacing w:after="0"/>
        <w:rPr>
          <w:sz w:val="20"/>
          <w:szCs w:val="20"/>
          <w:color w:val="auto"/>
        </w:rPr>
      </w:pPr>
      <w:r>
        <w:rPr>
          <w:rFonts w:ascii="Arial" w:cs="Arial" w:eastAsia="Arial" w:hAnsi="Arial"/>
          <w:sz w:val="16"/>
          <w:szCs w:val="16"/>
          <w:b w:val="1"/>
          <w:bCs w:val="1"/>
          <w:color w:val="auto"/>
        </w:rPr>
        <w:t>(c) Common Share purchase warrant amendment</w:t>
      </w:r>
    </w:p>
    <w:p>
      <w:pPr>
        <w:spacing w:after="0" w:line="191"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On November 10, 2021, the Company approved the amendment of the terms of 1,150,000 Common Share purchase warrants such that the expiry date was extended from June 15, 2025 to November 15, 2025, subject to approval of the Neo Exchange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25 of 25</w:t>
      </w:r>
    </w:p>
    <w:p>
      <w:pPr>
        <w:sectPr>
          <w:pgSz w:w="11900" w:h="16838" w:orient="portrait"/>
          <w:cols w:equalWidth="0" w:num="1">
            <w:col w:w="11262"/>
          </w:cols>
          <w:pgMar w:left="318" w:top="171" w:right="31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3153410</wp:posOffset>
            </wp:positionH>
            <wp:positionV relativeFrom="page">
              <wp:posOffset>2581910</wp:posOffset>
            </wp:positionV>
            <wp:extent cx="1250315" cy="792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50315" cy="79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Cybin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(formerly Clarmin Explorations Inc.)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of Financial Condition and Operating Performance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For the three and six months ended September 30, 2021</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November 12, 2021</w:t>
      </w:r>
    </w:p>
    <w:p>
      <w:pPr>
        <w:sectPr>
          <w:pgSz w:w="11900" w:h="16838" w:orient="portrait"/>
          <w:cols w:equalWidth="0" w:num="1">
            <w:col w:w="9019"/>
          </w:cols>
          <w:pgMar w:left="1440" w:top="1440" w:right="1440"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CYBIN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This Management’s Discussion and Analysis (“</w:t>
      </w:r>
      <w:r>
        <w:rPr>
          <w:rFonts w:ascii="Arial" w:cs="Arial" w:eastAsia="Arial" w:hAnsi="Arial"/>
          <w:sz w:val="17"/>
          <w:szCs w:val="17"/>
          <w:b w:val="1"/>
          <w:bCs w:val="1"/>
          <w:color w:val="auto"/>
        </w:rPr>
        <w:t>MD&amp;A</w:t>
      </w:r>
      <w:r>
        <w:rPr>
          <w:rFonts w:ascii="Arial" w:cs="Arial" w:eastAsia="Arial" w:hAnsi="Arial"/>
          <w:sz w:val="17"/>
          <w:szCs w:val="17"/>
          <w:color w:val="auto"/>
        </w:rPr>
        <w:t>”) has been prepared by management of Cybin Inc.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and should be read in conjunction with Cybin’s interim condensed consolidated financial statements and notes for the three and six months ended September 30, 2021 (the “</w:t>
      </w:r>
      <w:r>
        <w:rPr>
          <w:rFonts w:ascii="Arial" w:cs="Arial" w:eastAsia="Arial" w:hAnsi="Arial"/>
          <w:sz w:val="17"/>
          <w:szCs w:val="17"/>
          <w:b w:val="1"/>
          <w:bCs w:val="1"/>
          <w:color w:val="auto"/>
        </w:rPr>
        <w:t>Interim Financial Statements</w:t>
      </w:r>
      <w:r>
        <w:rPr>
          <w:rFonts w:ascii="Arial" w:cs="Arial" w:eastAsia="Arial" w:hAnsi="Arial"/>
          <w:sz w:val="17"/>
          <w:szCs w:val="17"/>
          <w:color w:val="auto"/>
        </w:rPr>
        <w:t>”). This MD&amp;A does not address all of the changes to the Company and its business, such changes are addressed in the Company’s most recently filed annual information form (the “</w:t>
      </w:r>
      <w:r>
        <w:rPr>
          <w:rFonts w:ascii="Arial" w:cs="Arial" w:eastAsia="Arial" w:hAnsi="Arial"/>
          <w:sz w:val="17"/>
          <w:szCs w:val="17"/>
          <w:b w:val="1"/>
          <w:bCs w:val="1"/>
          <w:color w:val="auto"/>
        </w:rPr>
        <w:t>AIF</w:t>
      </w:r>
      <w:r>
        <w:rPr>
          <w:rFonts w:ascii="Arial" w:cs="Arial" w:eastAsia="Arial" w:hAnsi="Arial"/>
          <w:sz w:val="17"/>
          <w:szCs w:val="17"/>
          <w:color w:val="auto"/>
        </w:rPr>
        <w:t xml:space="preserve">”) on SEDAR. The Interim Financial Statements have been prepared using International Financial Reporting Standards as issued by the International Accounting Standards Board. All amounts are in Canadian dollars unless otherwise indicated. The Interim Financial Statements may be viewed on the SEDAR profile of Cybin at </w:t>
      </w:r>
      <w:r>
        <w:rPr>
          <w:rFonts w:ascii="Arial" w:cs="Arial" w:eastAsia="Arial" w:hAnsi="Arial"/>
          <w:sz w:val="17"/>
          <w:szCs w:val="17"/>
          <w:i w:val="1"/>
          <w:iCs w:val="1"/>
          <w:u w:val="single" w:color="auto"/>
          <w:color w:val="0563C1"/>
        </w:rPr>
        <w:t>www.sedar.com</w:t>
      </w:r>
      <w:r>
        <w:rPr>
          <w:rFonts w:ascii="Arial" w:cs="Arial" w:eastAsia="Arial" w:hAnsi="Arial"/>
          <w:sz w:val="17"/>
          <w:szCs w:val="17"/>
          <w:color w:val="auto"/>
        </w:rPr>
        <w:t>.</w:t>
      </w:r>
    </w:p>
    <w:p>
      <w:pPr>
        <w:spacing w:after="0" w:line="15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This MD&amp;A contains disclosure related to Cybin occurring up to and including November 12, 2021. Unless otherwise indicated, all amounts in this MD&amp;A are in thousands of Canadian dollars.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Arial" w:cs="Arial" w:eastAsia="Arial" w:hAnsi="Arial"/>
          <w:sz w:val="17"/>
          <w:szCs w:val="17"/>
          <w:b w:val="1"/>
          <w:bCs w:val="1"/>
          <w:color w:val="auto"/>
        </w:rPr>
        <w:t>SubCo</w:t>
      </w:r>
      <w:r>
        <w:rPr>
          <w:rFonts w:ascii="Arial" w:cs="Arial" w:eastAsia="Arial" w:hAnsi="Arial"/>
          <w:sz w:val="17"/>
          <w:szCs w:val="17"/>
          <w:color w:val="auto"/>
        </w:rPr>
        <w:t>”), a wholly-owned subsidiary of the Company (the “</w:t>
      </w:r>
      <w:r>
        <w:rPr>
          <w:rFonts w:ascii="Arial" w:cs="Arial" w:eastAsia="Arial" w:hAnsi="Arial"/>
          <w:sz w:val="17"/>
          <w:szCs w:val="17"/>
          <w:b w:val="1"/>
          <w:bCs w:val="1"/>
          <w:color w:val="auto"/>
        </w:rPr>
        <w:t>Reverse Takeover</w:t>
      </w:r>
      <w:r>
        <w:rPr>
          <w:rFonts w:ascii="Arial" w:cs="Arial" w:eastAsia="Arial" w:hAnsi="Arial"/>
          <w:sz w:val="17"/>
          <w:szCs w:val="17"/>
          <w:color w:val="auto"/>
        </w:rPr>
        <w:t xml:space="preserve">”). The Reverse Takeover was completed by way of a “three-cornered” amalgamation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76"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68"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Some of the risks which could affect future results and could cause results to differ materially from those expressed in the forward-looking statements contained herein include:</w:t>
      </w:r>
    </w:p>
    <w:p>
      <w:pPr>
        <w:spacing w:after="0" w:line="151" w:lineRule="exact"/>
        <w:rPr>
          <w:sz w:val="20"/>
          <w:szCs w:val="20"/>
          <w:color w:val="auto"/>
        </w:rPr>
      </w:pPr>
    </w:p>
    <w:p>
      <w:pPr>
        <w:ind w:left="1160" w:hanging="575"/>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novel coronavirus “COVID-19”;</w:t>
      </w:r>
    </w:p>
    <w:p>
      <w:pPr>
        <w:spacing w:after="0" w:line="16" w:lineRule="exact"/>
        <w:rPr>
          <w:rFonts w:ascii="Arial" w:cs="Arial" w:eastAsia="Arial" w:hAnsi="Arial"/>
          <w:sz w:val="18"/>
          <w:szCs w:val="18"/>
          <w:color w:val="auto"/>
        </w:rPr>
      </w:pPr>
    </w:p>
    <w:p>
      <w:pPr>
        <w:ind w:left="1160" w:hanging="575"/>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operating history;</w:t>
      </w:r>
    </w:p>
    <w:p>
      <w:pPr>
        <w:ind w:left="1160" w:hanging="575"/>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publicly announced milestones;</w:t>
      </w:r>
    </w:p>
    <w:p>
      <w:pPr>
        <w:ind w:left="1160" w:hanging="575"/>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speculative nature of investment risk;</w:t>
      </w:r>
    </w:p>
    <w:p>
      <w:pPr>
        <w:ind w:left="1160" w:hanging="575"/>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early stage of the industry and product development;</w:t>
      </w:r>
    </w:p>
    <w:p>
      <w:pPr>
        <w:ind w:left="1160" w:hanging="575"/>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risks and uncertainties</w:t>
      </w:r>
    </w:p>
    <w:p>
      <w:pPr>
        <w:ind w:left="1160" w:hanging="575"/>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plans for growth;</w:t>
      </w:r>
    </w:p>
    <w:p>
      <w:pPr>
        <w:ind w:left="1160" w:hanging="575"/>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products;</w:t>
      </w:r>
    </w:p>
    <w:p>
      <w:pPr>
        <w:ind w:left="1160" w:hanging="575"/>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marketing and sales capabilities;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706" w:right="319" w:bottom="1440" w:gutter="0" w:footer="0" w:header="0"/>
        </w:sectPr>
      </w:pPr>
    </w:p>
    <w:bookmarkStart w:id="30" w:name="page31"/>
    <w:bookmarkEnd w:id="30"/>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assurance of commercial success;</w:t>
      </w:r>
    </w:p>
    <w:p>
      <w:pPr>
        <w:spacing w:after="0" w:line="16" w:lineRule="exact"/>
        <w:rPr>
          <w:rFonts w:ascii="Arial" w:cs="Arial" w:eastAsia="Arial" w:hAnsi="Arial"/>
          <w:sz w:val="18"/>
          <w:szCs w:val="18"/>
          <w:color w:val="auto"/>
        </w:rPr>
      </w:pP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profits or significant revenues;</w:t>
      </w:r>
    </w:p>
    <w:p>
      <w:pPr>
        <w:ind w:left="1160" w:hanging="575"/>
        <w:spacing w:after="0"/>
        <w:tabs>
          <w:tab w:leader="none" w:pos="11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reliance on third parties for clinical development activities;</w:t>
      </w:r>
    </w:p>
    <w:p>
      <w:pPr>
        <w:spacing w:after="0" w:line="12" w:lineRule="exact"/>
        <w:rPr>
          <w:rFonts w:ascii="Arial" w:cs="Arial" w:eastAsia="Arial" w:hAnsi="Arial"/>
          <w:sz w:val="17"/>
          <w:szCs w:val="17"/>
          <w:color w:val="auto"/>
        </w:rPr>
      </w:pP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third party relationships;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contract manufacturers;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and efficacy of products;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testing and commercializing products;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completion of clinical trials;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 grade product manufacturing;</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nature of regulatory approvals;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unfavourable publicity or consumer perception;</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social media;</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biotechnology and pharmaceutical market competition;</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key executives and scientists;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 misconduct;</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expansion and growth;</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results of external clinical trials or studies;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liability;</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enforcing contracts;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recalls;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distribution and supply chain interruption;</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to forecast;</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promoting the brand;</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viability;</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 of quality control systems;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key inputs;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liability arising from fraudulent or illegal activity;</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risk and insurance coverage;</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operating as public company;</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of growth;</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conflicts of interest;</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operations;</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cybersecurity and privacy risk;</w:t>
      </w:r>
    </w:p>
    <w:p>
      <w:pPr>
        <w:ind w:left="1160" w:hanging="57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environmental regulation and risks;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Intellectual Property:</w:t>
      </w:r>
    </w:p>
    <w:p>
      <w:pPr>
        <w:spacing w:after="0" w:line="17" w:lineRule="exact"/>
        <w:rPr>
          <w:sz w:val="20"/>
          <w:szCs w:val="20"/>
          <w:color w:val="auto"/>
        </w:rPr>
      </w:pP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trademark protection;</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 secrets;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 law reform;</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 litigation and intellectual property;</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licences;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Financial and Accounting Risks:</w:t>
      </w:r>
    </w:p>
    <w:p>
      <w:pPr>
        <w:spacing w:after="0" w:line="17" w:lineRule="exact"/>
        <w:rPr>
          <w:sz w:val="20"/>
          <w:szCs w:val="20"/>
          <w:color w:val="auto"/>
        </w:rPr>
      </w:pPr>
    </w:p>
    <w:p>
      <w:pPr>
        <w:ind w:left="1160" w:hanging="57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substantial number of authorized but unissued common shares;</w:t>
      </w:r>
    </w:p>
    <w:p>
      <w:pPr>
        <w:spacing w:after="0" w:line="23" w:lineRule="exact"/>
        <w:rPr>
          <w:rFonts w:ascii="Arial" w:cs="Arial" w:eastAsia="Arial" w:hAnsi="Arial"/>
          <w:sz w:val="16"/>
          <w:szCs w:val="16"/>
          <w:color w:val="auto"/>
        </w:rPr>
      </w:pP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dilution;</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cash flow from operating activities;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capital requirements;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significant product revenue;</w:t>
      </w:r>
    </w:p>
    <w:p>
      <w:pPr>
        <w:ind w:left="1160" w:hanging="57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estimates or judgments relating to critical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the Common Shares (as defined below):</w:t>
      </w:r>
    </w:p>
    <w:p>
      <w:pPr>
        <w:spacing w:after="0" w:line="17" w:lineRule="exact"/>
        <w:rPr>
          <w:sz w:val="20"/>
          <w:szCs w:val="20"/>
          <w:color w:val="auto"/>
        </w:rPr>
      </w:pP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for the Common Shares;</w:t>
      </w: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sales of Common Shares;</w:t>
      </w: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volatile market price for the Common Shares;</w:t>
      </w: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issues;</w:t>
      </w: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dividends;</w:t>
      </w:r>
    </w:p>
    <w:p>
      <w:pPr>
        <w:spacing w:after="0" w:line="200" w:lineRule="exact"/>
        <w:rPr>
          <w:sz w:val="20"/>
          <w:szCs w:val="20"/>
          <w:color w:val="auto"/>
        </w:rPr>
      </w:pP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139"/>
          </w:cols>
          <w:pgMar w:left="320" w:top="710"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Risks related to the Company:</w:t>
      </w:r>
    </w:p>
    <w:p>
      <w:pPr>
        <w:spacing w:after="0" w:line="17" w:lineRule="exact"/>
        <w:rPr>
          <w:sz w:val="20"/>
          <w:szCs w:val="20"/>
          <w:color w:val="auto"/>
        </w:rPr>
      </w:pP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forward-looking statements may prove to be inaccurate;</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dilution;</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need for additional financing;</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operating cash flow and going concern;</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discretion over the use of proceeds;</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of growth;</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Common Shares are subject to market price volatility;</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history of payment of cash dividends;</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operating history as a public company; and</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relating to research and development milestones.</w:t>
      </w:r>
    </w:p>
    <w:p>
      <w:pPr>
        <w:spacing w:after="0" w:line="20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62" w:lineRule="exact"/>
        <w:rPr>
          <w:sz w:val="20"/>
          <w:szCs w:val="20"/>
          <w:color w:val="auto"/>
        </w:rPr>
      </w:pPr>
    </w:p>
    <w:p>
      <w:pPr>
        <w:ind w:left="580" w:right="20" w:hanging="291"/>
        <w:spacing w:after="0" w:line="250" w:lineRule="auto"/>
        <w:tabs>
          <w:tab w:leader="none" w:pos="5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fluctuation of losses from quarter to quarter and year to year due to numerous external risk factors, and anticipation that we will continue to incur significant losses in the future;</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as to the Company’s ability to raise additional funding to support operations;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ability to access additional funding;</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fluctuation of foreign exchange rates;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duration of COVID-19 and the extent of its economic and social impact;</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risks associated with the development of the Company’s product candidates which are at early stages of development;</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upon industry publications as the Company’s primary sources for third-party industry data and forecasts;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third parties to plan, conduct and monitor the Company’s preclinical studies and clinical trials;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third party contract manufacturers to deliver quality clinical and preclinical materials;</w:t>
      </w:r>
    </w:p>
    <w:p>
      <w:pPr>
        <w:ind w:left="580" w:right="20" w:hanging="291"/>
        <w:spacing w:after="0" w:line="241" w:lineRule="auto"/>
        <w:tabs>
          <w:tab w:leader="none" w:pos="5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product candidates may fail to demonstrate safety and efficacy to the satisfaction of regulatory authorities or may not otherwise produce positive results;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filing investigational new drug applications to commence clinical trials and to continue clinical trials if approved;</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risks of delays and inability to complete clinical trials due to difficulties enrolling patients;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from other biotechnology and pharmaceutical companies;</w:t>
      </w:r>
    </w:p>
    <w:p>
      <w:pPr>
        <w:ind w:left="580" w:right="20" w:hanging="291"/>
        <w:spacing w:after="0" w:line="241" w:lineRule="auto"/>
        <w:tabs>
          <w:tab w:leader="none" w:pos="5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reliance on the capabilities and experience of the Company’s key executives and scientists and the resulting loss of any of these individuals;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ability to fully realize the benefits of acquisitions;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ability to adequately protect the Company’s intellectual property and trade secrets;</w:t>
      </w:r>
    </w:p>
    <w:p>
      <w:pPr>
        <w:ind w:left="540" w:hanging="25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of patent-related or other litigation; and</w:t>
      </w:r>
    </w:p>
    <w:p>
      <w:pPr>
        <w:ind w:left="580" w:right="20" w:hanging="291"/>
        <w:spacing w:after="0" w:line="248" w:lineRule="auto"/>
        <w:tabs>
          <w:tab w:leader="none" w:pos="5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of unforeseen changes to the laws or regulations in the United States, the United Kingdom, and Canada and other jurisdictions in which the Company operates.</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68"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In addition to the factors set out above and those identified in this MD&amp;A under “Risk Factors”, other factors not currently viewed as material could cause actual results to differ materially from those described in the forward-looking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930" w:right="319" w:bottom="1440" w:gutter="0" w:footer="0" w:header="0"/>
        </w:sectPr>
      </w:pPr>
    </w:p>
    <w:bookmarkStart w:id="32" w:name="page33"/>
    <w:bookmarkEnd w:id="32"/>
    <w:p>
      <w:pPr>
        <w:jc w:val="both"/>
        <w:spacing w:after="0" w:line="254" w:lineRule="auto"/>
        <w:rPr>
          <w:sz w:val="20"/>
          <w:szCs w:val="20"/>
          <w:color w:val="auto"/>
        </w:rPr>
      </w:pPr>
      <w:r>
        <w:rPr>
          <w:rFonts w:ascii="Arial" w:cs="Arial" w:eastAsia="Arial" w:hAnsi="Arial"/>
          <w:sz w:val="18"/>
          <w:szCs w:val="18"/>
          <w:color w:val="auto"/>
        </w:rPr>
        <w:t>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Overview</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is a biotechnology company focused on advancing pharmaceutical therapies, delivery mechanisms, novel compounds and protocols as potential therapies for various psychiatric and neurological conditions. The Company is developing technologies and delivery systems aiming to improve the pharmacokinetics of its psychedelic molecules while retaining the therapeutics benefit. The new molecules and delivery systems are expected to be studied through clinical trials to confirm safety and efficacy.</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whereby Cybin Corp. amalgamated with SubCo to form an amalgamated corporation and a wholly owned subsidiary of the Company.</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Immediately prior to the completion of the Reverse Takeover, the Company completed a common share consolidation on the basis of 6.672 old common shares into one new share. All shares and per share amounts expressed herein reflect the post-consolidation Common Shares.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connection with the Reverse Takeover, Clarmin changed its name to “Cybin Inc.” and the common shares in the capital of the Company (the “</w:t>
      </w:r>
      <w:r>
        <w:rPr>
          <w:rFonts w:ascii="Arial" w:cs="Arial" w:eastAsia="Arial" w:hAnsi="Arial"/>
          <w:sz w:val="17"/>
          <w:szCs w:val="17"/>
          <w:b w:val="1"/>
          <w:b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became listed for trading on the Neo Exchange Inc. (the “</w:t>
      </w:r>
      <w:r>
        <w:rPr>
          <w:rFonts w:ascii="Arial" w:cs="Arial" w:eastAsia="Arial" w:hAnsi="Arial"/>
          <w:sz w:val="17"/>
          <w:szCs w:val="17"/>
          <w:b w:val="1"/>
          <w:bCs w:val="1"/>
          <w:color w:val="auto"/>
        </w:rPr>
        <w:t>Exchange</w:t>
      </w:r>
      <w:r>
        <w:rPr>
          <w:rFonts w:ascii="Arial" w:cs="Arial" w:eastAsia="Arial" w:hAnsi="Arial"/>
          <w:sz w:val="17"/>
          <w:szCs w:val="17"/>
          <w:color w:val="auto"/>
        </w:rPr>
        <w:t>”) under the trading symbol CYBN. In accordance with IFRS 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the substance of the Reverse Takeover was a reverse takeover of a non-operating company. The Reverse Takeover does not constitute a</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 as Clarmin did not meet the definition of a business under IFRS 3. As a result, the Reverse Takeover is accounted for as a capital transaction with Cybin being identified as the acquirer and the equity consideration being measured at fair value. The resulting unaudited condensed interim consolidated statement of financial position is presented as a continuation of Cybin Corp. and comparative figures presented in the condensed interim consolidated financial statements after the Reverse Takeover are those of Cybin Corp.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Prior to complete the Reverse Takeover, and during fiscal 2020, the Company was inactive and evaluating business opportunities.</w:t>
      </w:r>
    </w:p>
    <w:p>
      <w:pPr>
        <w:spacing w:after="0" w:line="221"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On July 8, 2021, the Company announced the scaling up of its European operations and research activities with various academic and clinical research organizations, including the transfer of its intellectual property assets to its wholly owned Ireland subsidiary, Cybin IRL Limited ("Cybin Ireland").</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5, 2021, the Common Shares commenced trading on the NYSE American LLC stock exchange (the “</w:t>
      </w:r>
      <w:r>
        <w:rPr>
          <w:rFonts w:ascii="Arial" w:cs="Arial" w:eastAsia="Arial" w:hAnsi="Arial"/>
          <w:sz w:val="18"/>
          <w:szCs w:val="18"/>
          <w:b w:val="1"/>
          <w:bCs w:val="1"/>
          <w:color w:val="auto"/>
        </w:rPr>
        <w:t>NYSE American</w:t>
      </w:r>
      <w:r>
        <w:rPr>
          <w:rFonts w:ascii="Arial" w:cs="Arial" w:eastAsia="Arial" w:hAnsi="Arial"/>
          <w:sz w:val="18"/>
          <w:szCs w:val="18"/>
          <w:color w:val="auto"/>
        </w:rPr>
        <w:t>”) under the symbol “CYBN”. Concurrent with the commencement of trading on the NYSE American, the Common Shares ceased to be quoted on the OTCQB® Venture Market.</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Please refer to “General Development of the Business” in the AIF for additional information on the background and operational highlights of Cybin. The AIF may be viewed under the SEDAR profile of Cybin at </w:t>
      </w:r>
      <w:r>
        <w:rPr>
          <w:rFonts w:ascii="Arial" w:cs="Arial" w:eastAsia="Arial" w:hAnsi="Arial"/>
          <w:sz w:val="18"/>
          <w:szCs w:val="18"/>
          <w:i w:val="1"/>
          <w:iCs w:val="1"/>
          <w:u w:val="single" w:color="auto"/>
          <w:color w:val="0563C1"/>
        </w:rPr>
        <w:t>www.sedar.com</w:t>
      </w:r>
      <w:r>
        <w:rPr>
          <w:rFonts w:ascii="Arial" w:cs="Arial" w:eastAsia="Arial" w:hAnsi="Arial"/>
          <w:sz w:val="18"/>
          <w:szCs w:val="18"/>
          <w:color w:val="auto"/>
        </w:rPr>
        <w: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historically had two business segment (a) Serenity Life Sciences Inc. and Cybin US Holdings Inc. ("</w:t>
      </w:r>
      <w:r>
        <w:rPr>
          <w:rFonts w:ascii="Arial" w:cs="Arial" w:eastAsia="Arial" w:hAnsi="Arial"/>
          <w:sz w:val="18"/>
          <w:szCs w:val="18"/>
          <w:b w:val="1"/>
          <w:bCs w:val="1"/>
          <w:color w:val="auto"/>
        </w:rPr>
        <w:t>Cybin U.S.</w:t>
      </w:r>
      <w:r>
        <w:rPr>
          <w:rFonts w:ascii="Arial" w:cs="Arial" w:eastAsia="Arial" w:hAnsi="Arial"/>
          <w:sz w:val="18"/>
          <w:szCs w:val="18"/>
          <w:color w:val="auto"/>
        </w:rPr>
        <w:t>") that focus on the research and development of psychedelic pharmaceutical products; and (b) Natures Journey Inc. ("</w:t>
      </w:r>
      <w:r>
        <w:rPr>
          <w:rFonts w:ascii="Arial" w:cs="Arial" w:eastAsia="Arial" w:hAnsi="Arial"/>
          <w:sz w:val="18"/>
          <w:szCs w:val="18"/>
          <w:b w:val="1"/>
          <w:bCs w:val="1"/>
          <w:color w:val="auto"/>
        </w:rPr>
        <w:t>Natures Journey</w:t>
      </w:r>
      <w:r>
        <w:rPr>
          <w:rFonts w:ascii="Arial" w:cs="Arial" w:eastAsia="Arial" w:hAnsi="Arial"/>
          <w:sz w:val="18"/>
          <w:szCs w:val="18"/>
          <w:color w:val="auto"/>
        </w:rPr>
        <w:t>") that focused on consumer mental wellness, including non-psychedelic nutraceutical products (the “</w:t>
      </w:r>
      <w:r>
        <w:rPr>
          <w:rFonts w:ascii="Arial" w:cs="Arial" w:eastAsia="Arial" w:hAnsi="Arial"/>
          <w:sz w:val="18"/>
          <w:szCs w:val="18"/>
          <w:b w:val="1"/>
          <w:bCs w:val="1"/>
          <w:color w:val="auto"/>
        </w:rPr>
        <w:t>Product Line</w:t>
      </w:r>
      <w:r>
        <w:rPr>
          <w:rFonts w:ascii="Arial" w:cs="Arial" w:eastAsia="Arial" w:hAnsi="Arial"/>
          <w:sz w:val="18"/>
          <w:szCs w:val="18"/>
          <w:color w:val="auto"/>
        </w:rPr>
        <w:t>”) and consumer mental wellness. Subsequent to quarter end, the Company decided to not proceed with the Natures Journey business segment in order to prioritize its research and development of psychedelic pharmaceutical products.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10" w:right="339" w:bottom="1440" w:gutter="0" w:footer="0" w:header="0"/>
        </w:sectPr>
      </w:pPr>
    </w:p>
    <w:bookmarkStart w:id="33" w:name="page34"/>
    <w:bookmarkEnd w:id="33"/>
    <w:p>
      <w:pPr>
        <w:ind w:left="2"/>
        <w:spacing w:after="0"/>
        <w:rPr>
          <w:sz w:val="20"/>
          <w:szCs w:val="20"/>
          <w:color w:val="auto"/>
        </w:rPr>
      </w:pPr>
      <w:r>
        <w:rPr>
          <w:rFonts w:ascii="Arial" w:cs="Arial" w:eastAsia="Arial" w:hAnsi="Arial"/>
          <w:sz w:val="18"/>
          <w:szCs w:val="18"/>
          <w:i w:val="1"/>
          <w:iCs w:val="1"/>
          <w:color w:val="auto"/>
        </w:rPr>
        <w:t>Psychedelics</w:t>
      </w:r>
    </w:p>
    <w:p>
      <w:pPr>
        <w:spacing w:after="0" w:line="197" w:lineRule="exact"/>
        <w:rPr>
          <w:sz w:val="20"/>
          <w:szCs w:val="20"/>
          <w:color w:val="auto"/>
        </w:rPr>
      </w:pPr>
    </w:p>
    <w:p>
      <w:pPr>
        <w:jc w:val="both"/>
        <w:ind w:left="2"/>
        <w:spacing w:after="0" w:line="249" w:lineRule="auto"/>
        <w:rPr>
          <w:sz w:val="20"/>
          <w:szCs w:val="20"/>
          <w:color w:val="auto"/>
        </w:rPr>
      </w:pPr>
      <w:r>
        <w:rPr>
          <w:rFonts w:ascii="Arial" w:cs="Arial" w:eastAsia="Arial" w:hAnsi="Arial"/>
          <w:sz w:val="18"/>
          <w:szCs w:val="18"/>
          <w:color w:val="auto"/>
        </w:rPr>
        <w:t>The Company is conducting research and development of psychedelic therapeutics that aim to address unmet mental health conditions by leveraging proprietary drug discovery platforms, novel formulation approaches, innovative drug delivery systems, and optimized treatment regimens. This comprehensive strategy is predicated on structural modifications of known and well understood tryptamine derivatives to improve their pharmacokinetic properties without altering their respective pharmacology.</w:t>
      </w:r>
    </w:p>
    <w:p>
      <w:pPr>
        <w:spacing w:after="0" w:line="168" w:lineRule="exact"/>
        <w:rPr>
          <w:sz w:val="20"/>
          <w:szCs w:val="20"/>
          <w:color w:val="auto"/>
        </w:rPr>
      </w:pPr>
    </w:p>
    <w:p>
      <w:pPr>
        <w:jc w:val="both"/>
        <w:ind w:left="2"/>
        <w:spacing w:after="0" w:line="261" w:lineRule="auto"/>
        <w:rPr>
          <w:sz w:val="20"/>
          <w:szCs w:val="20"/>
          <w:color w:val="auto"/>
        </w:rPr>
      </w:pPr>
      <w:r>
        <w:rPr>
          <w:rFonts w:ascii="Arial" w:cs="Arial" w:eastAsia="Arial" w:hAnsi="Arial"/>
          <w:sz w:val="18"/>
          <w:szCs w:val="18"/>
          <w:color w:val="auto"/>
        </w:rPr>
        <w:t>Across the various research and development programs, the Company is researching and developing a wide array of novel, synthetic psychedelic active pharmaceutical ingredients (“</w:t>
      </w:r>
      <w:r>
        <w:rPr>
          <w:rFonts w:ascii="Arial" w:cs="Arial" w:eastAsia="Arial" w:hAnsi="Arial"/>
          <w:sz w:val="18"/>
          <w:szCs w:val="18"/>
          <w:b w:val="1"/>
          <w:bCs w:val="1"/>
          <w:color w:val="auto"/>
        </w:rPr>
        <w:t>API</w:t>
      </w:r>
      <w:r>
        <w:rPr>
          <w:rFonts w:ascii="Arial" w:cs="Arial" w:eastAsia="Arial" w:hAnsi="Arial"/>
          <w:sz w:val="18"/>
          <w:szCs w:val="18"/>
          <w:color w:val="auto"/>
        </w:rPr>
        <w:t>”) intended to be delivered through innovative drug delivery systems including sublingual films</w:t>
      </w:r>
      <w:r>
        <w:rPr>
          <w:rFonts w:ascii="Arial" w:cs="Arial" w:eastAsia="Arial" w:hAnsi="Arial"/>
          <w:sz w:val="23"/>
          <w:szCs w:val="23"/>
          <w:color w:val="auto"/>
          <w:vertAlign w:val="superscript"/>
        </w:rPr>
        <w:t>1</w:t>
      </w:r>
      <w:r>
        <w:rPr>
          <w:rFonts w:ascii="Arial" w:cs="Arial" w:eastAsia="Arial" w:hAnsi="Arial"/>
          <w:sz w:val="18"/>
          <w:szCs w:val="18"/>
          <w:color w:val="auto"/>
        </w:rPr>
        <w:t>, orally disintegrating tablets (“</w:t>
      </w:r>
      <w:r>
        <w:rPr>
          <w:rFonts w:ascii="Arial" w:cs="Arial" w:eastAsia="Arial" w:hAnsi="Arial"/>
          <w:sz w:val="18"/>
          <w:szCs w:val="18"/>
          <w:b w:val="1"/>
          <w:bCs w:val="1"/>
          <w:color w:val="auto"/>
        </w:rPr>
        <w:t>ODT</w:t>
      </w:r>
      <w:r>
        <w:rPr>
          <w:rFonts w:ascii="Arial" w:cs="Arial" w:eastAsia="Arial" w:hAnsi="Arial"/>
          <w:sz w:val="18"/>
          <w:szCs w:val="18"/>
          <w:color w:val="auto"/>
        </w:rPr>
        <w: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via inhalation.</w:t>
      </w:r>
    </w:p>
    <w:p>
      <w:pPr>
        <w:spacing w:after="0" w:line="78" w:lineRule="exact"/>
        <w:rPr>
          <w:sz w:val="20"/>
          <w:szCs w:val="20"/>
          <w:color w:val="auto"/>
        </w:rPr>
      </w:pPr>
    </w:p>
    <w:p>
      <w:pPr>
        <w:jc w:val="both"/>
        <w:ind w:left="2" w:right="20"/>
        <w:spacing w:after="0" w:line="280" w:lineRule="auto"/>
        <w:rPr>
          <w:sz w:val="20"/>
          <w:szCs w:val="20"/>
          <w:color w:val="auto"/>
        </w:rPr>
      </w:pPr>
      <w:r>
        <w:rPr>
          <w:rFonts w:ascii="Arial" w:cs="Arial" w:eastAsia="Arial" w:hAnsi="Arial"/>
          <w:sz w:val="18"/>
          <w:szCs w:val="18"/>
          <w:color w:val="auto"/>
        </w:rPr>
        <w:t>The Company intends to apply for regulatory approval for products targeting major depressive disorder (“</w:t>
      </w:r>
      <w:r>
        <w:rPr>
          <w:rFonts w:ascii="Arial" w:cs="Arial" w:eastAsia="Arial" w:hAnsi="Arial"/>
          <w:sz w:val="18"/>
          <w:szCs w:val="18"/>
          <w:b w:val="1"/>
          <w:bCs w:val="1"/>
          <w:color w:val="auto"/>
        </w:rPr>
        <w:t>MDD</w:t>
      </w:r>
      <w:r>
        <w:rPr>
          <w:rFonts w:ascii="Arial" w:cs="Arial" w:eastAsia="Arial" w:hAnsi="Arial"/>
          <w:sz w:val="18"/>
          <w:szCs w:val="18"/>
          <w:color w:val="auto"/>
        </w:rPr>
        <w:t>”), alcohol use disorder ("</w:t>
      </w:r>
      <w:r>
        <w:rPr>
          <w:rFonts w:ascii="Arial" w:cs="Arial" w:eastAsia="Arial" w:hAnsi="Arial"/>
          <w:sz w:val="18"/>
          <w:szCs w:val="18"/>
          <w:b w:val="1"/>
          <w:bCs w:val="1"/>
          <w:color w:val="auto"/>
        </w:rPr>
        <w:t>AUD</w:t>
      </w:r>
      <w:r>
        <w:rPr>
          <w:rFonts w:ascii="Arial" w:cs="Arial" w:eastAsia="Arial" w:hAnsi="Arial"/>
          <w:sz w:val="18"/>
          <w:szCs w:val="18"/>
          <w:color w:val="auto"/>
        </w:rPr>
        <w:t>") and various anxiety disorders</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65" w:lineRule="exact"/>
        <w:rPr>
          <w:sz w:val="20"/>
          <w:szCs w:val="20"/>
          <w:color w:val="auto"/>
        </w:rPr>
      </w:pPr>
    </w:p>
    <w:p>
      <w:pPr>
        <w:jc w:val="both"/>
        <w:ind w:left="2" w:right="20"/>
        <w:spacing w:after="0" w:line="250" w:lineRule="auto"/>
        <w:rPr>
          <w:sz w:val="20"/>
          <w:szCs w:val="20"/>
          <w:color w:val="auto"/>
        </w:rPr>
      </w:pPr>
      <w:r>
        <w:rPr>
          <w:rFonts w:ascii="Arial" w:cs="Arial" w:eastAsia="Arial" w:hAnsi="Arial"/>
          <w:sz w:val="17"/>
          <w:szCs w:val="17"/>
          <w:color w:val="auto"/>
        </w:rPr>
        <w:t>Further, over the next 12-month period, the Company will continue to seek to establish strategic partnerships that advance the Company’s scientific research and intellectual property for new psychedelic compounds and novel delivery mechanisms</w:t>
      </w:r>
      <w:r>
        <w:rPr>
          <w:rFonts w:ascii="Arial" w:cs="Arial" w:eastAsia="Arial" w:hAnsi="Arial"/>
          <w:sz w:val="22"/>
          <w:szCs w:val="22"/>
          <w:color w:val="auto"/>
          <w:vertAlign w:val="superscript"/>
        </w:rPr>
        <w:t>4</w:t>
      </w:r>
      <w:r>
        <w:rPr>
          <w:rFonts w:ascii="Arial" w:cs="Arial" w:eastAsia="Arial" w:hAnsi="Arial"/>
          <w:sz w:val="17"/>
          <w:szCs w:val="17"/>
          <w:color w:val="auto"/>
        </w:rPr>
        <w:t>. The Company will also continue to sponsor select clinical trials that advance the safety and efficacy understanding of various psychedelic agents that target mental health</w:t>
      </w:r>
      <w:r>
        <w:rPr>
          <w:rFonts w:ascii="Arial" w:cs="Arial" w:eastAsia="Arial" w:hAnsi="Arial"/>
          <w:sz w:val="22"/>
          <w:szCs w:val="22"/>
          <w:color w:val="auto"/>
          <w:vertAlign w:val="superscript"/>
        </w:rPr>
        <w:t>5</w:t>
      </w:r>
      <w:r>
        <w:rPr>
          <w:rFonts w:ascii="Arial" w:cs="Arial" w:eastAsia="Arial" w:hAnsi="Arial"/>
          <w:sz w:val="17"/>
          <w:szCs w:val="17"/>
          <w:color w:val="auto"/>
        </w:rPr>
        <w:t>.</w:t>
      </w:r>
    </w:p>
    <w:p>
      <w:pPr>
        <w:spacing w:after="0" w:line="89"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Non-Psychedelics</w:t>
      </w:r>
    </w:p>
    <w:p>
      <w:pPr>
        <w:spacing w:after="0" w:line="197" w:lineRule="exact"/>
        <w:rPr>
          <w:sz w:val="20"/>
          <w:szCs w:val="20"/>
          <w:color w:val="auto"/>
        </w:rPr>
      </w:pPr>
    </w:p>
    <w:p>
      <w:pPr>
        <w:jc w:val="both"/>
        <w:ind w:left="2" w:right="20"/>
        <w:spacing w:after="0" w:line="234" w:lineRule="auto"/>
        <w:rPr>
          <w:sz w:val="20"/>
          <w:szCs w:val="20"/>
          <w:color w:val="auto"/>
        </w:rPr>
      </w:pPr>
      <w:r>
        <w:rPr>
          <w:rFonts w:ascii="Arial" w:cs="Arial" w:eastAsia="Arial" w:hAnsi="Arial"/>
          <w:sz w:val="18"/>
          <w:szCs w:val="18"/>
          <w:color w:val="auto"/>
        </w:rPr>
        <w:t>Subsequent to quarter end, the Company decided to not proceed with the Natures Journey business segment, including the Product Line in order to prioritize its progression of its research and development of psychedelic pharmaceutical products. As of the date of this MD&amp;A, the Company has not begun operations nor generated any revenue from the sale of the Product Line and it does not expect any revenues from the Product Line going forward. The Company’s revenues reflected in its 2021 annual consolidated financial statements are from non-recurring opportunist sales of non-core products sold in the United States.</w:t>
      </w:r>
    </w:p>
    <w:p>
      <w:pPr>
        <w:spacing w:after="0" w:line="202"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Stage of Development</w:t>
      </w:r>
    </w:p>
    <w:p>
      <w:pPr>
        <w:spacing w:after="0" w:line="135"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Like most life sciences and pharmaceutical companies, the Company's psychedelic business is focused on research and development and any future revenue will be dependent on a number of factors, including the outcome of the Company’s sponsored clinical trials and the receipt of all necessary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15532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49" w:lineRule="exact"/>
        <w:rPr>
          <w:sz w:val="20"/>
          <w:szCs w:val="20"/>
          <w:color w:val="auto"/>
        </w:rPr>
      </w:pPr>
    </w:p>
    <w:p>
      <w:pPr>
        <w:jc w:val="both"/>
        <w:ind w:left="2" w:right="20" w:hanging="2"/>
        <w:spacing w:after="0" w:line="246" w:lineRule="auto"/>
        <w:tabs>
          <w:tab w:leader="none" w:pos="114"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w:t>
      </w:r>
      <w:r>
        <w:rPr>
          <w:rFonts w:ascii="Arial" w:cs="Arial" w:eastAsia="Arial" w:hAnsi="Arial"/>
          <w:sz w:val="12"/>
          <w:szCs w:val="12"/>
          <w:color w:val="auto"/>
        </w:rPr>
        <w:t>.</w:t>
      </w:r>
    </w:p>
    <w:p>
      <w:pPr>
        <w:spacing w:after="0" w:line="2" w:lineRule="exact"/>
        <w:rPr>
          <w:rFonts w:ascii="Arial" w:cs="Arial" w:eastAsia="Arial" w:hAnsi="Arial"/>
          <w:sz w:val="18"/>
          <w:szCs w:val="18"/>
          <w:color w:val="auto"/>
          <w:vertAlign w:val="superscript"/>
        </w:rPr>
      </w:pPr>
    </w:p>
    <w:p>
      <w:pPr>
        <w:jc w:val="both"/>
        <w:ind w:left="2" w:right="20"/>
        <w:spacing w:after="0" w:line="266"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3"/>
          <w:szCs w:val="13"/>
          <w:color w:val="auto"/>
        </w:rPr>
        <w:t xml:space="preserve"> The Company is currently applying Catalent’s proprietary Zydis® ODT technology as a delivery method during the development of our novel deuterated tryptamine. Zydis technology creates a freeze-dried tablet that disperses almost instantly in the mouth without water and is recognized as one of the world’s best-performing ODTs. 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90" w:lineRule="exact"/>
        <w:rPr>
          <w:sz w:val="20"/>
          <w:szCs w:val="20"/>
          <w:color w:val="auto"/>
        </w:rPr>
      </w:pPr>
    </w:p>
    <w:p>
      <w:pPr>
        <w:jc w:val="both"/>
        <w:ind w:left="2" w:right="20" w:hanging="2"/>
        <w:spacing w:after="0" w:line="223" w:lineRule="auto"/>
        <w:tabs>
          <w:tab w:leader="none" w:pos="106"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The material factor and assumption underlying this forward-looking statement is that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 w:lineRule="exact"/>
        <w:rPr>
          <w:rFonts w:ascii="Arial" w:cs="Arial" w:eastAsia="Arial" w:hAnsi="Arial"/>
          <w:sz w:val="21"/>
          <w:szCs w:val="21"/>
          <w:color w:val="auto"/>
          <w:vertAlign w:val="superscript"/>
        </w:rPr>
      </w:pPr>
    </w:p>
    <w:p>
      <w:pPr>
        <w:ind w:left="2"/>
        <w:spacing w:after="0" w:line="188" w:lineRule="auto"/>
        <w:rPr>
          <w:rFonts w:ascii="Arial" w:cs="Arial" w:eastAsia="Arial" w:hAnsi="Arial"/>
          <w:sz w:val="21"/>
          <w:szCs w:val="21"/>
          <w:color w:val="auto"/>
          <w:vertAlign w:val="superscript"/>
        </w:rPr>
      </w:pPr>
      <w:r>
        <w:rPr>
          <w:rFonts w:ascii="Arial" w:cs="Arial" w:eastAsia="Arial" w:hAnsi="Arial"/>
          <w:sz w:val="19"/>
          <w:szCs w:val="19"/>
          <w:color w:val="auto"/>
          <w:vertAlign w:val="superscript"/>
        </w:rPr>
        <w:t>4</w:t>
      </w:r>
      <w:r>
        <w:rPr>
          <w:rFonts w:ascii="Arial" w:cs="Arial" w:eastAsia="Arial" w:hAnsi="Arial"/>
          <w:sz w:val="13"/>
          <w:szCs w:val="13"/>
          <w:color w:val="auto"/>
        </w:rPr>
        <w:t xml:space="preserve"> The material factor and assumption underlying this forward-looking statement is that the Company will be able to successfully negotiate strategic partnerships.</w:t>
      </w:r>
    </w:p>
    <w:p>
      <w:pPr>
        <w:jc w:val="both"/>
        <w:ind w:left="2" w:right="20"/>
        <w:spacing w:after="0" w:line="211"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5</w:t>
      </w:r>
      <w:r>
        <w:rPr>
          <w:rFonts w:ascii="Arial" w:cs="Arial" w:eastAsia="Arial" w:hAnsi="Arial"/>
          <w:sz w:val="15"/>
          <w:szCs w:val="15"/>
          <w:color w:val="auto"/>
        </w:rPr>
        <w:t xml:space="preserve"> 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spacing w:after="0" w:line="200" w:lineRule="exact"/>
        <w:rPr>
          <w:sz w:val="20"/>
          <w:szCs w:val="20"/>
          <w:color w:val="auto"/>
        </w:rPr>
      </w:pPr>
    </w:p>
    <w:p>
      <w:pPr>
        <w:spacing w:after="0" w:line="35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2"/>
          </w:cols>
          <w:pgMar w:left="318" w:top="710" w:right="319" w:bottom="1440" w:gutter="0" w:footer="0" w:header="0"/>
        </w:sectPr>
      </w:pPr>
    </w:p>
    <w:bookmarkStart w:id="34" w:name="page35"/>
    <w:bookmarkEnd w:id="34"/>
    <w:p>
      <w:pPr>
        <w:jc w:val="both"/>
        <w:ind w:left="2" w:right="20"/>
        <w:spacing w:after="0" w:line="249" w:lineRule="auto"/>
        <w:rPr>
          <w:sz w:val="20"/>
          <w:szCs w:val="20"/>
          <w:color w:val="auto"/>
        </w:rPr>
      </w:pPr>
      <w:r>
        <w:rPr>
          <w:rFonts w:ascii="Arial" w:cs="Arial" w:eastAsia="Arial" w:hAnsi="Arial"/>
          <w:sz w:val="18"/>
          <w:szCs w:val="18"/>
          <w:color w:val="auto"/>
        </w:rPr>
        <w:t>The Company’s revenues reflected in the Interim Financial Statements originated from non-core, nutraceutical formulation which was purchased and formulated into finished goods and sold in the United States to one purchaser. The products will not be re-generated in the future and do not represent core sales of the Company and/or core products of the Company. The Company has discontinued its sales of such products as it is not in line with the Company’s core sales model.</w:t>
      </w:r>
    </w:p>
    <w:p>
      <w:pPr>
        <w:spacing w:after="0" w:line="168" w:lineRule="exact"/>
        <w:rPr>
          <w:sz w:val="20"/>
          <w:szCs w:val="20"/>
          <w:color w:val="auto"/>
        </w:rPr>
      </w:pPr>
    </w:p>
    <w:p>
      <w:pPr>
        <w:jc w:val="both"/>
        <w:ind w:left="2" w:right="20"/>
        <w:spacing w:after="0" w:line="255" w:lineRule="auto"/>
        <w:rPr>
          <w:sz w:val="20"/>
          <w:szCs w:val="20"/>
          <w:color w:val="auto"/>
        </w:rPr>
      </w:pPr>
      <w:r>
        <w:rPr>
          <w:rFonts w:ascii="Arial" w:cs="Arial" w:eastAsia="Arial" w:hAnsi="Arial"/>
          <w:sz w:val="18"/>
          <w:szCs w:val="18"/>
          <w:color w:val="auto"/>
        </w:rPr>
        <w:t>In order to establish its business operations, the Company intends to leverage the extensive professional network of its management to build working partnerships with (i) existing producers of psychedelic products based in Canada, the United States, and the United Kingdom to source the psychedelic pharmaceutical products the Company intends to develop and distribute under its specific brand, and (ii) to explore options to facilitate the development and distribution and sale of its specific brand of psychedelic pharmaceutical products.</w:t>
      </w:r>
      <w:r>
        <w:rPr>
          <w:rFonts w:ascii="Arial" w:cs="Arial" w:eastAsia="Arial" w:hAnsi="Arial"/>
          <w:sz w:val="23"/>
          <w:szCs w:val="23"/>
          <w:color w:val="auto"/>
          <w:vertAlign w:val="superscript"/>
        </w:rPr>
        <w:t>6</w:t>
      </w:r>
    </w:p>
    <w:p>
      <w:pPr>
        <w:spacing w:after="0" w:line="87" w:lineRule="exact"/>
        <w:rPr>
          <w:sz w:val="20"/>
          <w:szCs w:val="20"/>
          <w:color w:val="auto"/>
        </w:rPr>
      </w:pPr>
    </w:p>
    <w:p>
      <w:pPr>
        <w:jc w:val="both"/>
        <w:ind w:left="2" w:right="20"/>
        <w:spacing w:after="0" w:line="249" w:lineRule="auto"/>
        <w:rPr>
          <w:sz w:val="20"/>
          <w:szCs w:val="20"/>
          <w:color w:val="auto"/>
        </w:rPr>
      </w:pPr>
      <w:r>
        <w:rPr>
          <w:rFonts w:ascii="Arial" w:cs="Arial" w:eastAsia="Arial" w:hAnsi="Arial"/>
          <w:sz w:val="18"/>
          <w:szCs w:val="18"/>
          <w:color w:val="auto"/>
        </w:rPr>
        <w:t xml:space="preserve">The Company’s marketing and brand development will be driven through a digital marketing strategy composed of digital advertising and influencer marketing. Prescription drugs are classified and regulated under the federal </w:t>
      </w:r>
      <w:r>
        <w:rPr>
          <w:rFonts w:ascii="Arial" w:cs="Arial" w:eastAsia="Arial" w:hAnsi="Arial"/>
          <w:sz w:val="18"/>
          <w:szCs w:val="18"/>
          <w:i w:val="1"/>
          <w:iCs w:val="1"/>
          <w:color w:val="auto"/>
        </w:rPr>
        <w:t>Food and Drugs Act</w:t>
      </w:r>
      <w:r>
        <w:rPr>
          <w:rFonts w:ascii="Arial" w:cs="Arial" w:eastAsia="Arial" w:hAnsi="Arial"/>
          <w:sz w:val="18"/>
          <w:szCs w:val="18"/>
          <w:color w:val="auto"/>
        </w:rPr>
        <w:t xml:space="preserve"> (Canada) (the “</w:t>
      </w:r>
      <w:r>
        <w:rPr>
          <w:rFonts w:ascii="Arial" w:cs="Arial" w:eastAsia="Arial" w:hAnsi="Arial"/>
          <w:sz w:val="18"/>
          <w:szCs w:val="18"/>
          <w:b w:val="1"/>
          <w:bCs w:val="1"/>
          <w:color w:val="auto"/>
        </w:rPr>
        <w:t>Canadian FDA</w:t>
      </w:r>
      <w:r>
        <w:rPr>
          <w:rFonts w:ascii="Arial" w:cs="Arial" w:eastAsia="Arial" w:hAnsi="Arial"/>
          <w:sz w:val="18"/>
          <w:szCs w:val="18"/>
          <w:color w:val="auto"/>
        </w:rPr>
        <w:t>”). Labelling, marketing and selling of any prescription drug must comply with the Canadian FDA, including by ensuring that the Company’s products are not packaged or marketed in a manner that is misleading or deceptive to a consumer.</w:t>
      </w:r>
    </w:p>
    <w:p>
      <w:pPr>
        <w:spacing w:after="0" w:line="164"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7"/>
          <w:szCs w:val="17"/>
          <w:color w:val="auto"/>
        </w:rPr>
        <w:t xml:space="preserve">In the United States, foods, drugs and dietary supplements are subject to extensive regulation. The </w:t>
      </w:r>
      <w:r>
        <w:rPr>
          <w:rFonts w:ascii="Arial" w:cs="Arial" w:eastAsia="Arial" w:hAnsi="Arial"/>
          <w:sz w:val="17"/>
          <w:szCs w:val="17"/>
          <w:i w:val="1"/>
          <w:iCs w:val="1"/>
          <w:color w:val="auto"/>
        </w:rPr>
        <w:t>Federal Food, Drug, and Cosmetic Act</w:t>
      </w:r>
      <w:r>
        <w:rPr>
          <w:rFonts w:ascii="Arial" w:cs="Arial" w:eastAsia="Arial" w:hAnsi="Arial"/>
          <w:sz w:val="17"/>
          <w:szCs w:val="17"/>
          <w:color w:val="auto"/>
        </w:rPr>
        <w:t xml:space="preserve"> (the “</w:t>
      </w:r>
      <w:r>
        <w:rPr>
          <w:rFonts w:ascii="Arial" w:cs="Arial" w:eastAsia="Arial" w:hAnsi="Arial"/>
          <w:sz w:val="17"/>
          <w:szCs w:val="17"/>
          <w:b w:val="1"/>
          <w:bCs w:val="1"/>
          <w:color w:val="auto"/>
        </w:rPr>
        <w:t>FFDCA</w:t>
      </w:r>
      <w:r>
        <w:rPr>
          <w:rFonts w:ascii="Arial" w:cs="Arial" w:eastAsia="Arial" w:hAnsi="Arial"/>
          <w:sz w:val="17"/>
          <w:szCs w:val="17"/>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Non-Revenue Generating Projects</w:t>
      </w:r>
      <w:r>
        <w:rPr>
          <w:rFonts w:ascii="Arial" w:cs="Arial" w:eastAsia="Arial" w:hAnsi="Arial"/>
          <w:sz w:val="23"/>
          <w:szCs w:val="23"/>
          <w:b w:val="1"/>
          <w:bCs w:val="1"/>
          <w:i w:val="1"/>
          <w:iCs w:val="1"/>
          <w:color w:val="auto"/>
          <w:vertAlign w:val="superscript"/>
        </w:rPr>
        <w:t>7</w:t>
      </w:r>
    </w:p>
    <w:p>
      <w:pPr>
        <w:spacing w:after="0" w:line="139"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Company currently has four significant projects, which have not yet generated revenue:</w:t>
      </w:r>
    </w:p>
    <w:p>
      <w:pPr>
        <w:spacing w:after="0" w:line="197" w:lineRule="exact"/>
        <w:rPr>
          <w:sz w:val="20"/>
          <w:szCs w:val="20"/>
          <w:color w:val="auto"/>
        </w:rPr>
      </w:pPr>
    </w:p>
    <w:p>
      <w:pPr>
        <w:ind w:left="602" w:hanging="309"/>
        <w:spacing w:after="0"/>
        <w:tabs>
          <w:tab w:leader="none" w:pos="6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Deuterated Psilocybin Analog Program</w:t>
      </w:r>
    </w:p>
    <w:p>
      <w:pPr>
        <w:spacing w:after="0" w:line="16" w:lineRule="exact"/>
        <w:rPr>
          <w:rFonts w:ascii="Arial" w:cs="Arial" w:eastAsia="Arial" w:hAnsi="Arial"/>
          <w:sz w:val="18"/>
          <w:szCs w:val="18"/>
          <w:color w:val="auto"/>
        </w:rPr>
      </w:pPr>
    </w:p>
    <w:p>
      <w:pPr>
        <w:ind w:left="582" w:hanging="289"/>
        <w:spacing w:after="0"/>
        <w:tabs>
          <w:tab w:leader="none" w:pos="5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Deuterated Tryptamines Preclinical Programs</w:t>
      </w:r>
    </w:p>
    <w:p>
      <w:pPr>
        <w:ind w:left="602" w:hanging="309"/>
        <w:spacing w:after="0"/>
        <w:tabs>
          <w:tab w:leader="none" w:pos="6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Phenethylamine Preclinical Program</w:t>
      </w:r>
    </w:p>
    <w:p>
      <w:pPr>
        <w:ind w:left="582" w:hanging="289"/>
        <w:spacing w:after="0"/>
        <w:tabs>
          <w:tab w:leader="none" w:pos="5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Technology Programs</w:t>
      </w:r>
    </w:p>
    <w:p>
      <w:pPr>
        <w:spacing w:after="0" w:line="181" w:lineRule="exact"/>
        <w:rPr>
          <w:sz w:val="20"/>
          <w:szCs w:val="20"/>
          <w:color w:val="auto"/>
        </w:rPr>
      </w:pPr>
    </w:p>
    <w:p>
      <w:pPr>
        <w:jc w:val="both"/>
        <w:ind w:left="2" w:right="20"/>
        <w:spacing w:after="0" w:line="249" w:lineRule="auto"/>
        <w:rPr>
          <w:sz w:val="20"/>
          <w:szCs w:val="20"/>
          <w:color w:val="auto"/>
        </w:rPr>
      </w:pPr>
      <w:r>
        <w:rPr>
          <w:rFonts w:ascii="Arial" w:cs="Arial" w:eastAsia="Arial" w:hAnsi="Arial"/>
          <w:sz w:val="18"/>
          <w:szCs w:val="18"/>
          <w:color w:val="auto"/>
        </w:rPr>
        <w:t>The Company previously had a fifth project, the Nutraceutical Product Program; however, subsequent to quarter end, the Company concluded that it would no longer be progressing with this program in order to prioritize its progression of psychedelic molecules. In addition, the Company has merged its Psilocybin Program with its CYB003 Deuterated Tryptamine Pre-clinical Program and will be prioritizing the progression of the a. Deuterated Psilocybin Analog Program going forward, as it has been identified as a superior molecule.</w:t>
      </w:r>
    </w:p>
    <w:p>
      <w:pPr>
        <w:spacing w:after="0" w:line="184" w:lineRule="exact"/>
        <w:rPr>
          <w:sz w:val="20"/>
          <w:szCs w:val="20"/>
          <w:color w:val="auto"/>
        </w:rPr>
      </w:pPr>
    </w:p>
    <w:p>
      <w:pPr>
        <w:jc w:val="both"/>
        <w:ind w:left="2"/>
        <w:spacing w:after="0" w:line="229" w:lineRule="auto"/>
        <w:rPr>
          <w:sz w:val="20"/>
          <w:szCs w:val="20"/>
          <w:color w:val="auto"/>
        </w:rPr>
      </w:pPr>
      <w:r>
        <w:rPr>
          <w:rFonts w:ascii="Arial" w:cs="Arial" w:eastAsia="Arial" w:hAnsi="Arial"/>
          <w:sz w:val="17"/>
          <w:szCs w:val="17"/>
          <w:color w:val="auto"/>
        </w:rPr>
        <w:t>To support the programs listed above, the Company developed EMBARK</w:t>
      </w:r>
      <w:r>
        <w:rPr>
          <w:rFonts w:ascii="Arial" w:cs="Arial" w:eastAsia="Arial" w:hAnsi="Arial"/>
          <w:sz w:val="24"/>
          <w:szCs w:val="24"/>
          <w:color w:val="auto"/>
          <w:vertAlign w:val="superscript"/>
        </w:rPr>
        <w:t>TM</w:t>
      </w:r>
      <w:r>
        <w:rPr>
          <w:rFonts w:ascii="Arial" w:cs="Arial" w:eastAsia="Arial" w:hAnsi="Arial"/>
          <w:sz w:val="17"/>
          <w:szCs w:val="17"/>
          <w:color w:val="auto"/>
        </w:rPr>
        <w:t>, a psychotherapy model that integrates leading clinical approaches to promote supportive healing with psychedelic medicine. EMBARK</w:t>
      </w:r>
      <w:r>
        <w:rPr>
          <w:rFonts w:ascii="Arial" w:cs="Arial" w:eastAsia="Arial" w:hAnsi="Arial"/>
          <w:sz w:val="24"/>
          <w:szCs w:val="24"/>
          <w:color w:val="auto"/>
          <w:vertAlign w:val="superscript"/>
        </w:rPr>
        <w:t>TM</w:t>
      </w:r>
      <w:r>
        <w:rPr>
          <w:rFonts w:ascii="Arial" w:cs="Arial" w:eastAsia="Arial" w:hAnsi="Arial"/>
          <w:sz w:val="17"/>
          <w:szCs w:val="17"/>
          <w:color w:val="auto"/>
        </w:rPr>
        <w:t>’s six clinical domains (</w:t>
      </w:r>
      <w:r>
        <w:rPr>
          <w:rFonts w:ascii="Arial" w:cs="Arial" w:eastAsia="Arial" w:hAnsi="Arial"/>
          <w:sz w:val="17"/>
          <w:szCs w:val="17"/>
          <w:b w:val="1"/>
          <w:bCs w:val="1"/>
          <w:color w:val="auto"/>
        </w:rPr>
        <w:t>E</w:t>
      </w:r>
      <w:r>
        <w:rPr>
          <w:rFonts w:ascii="Arial" w:cs="Arial" w:eastAsia="Arial" w:hAnsi="Arial"/>
          <w:sz w:val="17"/>
          <w:szCs w:val="17"/>
          <w:color w:val="auto"/>
        </w:rPr>
        <w:t xml:space="preserve">xistential-Spiritual, </w:t>
      </w:r>
      <w:r>
        <w:rPr>
          <w:rFonts w:ascii="Arial" w:cs="Arial" w:eastAsia="Arial" w:hAnsi="Arial"/>
          <w:sz w:val="17"/>
          <w:szCs w:val="17"/>
          <w:b w:val="1"/>
          <w:bCs w:val="1"/>
          <w:color w:val="auto"/>
        </w:rPr>
        <w:t>M</w:t>
      </w:r>
      <w:r>
        <w:rPr>
          <w:rFonts w:ascii="Arial" w:cs="Arial" w:eastAsia="Arial" w:hAnsi="Arial"/>
          <w:sz w:val="17"/>
          <w:szCs w:val="17"/>
          <w:color w:val="auto"/>
        </w:rPr>
        <w:t xml:space="preserve">indfulness, </w:t>
      </w:r>
      <w:r>
        <w:rPr>
          <w:rFonts w:ascii="Arial" w:cs="Arial" w:eastAsia="Arial" w:hAnsi="Arial"/>
          <w:sz w:val="17"/>
          <w:szCs w:val="17"/>
          <w:b w:val="1"/>
          <w:bCs w:val="1"/>
          <w:color w:val="auto"/>
        </w:rPr>
        <w:t>B</w:t>
      </w:r>
      <w:r>
        <w:rPr>
          <w:rFonts w:ascii="Arial" w:cs="Arial" w:eastAsia="Arial" w:hAnsi="Arial"/>
          <w:sz w:val="17"/>
          <w:szCs w:val="17"/>
          <w:color w:val="auto"/>
        </w:rPr>
        <w:t xml:space="preserve">ody Aware, </w:t>
      </w:r>
      <w:r>
        <w:rPr>
          <w:rFonts w:ascii="Arial" w:cs="Arial" w:eastAsia="Arial" w:hAnsi="Arial"/>
          <w:sz w:val="17"/>
          <w:szCs w:val="17"/>
          <w:b w:val="1"/>
          <w:bCs w:val="1"/>
          <w:color w:val="auto"/>
        </w:rPr>
        <w:t>A</w:t>
      </w:r>
      <w:r>
        <w:rPr>
          <w:rFonts w:ascii="Arial" w:cs="Arial" w:eastAsia="Arial" w:hAnsi="Arial"/>
          <w:sz w:val="17"/>
          <w:szCs w:val="17"/>
          <w:color w:val="auto"/>
        </w:rPr>
        <w:t xml:space="preserve">ffective-Cognitive, </w:t>
      </w:r>
      <w:r>
        <w:rPr>
          <w:rFonts w:ascii="Arial" w:cs="Arial" w:eastAsia="Arial" w:hAnsi="Arial"/>
          <w:sz w:val="17"/>
          <w:szCs w:val="17"/>
          <w:b w:val="1"/>
          <w:bCs w:val="1"/>
          <w:color w:val="auto"/>
        </w:rPr>
        <w:t>R</w:t>
      </w:r>
      <w:r>
        <w:rPr>
          <w:rFonts w:ascii="Arial" w:cs="Arial" w:eastAsia="Arial" w:hAnsi="Arial"/>
          <w:sz w:val="17"/>
          <w:szCs w:val="17"/>
          <w:color w:val="auto"/>
        </w:rPr>
        <w:t>elational,</w:t>
      </w:r>
      <w:r>
        <w:rPr>
          <w:rFonts w:ascii="Arial" w:cs="Arial" w:eastAsia="Arial" w:hAnsi="Arial"/>
          <w:sz w:val="17"/>
          <w:szCs w:val="17"/>
          <w:b w:val="1"/>
          <w:bCs w:val="1"/>
          <w:color w:val="auto"/>
        </w:rPr>
        <w:t xml:space="preserve"> K</w:t>
      </w:r>
      <w:r>
        <w:rPr>
          <w:rFonts w:ascii="Arial" w:cs="Arial" w:eastAsia="Arial" w:hAnsi="Arial"/>
          <w:sz w:val="17"/>
          <w:szCs w:val="17"/>
          <w:color w:val="auto"/>
        </w:rPr>
        <w:t>eeping Momentum) represent the broad spectrum of ways in which therapeutic benefits may arise in psychedelic treatment and the equally</w:t>
      </w:r>
      <w:r>
        <w:rPr>
          <w:rFonts w:ascii="Arial" w:cs="Arial" w:eastAsia="Arial" w:hAnsi="Arial"/>
          <w:sz w:val="17"/>
          <w:szCs w:val="17"/>
          <w:b w:val="1"/>
          <w:bCs w:val="1"/>
          <w:color w:val="auto"/>
        </w:rPr>
        <w:t xml:space="preserve"> </w:t>
      </w:r>
      <w:r>
        <w:rPr>
          <w:rFonts w:ascii="Arial" w:cs="Arial" w:eastAsia="Arial" w:hAnsi="Arial"/>
          <w:sz w:val="17"/>
          <w:szCs w:val="17"/>
          <w:color w:val="auto"/>
        </w:rPr>
        <w:t>broad training needed to prepare therapists to support them all. The Company has launched its EMBARK training program,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15532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 w:right="20" w:hanging="2"/>
        <w:spacing w:after="0" w:line="214" w:lineRule="auto"/>
        <w:tabs>
          <w:tab w:leader="none" w:pos="96"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1" w:lineRule="exact"/>
        <w:rPr>
          <w:rFonts w:ascii="Arial" w:cs="Arial" w:eastAsia="Arial" w:hAnsi="Arial"/>
          <w:sz w:val="21"/>
          <w:szCs w:val="21"/>
          <w:color w:val="auto"/>
          <w:vertAlign w:val="superscript"/>
        </w:rPr>
      </w:pPr>
    </w:p>
    <w:p>
      <w:pPr>
        <w:ind w:left="2"/>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7</w:t>
      </w:r>
      <w:r>
        <w:rPr>
          <w:rFonts w:ascii="Arial" w:cs="Arial" w:eastAsia="Arial" w:hAnsi="Arial"/>
          <w:sz w:val="15"/>
          <w:szCs w:val="15"/>
          <w:color w:val="auto"/>
        </w:rPr>
        <w:t xml:space="preserve"> All quarter references in this section are based on calendar year-end.</w:t>
      </w:r>
    </w:p>
    <w:p>
      <w:pPr>
        <w:spacing w:after="0" w:line="200" w:lineRule="exact"/>
        <w:rPr>
          <w:sz w:val="20"/>
          <w:szCs w:val="20"/>
          <w:color w:val="auto"/>
        </w:rPr>
      </w:pPr>
    </w:p>
    <w:p>
      <w:pPr>
        <w:spacing w:after="0" w:line="305"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2"/>
          </w:cols>
          <w:pgMar w:left="318" w:top="710"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Deuterated Psilocybin Analog Program (formerly the Psilocybin Program)</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Psilocybin was the Company's first drug program in development. The Company’s sublingual film formulation of psilocybin is a synthetic psychedelic molecular formulation, the activity for which is in part based upon classical serotonin 2A psychedelic activity. A provisional patent has been filed covering the sublingual delivery of psilocybin.</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Studies of psilocybin efficacy in depressive states published by Johns Hopkins University demonstrate promising potential efficacy of psilocybin and, therefore, of the Company’s novel formulation. The Company has contracted with IntelGenx (as defined below) to undertake the development of a sublingual film formulation of psilocybin. To date, an array of drug formulation candidates have been created and the Company continues to pursue the optimization of certain characteristics of these formulations including, but not limited to, composition, membrane permeation and stability.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Company has spent approximately $1,717 on formulation development.</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While oral psilocybin has been demonstrated to be efficacious the Company did recognize the challenges and limitations of the molecule and worked on ways to address them, by simultaneously looking at the formulation in two programs and then the molecule itself in another. In light of compelling data regarding the Company’s novel oral psilocybin analog molecule (CYB003), the Company has determined that it would be leveraging the data obtained through the psilocybin program to advance its newly defined Deuterated Psilocybin Analog Program. The Deuterated Psilocybin Analog Program will merge both the MDD and AUD indications into a single program. The Company has determined that this merger of programs would be the most efficient and cost-effective way for the Company to move forward. The Company will be prioritizing the progression of the deuterated psilocybin analog at this time, as this has been demonstrated to be the superior molecule. It will continue to advance on the previous disclosed psilocybin milestones, in the U.S. and the UK, as it deems them necessary to bring psychedelics to therapeutics.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While oral psilocybin has been demonstrated to be efficacious, the Company did recognize the challenges and limitations of the molecule and worked on ways to address them by simultaneously looking at the formulation in two programs and then the molecule itself in another. In light of compelling data regarding the Company’s novel oral psilocybin analog molecule (CYB003), the Company has determined that it would be leveraging the data obtained through the Psilocybin Program to advance its newly defined Deuterated Psilocybin Analog Program. The Deuterated Psilocybin Analog Program will merge both the MDD and AUD indication into a single program. The Company has determined that this merger of programs would be the most efficient and cost-effective way for the Company to move forward. The Company will be prioritizing the progression of the Deuterated Psilocybin Analog Program, as this has been demonstrated to be the superior molecule. The Company will continue to advance on the previous disclosed psilocybin milestones, in the U.S. and the UK, as it deems them necessary to bring psychedelics to therapeutics.</w:t>
      </w:r>
    </w:p>
    <w:p>
      <w:pPr>
        <w:spacing w:after="0" w:line="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Company intends to complete the pre-clinical studies and the Chemistry, Manufacturing and Control ("CMC") development, including the production of clinical materials, in Q1 2022. Subsequent to the completion of the pre-clinical studies and the CMC development, the Company intends to file an IND and clinical trial application ("CTA") with the US FDA and the UK Medicines and Healthcare products Regulatory Agency (the “MHRA”), respectively, in Q2 2022. There is no assurance that these timelines will be met or that these preclinical drug candidates will advance to clinical trials at all.</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Due to the new Deuterated Psilocybin Analog Program, the Company no longer anticipates to conduct any business activities in Jamaica. The Company intends to complete future clinical trials in the U.S. and the UK.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Deuterated Tryptamines Preclinical Programs</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Pursuant to the acquisition of Adelia, the Company acquired preclinical deuterated tryptamines programs. To date, the Company has undertaken sufficient work to enable selection of two deuterated tryptamine candidates and has scaled up production processes to optimize and maximize yields and ensure the drug candidates meet the required purity levels. In vitro proof of principal in animal models has been completed to ensure selection of molecules with optimal anticipated pharmacokinetics best suited for future phase I clinical trials.</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the Company was previously focusing on two deuterated tryptamine candidates, CYB003 and CYB004, this program is now focused on one candidate, CYB004. The Company has a newly defined program, the Deuterated Psilocybin Analog Program, which merges the initiatives of the Psilocybin Program and the CYB003 into one single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10" w:right="339" w:bottom="1440" w:gutter="0" w:footer="0" w:header="0"/>
        </w:sectPr>
      </w:pPr>
    </w:p>
    <w:bookmarkStart w:id="36" w:name="page37"/>
    <w:bookmarkEnd w:id="36"/>
    <w:p>
      <w:pPr>
        <w:jc w:val="both"/>
        <w:ind w:left="2" w:right="20"/>
        <w:spacing w:after="0" w:line="267" w:lineRule="auto"/>
        <w:rPr>
          <w:sz w:val="20"/>
          <w:szCs w:val="20"/>
          <w:color w:val="auto"/>
        </w:rPr>
      </w:pPr>
      <w:r>
        <w:rPr>
          <w:rFonts w:ascii="Arial" w:cs="Arial" w:eastAsia="Arial" w:hAnsi="Arial"/>
          <w:sz w:val="18"/>
          <w:szCs w:val="18"/>
          <w:color w:val="auto"/>
        </w:rPr>
        <w:t>program (Deuterated Psilocybin Analog Program). The work performed to date related to CYB003 in this program has been instrumental in defining the new program, as described above.</w:t>
      </w:r>
    </w:p>
    <w:p>
      <w:pPr>
        <w:spacing w:after="0" w:line="175" w:lineRule="exact"/>
        <w:rPr>
          <w:sz w:val="20"/>
          <w:szCs w:val="20"/>
          <w:color w:val="auto"/>
        </w:rPr>
      </w:pPr>
    </w:p>
    <w:p>
      <w:pPr>
        <w:jc w:val="both"/>
        <w:ind w:left="2" w:right="20"/>
        <w:spacing w:after="0" w:line="263" w:lineRule="auto"/>
        <w:rPr>
          <w:sz w:val="20"/>
          <w:szCs w:val="20"/>
          <w:color w:val="auto"/>
        </w:rPr>
      </w:pPr>
      <w:r>
        <w:rPr>
          <w:rFonts w:ascii="Arial" w:cs="Arial" w:eastAsia="Arial" w:hAnsi="Arial"/>
          <w:sz w:val="16"/>
          <w:szCs w:val="16"/>
          <w:color w:val="auto"/>
        </w:rPr>
        <w:t>The Company anticipates that its CYB004 candidate may enter phase I clinical trials by the end of Q2 2022, updated from the prior estimate of Q1 2022, but there is no assurance that these timelines will be met or that these preclinical drug candidates will advance to clinical trials at all.</w:t>
      </w:r>
      <w:r>
        <w:rPr>
          <w:rFonts w:ascii="Arial" w:cs="Arial" w:eastAsia="Arial" w:hAnsi="Arial"/>
          <w:sz w:val="21"/>
          <w:szCs w:val="21"/>
          <w:color w:val="auto"/>
          <w:vertAlign w:val="superscript"/>
        </w:rPr>
        <w:t>8</w:t>
      </w:r>
      <w:r>
        <w:rPr>
          <w:rFonts w:ascii="Arial" w:cs="Arial" w:eastAsia="Arial" w:hAnsi="Arial"/>
          <w:sz w:val="16"/>
          <w:szCs w:val="16"/>
          <w:color w:val="auto"/>
        </w:rPr>
        <w:t xml:space="preserve"> The Company has started research on N, N-dimethyltryptamine (“</w:t>
      </w:r>
      <w:r>
        <w:rPr>
          <w:rFonts w:ascii="Arial" w:cs="Arial" w:eastAsia="Arial" w:hAnsi="Arial"/>
          <w:sz w:val="16"/>
          <w:szCs w:val="16"/>
          <w:b w:val="1"/>
          <w:bCs w:val="1"/>
          <w:color w:val="auto"/>
        </w:rPr>
        <w:t>DMT</w:t>
      </w:r>
      <w:r>
        <w:rPr>
          <w:rFonts w:ascii="Arial" w:cs="Arial" w:eastAsia="Arial" w:hAnsi="Arial"/>
          <w:sz w:val="16"/>
          <w:szCs w:val="16"/>
          <w:color w:val="auto"/>
        </w:rPr>
        <w:t>”) like molecules and research is ongoing to identify the best development candidate.</w:t>
      </w:r>
    </w:p>
    <w:p>
      <w:pPr>
        <w:spacing w:after="0" w:line="188"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As of September 30, 2021, the Company has spent approximately $2,750 on deuterated tryptamines. of which $1,808 is related to the progression of CYB003.</w:t>
      </w:r>
    </w:p>
    <w:p>
      <w:pPr>
        <w:spacing w:after="0" w:line="151"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Since the date of the AIF, the Company continued to advance its deuterated tryptamine preclinical program as described herein, including with the following progress:</w:t>
      </w:r>
    </w:p>
    <w:p>
      <w:pPr>
        <w:spacing w:after="0" w:line="151" w:lineRule="exact"/>
        <w:rPr>
          <w:sz w:val="20"/>
          <w:szCs w:val="20"/>
          <w:color w:val="auto"/>
        </w:rPr>
      </w:pPr>
    </w:p>
    <w:p>
      <w:pPr>
        <w:ind w:left="582" w:hanging="289"/>
        <w:spacing w:after="0"/>
        <w:tabs>
          <w:tab w:leader="none" w:pos="5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completed additional pre-clinical studies on its CYB003 and CYB004 proprietary psychedelic molecules;</w:t>
      </w:r>
    </w:p>
    <w:p>
      <w:pPr>
        <w:spacing w:after="0" w:line="16" w:lineRule="exact"/>
        <w:rPr>
          <w:rFonts w:ascii="Arial" w:cs="Arial" w:eastAsia="Arial" w:hAnsi="Arial"/>
          <w:sz w:val="18"/>
          <w:szCs w:val="18"/>
          <w:color w:val="auto"/>
        </w:rPr>
      </w:pPr>
    </w:p>
    <w:p>
      <w:pPr>
        <w:ind w:left="582" w:hanging="289"/>
        <w:spacing w:after="0"/>
        <w:tabs>
          <w:tab w:leader="none" w:pos="5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completed Zydis feasibility studies with Catalent, Inc. (“Catalent”) for its fast-dissolve formulation of novel deuterated tryptamine (CYB003); and</w:t>
      </w:r>
    </w:p>
    <w:p>
      <w:pPr>
        <w:spacing w:after="0" w:line="23" w:lineRule="exact"/>
        <w:rPr>
          <w:rFonts w:ascii="Arial" w:cs="Arial" w:eastAsia="Arial" w:hAnsi="Arial"/>
          <w:sz w:val="16"/>
          <w:szCs w:val="16"/>
          <w:color w:val="auto"/>
        </w:rPr>
      </w:pPr>
    </w:p>
    <w:p>
      <w:pPr>
        <w:ind w:left="582" w:right="20" w:hanging="289"/>
        <w:spacing w:after="0" w:line="248" w:lineRule="auto"/>
        <w:tabs>
          <w:tab w:leader="none" w:pos="5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transitioned its work on CYB003 into a new program; the Deuterated Psilocybin Analog Program, which will include both the AUD and MDD indications (refer to Deuterated Psilocybin Analog Program section above for further details).</w:t>
      </w:r>
    </w:p>
    <w:p>
      <w:pPr>
        <w:spacing w:after="0" w:line="192"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Phenethylamine Preclinical Program</w:t>
      </w:r>
    </w:p>
    <w:p>
      <w:pPr>
        <w:spacing w:after="0" w:line="197" w:lineRule="exact"/>
        <w:rPr>
          <w:sz w:val="20"/>
          <w:szCs w:val="20"/>
          <w:color w:val="auto"/>
        </w:rPr>
      </w:pPr>
    </w:p>
    <w:p>
      <w:pPr>
        <w:jc w:val="both"/>
        <w:ind w:left="2" w:right="20"/>
        <w:spacing w:after="0" w:line="251" w:lineRule="auto"/>
        <w:rPr>
          <w:sz w:val="20"/>
          <w:szCs w:val="20"/>
          <w:color w:val="auto"/>
        </w:rPr>
      </w:pPr>
      <w:r>
        <w:rPr>
          <w:rFonts w:ascii="Arial" w:cs="Arial" w:eastAsia="Arial" w:hAnsi="Arial"/>
          <w:sz w:val="18"/>
          <w:szCs w:val="18"/>
          <w:color w:val="auto"/>
        </w:rPr>
        <w:t>Pursuant to the acquisition of Adelia, the Company acquired a preclinical phenethylamine program. Work on the synthesis and optimization of these molecules has only recently begun at a third-party vendor. The Company anticipates that its phenethylamine program may deliver a drug candidate suitable for entry into phase I clinical studies by the end of calendar 2022 or early calendar 2023, updated from the prior estimate of late calendar 2021 to early calendar 2022 due to certain research and development delays, but there is no assurance that these timelines will be met or that a preclinical drug candidate will advance to clinical trials at all.</w:t>
      </w:r>
      <w:r>
        <w:rPr>
          <w:rFonts w:ascii="Arial" w:cs="Arial" w:eastAsia="Arial" w:hAnsi="Arial"/>
          <w:sz w:val="23"/>
          <w:szCs w:val="23"/>
          <w:color w:val="auto"/>
          <w:vertAlign w:val="superscript"/>
        </w:rPr>
        <w:t>9</w:t>
      </w:r>
    </w:p>
    <w:p>
      <w:pPr>
        <w:spacing w:after="0" w:line="93" w:lineRule="exact"/>
        <w:rPr>
          <w:sz w:val="20"/>
          <w:szCs w:val="20"/>
          <w:color w:val="auto"/>
        </w:rPr>
      </w:pPr>
    </w:p>
    <w:p>
      <w:pPr>
        <w:ind w:left="2"/>
        <w:spacing w:after="0"/>
        <w:rPr>
          <w:sz w:val="20"/>
          <w:szCs w:val="20"/>
          <w:color w:val="auto"/>
        </w:rPr>
      </w:pPr>
      <w:r>
        <w:rPr>
          <w:rFonts w:ascii="Arial" w:cs="Arial" w:eastAsia="Arial" w:hAnsi="Arial"/>
          <w:sz w:val="18"/>
          <w:szCs w:val="18"/>
          <w:color w:val="auto"/>
        </w:rPr>
        <w:t>As of September 30, 2021, the Company has spent approximately $441 on preclinical phenethylamines.</w:t>
      </w:r>
    </w:p>
    <w:p>
      <w:pPr>
        <w:spacing w:after="0" w:line="197" w:lineRule="exact"/>
        <w:rPr>
          <w:sz w:val="20"/>
          <w:szCs w:val="20"/>
          <w:color w:val="auto"/>
        </w:rPr>
      </w:pPr>
    </w:p>
    <w:p>
      <w:pPr>
        <w:jc w:val="both"/>
        <w:ind w:left="2" w:right="20"/>
        <w:spacing w:after="0" w:line="291" w:lineRule="auto"/>
        <w:rPr>
          <w:sz w:val="20"/>
          <w:szCs w:val="20"/>
          <w:color w:val="auto"/>
        </w:rPr>
      </w:pPr>
      <w:r>
        <w:rPr>
          <w:rFonts w:ascii="Arial" w:cs="Arial" w:eastAsia="Arial" w:hAnsi="Arial"/>
          <w:sz w:val="16"/>
          <w:szCs w:val="16"/>
          <w:color w:val="auto"/>
        </w:rPr>
        <w:t>Since the date of the AIF, the Company has continued its work on its synthesis and optimization of phenethylamines. Multiple phenethlyamines have been shown to have psychedelic properties and several such as MDMA have shown great promise as therapeutics. Cybin’s proprietary approach to phenethlyamine modification with deuterium substitution, proprietary formulations and directed delivery systems has yielded a number of novel leads with significant therapeutic potential. Several compounds are now being further studied both in vitro and in vivo for selection of the best development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15532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34" w:lineRule="exact"/>
        <w:rPr>
          <w:sz w:val="20"/>
          <w:szCs w:val="20"/>
          <w:color w:val="auto"/>
        </w:rPr>
      </w:pPr>
    </w:p>
    <w:p>
      <w:pPr>
        <w:jc w:val="both"/>
        <w:ind w:left="2" w:right="20" w:hanging="2"/>
        <w:spacing w:after="0" w:line="265" w:lineRule="auto"/>
        <w:tabs>
          <w:tab w:leader="none" w:pos="96" w:val="left"/>
        </w:tabs>
        <w:numPr>
          <w:ilvl w:val="0"/>
          <w:numId w:val="29"/>
        </w:numPr>
        <w:rPr>
          <w:rFonts w:ascii="Arial" w:cs="Arial" w:eastAsia="Arial" w:hAnsi="Arial"/>
          <w:sz w:val="19"/>
          <w:szCs w:val="19"/>
          <w:color w:val="auto"/>
          <w:vertAlign w:val="superscript"/>
        </w:rPr>
      </w:pPr>
      <w:r>
        <w:rPr>
          <w:rFonts w:ascii="Arial" w:cs="Arial" w:eastAsia="Arial" w:hAnsi="Arial"/>
          <w:sz w:val="13"/>
          <w:szCs w:val="13"/>
          <w:color w:val="auto"/>
        </w:rPr>
        <w:t>This statement is based on the following material factors and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(b) the Company assumes it will enter into agreements with certain third party vendors to complete a range of additional preclinical programs before the final selection of drug candidates for entry into human trials; and (c) obtain an IND and/or a CTA to enter into clinical trials.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jc w:val="both"/>
        <w:ind w:left="2"/>
        <w:spacing w:after="0" w:line="247" w:lineRule="auto"/>
        <w:rPr>
          <w:rFonts w:ascii="Arial" w:cs="Arial" w:eastAsia="Arial" w:hAnsi="Arial"/>
          <w:sz w:val="19"/>
          <w:szCs w:val="19"/>
          <w:color w:val="auto"/>
          <w:vertAlign w:val="superscript"/>
        </w:rPr>
      </w:pPr>
      <w:r>
        <w:rPr>
          <w:rFonts w:ascii="Arial" w:cs="Arial" w:eastAsia="Arial" w:hAnsi="Arial"/>
          <w:sz w:val="20"/>
          <w:szCs w:val="20"/>
          <w:color w:val="auto"/>
          <w:vertAlign w:val="superscript"/>
        </w:rPr>
        <w:t>9</w:t>
      </w:r>
      <w:r>
        <w:rPr>
          <w:rFonts w:ascii="Arial" w:cs="Arial" w:eastAsia="Arial" w:hAnsi="Arial"/>
          <w:sz w:val="14"/>
          <w:szCs w:val="14"/>
          <w:color w:val="auto"/>
        </w:rPr>
        <w:t xml:space="preserve"> 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Absorption, Distribution, Metabolism, and Excretion (“</w:t>
      </w:r>
      <w:r>
        <w:rPr>
          <w:rFonts w:ascii="Arial" w:cs="Arial" w:eastAsia="Arial" w:hAnsi="Arial"/>
          <w:sz w:val="14"/>
          <w:szCs w:val="14"/>
          <w:b w:val="1"/>
          <w:bCs w:val="1"/>
          <w:color w:val="auto"/>
        </w:rPr>
        <w:t>ADME</w:t>
      </w:r>
      <w:r>
        <w:rPr>
          <w:rFonts w:ascii="Arial" w:cs="Arial" w:eastAsia="Arial" w:hAnsi="Arial"/>
          <w:sz w:val="14"/>
          <w:szCs w:val="14"/>
          <w:color w:val="auto"/>
        </w:rPr>
        <w:t>”)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34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2"/>
          </w:cols>
          <w:pgMar w:left="318" w:top="710" w:right="319" w:bottom="1440" w:gutter="0" w:footer="0" w:header="0"/>
        </w:sectPr>
      </w:pPr>
    </w:p>
    <w:bookmarkStart w:id="37" w:name="page38"/>
    <w:bookmarkEnd w:id="37"/>
    <w:p>
      <w:pPr>
        <w:ind w:left="2"/>
        <w:spacing w:after="0"/>
        <w:rPr>
          <w:sz w:val="20"/>
          <w:szCs w:val="20"/>
          <w:color w:val="auto"/>
        </w:rPr>
      </w:pPr>
      <w:r>
        <w:rPr>
          <w:rFonts w:ascii="Arial" w:cs="Arial" w:eastAsia="Arial" w:hAnsi="Arial"/>
          <w:sz w:val="18"/>
          <w:szCs w:val="18"/>
          <w:u w:val="single" w:color="auto"/>
          <w:color w:val="auto"/>
        </w:rPr>
        <w:t>Technology Programs</w:t>
      </w:r>
    </w:p>
    <w:p>
      <w:pPr>
        <w:spacing w:after="0" w:line="197"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The Company was previously working on a number of fronts to establish an e-Commerce platform to support the education, sales and marketing of potential consumer and prescription mental wellness products, including but not limited to its line of nutraceutical products. However, due to the fact that the Company has made the decision to no longer pursue the Product Line, this initiative has been cancelled.</w:t>
      </w:r>
    </w:p>
    <w:p>
      <w:pPr>
        <w:spacing w:after="0" w:line="158" w:lineRule="exact"/>
        <w:rPr>
          <w:sz w:val="20"/>
          <w:szCs w:val="20"/>
          <w:color w:val="auto"/>
        </w:rPr>
      </w:pPr>
    </w:p>
    <w:p>
      <w:pPr>
        <w:jc w:val="both"/>
        <w:ind w:left="2"/>
        <w:spacing w:after="0" w:line="251" w:lineRule="auto"/>
        <w:rPr>
          <w:sz w:val="20"/>
          <w:szCs w:val="20"/>
          <w:color w:val="auto"/>
        </w:rPr>
      </w:pPr>
      <w:r>
        <w:rPr>
          <w:rFonts w:ascii="Arial" w:cs="Arial" w:eastAsia="Arial" w:hAnsi="Arial"/>
          <w:sz w:val="18"/>
          <w:szCs w:val="18"/>
          <w:color w:val="auto"/>
        </w:rPr>
        <w:t>The Company has begun work on the creation of a patient digital therapy platform (the “</w:t>
      </w:r>
      <w:r>
        <w:rPr>
          <w:rFonts w:ascii="Arial" w:cs="Arial" w:eastAsia="Arial" w:hAnsi="Arial"/>
          <w:sz w:val="18"/>
          <w:szCs w:val="18"/>
          <w:b w:val="1"/>
          <w:bCs w:val="1"/>
          <w:color w:val="auto"/>
        </w:rPr>
        <w:t>Digital Platform</w:t>
      </w:r>
      <w:r>
        <w:rPr>
          <w:rFonts w:ascii="Arial" w:cs="Arial" w:eastAsia="Arial" w:hAnsi="Arial"/>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 Activities have been undertaken to establish the design of a Minimum Viable Product and to identify the necessary key modules and components.</w:t>
      </w:r>
    </w:p>
    <w:p>
      <w:pPr>
        <w:spacing w:after="0" w:line="162" w:lineRule="exact"/>
        <w:rPr>
          <w:sz w:val="20"/>
          <w:szCs w:val="20"/>
          <w:color w:val="auto"/>
        </w:rPr>
      </w:pPr>
    </w:p>
    <w:p>
      <w:pPr>
        <w:jc w:val="both"/>
        <w:ind w:left="2"/>
        <w:spacing w:after="0" w:line="272" w:lineRule="auto"/>
        <w:rPr>
          <w:sz w:val="20"/>
          <w:szCs w:val="20"/>
          <w:color w:val="auto"/>
        </w:rPr>
      </w:pPr>
      <w:r>
        <w:rPr>
          <w:rFonts w:ascii="Arial" w:cs="Arial" w:eastAsia="Arial" w:hAnsi="Arial"/>
          <w:sz w:val="18"/>
          <w:szCs w:val="18"/>
          <w:color w:val="auto"/>
        </w:rPr>
        <w:t>On January 11, 2021, the Company announced that it has entered into an agreement with HI, LLC dba Kernel (“</w:t>
      </w:r>
      <w:r>
        <w:rPr>
          <w:rFonts w:ascii="Arial" w:cs="Arial" w:eastAsia="Arial" w:hAnsi="Arial"/>
          <w:sz w:val="18"/>
          <w:szCs w:val="18"/>
          <w:b w:val="1"/>
          <w:bCs w:val="1"/>
          <w:color w:val="auto"/>
        </w:rPr>
        <w:t>Kernel</w:t>
      </w:r>
      <w:r>
        <w:rPr>
          <w:rFonts w:ascii="Arial" w:cs="Arial" w:eastAsia="Arial" w:hAnsi="Arial"/>
          <w:sz w:val="18"/>
          <w:szCs w:val="18"/>
          <w:color w:val="auto"/>
        </w:rPr>
        <w:t>”) that will enable the Company to use Kernel Flow devices to potentially measure neural activity during psychedelic therapy.</w:t>
      </w:r>
    </w:p>
    <w:p>
      <w:pPr>
        <w:spacing w:after="0" w:line="146" w:lineRule="exact"/>
        <w:rPr>
          <w:sz w:val="20"/>
          <w:szCs w:val="20"/>
          <w:color w:val="auto"/>
        </w:rPr>
      </w:pPr>
    </w:p>
    <w:p>
      <w:pPr>
        <w:jc w:val="both"/>
        <w:ind w:left="2"/>
        <w:spacing w:after="0" w:line="263" w:lineRule="auto"/>
        <w:rPr>
          <w:sz w:val="20"/>
          <w:szCs w:val="20"/>
          <w:color w:val="auto"/>
        </w:rPr>
      </w:pPr>
      <w:r>
        <w:rPr>
          <w:rFonts w:ascii="Arial" w:cs="Arial" w:eastAsia="Arial" w:hAnsi="Arial"/>
          <w:sz w:val="16"/>
          <w:szCs w:val="16"/>
          <w:color w:val="auto"/>
        </w:rPr>
        <w:t>On June 1, 2021, the Company announced its sponsorship of Kernel’s feasibility study of its Kernel Flow technology to measure ketamine’s psychedelic effect on cerebral cortex hemodynamics.</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While the Company previously announced that delivery was expected in Q2 2021 and studies would commence in the second half of 2021, the Company has since decided to focus on sponsoring 3rd-party studies using the Kernel Flow technology in the near term.</w:t>
      </w:r>
    </w:p>
    <w:p>
      <w:pPr>
        <w:spacing w:after="0" w:line="152" w:lineRule="exact"/>
        <w:rPr>
          <w:sz w:val="20"/>
          <w:szCs w:val="20"/>
          <w:color w:val="auto"/>
        </w:rPr>
      </w:pPr>
    </w:p>
    <w:p>
      <w:pPr>
        <w:jc w:val="both"/>
        <w:ind w:left="2"/>
        <w:spacing w:after="0" w:line="236" w:lineRule="auto"/>
        <w:rPr>
          <w:sz w:val="20"/>
          <w:szCs w:val="20"/>
          <w:color w:val="auto"/>
        </w:rPr>
      </w:pPr>
      <w:r>
        <w:rPr>
          <w:rFonts w:ascii="Arial" w:cs="Arial" w:eastAsia="Arial" w:hAnsi="Arial"/>
          <w:sz w:val="18"/>
          <w:szCs w:val="18"/>
          <w:color w:val="auto"/>
        </w:rPr>
        <w:t>On July 13, 2021, the Company announced that it has commenced the next phase of the Company’s digital therapeutics platform which will better enable the evaluation of patient outcomes through a highly secure, patient-centered data analytics platform for better pre- and post-psychedelic treatments</w:t>
      </w:r>
      <w:r>
        <w:rPr>
          <w:rFonts w:ascii="Arial" w:cs="Arial" w:eastAsia="Arial" w:hAnsi="Arial"/>
          <w:sz w:val="23"/>
          <w:szCs w:val="23"/>
          <w:color w:val="auto"/>
          <w:vertAlign w:val="superscript"/>
        </w:rPr>
        <w:t>11</w:t>
      </w:r>
      <w:r>
        <w:rPr>
          <w:rFonts w:ascii="Arial" w:cs="Arial" w:eastAsia="Arial" w:hAnsi="Arial"/>
          <w:sz w:val="18"/>
          <w:szCs w:val="18"/>
          <w:color w:val="auto"/>
        </w:rPr>
        <w:t>. The digital therapeutics platform, which is proprietary to Cybin and the subject of the Company’s 13</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patent application, adds another dimension to the Company’s development programs</w:t>
      </w:r>
      <w:r>
        <w:rPr>
          <w:rFonts w:ascii="Arial" w:cs="Arial" w:eastAsia="Arial" w:hAnsi="Arial"/>
          <w:sz w:val="23"/>
          <w:szCs w:val="23"/>
          <w:color w:val="auto"/>
          <w:vertAlign w:val="superscript"/>
        </w:rPr>
        <w:t>12</w:t>
      </w:r>
      <w:r>
        <w:rPr>
          <w:rFonts w:ascii="Arial" w:cs="Arial" w:eastAsia="Arial" w:hAnsi="Arial"/>
          <w:sz w:val="18"/>
          <w:szCs w:val="18"/>
          <w:color w:val="auto"/>
        </w:rPr>
        <w:t>.</w:t>
      </w:r>
    </w:p>
    <w:p>
      <w:pPr>
        <w:spacing w:after="0" w:line="96" w:lineRule="exact"/>
        <w:rPr>
          <w:sz w:val="20"/>
          <w:szCs w:val="20"/>
          <w:color w:val="auto"/>
        </w:rPr>
      </w:pPr>
    </w:p>
    <w:p>
      <w:pPr>
        <w:jc w:val="both"/>
        <w:ind w:left="2"/>
        <w:spacing w:after="0" w:line="302" w:lineRule="auto"/>
        <w:rPr>
          <w:sz w:val="20"/>
          <w:szCs w:val="20"/>
          <w:color w:val="auto"/>
        </w:rPr>
      </w:pPr>
      <w:r>
        <w:rPr>
          <w:rFonts w:ascii="Arial" w:cs="Arial" w:eastAsia="Arial" w:hAnsi="Arial"/>
          <w:sz w:val="17"/>
          <w:szCs w:val="17"/>
          <w:color w:val="auto"/>
        </w:rPr>
        <w:t>On October 26, 2021, the Company announced that the FDA has authorized an Investigational New Drug (“</w:t>
      </w:r>
      <w:r>
        <w:rPr>
          <w:rFonts w:ascii="Arial" w:cs="Arial" w:eastAsia="Arial" w:hAnsi="Arial"/>
          <w:sz w:val="17"/>
          <w:szCs w:val="17"/>
          <w:b w:val="1"/>
          <w:bCs w:val="1"/>
          <w:color w:val="auto"/>
        </w:rPr>
        <w:t>IND</w:t>
      </w:r>
      <w:r>
        <w:rPr>
          <w:rFonts w:ascii="Arial" w:cs="Arial" w:eastAsia="Arial" w:hAnsi="Arial"/>
          <w:sz w:val="17"/>
          <w:szCs w:val="17"/>
          <w:color w:val="auto"/>
        </w:rPr>
        <w:t>”) application to proceed with the Company’s sponsored feasibility study using Kernel’s Flow technology to measure ketamine’s psychedelic effect on cerebral cortex hemodynamics.</w:t>
      </w:r>
    </w:p>
    <w:p>
      <w:pPr>
        <w:spacing w:after="0" w:line="148" w:lineRule="exact"/>
        <w:rPr>
          <w:sz w:val="20"/>
          <w:szCs w:val="20"/>
          <w:color w:val="auto"/>
        </w:rPr>
      </w:pPr>
    </w:p>
    <w:p>
      <w:pPr>
        <w:jc w:val="both"/>
        <w:ind w:left="2"/>
        <w:spacing w:after="0" w:line="267" w:lineRule="auto"/>
        <w:rPr>
          <w:sz w:val="20"/>
          <w:szCs w:val="20"/>
          <w:color w:val="auto"/>
        </w:rPr>
      </w:pPr>
      <w:r>
        <w:rPr>
          <w:rFonts w:ascii="Arial" w:cs="Arial" w:eastAsia="Arial" w:hAnsi="Arial"/>
          <w:sz w:val="18"/>
          <w:szCs w:val="18"/>
          <w:color w:val="auto"/>
        </w:rPr>
        <w:t>Timelines for progression of the above technology programs, along with anticipated future spending are detailed in “Use of Proceeds” but there is no assurance that these timelines will be met or that these programs will become commercially viable.</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18"/>
          <w:szCs w:val="18"/>
          <w:color w:val="auto"/>
        </w:rPr>
        <w:t>As of September 30, 2021, the Company has spent approximately $653 on its technology programs.</w:t>
      </w:r>
    </w:p>
    <w:p>
      <w:pPr>
        <w:spacing w:after="0" w:line="197"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Nutraceutical Products</w:t>
      </w:r>
    </w:p>
    <w:p>
      <w:pPr>
        <w:spacing w:after="0" w:line="197"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color w:val="auto"/>
        </w:rPr>
        <w:t>Subsequent to quarter end, the Company determined that it would not proceed with the Product Line in order to focus its efforts on the research and development progression of psychedelic molecules. The Company had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532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13" w:lineRule="exact"/>
        <w:rPr>
          <w:sz w:val="20"/>
          <w:szCs w:val="20"/>
          <w:color w:val="auto"/>
        </w:rPr>
      </w:pPr>
    </w:p>
    <w:p>
      <w:pPr>
        <w:jc w:val="both"/>
        <w:ind w:left="2" w:hanging="2"/>
        <w:spacing w:after="0" w:line="241" w:lineRule="auto"/>
        <w:tabs>
          <w:tab w:leader="none" w:pos="149"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The Company assumes timely delivery of the these devices, entering into contracts with selected academic research institutions and the approval of the final research study protocols.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 w:lineRule="exact"/>
        <w:rPr>
          <w:rFonts w:ascii="Arial" w:cs="Arial" w:eastAsia="Arial" w:hAnsi="Arial"/>
          <w:sz w:val="20"/>
          <w:szCs w:val="20"/>
          <w:color w:val="auto"/>
          <w:vertAlign w:val="superscript"/>
        </w:rPr>
      </w:pPr>
    </w:p>
    <w:p>
      <w:pPr>
        <w:jc w:val="both"/>
        <w:ind w:left="2" w:hanging="2"/>
        <w:spacing w:after="0" w:line="249" w:lineRule="auto"/>
        <w:tabs>
          <w:tab w:leader="none" w:pos="143" w:val="left"/>
        </w:tabs>
        <w:numPr>
          <w:ilvl w:val="0"/>
          <w:numId w:val="30"/>
        </w:numPr>
        <w:rPr>
          <w:rFonts w:ascii="Arial" w:cs="Arial" w:eastAsia="Arial" w:hAnsi="Arial"/>
          <w:sz w:val="19"/>
          <w:szCs w:val="19"/>
          <w:color w:val="auto"/>
          <w:vertAlign w:val="superscript"/>
        </w:rPr>
      </w:pPr>
      <w:r>
        <w:rPr>
          <w:rFonts w:ascii="Arial" w:cs="Arial" w:eastAsia="Arial" w:hAnsi="Arial"/>
          <w:sz w:val="12"/>
          <w:szCs w:val="12"/>
          <w:color w:val="auto"/>
        </w:rPr>
        <w:t>The material factors or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jc w:val="both"/>
        <w:ind w:left="2" w:hanging="2"/>
        <w:spacing w:after="0" w:line="233" w:lineRule="auto"/>
        <w:tabs>
          <w:tab w:leader="none" w:pos="160" w:val="left"/>
        </w:tabs>
        <w:numPr>
          <w:ilvl w:val="0"/>
          <w:numId w:val="30"/>
        </w:numPr>
        <w:rPr>
          <w:rFonts w:ascii="Arial" w:cs="Arial" w:eastAsia="Arial" w:hAnsi="Arial"/>
          <w:sz w:val="21"/>
          <w:szCs w:val="21"/>
          <w:color w:val="auto"/>
          <w:vertAlign w:val="superscript"/>
        </w:rPr>
      </w:pPr>
      <w:r>
        <w:rPr>
          <w:rFonts w:ascii="Arial" w:cs="Arial" w:eastAsia="Arial" w:hAnsi="Arial"/>
          <w:sz w:val="14"/>
          <w:szCs w:val="14"/>
          <w:color w:val="auto"/>
        </w:rPr>
        <w:t>Significant events that must occur to move forward with the proposed business objective include identifying the intended consumer, entering into third party agreements to develop the platform, and identifying and retaining qualified individuals to support the ongoing development and operation of the digital therapy platform. The material factors and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2"/>
          </w:cols>
          <w:pgMar w:left="318" w:top="710" w:right="339" w:bottom="1440" w:gutter="0" w:footer="0" w:header="0"/>
        </w:sectPr>
      </w:pPr>
    </w:p>
    <w:bookmarkStart w:id="38" w:name="page39"/>
    <w:bookmarkEnd w:id="38"/>
    <w:p>
      <w:pPr>
        <w:jc w:val="both"/>
        <w:ind w:left="2" w:right="20"/>
        <w:spacing w:after="0" w:line="253" w:lineRule="auto"/>
        <w:rPr>
          <w:sz w:val="20"/>
          <w:szCs w:val="20"/>
          <w:color w:val="auto"/>
        </w:rPr>
      </w:pPr>
      <w:r>
        <w:rPr>
          <w:rFonts w:ascii="Arial" w:cs="Arial" w:eastAsia="Arial" w:hAnsi="Arial"/>
          <w:sz w:val="18"/>
          <w:szCs w:val="18"/>
          <w:color w:val="auto"/>
        </w:rPr>
        <w:t>indicated that it the timeline for the Product Line was updated from Q4 2021 to Q1 2022, however this business segment will not be pursued. The Company has spent approximately $nil on the Product Line since the Listing Statement.</w:t>
      </w:r>
    </w:p>
    <w:p>
      <w:pPr>
        <w:spacing w:after="0" w:line="395"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Relationships with Third Parties</w:t>
      </w:r>
    </w:p>
    <w:p>
      <w:pPr>
        <w:spacing w:after="0" w:line="221" w:lineRule="exact"/>
        <w:rPr>
          <w:sz w:val="20"/>
          <w:szCs w:val="20"/>
          <w:color w:val="auto"/>
        </w:rPr>
      </w:pPr>
    </w:p>
    <w:p>
      <w:pPr>
        <w:jc w:val="both"/>
        <w:ind w:left="2" w:right="20"/>
        <w:spacing w:after="0" w:line="236" w:lineRule="auto"/>
        <w:rPr>
          <w:sz w:val="20"/>
          <w:szCs w:val="20"/>
          <w:color w:val="auto"/>
        </w:rPr>
      </w:pPr>
      <w:r>
        <w:rPr>
          <w:rFonts w:ascii="Arial" w:cs="Arial" w:eastAsia="Arial" w:hAnsi="Arial"/>
          <w:sz w:val="18"/>
          <w:szCs w:val="18"/>
          <w:color w:val="auto"/>
        </w:rPr>
        <w:t>The Company’s research and development on its psychedelic pharmaceutical products is conducted by way of licensed partners including IntelGenx Corp. (“IntelGenx”). The Company also intends to sponsor clinical and other studies at various clinical trial sites. As of the date of this MD&amp;A, the Company and the University of Washington are co-sponsoring a randomized, placebo-controlled clinical trial of psychedelic-assisted psychotherapy with psilocybin for frontline clinicians experiencing COVID-19 related distress.</w:t>
      </w:r>
    </w:p>
    <w:p>
      <w:pPr>
        <w:spacing w:after="0" w:line="201" w:lineRule="exact"/>
        <w:rPr>
          <w:sz w:val="20"/>
          <w:szCs w:val="20"/>
          <w:color w:val="auto"/>
        </w:rPr>
      </w:pPr>
    </w:p>
    <w:p>
      <w:pPr>
        <w:jc w:val="both"/>
        <w:ind w:left="2" w:right="20"/>
        <w:spacing w:after="0" w:line="297" w:lineRule="auto"/>
        <w:rPr>
          <w:sz w:val="20"/>
          <w:szCs w:val="20"/>
          <w:color w:val="auto"/>
        </w:rPr>
      </w:pPr>
      <w:r>
        <w:rPr>
          <w:rFonts w:ascii="Arial" w:cs="Arial" w:eastAsia="Arial" w:hAnsi="Arial"/>
          <w:sz w:val="17"/>
          <w:szCs w:val="17"/>
          <w:color w:val="auto"/>
        </w:rPr>
        <w:t>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w:t>
      </w:r>
    </w:p>
    <w:p>
      <w:pPr>
        <w:spacing w:after="0" w:line="128" w:lineRule="exact"/>
        <w:rPr>
          <w:sz w:val="20"/>
          <w:szCs w:val="20"/>
          <w:color w:val="auto"/>
        </w:rPr>
      </w:pPr>
    </w:p>
    <w:p>
      <w:pPr>
        <w:jc w:val="both"/>
        <w:ind w:left="2"/>
        <w:spacing w:after="0" w:line="249" w:lineRule="auto"/>
        <w:rPr>
          <w:sz w:val="20"/>
          <w:szCs w:val="20"/>
          <w:color w:val="auto"/>
        </w:rPr>
      </w:pPr>
      <w:r>
        <w:rPr>
          <w:rFonts w:ascii="Arial" w:cs="Arial" w:eastAsia="Arial" w:hAnsi="Arial"/>
          <w:sz w:val="17"/>
          <w:szCs w:val="17"/>
          <w:color w:val="auto"/>
        </w:rPr>
        <w:t>The Company has established contractual sources of synthetic GMP (as defined below) and non-GMP raw materials to support its development operations through licensed third-party suppliers located in Canada, the United States and the United Kingdom. Such raw materials are expected to be, in general, readily available and in adequate supply to meet the Company’s need for development quantities, or custom manufactured on the Company's behalf.</w:t>
      </w:r>
      <w:r>
        <w:rPr>
          <w:rFonts w:ascii="Arial" w:cs="Arial" w:eastAsia="Arial" w:hAnsi="Arial"/>
          <w:sz w:val="22"/>
          <w:szCs w:val="22"/>
          <w:color w:val="auto"/>
          <w:vertAlign w:val="superscript"/>
        </w:rPr>
        <w:t>13</w:t>
      </w:r>
      <w:r>
        <w:rPr>
          <w:rFonts w:ascii="Arial" w:cs="Arial" w:eastAsia="Arial" w:hAnsi="Arial"/>
          <w:sz w:val="17"/>
          <w:szCs w:val="17"/>
          <w:color w:val="auto"/>
        </w:rPr>
        <w:t xml:space="preserve">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167"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371"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Update on Use of Proceeds</w:t>
      </w:r>
    </w:p>
    <w:p>
      <w:pPr>
        <w:spacing w:after="0" w:line="197"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The Company has committed the following capital expenditures to meet its planned growth and fund development activities and, as of September 30, 2021, there have not been, and the Company does not anticipate, any changes to its previously made disclosure about the Company’s intended use of proceeds except as described below.</w:t>
      </w:r>
    </w:p>
    <w:p>
      <w:pPr>
        <w:spacing w:after="0" w:line="162"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The below table describes the differences between the Company’s anticipated use of proceeds from private placements as disclosed in the Listing Statement, and the Company’s actual use of proceeds from those financings as at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15532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 w:right="20" w:hanging="2"/>
        <w:spacing w:after="0" w:line="203" w:lineRule="auto"/>
        <w:tabs>
          <w:tab w:leader="none" w:pos="180" w:val="left"/>
        </w:tabs>
        <w:numPr>
          <w:ilvl w:val="0"/>
          <w:numId w:val="31"/>
        </w:numPr>
        <w:rPr>
          <w:rFonts w:ascii="Arial" w:cs="Arial" w:eastAsia="Arial" w:hAnsi="Arial"/>
          <w:sz w:val="23"/>
          <w:szCs w:val="23"/>
          <w:color w:val="auto"/>
          <w:vertAlign w:val="superscript"/>
        </w:rPr>
      </w:pPr>
      <w:r>
        <w:rPr>
          <w:rFonts w:ascii="Arial" w:cs="Arial" w:eastAsia="Arial" w:hAnsi="Arial"/>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2"/>
          </w:cols>
          <w:pgMar w:left="318" w:top="710" w:right="319" w:bottom="1440" w:gutter="0" w:footer="0" w:header="0"/>
        </w:sectPr>
      </w:pPr>
    </w:p>
    <w:bookmarkStart w:id="39" w:name="page40"/>
    <w:bookmarkEnd w:id="39"/>
    <w:tbl>
      <w:tblPr>
        <w:tblLayout w:type="fixed"/>
        <w:tblInd w:w="12" w:type="dxa"/>
        <w:tblCellMar>
          <w:top w:w="0" w:type="dxa"/>
          <w:left w:w="0" w:type="dxa"/>
          <w:bottom w:w="0" w:type="dxa"/>
          <w:right w:w="0" w:type="dxa"/>
        </w:tblCellMar>
      </w:tblPr>
      <w:tr>
        <w:trPr>
          <w:trHeight w:val="351"/>
        </w:trPr>
        <w:tc>
          <w:tcPr>
            <w:tcW w:w="100" w:type="dxa"/>
            <w:vAlign w:val="bottom"/>
            <w:tcBorders>
              <w:top w:val="single" w:sz="8" w:color="auto"/>
              <w:left w:val="single" w:sz="8" w:color="auto"/>
              <w:right w:val="single" w:sz="8" w:color="D9D9D9"/>
            </w:tcBorders>
            <w:shd w:val="clear" w:color="auto" w:fill="D9D9D9"/>
          </w:tcPr>
          <w:p>
            <w:pPr>
              <w:spacing w:after="0"/>
              <w:rPr>
                <w:sz w:val="24"/>
                <w:szCs w:val="24"/>
                <w:color w:val="auto"/>
              </w:rPr>
            </w:pPr>
          </w:p>
        </w:tc>
        <w:tc>
          <w:tcPr>
            <w:tcW w:w="5940" w:type="dxa"/>
            <w:vAlign w:val="bottom"/>
            <w:tcBorders>
              <w:top w:val="single" w:sz="8" w:color="auto"/>
              <w:right w:val="single" w:sz="8" w:color="auto"/>
            </w:tcBorders>
            <w:shd w:val="clear" w:color="auto" w:fill="D9D9D9"/>
          </w:tcPr>
          <w:p>
            <w:pPr>
              <w:ind w:left="1880"/>
              <w:spacing w:after="0"/>
              <w:rPr>
                <w:sz w:val="20"/>
                <w:szCs w:val="20"/>
                <w:color w:val="auto"/>
              </w:rPr>
            </w:pPr>
            <w:r>
              <w:rPr>
                <w:rFonts w:ascii="Arial" w:cs="Arial" w:eastAsia="Arial" w:hAnsi="Arial"/>
                <w:sz w:val="15"/>
                <w:szCs w:val="15"/>
                <w:b w:val="1"/>
                <w:bCs w:val="1"/>
                <w:color w:val="auto"/>
              </w:rPr>
              <w:t>Use of Available Funds ($000’s)</w:t>
            </w:r>
            <w:r>
              <w:rPr>
                <w:rFonts w:ascii="Arial" w:cs="Arial" w:eastAsia="Arial" w:hAnsi="Arial"/>
                <w:sz w:val="19"/>
                <w:szCs w:val="19"/>
                <w:b w:val="1"/>
                <w:bCs w:val="1"/>
                <w:color w:val="auto"/>
                <w:vertAlign w:val="superscript"/>
              </w:rPr>
              <w:t>(1)</w:t>
            </w:r>
          </w:p>
        </w:tc>
        <w:tc>
          <w:tcPr>
            <w:tcW w:w="15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4"/>
              </w:rPr>
              <w:t>Previous Disclosure</w:t>
            </w:r>
          </w:p>
        </w:tc>
        <w:tc>
          <w:tcPr>
            <w:tcW w:w="1540" w:type="dxa"/>
            <w:vAlign w:val="bottom"/>
            <w:tcBorders>
              <w:top w:val="single" w:sz="8" w:color="auto"/>
              <w:right w:val="single" w:sz="8" w:color="auto"/>
            </w:tcBorders>
            <w:shd w:val="clear" w:color="auto" w:fill="D9D9D9"/>
          </w:tcPr>
          <w:p>
            <w:pPr>
              <w:spacing w:after="0"/>
              <w:rPr>
                <w:sz w:val="24"/>
                <w:szCs w:val="24"/>
                <w:color w:val="auto"/>
              </w:rPr>
            </w:pPr>
          </w:p>
        </w:tc>
        <w:tc>
          <w:tcPr>
            <w:tcW w:w="1980" w:type="dxa"/>
            <w:vAlign w:val="bottom"/>
            <w:tcBorders>
              <w:top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5940" w:type="dxa"/>
            <w:vAlign w:val="bottom"/>
            <w:tcBorders>
              <w:right w:val="single" w:sz="8" w:color="auto"/>
            </w:tcBorders>
            <w:shd w:val="clear" w:color="auto" w:fill="D9D9D9"/>
          </w:tcPr>
          <w:p>
            <w:pPr>
              <w:spacing w:after="0"/>
              <w:rPr>
                <w:sz w:val="7"/>
                <w:szCs w:val="7"/>
                <w:color w:val="auto"/>
              </w:rPr>
            </w:pPr>
          </w:p>
        </w:tc>
        <w:tc>
          <w:tcPr>
            <w:tcW w:w="1560" w:type="dxa"/>
            <w:vAlign w:val="bottom"/>
            <w:tcBorders>
              <w:right w:val="single" w:sz="8" w:color="auto"/>
            </w:tcBorders>
            <w:vMerge w:val="continue"/>
            <w:shd w:val="clear" w:color="auto" w:fill="D9D9D9"/>
          </w:tcPr>
          <w:p>
            <w:pPr>
              <w:spacing w:after="0"/>
              <w:rPr>
                <w:sz w:val="7"/>
                <w:szCs w:val="7"/>
                <w:color w:val="auto"/>
              </w:rPr>
            </w:pPr>
          </w:p>
        </w:tc>
        <w:tc>
          <w:tcPr>
            <w:tcW w:w="15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Actual Use of Proceeds</w:t>
            </w:r>
          </w:p>
        </w:tc>
        <w:tc>
          <w:tcPr>
            <w:tcW w:w="198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5940" w:type="dxa"/>
            <w:vAlign w:val="bottom"/>
            <w:tcBorders>
              <w:right w:val="single" w:sz="8" w:color="auto"/>
            </w:tcBorders>
            <w:shd w:val="clear" w:color="auto" w:fill="D9D9D9"/>
          </w:tcPr>
          <w:p>
            <w:pPr>
              <w:spacing w:after="0"/>
              <w:rPr>
                <w:sz w:val="8"/>
                <w:szCs w:val="8"/>
                <w:color w:val="auto"/>
              </w:rPr>
            </w:pPr>
          </w:p>
        </w:tc>
        <w:tc>
          <w:tcPr>
            <w:tcW w:w="1560" w:type="dxa"/>
            <w:vAlign w:val="bottom"/>
            <w:tcBorders>
              <w:right w:val="single" w:sz="8" w:color="auto"/>
            </w:tcBorders>
            <w:vMerge w:val="restart"/>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86"/>
              </w:rPr>
              <w:t>Regarding Use</w:t>
            </w:r>
          </w:p>
        </w:tc>
        <w:tc>
          <w:tcPr>
            <w:tcW w:w="1540" w:type="dxa"/>
            <w:vAlign w:val="bottom"/>
            <w:tcBorders>
              <w:right w:val="single" w:sz="8" w:color="auto"/>
            </w:tcBorders>
            <w:vMerge w:val="continue"/>
            <w:shd w:val="clear" w:color="auto" w:fill="D9D9D9"/>
          </w:tcPr>
          <w:p>
            <w:pPr>
              <w:spacing w:after="0"/>
              <w:rPr>
                <w:sz w:val="8"/>
                <w:szCs w:val="8"/>
                <w:color w:val="auto"/>
              </w:rPr>
            </w:pPr>
          </w:p>
        </w:tc>
        <w:tc>
          <w:tcPr>
            <w:tcW w:w="198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5940" w:type="dxa"/>
            <w:vAlign w:val="bottom"/>
            <w:tcBorders>
              <w:right w:val="single" w:sz="8" w:color="auto"/>
            </w:tcBorders>
            <w:shd w:val="clear" w:color="auto" w:fill="D9D9D9"/>
          </w:tcPr>
          <w:p>
            <w:pPr>
              <w:spacing w:after="0"/>
              <w:rPr>
                <w:sz w:val="7"/>
                <w:szCs w:val="7"/>
                <w:color w:val="auto"/>
              </w:rPr>
            </w:pPr>
          </w:p>
        </w:tc>
        <w:tc>
          <w:tcPr>
            <w:tcW w:w="1560" w:type="dxa"/>
            <w:vAlign w:val="bottom"/>
            <w:tcBorders>
              <w:right w:val="single" w:sz="8" w:color="auto"/>
            </w:tcBorders>
            <w:vMerge w:val="continue"/>
            <w:shd w:val="clear" w:color="auto" w:fill="D9D9D9"/>
          </w:tcPr>
          <w:p>
            <w:pPr>
              <w:spacing w:after="0"/>
              <w:rPr>
                <w:sz w:val="7"/>
                <w:szCs w:val="7"/>
                <w:color w:val="auto"/>
              </w:rPr>
            </w:pPr>
          </w:p>
        </w:tc>
        <w:tc>
          <w:tcPr>
            <w:tcW w:w="1540" w:type="dxa"/>
            <w:vAlign w:val="bottom"/>
            <w:tcBorders>
              <w:right w:val="single" w:sz="8" w:color="auto"/>
            </w:tcBorders>
            <w:vMerge w:val="restart"/>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86"/>
              </w:rPr>
              <w:t>as at September 30,</w:t>
            </w:r>
          </w:p>
        </w:tc>
        <w:tc>
          <w:tcPr>
            <w:tcW w:w="19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9"/>
              </w:rPr>
              <w:t>Variance</w:t>
            </w: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5940" w:type="dxa"/>
            <w:vAlign w:val="bottom"/>
            <w:tcBorders>
              <w:right w:val="single" w:sz="8" w:color="auto"/>
            </w:tcBorders>
            <w:shd w:val="clear" w:color="auto" w:fill="D9D9D9"/>
          </w:tcPr>
          <w:p>
            <w:pPr>
              <w:spacing w:after="0"/>
              <w:rPr>
                <w:sz w:val="8"/>
                <w:szCs w:val="8"/>
                <w:color w:val="auto"/>
              </w:rPr>
            </w:pP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of Proceeds in Listing</w:t>
            </w:r>
          </w:p>
        </w:tc>
        <w:tc>
          <w:tcPr>
            <w:tcW w:w="1540" w:type="dxa"/>
            <w:vAlign w:val="bottom"/>
            <w:tcBorders>
              <w:right w:val="single" w:sz="8" w:color="auto"/>
            </w:tcBorders>
            <w:vMerge w:val="continue"/>
            <w:shd w:val="clear" w:color="auto" w:fill="D9D9D9"/>
          </w:tcPr>
          <w:p>
            <w:pPr>
              <w:spacing w:after="0"/>
              <w:rPr>
                <w:sz w:val="8"/>
                <w:szCs w:val="8"/>
                <w:color w:val="auto"/>
              </w:rPr>
            </w:pPr>
          </w:p>
        </w:tc>
        <w:tc>
          <w:tcPr>
            <w:tcW w:w="198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5940" w:type="dxa"/>
            <w:vAlign w:val="bottom"/>
            <w:tcBorders>
              <w:right w:val="single" w:sz="8" w:color="auto"/>
            </w:tcBorders>
            <w:shd w:val="clear" w:color="auto" w:fill="D9D9D9"/>
          </w:tcPr>
          <w:p>
            <w:pPr>
              <w:spacing w:after="0"/>
              <w:rPr>
                <w:sz w:val="7"/>
                <w:szCs w:val="7"/>
                <w:color w:val="auto"/>
              </w:rPr>
            </w:pPr>
          </w:p>
        </w:tc>
        <w:tc>
          <w:tcPr>
            <w:tcW w:w="1560" w:type="dxa"/>
            <w:vAlign w:val="bottom"/>
            <w:tcBorders>
              <w:right w:val="single" w:sz="8" w:color="auto"/>
            </w:tcBorders>
            <w:vMerge w:val="continue"/>
            <w:shd w:val="clear" w:color="auto" w:fill="D9D9D9"/>
          </w:tcPr>
          <w:p>
            <w:pPr>
              <w:spacing w:after="0"/>
              <w:rPr>
                <w:sz w:val="7"/>
                <w:szCs w:val="7"/>
                <w:color w:val="auto"/>
              </w:rPr>
            </w:pPr>
          </w:p>
        </w:tc>
        <w:tc>
          <w:tcPr>
            <w:tcW w:w="1540" w:type="dxa"/>
            <w:vAlign w:val="bottom"/>
            <w:tcBorders>
              <w:right w:val="single" w:sz="8" w:color="auto"/>
            </w:tcBorders>
            <w:vMerge w:val="restart"/>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89"/>
              </w:rPr>
              <w:t>2021</w:t>
            </w:r>
          </w:p>
        </w:tc>
        <w:tc>
          <w:tcPr>
            <w:tcW w:w="198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00" w:type="dxa"/>
            <w:vAlign w:val="bottom"/>
            <w:tcBorders>
              <w:left w:val="single" w:sz="8" w:color="auto"/>
              <w:right w:val="single" w:sz="8" w:color="D9D9D9"/>
            </w:tcBorders>
            <w:shd w:val="clear" w:color="auto" w:fill="D9D9D9"/>
          </w:tcPr>
          <w:p>
            <w:pPr>
              <w:spacing w:after="0"/>
              <w:rPr>
                <w:sz w:val="9"/>
                <w:szCs w:val="9"/>
                <w:color w:val="auto"/>
              </w:rPr>
            </w:pPr>
          </w:p>
        </w:tc>
        <w:tc>
          <w:tcPr>
            <w:tcW w:w="5940" w:type="dxa"/>
            <w:vAlign w:val="bottom"/>
            <w:tcBorders>
              <w:right w:val="single" w:sz="8" w:color="auto"/>
            </w:tcBorders>
            <w:shd w:val="clear" w:color="auto" w:fill="D9D9D9"/>
          </w:tcPr>
          <w:p>
            <w:pPr>
              <w:spacing w:after="0"/>
              <w:rPr>
                <w:sz w:val="9"/>
                <w:szCs w:val="9"/>
                <w:color w:val="auto"/>
              </w:rPr>
            </w:pP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Statement</w:t>
            </w:r>
          </w:p>
        </w:tc>
        <w:tc>
          <w:tcPr>
            <w:tcW w:w="1540" w:type="dxa"/>
            <w:vAlign w:val="bottom"/>
            <w:tcBorders>
              <w:right w:val="single" w:sz="8" w:color="auto"/>
            </w:tcBorders>
            <w:vMerge w:val="continue"/>
            <w:shd w:val="clear" w:color="auto" w:fill="D9D9D9"/>
          </w:tcPr>
          <w:p>
            <w:pPr>
              <w:spacing w:after="0"/>
              <w:rPr>
                <w:sz w:val="9"/>
                <w:szCs w:val="9"/>
                <w:color w:val="auto"/>
              </w:rPr>
            </w:pPr>
          </w:p>
        </w:tc>
        <w:tc>
          <w:tcPr>
            <w:tcW w:w="1980" w:type="dxa"/>
            <w:vAlign w:val="bottom"/>
            <w:tcBorders>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5940" w:type="dxa"/>
            <w:vAlign w:val="bottom"/>
            <w:tcBorders>
              <w:right w:val="single" w:sz="8" w:color="auto"/>
            </w:tcBorders>
            <w:shd w:val="clear" w:color="auto" w:fill="D9D9D9"/>
          </w:tcPr>
          <w:p>
            <w:pPr>
              <w:spacing w:after="0"/>
              <w:rPr>
                <w:sz w:val="7"/>
                <w:szCs w:val="7"/>
                <w:color w:val="auto"/>
              </w:rPr>
            </w:pPr>
          </w:p>
        </w:tc>
        <w:tc>
          <w:tcPr>
            <w:tcW w:w="1560" w:type="dxa"/>
            <w:vAlign w:val="bottom"/>
            <w:tcBorders>
              <w:right w:val="single" w:sz="8" w:color="auto"/>
            </w:tcBorders>
            <w:vMerge w:val="continue"/>
            <w:shd w:val="clear" w:color="auto" w:fill="D9D9D9"/>
          </w:tcPr>
          <w:p>
            <w:pPr>
              <w:spacing w:after="0"/>
              <w:rPr>
                <w:sz w:val="7"/>
                <w:szCs w:val="7"/>
                <w:color w:val="auto"/>
              </w:rPr>
            </w:pPr>
          </w:p>
        </w:tc>
        <w:tc>
          <w:tcPr>
            <w:tcW w:w="1540" w:type="dxa"/>
            <w:vAlign w:val="bottom"/>
            <w:tcBorders>
              <w:right w:val="single" w:sz="8" w:color="auto"/>
            </w:tcBorders>
            <w:shd w:val="clear" w:color="auto" w:fill="D9D9D9"/>
          </w:tcPr>
          <w:p>
            <w:pPr>
              <w:spacing w:after="0"/>
              <w:rPr>
                <w:sz w:val="7"/>
                <w:szCs w:val="7"/>
                <w:color w:val="auto"/>
              </w:rPr>
            </w:pPr>
          </w:p>
        </w:tc>
        <w:tc>
          <w:tcPr>
            <w:tcW w:w="198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0" w:type="dxa"/>
            <w:vAlign w:val="bottom"/>
            <w:tcBorders>
              <w:left w:val="single" w:sz="8" w:color="auto"/>
              <w:bottom w:val="single" w:sz="8" w:color="auto"/>
              <w:right w:val="single" w:sz="8" w:color="D9D9D9"/>
            </w:tcBorders>
            <w:shd w:val="clear" w:color="auto" w:fill="D9D9D9"/>
          </w:tcPr>
          <w:p>
            <w:pPr>
              <w:spacing w:after="0"/>
              <w:rPr>
                <w:sz w:val="23"/>
                <w:szCs w:val="23"/>
                <w:color w:val="auto"/>
              </w:rPr>
            </w:pPr>
          </w:p>
        </w:tc>
        <w:tc>
          <w:tcPr>
            <w:tcW w:w="5940" w:type="dxa"/>
            <w:vAlign w:val="bottom"/>
            <w:tcBorders>
              <w:bottom w:val="single" w:sz="8" w:color="auto"/>
              <w:right w:val="single" w:sz="8" w:color="auto"/>
            </w:tcBorders>
            <w:shd w:val="clear" w:color="auto" w:fill="D9D9D9"/>
          </w:tcPr>
          <w:p>
            <w:pPr>
              <w:spacing w:after="0"/>
              <w:rPr>
                <w:sz w:val="23"/>
                <w:szCs w:val="23"/>
                <w:color w:val="auto"/>
              </w:rPr>
            </w:pPr>
          </w:p>
        </w:tc>
        <w:tc>
          <w:tcPr>
            <w:tcW w:w="1560" w:type="dxa"/>
            <w:vAlign w:val="bottom"/>
            <w:tcBorders>
              <w:bottom w:val="single" w:sz="8" w:color="auto"/>
              <w:right w:val="single" w:sz="8" w:color="auto"/>
            </w:tcBorders>
            <w:shd w:val="clear" w:color="auto" w:fill="D9D9D9"/>
          </w:tcPr>
          <w:p>
            <w:pPr>
              <w:spacing w:after="0"/>
              <w:rPr>
                <w:sz w:val="23"/>
                <w:szCs w:val="23"/>
                <w:color w:val="auto"/>
              </w:rPr>
            </w:pPr>
          </w:p>
        </w:tc>
        <w:tc>
          <w:tcPr>
            <w:tcW w:w="1540" w:type="dxa"/>
            <w:vAlign w:val="bottom"/>
            <w:tcBorders>
              <w:bottom w:val="single" w:sz="8" w:color="auto"/>
              <w:right w:val="single" w:sz="8" w:color="auto"/>
            </w:tcBorders>
            <w:shd w:val="clear" w:color="auto" w:fill="D9D9D9"/>
          </w:tcPr>
          <w:p>
            <w:pPr>
              <w:spacing w:after="0"/>
              <w:rPr>
                <w:sz w:val="23"/>
                <w:szCs w:val="23"/>
                <w:color w:val="auto"/>
              </w:rPr>
            </w:pPr>
          </w:p>
        </w:tc>
        <w:tc>
          <w:tcPr>
            <w:tcW w:w="1980" w:type="dxa"/>
            <w:vAlign w:val="bottom"/>
            <w:tcBorders>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5940" w:type="dxa"/>
            <w:vAlign w:val="bottom"/>
            <w:tcBorders>
              <w:bottom w:val="single" w:sz="8" w:color="auto"/>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Deuterated Psilocybin Analog Program (formerly the Psilocybin Program)</w:t>
            </w:r>
            <w:r>
              <w:rPr>
                <w:rFonts w:ascii="Arial" w:cs="Arial" w:eastAsia="Arial" w:hAnsi="Arial"/>
                <w:sz w:val="19"/>
                <w:szCs w:val="19"/>
                <w:b w:val="1"/>
                <w:bCs w:val="1"/>
                <w:color w:val="auto"/>
                <w:vertAlign w:val="superscript"/>
              </w:rPr>
              <w:t>(2)</w:t>
            </w:r>
          </w:p>
        </w:tc>
        <w:tc>
          <w:tcPr>
            <w:tcW w:w="1560" w:type="dxa"/>
            <w:vAlign w:val="bottom"/>
            <w:tcBorders>
              <w:bottom w:val="single" w:sz="8" w:color="auto"/>
              <w:right w:val="single" w:sz="8" w:color="D9D9D9"/>
            </w:tcBorders>
            <w:shd w:val="clear" w:color="auto" w:fill="D9D9D9"/>
          </w:tcPr>
          <w:p>
            <w:pPr>
              <w:spacing w:after="0"/>
              <w:rPr>
                <w:sz w:val="19"/>
                <w:szCs w:val="19"/>
                <w:color w:val="auto"/>
              </w:rPr>
            </w:pPr>
          </w:p>
        </w:tc>
        <w:tc>
          <w:tcPr>
            <w:tcW w:w="1540" w:type="dxa"/>
            <w:vAlign w:val="bottom"/>
            <w:tcBorders>
              <w:bottom w:val="single" w:sz="8" w:color="auto"/>
              <w:right w:val="single" w:sz="8" w:color="D9D9D9"/>
            </w:tcBorders>
            <w:shd w:val="clear" w:color="auto" w:fill="D9D9D9"/>
          </w:tcPr>
          <w:p>
            <w:pPr>
              <w:spacing w:after="0"/>
              <w:rPr>
                <w:sz w:val="19"/>
                <w:szCs w:val="19"/>
                <w:color w:val="auto"/>
              </w:rPr>
            </w:pPr>
          </w:p>
        </w:tc>
        <w:tc>
          <w:tcPr>
            <w:tcW w:w="198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Chemically develop and synthesize psychedelic API</w:t>
            </w:r>
            <w:r>
              <w:rPr>
                <w:rFonts w:ascii="Arial" w:cs="Arial" w:eastAsia="Arial" w:hAnsi="Arial"/>
                <w:sz w:val="19"/>
                <w:szCs w:val="19"/>
                <w:color w:val="auto"/>
                <w:vertAlign w:val="superscript"/>
              </w:rPr>
              <w:t>(3)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$432</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7"/>
              </w:rPr>
              <w:t>$23</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3"/>
              </w:rPr>
              <w:t>$409</w:t>
            </w: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Development of psilocybin Sublingual Film</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$238</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3"/>
              </w:rPr>
              <w:t>$3</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$235</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Phase IIa MDD study completed with data</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$600</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$1,170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$(570)</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Phase IIb MDD study completed with data</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$1,000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$1,000</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Support of additional phase IIb study sites in Canada and the United States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$521</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$(521)</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 xml:space="preserve">Commence microdose study with the Canadian Centre for Psychedelic Science </w:t>
            </w:r>
            <w:r>
              <w:rPr>
                <w:rFonts w:ascii="Arial" w:cs="Arial" w:eastAsia="Arial" w:hAnsi="Arial"/>
                <w:sz w:val="19"/>
                <w:szCs w:val="19"/>
                <w:color w:val="auto"/>
                <w:vertAlign w:val="superscript"/>
              </w:rPr>
              <w:t>(4)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$50</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$50</w:t>
            </w:r>
          </w:p>
        </w:tc>
        <w:tc>
          <w:tcPr>
            <w:tcW w:w="0" w:type="dxa"/>
            <w:vAlign w:val="bottom"/>
          </w:tcPr>
          <w:p>
            <w:pPr>
              <w:spacing w:after="0"/>
              <w:rPr>
                <w:sz w:val="1"/>
                <w:szCs w:val="1"/>
                <w:color w:val="auto"/>
              </w:rPr>
            </w:pPr>
          </w:p>
        </w:tc>
      </w:tr>
      <w:tr>
        <w:trPr>
          <w:trHeight w:val="225"/>
        </w:trPr>
        <w:tc>
          <w:tcPr>
            <w:tcW w:w="60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 xml:space="preserve">Commence safety and efficacy clinical study with the University of the West Indies </w:t>
            </w:r>
            <w:r>
              <w:rPr>
                <w:rFonts w:ascii="Arial" w:cs="Arial" w:eastAsia="Arial" w:hAnsi="Arial"/>
                <w:sz w:val="19"/>
                <w:szCs w:val="19"/>
                <w:color w:val="auto"/>
                <w:vertAlign w:val="superscript"/>
              </w:rPr>
              <w:t>(5)</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$750</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3"/>
              </w:rPr>
              <w:t>$750</w:t>
            </w: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4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Deuterated Tryptamines Preclinical Programs</w:t>
            </w: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w w:val="96"/>
              </w:rPr>
              <w:t>Progression of CYB003 for phase I studies readiness and utilization of the associated delivery</w:t>
            </w:r>
          </w:p>
        </w:tc>
        <w:tc>
          <w:tcPr>
            <w:tcW w:w="1560" w:type="dxa"/>
            <w:vAlign w:val="bottom"/>
            <w:tcBorders>
              <w:top w:val="single" w:sz="8" w:color="auto"/>
              <w:right w:val="single" w:sz="8" w:color="auto"/>
            </w:tcBorders>
          </w:tcPr>
          <w:p>
            <w:pPr>
              <w:spacing w:after="0"/>
              <w:rPr>
                <w:sz w:val="16"/>
                <w:szCs w:val="16"/>
                <w:color w:val="auto"/>
              </w:rPr>
            </w:pPr>
          </w:p>
        </w:tc>
        <w:tc>
          <w:tcPr>
            <w:tcW w:w="1540" w:type="dxa"/>
            <w:vAlign w:val="bottom"/>
            <w:tcBorders>
              <w:top w:val="single" w:sz="8" w:color="auto"/>
              <w:right w:val="single" w:sz="8" w:color="auto"/>
            </w:tcBorders>
          </w:tcPr>
          <w:p>
            <w:pPr>
              <w:spacing w:after="0"/>
              <w:rPr>
                <w:sz w:val="16"/>
                <w:szCs w:val="16"/>
                <w:color w:val="auto"/>
              </w:rPr>
            </w:pPr>
          </w:p>
        </w:tc>
        <w:tc>
          <w:tcPr>
            <w:tcW w:w="19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platform</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$1,808</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$(1,808)</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Progression of CYB004 for phase I studies readiness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$942</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$(942)</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4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Phenethylamine Preclinical Development Program</w:t>
            </w: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Phenethylamine preclinical development program</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top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$441</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$(441)</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9"/>
        </w:trPr>
        <w:tc>
          <w:tcPr>
            <w:tcW w:w="10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594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Nutraceutical Products</w:t>
            </w:r>
            <w:r>
              <w:rPr>
                <w:rFonts w:ascii="Arial" w:cs="Arial" w:eastAsia="Arial" w:hAnsi="Arial"/>
                <w:sz w:val="19"/>
                <w:szCs w:val="19"/>
                <w:b w:val="1"/>
                <w:bCs w:val="1"/>
                <w:color w:val="auto"/>
                <w:vertAlign w:val="superscript"/>
              </w:rPr>
              <w:t>(6)</w:t>
            </w:r>
          </w:p>
        </w:tc>
        <w:tc>
          <w:tcPr>
            <w:tcW w:w="1560" w:type="dxa"/>
            <w:vAlign w:val="bottom"/>
            <w:tcBorders>
              <w:bottom w:val="single" w:sz="8" w:color="D9D9D9"/>
              <w:right w:val="single" w:sz="8" w:color="D9D9D9"/>
            </w:tcBorders>
            <w:shd w:val="clear" w:color="auto" w:fill="D9D9D9"/>
          </w:tcPr>
          <w:p>
            <w:pPr>
              <w:spacing w:after="0"/>
              <w:rPr>
                <w:sz w:val="24"/>
                <w:szCs w:val="24"/>
                <w:color w:val="auto"/>
              </w:rPr>
            </w:pPr>
          </w:p>
        </w:tc>
        <w:tc>
          <w:tcPr>
            <w:tcW w:w="1540" w:type="dxa"/>
            <w:vAlign w:val="bottom"/>
            <w:tcBorders>
              <w:bottom w:val="single" w:sz="8" w:color="D9D9D9"/>
              <w:right w:val="single" w:sz="8" w:color="D9D9D9"/>
            </w:tcBorders>
            <w:shd w:val="clear" w:color="auto" w:fill="D9D9D9"/>
          </w:tcPr>
          <w:p>
            <w:pPr>
              <w:spacing w:after="0"/>
              <w:rPr>
                <w:sz w:val="24"/>
                <w:szCs w:val="24"/>
                <w:color w:val="auto"/>
              </w:rPr>
            </w:pPr>
          </w:p>
        </w:tc>
        <w:tc>
          <w:tcPr>
            <w:tcW w:w="1980" w:type="dxa"/>
            <w:vAlign w:val="bottom"/>
            <w:tcBorders>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Inventory fulfilment</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540" w:type="dxa"/>
            <w:vAlign w:val="bottom"/>
            <w:tcBorders>
              <w:top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3"/>
              </w:rPr>
              <w:t>$200</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Product deployment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$200</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Nutraceutical marketing</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$100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$100</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4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Technology</w:t>
            </w: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Marketing</w:t>
            </w:r>
            <w:r>
              <w:rPr>
                <w:rFonts w:ascii="Arial" w:cs="Arial" w:eastAsia="Arial" w:hAnsi="Arial"/>
                <w:sz w:val="19"/>
                <w:szCs w:val="19"/>
                <w:color w:val="auto"/>
                <w:vertAlign w:val="superscript"/>
              </w:rPr>
              <w:t>(6)</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$2,000</w:t>
            </w:r>
          </w:p>
        </w:tc>
        <w:tc>
          <w:tcPr>
            <w:tcW w:w="1540" w:type="dxa"/>
            <w:vAlign w:val="bottom"/>
            <w:tcBorders>
              <w:top w:val="single" w:sz="8" w:color="auto"/>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$2,000</w:t>
            </w: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Development of patient digital therapy platform</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$444</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$(444)</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Commence study utilizing Kernel Flow technology</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$209</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$(209)</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40" w:type="dxa"/>
            <w:vAlign w:val="bottom"/>
            <w:tcBorders>
              <w:bottom w:val="single" w:sz="8" w:color="D9D9D9"/>
              <w:right w:val="single" w:sz="8" w:color="D9D9D9"/>
            </w:tcBorders>
            <w:shd w:val="clear" w:color="auto" w:fill="D9D9D9"/>
          </w:tcPr>
          <w:p>
            <w:pPr>
              <w:ind w:left="80"/>
              <w:spacing w:after="0"/>
              <w:rPr>
                <w:sz w:val="20"/>
                <w:szCs w:val="20"/>
                <w:color w:val="auto"/>
              </w:rPr>
            </w:pPr>
            <w:r>
              <w:rPr>
                <w:rFonts w:ascii="Arial" w:cs="Arial" w:eastAsia="Arial" w:hAnsi="Arial"/>
                <w:sz w:val="15"/>
                <w:szCs w:val="15"/>
                <w:b w:val="1"/>
                <w:bCs w:val="1"/>
                <w:color w:val="auto"/>
              </w:rPr>
              <w:t>Other</w:t>
            </w: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Transaction costs (legal fees, audit fees, transfer agent fees and other expenses)</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$575</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$4,082</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$(3,507)</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 xml:space="preserve">General and administrative </w:t>
            </w:r>
            <w:r>
              <w:rPr>
                <w:rFonts w:ascii="Arial" w:cs="Arial" w:eastAsia="Arial" w:hAnsi="Arial"/>
                <w:sz w:val="19"/>
                <w:szCs w:val="19"/>
                <w:color w:val="auto"/>
                <w:vertAlign w:val="superscript"/>
              </w:rPr>
              <w:t>(7)</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$4,800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$23,777</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$(18,977)</w:t>
            </w: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Total use of funds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$10,945</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$33,420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$(22,475)</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60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Unallocated working capital</w:t>
            </w:r>
            <w:r>
              <w:rPr>
                <w:rFonts w:ascii="Arial" w:cs="Arial" w:eastAsia="Arial" w:hAnsi="Arial"/>
                <w:sz w:val="19"/>
                <w:szCs w:val="19"/>
                <w:b w:val="1"/>
                <w:bCs w:val="1"/>
                <w:color w:val="auto"/>
                <w:vertAlign w:val="superscript"/>
              </w:rPr>
              <w:t>(8)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$38,722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$16,247</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$22,475</w:t>
            </w: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$49,667</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$49,667</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
        <w:spacing w:after="0"/>
        <w:rPr>
          <w:sz w:val="20"/>
          <w:szCs w:val="20"/>
          <w:color w:val="auto"/>
        </w:rPr>
      </w:pPr>
      <w:r>
        <w:rPr>
          <w:rFonts w:ascii="Arial" w:cs="Arial" w:eastAsia="Arial" w:hAnsi="Arial"/>
          <w:sz w:val="15"/>
          <w:szCs w:val="15"/>
          <w:b w:val="1"/>
          <w:bCs w:val="1"/>
          <w:u w:val="single" w:color="auto"/>
          <w:color w:val="auto"/>
        </w:rPr>
        <w:t>Notes:</w:t>
      </w:r>
    </w:p>
    <w:p>
      <w:pPr>
        <w:ind w:left="402" w:hanging="402"/>
        <w:spacing w:after="0" w:line="187" w:lineRule="auto"/>
        <w:tabs>
          <w:tab w:leader="none" w:pos="402" w:val="left"/>
        </w:tabs>
        <w:numPr>
          <w:ilvl w:val="0"/>
          <w:numId w:val="32"/>
        </w:numPr>
        <w:rPr>
          <w:rFonts w:ascii="Arial" w:cs="Arial" w:eastAsia="Arial" w:hAnsi="Arial"/>
          <w:sz w:val="15"/>
          <w:szCs w:val="15"/>
          <w:color w:val="auto"/>
        </w:rPr>
      </w:pPr>
      <w:r>
        <w:rPr>
          <w:rFonts w:ascii="Arial" w:cs="Arial" w:eastAsia="Arial" w:hAnsi="Arial"/>
          <w:sz w:val="15"/>
          <w:szCs w:val="15"/>
          <w:color w:val="auto"/>
        </w:rPr>
        <w:t>Certain amounts have been converted from USD to CAD at an exchange rate of 1.26:1.</w:t>
      </w:r>
    </w:p>
    <w:p>
      <w:pPr>
        <w:jc w:val="both"/>
        <w:ind w:left="402" w:hanging="402"/>
        <w:spacing w:after="0" w:line="215" w:lineRule="auto"/>
        <w:tabs>
          <w:tab w:leader="none" w:pos="395"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 light of compelling data related to CYB003, the Company will merge its Psilocybin Program with its deuterated tryptamine CYB003 preclinical program. The Company was previously running the programs in parallel in order to determine the molecules and methods of actions with the most benefits and least amount of drawbacks. This has now evolved into a single program, focusing on both the MDD and AUD indication in the U.S. and UK, to prioritize the advancement of the superior molecule in the most cost effective manner.</w:t>
      </w:r>
    </w:p>
    <w:p>
      <w:pPr>
        <w:spacing w:after="0" w:line="1" w:lineRule="exact"/>
        <w:rPr>
          <w:rFonts w:ascii="Arial" w:cs="Arial" w:eastAsia="Arial" w:hAnsi="Arial"/>
          <w:sz w:val="13"/>
          <w:szCs w:val="13"/>
          <w:color w:val="auto"/>
        </w:rPr>
      </w:pPr>
    </w:p>
    <w:p>
      <w:pPr>
        <w:ind w:left="402" w:hanging="402"/>
        <w:spacing w:after="0" w:line="218" w:lineRule="auto"/>
        <w:tabs>
          <w:tab w:leader="none" w:pos="395"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actual cost is lower than previously anticipated, and as previously disclosed in the Listing Statement, as a result of the termination of the professional services agreement dated June 24, 2020 between Cybin Corp. and Smart Medicines GMP Inc. Prior to the date of the Listing Statement, the Company spent $1,500 on this milestone.</w:t>
      </w:r>
    </w:p>
    <w:p>
      <w:pPr>
        <w:spacing w:after="0" w:line="1" w:lineRule="exact"/>
        <w:rPr>
          <w:rFonts w:ascii="Arial" w:cs="Arial" w:eastAsia="Arial" w:hAnsi="Arial"/>
          <w:sz w:val="14"/>
          <w:szCs w:val="14"/>
          <w:color w:val="auto"/>
        </w:rPr>
      </w:pPr>
    </w:p>
    <w:p>
      <w:pPr>
        <w:ind w:left="402" w:hanging="402"/>
        <w:spacing w:after="0" w:line="221" w:lineRule="auto"/>
        <w:tabs>
          <w:tab w:leader="none" w:pos="402" w:val="left"/>
        </w:tabs>
        <w:numPr>
          <w:ilvl w:val="0"/>
          <w:numId w:val="32"/>
        </w:numPr>
        <w:rPr>
          <w:rFonts w:ascii="Arial" w:cs="Arial" w:eastAsia="Arial" w:hAnsi="Arial"/>
          <w:sz w:val="15"/>
          <w:szCs w:val="15"/>
          <w:color w:val="auto"/>
        </w:rPr>
      </w:pPr>
      <w:r>
        <w:rPr>
          <w:rFonts w:ascii="Arial" w:cs="Arial" w:eastAsia="Arial" w:hAnsi="Arial"/>
          <w:sz w:val="15"/>
          <w:szCs w:val="15"/>
          <w:color w:val="auto"/>
        </w:rPr>
        <w:t>On April 6 2021, the Company provided notice to the Canadian Centre for Psychedelic Science (the “</w:t>
      </w:r>
      <w:r>
        <w:rPr>
          <w:rFonts w:ascii="Arial" w:cs="Arial" w:eastAsia="Arial" w:hAnsi="Arial"/>
          <w:sz w:val="15"/>
          <w:szCs w:val="15"/>
          <w:b w:val="1"/>
          <w:bCs w:val="1"/>
          <w:color w:val="auto"/>
        </w:rPr>
        <w:t>CCPS</w:t>
      </w:r>
      <w:r>
        <w:rPr>
          <w:rFonts w:ascii="Arial" w:cs="Arial" w:eastAsia="Arial" w:hAnsi="Arial"/>
          <w:sz w:val="15"/>
          <w:szCs w:val="15"/>
          <w:color w:val="auto"/>
        </w:rPr>
        <w:t>”) of its decision to terminate this arrangement.</w:t>
      </w:r>
    </w:p>
    <w:p>
      <w:pPr>
        <w:ind w:left="402" w:right="180" w:hanging="402"/>
        <w:spacing w:after="0" w:line="229" w:lineRule="auto"/>
        <w:tabs>
          <w:tab w:leader="none" w:pos="395"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Listing Statement inadvertently duplicated this milestone, which forms part of the estimated cost of the phase IIa and phase IIb MDD study listed below.The Company no longer anticipates to conduct any business activities in Jamaica. The Company intends to complete future clinical trials in the U.S. and the UK.</w:t>
      </w:r>
    </w:p>
    <w:p>
      <w:pPr>
        <w:spacing w:after="0" w:line="1" w:lineRule="exact"/>
        <w:rPr>
          <w:rFonts w:ascii="Arial" w:cs="Arial" w:eastAsia="Arial" w:hAnsi="Arial"/>
          <w:sz w:val="15"/>
          <w:szCs w:val="15"/>
          <w:color w:val="auto"/>
        </w:rPr>
      </w:pPr>
    </w:p>
    <w:p>
      <w:pPr>
        <w:ind w:left="402" w:hanging="402"/>
        <w:spacing w:after="0"/>
        <w:tabs>
          <w:tab w:leader="none" w:pos="395"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Company concluded its evaluation of the Product Line and its related marketing platform and concluded that it would not proceed with this program in order to prioritize the research and development progression of psychedelic molecules.</w:t>
      </w:r>
    </w:p>
    <w:p>
      <w:pPr>
        <w:spacing w:after="0" w:line="1" w:lineRule="exact"/>
        <w:rPr>
          <w:rFonts w:ascii="Arial" w:cs="Arial" w:eastAsia="Arial" w:hAnsi="Arial"/>
          <w:sz w:val="15"/>
          <w:szCs w:val="15"/>
          <w:color w:val="auto"/>
        </w:rPr>
      </w:pPr>
    </w:p>
    <w:p>
      <w:pPr>
        <w:ind w:left="402" w:hanging="402"/>
        <w:spacing w:after="0" w:line="231" w:lineRule="auto"/>
        <w:tabs>
          <w:tab w:leader="none" w:pos="402" w:val="left"/>
        </w:tabs>
        <w:numPr>
          <w:ilvl w:val="0"/>
          <w:numId w:val="32"/>
        </w:numPr>
        <w:rPr>
          <w:rFonts w:ascii="Arial" w:cs="Arial" w:eastAsia="Arial" w:hAnsi="Arial"/>
          <w:sz w:val="14"/>
          <w:szCs w:val="14"/>
          <w:color w:val="auto"/>
        </w:rPr>
      </w:pPr>
      <w:r>
        <w:rPr>
          <w:rFonts w:ascii="Arial" w:cs="Arial" w:eastAsia="Arial" w:hAnsi="Arial"/>
          <w:sz w:val="14"/>
          <w:szCs w:val="14"/>
          <w:color w:val="auto"/>
        </w:rPr>
        <w:t>General and administrative expenses are comprised of payroll consulting and benefits $5,799, office and administrative $7,586, marketing investor relations $10,392.</w:t>
      </w:r>
    </w:p>
    <w:p>
      <w:pPr>
        <w:ind w:left="402" w:hanging="402"/>
        <w:spacing w:after="0"/>
        <w:tabs>
          <w:tab w:leader="none" w:pos="402"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unallocated working balance will be held in short-term, investment grade, interest-bearing securities, in government securities or in bank accounts at the discretion of management.</w:t>
      </w:r>
    </w:p>
    <w:p>
      <w:pPr>
        <w:spacing w:after="0" w:line="209"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The below table describes the differences between the Company’s anticipated use of proceeds as disclosed in the Company’s public offering completed on February 4, 2021 as described in its final prospectus dated February 1, 2021 (the “</w:t>
      </w:r>
      <w:r>
        <w:rPr>
          <w:rFonts w:ascii="Arial" w:cs="Arial" w:eastAsia="Arial" w:hAnsi="Arial"/>
          <w:sz w:val="18"/>
          <w:szCs w:val="18"/>
          <w:b w:val="1"/>
          <w:bCs w:val="1"/>
          <w:color w:val="auto"/>
        </w:rPr>
        <w:t>February 2021 Prospectus</w:t>
      </w:r>
      <w:r>
        <w:rPr>
          <w:rFonts w:ascii="Arial" w:cs="Arial" w:eastAsia="Arial" w:hAnsi="Arial"/>
          <w:sz w:val="18"/>
          <w:szCs w:val="18"/>
          <w:color w:val="auto"/>
        </w:rPr>
        <w:t>”), and the Company’s actual use of proceeds from that offering as at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2"/>
          </w:cols>
          <w:pgMar w:left="318" w:top="731" w:right="339" w:bottom="1440" w:gutter="0" w:footer="0" w:header="0"/>
        </w:sectPr>
      </w:pPr>
    </w:p>
    <w:bookmarkStart w:id="40" w:name="page41"/>
    <w:bookmarkEnd w:id="40"/>
    <w:tbl>
      <w:tblPr>
        <w:tblLayout w:type="fixed"/>
        <w:tblInd w:w="12" w:type="dxa"/>
        <w:tblCellMar>
          <w:top w:w="0" w:type="dxa"/>
          <w:left w:w="0" w:type="dxa"/>
          <w:bottom w:w="0" w:type="dxa"/>
          <w:right w:w="0" w:type="dxa"/>
        </w:tblCellMar>
      </w:tblPr>
      <w:tr>
        <w:trPr>
          <w:trHeight w:val="318"/>
        </w:trPr>
        <w:tc>
          <w:tcPr>
            <w:tcW w:w="100" w:type="dxa"/>
            <w:vAlign w:val="bottom"/>
            <w:tcBorders>
              <w:top w:val="single" w:sz="8" w:color="auto"/>
              <w:left w:val="single" w:sz="8" w:color="auto"/>
              <w:right w:val="single" w:sz="8" w:color="D9D9D9"/>
            </w:tcBorders>
            <w:shd w:val="clear" w:color="auto" w:fill="D9D9D9"/>
          </w:tcPr>
          <w:p>
            <w:pPr>
              <w:spacing w:after="0"/>
              <w:rPr>
                <w:sz w:val="24"/>
                <w:szCs w:val="24"/>
                <w:color w:val="auto"/>
              </w:rPr>
            </w:pPr>
          </w:p>
        </w:tc>
        <w:tc>
          <w:tcPr>
            <w:tcW w:w="5960" w:type="dxa"/>
            <w:vAlign w:val="bottom"/>
            <w:tcBorders>
              <w:top w:val="single" w:sz="8" w:color="auto"/>
              <w:right w:val="single" w:sz="8" w:color="auto"/>
            </w:tcBorders>
            <w:shd w:val="clear" w:color="auto" w:fill="D9D9D9"/>
          </w:tcPr>
          <w:p>
            <w:pPr>
              <w:ind w:left="1880"/>
              <w:spacing w:after="0"/>
              <w:rPr>
                <w:sz w:val="20"/>
                <w:szCs w:val="20"/>
                <w:color w:val="auto"/>
              </w:rPr>
            </w:pPr>
            <w:r>
              <w:rPr>
                <w:rFonts w:ascii="Arial" w:cs="Arial" w:eastAsia="Arial" w:hAnsi="Arial"/>
                <w:sz w:val="15"/>
                <w:szCs w:val="15"/>
                <w:b w:val="1"/>
                <w:bCs w:val="1"/>
                <w:color w:val="auto"/>
              </w:rPr>
              <w:t>Use of Available Funds ($000’s)</w:t>
            </w:r>
            <w:r>
              <w:rPr>
                <w:rFonts w:ascii="Arial" w:cs="Arial" w:eastAsia="Arial" w:hAnsi="Arial"/>
                <w:sz w:val="19"/>
                <w:szCs w:val="19"/>
                <w:b w:val="1"/>
                <w:bCs w:val="1"/>
                <w:color w:val="auto"/>
                <w:vertAlign w:val="superscript"/>
              </w:rPr>
              <w:t>(1)</w:t>
            </w:r>
          </w:p>
        </w:tc>
        <w:tc>
          <w:tcPr>
            <w:tcW w:w="1540" w:type="dxa"/>
            <w:vAlign w:val="bottom"/>
            <w:tcBorders>
              <w:top w:val="single" w:sz="8" w:color="auto"/>
              <w:right w:val="single" w:sz="8" w:color="auto"/>
            </w:tcBorders>
            <w:vMerge w:val="restart"/>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84"/>
              </w:rPr>
              <w:t>Previous Disclosure</w:t>
            </w:r>
          </w:p>
        </w:tc>
        <w:tc>
          <w:tcPr>
            <w:tcW w:w="1540" w:type="dxa"/>
            <w:vAlign w:val="bottom"/>
            <w:tcBorders>
              <w:top w:val="single" w:sz="8" w:color="auto"/>
              <w:right w:val="single" w:sz="8" w:color="auto"/>
            </w:tcBorders>
            <w:shd w:val="clear" w:color="auto" w:fill="D9D9D9"/>
          </w:tcPr>
          <w:p>
            <w:pPr>
              <w:spacing w:after="0"/>
              <w:rPr>
                <w:sz w:val="24"/>
                <w:szCs w:val="24"/>
                <w:color w:val="auto"/>
              </w:rPr>
            </w:pPr>
          </w:p>
        </w:tc>
        <w:tc>
          <w:tcPr>
            <w:tcW w:w="1980" w:type="dxa"/>
            <w:vAlign w:val="bottom"/>
            <w:tcBorders>
              <w:top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00" w:type="dxa"/>
            <w:vAlign w:val="bottom"/>
            <w:tcBorders>
              <w:left w:val="single" w:sz="8" w:color="auto"/>
              <w:right w:val="single" w:sz="8" w:color="D9D9D9"/>
            </w:tcBorders>
            <w:shd w:val="clear" w:color="auto" w:fill="D9D9D9"/>
          </w:tcPr>
          <w:p>
            <w:pPr>
              <w:spacing w:after="0"/>
              <w:rPr>
                <w:sz w:val="3"/>
                <w:szCs w:val="3"/>
                <w:color w:val="auto"/>
              </w:rPr>
            </w:pPr>
          </w:p>
        </w:tc>
        <w:tc>
          <w:tcPr>
            <w:tcW w:w="5960" w:type="dxa"/>
            <w:vAlign w:val="bottom"/>
            <w:tcBorders>
              <w:right w:val="single" w:sz="8" w:color="auto"/>
            </w:tcBorders>
            <w:shd w:val="clear" w:color="auto" w:fill="D9D9D9"/>
          </w:tcPr>
          <w:p>
            <w:pPr>
              <w:spacing w:after="0"/>
              <w:rPr>
                <w:sz w:val="3"/>
                <w:szCs w:val="3"/>
                <w:color w:val="auto"/>
              </w:rPr>
            </w:pPr>
          </w:p>
        </w:tc>
        <w:tc>
          <w:tcPr>
            <w:tcW w:w="1540" w:type="dxa"/>
            <w:vAlign w:val="bottom"/>
            <w:tcBorders>
              <w:right w:val="single" w:sz="8" w:color="auto"/>
            </w:tcBorders>
            <w:vMerge w:val="continue"/>
            <w:shd w:val="clear" w:color="auto" w:fill="D9D9D9"/>
          </w:tcPr>
          <w:p>
            <w:pPr>
              <w:spacing w:after="0"/>
              <w:rPr>
                <w:sz w:val="3"/>
                <w:szCs w:val="3"/>
                <w:color w:val="auto"/>
              </w:rPr>
            </w:pPr>
          </w:p>
        </w:tc>
        <w:tc>
          <w:tcPr>
            <w:tcW w:w="1540" w:type="dxa"/>
            <w:vAlign w:val="bottom"/>
            <w:tcBorders>
              <w:right w:val="single" w:sz="8" w:color="auto"/>
            </w:tcBorders>
            <w:shd w:val="clear" w:color="auto" w:fill="D9D9D9"/>
          </w:tcPr>
          <w:p>
            <w:pPr>
              <w:spacing w:after="0"/>
              <w:rPr>
                <w:sz w:val="3"/>
                <w:szCs w:val="3"/>
                <w:color w:val="auto"/>
              </w:rPr>
            </w:pPr>
          </w:p>
        </w:tc>
        <w:tc>
          <w:tcPr>
            <w:tcW w:w="1980" w:type="dxa"/>
            <w:vAlign w:val="bottom"/>
            <w:tcBorders>
              <w:right w:val="single" w:sz="8" w:color="auto"/>
            </w:tcBorders>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Borders>
              <w:left w:val="single" w:sz="8" w:color="auto"/>
              <w:right w:val="single" w:sz="8" w:color="D9D9D9"/>
            </w:tcBorders>
            <w:shd w:val="clear" w:color="auto" w:fill="D9D9D9"/>
          </w:tcPr>
          <w:p>
            <w:pPr>
              <w:spacing w:after="0"/>
              <w:rPr>
                <w:sz w:val="15"/>
                <w:szCs w:val="15"/>
                <w:color w:val="auto"/>
              </w:rPr>
            </w:pPr>
          </w:p>
        </w:tc>
        <w:tc>
          <w:tcPr>
            <w:tcW w:w="5960" w:type="dxa"/>
            <w:vAlign w:val="bottom"/>
            <w:tcBorders>
              <w:right w:val="single" w:sz="8" w:color="auto"/>
            </w:tcBorders>
            <w:shd w:val="clear" w:color="auto" w:fill="D9D9D9"/>
          </w:tcPr>
          <w:p>
            <w:pPr>
              <w:spacing w:after="0"/>
              <w:rPr>
                <w:sz w:val="15"/>
                <w:szCs w:val="15"/>
                <w:color w:val="auto"/>
              </w:rPr>
            </w:pPr>
          </w:p>
        </w:tc>
        <w:tc>
          <w:tcPr>
            <w:tcW w:w="1540" w:type="dxa"/>
            <w:vAlign w:val="bottom"/>
            <w:tcBorders>
              <w:right w:val="single" w:sz="8" w:color="auto"/>
            </w:tcBorders>
            <w:shd w:val="clear" w:color="auto" w:fill="D9D9D9"/>
          </w:tcPr>
          <w:p>
            <w:pPr>
              <w:jc w:val="center"/>
              <w:ind w:right="27"/>
              <w:spacing w:after="0"/>
              <w:rPr>
                <w:sz w:val="20"/>
                <w:szCs w:val="20"/>
                <w:color w:val="auto"/>
              </w:rPr>
            </w:pPr>
            <w:r>
              <w:rPr>
                <w:rFonts w:ascii="Arial" w:cs="Arial" w:eastAsia="Arial" w:hAnsi="Arial"/>
                <w:sz w:val="15"/>
                <w:szCs w:val="15"/>
                <w:b w:val="1"/>
                <w:bCs w:val="1"/>
                <w:color w:val="auto"/>
                <w:w w:val="86"/>
              </w:rPr>
              <w:t>Regarding Use</w:t>
            </w:r>
          </w:p>
        </w:tc>
        <w:tc>
          <w:tcPr>
            <w:tcW w:w="15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Actual Use of Proceeds</w:t>
            </w:r>
          </w:p>
        </w:tc>
        <w:tc>
          <w:tcPr>
            <w:tcW w:w="1980" w:type="dxa"/>
            <w:vAlign w:val="bottom"/>
            <w:tcBorders>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left w:val="single" w:sz="8" w:color="auto"/>
              <w:right w:val="single" w:sz="8" w:color="D9D9D9"/>
            </w:tcBorders>
            <w:shd w:val="clear" w:color="auto" w:fill="D9D9D9"/>
          </w:tcPr>
          <w:p>
            <w:pPr>
              <w:spacing w:after="0"/>
              <w:rPr>
                <w:sz w:val="15"/>
                <w:szCs w:val="15"/>
                <w:color w:val="auto"/>
              </w:rPr>
            </w:pPr>
          </w:p>
        </w:tc>
        <w:tc>
          <w:tcPr>
            <w:tcW w:w="5960" w:type="dxa"/>
            <w:vAlign w:val="bottom"/>
            <w:tcBorders>
              <w:right w:val="single" w:sz="8" w:color="auto"/>
            </w:tcBorders>
            <w:shd w:val="clear" w:color="auto" w:fill="D9D9D9"/>
          </w:tcPr>
          <w:p>
            <w:pPr>
              <w:spacing w:after="0"/>
              <w:rPr>
                <w:sz w:val="15"/>
                <w:szCs w:val="15"/>
                <w:color w:val="auto"/>
              </w:rPr>
            </w:pPr>
          </w:p>
        </w:tc>
        <w:tc>
          <w:tcPr>
            <w:tcW w:w="1540" w:type="dxa"/>
            <w:vAlign w:val="bottom"/>
            <w:tcBorders>
              <w:right w:val="single" w:sz="8" w:color="auto"/>
            </w:tcBorders>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84"/>
              </w:rPr>
              <w:t>of Proceeds in the</w:t>
            </w:r>
          </w:p>
        </w:tc>
        <w:tc>
          <w:tcPr>
            <w:tcW w:w="1540" w:type="dxa"/>
            <w:vAlign w:val="bottom"/>
            <w:tcBorders>
              <w:right w:val="single" w:sz="8" w:color="auto"/>
            </w:tcBorders>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86"/>
              </w:rPr>
              <w:t>as at September 30,</w:t>
            </w:r>
          </w:p>
        </w:tc>
        <w:tc>
          <w:tcPr>
            <w:tcW w:w="19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9"/>
              </w:rPr>
              <w:t>Variance</w:t>
            </w:r>
          </w:p>
        </w:tc>
        <w:tc>
          <w:tcPr>
            <w:tcW w:w="0" w:type="dxa"/>
            <w:vAlign w:val="bottom"/>
          </w:tcPr>
          <w:p>
            <w:pPr>
              <w:spacing w:after="0"/>
              <w:rPr>
                <w:sz w:val="1"/>
                <w:szCs w:val="1"/>
                <w:color w:val="auto"/>
              </w:rPr>
            </w:pPr>
          </w:p>
        </w:tc>
      </w:tr>
      <w:tr>
        <w:trPr>
          <w:trHeight w:val="183"/>
        </w:trPr>
        <w:tc>
          <w:tcPr>
            <w:tcW w:w="100" w:type="dxa"/>
            <w:vAlign w:val="bottom"/>
            <w:tcBorders>
              <w:left w:val="single" w:sz="8" w:color="auto"/>
              <w:right w:val="single" w:sz="8" w:color="D9D9D9"/>
            </w:tcBorders>
            <w:shd w:val="clear" w:color="auto" w:fill="D9D9D9"/>
          </w:tcPr>
          <w:p>
            <w:pPr>
              <w:spacing w:after="0"/>
              <w:rPr>
                <w:sz w:val="15"/>
                <w:szCs w:val="15"/>
                <w:color w:val="auto"/>
              </w:rPr>
            </w:pPr>
          </w:p>
        </w:tc>
        <w:tc>
          <w:tcPr>
            <w:tcW w:w="5960" w:type="dxa"/>
            <w:vAlign w:val="bottom"/>
            <w:tcBorders>
              <w:right w:val="single" w:sz="8" w:color="auto"/>
            </w:tcBorders>
            <w:shd w:val="clear" w:color="auto" w:fill="D9D9D9"/>
          </w:tcPr>
          <w:p>
            <w:pPr>
              <w:spacing w:after="0"/>
              <w:rPr>
                <w:sz w:val="15"/>
                <w:szCs w:val="15"/>
                <w:color w:val="auto"/>
              </w:rPr>
            </w:pPr>
          </w:p>
        </w:tc>
        <w:tc>
          <w:tcPr>
            <w:tcW w:w="1540" w:type="dxa"/>
            <w:vAlign w:val="bottom"/>
            <w:tcBorders>
              <w:right w:val="single" w:sz="8" w:color="auto"/>
            </w:tcBorders>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92"/>
              </w:rPr>
              <w:t>February 2021</w:t>
            </w:r>
          </w:p>
        </w:tc>
        <w:tc>
          <w:tcPr>
            <w:tcW w:w="1540" w:type="dxa"/>
            <w:vAlign w:val="bottom"/>
            <w:tcBorders>
              <w:right w:val="single" w:sz="8" w:color="auto"/>
            </w:tcBorders>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89"/>
              </w:rPr>
              <w:t>2021</w:t>
            </w:r>
          </w:p>
        </w:tc>
        <w:tc>
          <w:tcPr>
            <w:tcW w:w="1980" w:type="dxa"/>
            <w:vAlign w:val="bottom"/>
            <w:tcBorders>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auto"/>
              <w:right w:val="single" w:sz="8" w:color="D9D9D9"/>
            </w:tcBorders>
            <w:shd w:val="clear" w:color="auto" w:fill="D9D9D9"/>
          </w:tcPr>
          <w:p>
            <w:pPr>
              <w:spacing w:after="0"/>
              <w:rPr>
                <w:sz w:val="16"/>
                <w:szCs w:val="16"/>
                <w:color w:val="auto"/>
              </w:rPr>
            </w:pPr>
          </w:p>
        </w:tc>
        <w:tc>
          <w:tcPr>
            <w:tcW w:w="5960" w:type="dxa"/>
            <w:vAlign w:val="bottom"/>
            <w:tcBorders>
              <w:right w:val="single" w:sz="8" w:color="auto"/>
            </w:tcBorders>
            <w:shd w:val="clear" w:color="auto" w:fill="D9D9D9"/>
          </w:tcPr>
          <w:p>
            <w:pPr>
              <w:spacing w:after="0"/>
              <w:rPr>
                <w:sz w:val="16"/>
                <w:szCs w:val="16"/>
                <w:color w:val="auto"/>
              </w:rPr>
            </w:pPr>
          </w:p>
        </w:tc>
        <w:tc>
          <w:tcPr>
            <w:tcW w:w="15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3"/>
              </w:rPr>
              <w:t>Prospectus</w:t>
            </w:r>
          </w:p>
        </w:tc>
        <w:tc>
          <w:tcPr>
            <w:tcW w:w="1540" w:type="dxa"/>
            <w:vAlign w:val="bottom"/>
            <w:tcBorders>
              <w:right w:val="single" w:sz="8" w:color="auto"/>
            </w:tcBorders>
            <w:shd w:val="clear" w:color="auto" w:fill="D9D9D9"/>
          </w:tcPr>
          <w:p>
            <w:pPr>
              <w:spacing w:after="0"/>
              <w:rPr>
                <w:sz w:val="16"/>
                <w:szCs w:val="16"/>
                <w:color w:val="auto"/>
              </w:rPr>
            </w:pPr>
          </w:p>
        </w:tc>
        <w:tc>
          <w:tcPr>
            <w:tcW w:w="198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0" w:type="dxa"/>
            <w:vAlign w:val="bottom"/>
            <w:tcBorders>
              <w:left w:val="single" w:sz="8" w:color="auto"/>
              <w:bottom w:val="single" w:sz="8" w:color="auto"/>
              <w:right w:val="single" w:sz="8" w:color="D9D9D9"/>
            </w:tcBorders>
            <w:shd w:val="clear" w:color="auto" w:fill="D9D9D9"/>
          </w:tcPr>
          <w:p>
            <w:pPr>
              <w:spacing w:after="0"/>
              <w:rPr>
                <w:sz w:val="15"/>
                <w:szCs w:val="15"/>
                <w:color w:val="auto"/>
              </w:rPr>
            </w:pPr>
          </w:p>
        </w:tc>
        <w:tc>
          <w:tcPr>
            <w:tcW w:w="5960" w:type="dxa"/>
            <w:vAlign w:val="bottom"/>
            <w:tcBorders>
              <w:bottom w:val="single" w:sz="8" w:color="auto"/>
              <w:right w:val="single" w:sz="8" w:color="auto"/>
            </w:tcBorders>
            <w:shd w:val="clear" w:color="auto" w:fill="D9D9D9"/>
          </w:tcPr>
          <w:p>
            <w:pPr>
              <w:spacing w:after="0"/>
              <w:rPr>
                <w:sz w:val="15"/>
                <w:szCs w:val="15"/>
                <w:color w:val="auto"/>
              </w:rPr>
            </w:pPr>
          </w:p>
        </w:tc>
        <w:tc>
          <w:tcPr>
            <w:tcW w:w="1540" w:type="dxa"/>
            <w:vAlign w:val="bottom"/>
            <w:tcBorders>
              <w:bottom w:val="single" w:sz="8" w:color="auto"/>
              <w:right w:val="single" w:sz="8" w:color="auto"/>
            </w:tcBorders>
            <w:shd w:val="clear" w:color="auto" w:fill="D9D9D9"/>
          </w:tcPr>
          <w:p>
            <w:pPr>
              <w:spacing w:after="0"/>
              <w:rPr>
                <w:sz w:val="15"/>
                <w:szCs w:val="15"/>
                <w:color w:val="auto"/>
              </w:rPr>
            </w:pPr>
          </w:p>
        </w:tc>
        <w:tc>
          <w:tcPr>
            <w:tcW w:w="1540" w:type="dxa"/>
            <w:vAlign w:val="bottom"/>
            <w:tcBorders>
              <w:bottom w:val="single" w:sz="8" w:color="auto"/>
              <w:right w:val="single" w:sz="8" w:color="auto"/>
            </w:tcBorders>
            <w:shd w:val="clear" w:color="auto" w:fill="D9D9D9"/>
          </w:tcPr>
          <w:p>
            <w:pPr>
              <w:spacing w:after="0"/>
              <w:rPr>
                <w:sz w:val="15"/>
                <w:szCs w:val="15"/>
                <w:color w:val="auto"/>
              </w:rPr>
            </w:pPr>
          </w:p>
        </w:tc>
        <w:tc>
          <w:tcPr>
            <w:tcW w:w="198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5960" w:type="dxa"/>
            <w:vAlign w:val="bottom"/>
            <w:tcBorders>
              <w:bottom w:val="single" w:sz="8" w:color="auto"/>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Deuterated Psilocybin Analog Program (formerly the Psilocybin Program)</w:t>
            </w:r>
            <w:r>
              <w:rPr>
                <w:rFonts w:ascii="Arial" w:cs="Arial" w:eastAsia="Arial" w:hAnsi="Arial"/>
                <w:sz w:val="19"/>
                <w:szCs w:val="19"/>
                <w:b w:val="1"/>
                <w:bCs w:val="1"/>
                <w:color w:val="auto"/>
                <w:vertAlign w:val="superscript"/>
              </w:rPr>
              <w:t>(2)</w:t>
            </w:r>
          </w:p>
        </w:tc>
        <w:tc>
          <w:tcPr>
            <w:tcW w:w="1540" w:type="dxa"/>
            <w:vAlign w:val="bottom"/>
            <w:tcBorders>
              <w:bottom w:val="single" w:sz="8" w:color="auto"/>
              <w:right w:val="single" w:sz="8" w:color="D9D9D9"/>
            </w:tcBorders>
            <w:shd w:val="clear" w:color="auto" w:fill="D9D9D9"/>
          </w:tcPr>
          <w:p>
            <w:pPr>
              <w:spacing w:after="0"/>
              <w:rPr>
                <w:sz w:val="19"/>
                <w:szCs w:val="19"/>
                <w:color w:val="auto"/>
              </w:rPr>
            </w:pPr>
          </w:p>
        </w:tc>
        <w:tc>
          <w:tcPr>
            <w:tcW w:w="1540" w:type="dxa"/>
            <w:vAlign w:val="bottom"/>
            <w:tcBorders>
              <w:bottom w:val="single" w:sz="8" w:color="auto"/>
              <w:right w:val="single" w:sz="8" w:color="D9D9D9"/>
            </w:tcBorders>
            <w:shd w:val="clear" w:color="auto" w:fill="D9D9D9"/>
          </w:tcPr>
          <w:p>
            <w:pPr>
              <w:spacing w:after="0"/>
              <w:rPr>
                <w:sz w:val="19"/>
                <w:szCs w:val="19"/>
                <w:color w:val="auto"/>
              </w:rPr>
            </w:pPr>
          </w:p>
        </w:tc>
        <w:tc>
          <w:tcPr>
            <w:tcW w:w="198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Chemically develop and synthesize psychedelic API</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7"/>
              </w:rPr>
              <w:t>$21</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$(21)</w:t>
            </w:r>
          </w:p>
        </w:tc>
        <w:tc>
          <w:tcPr>
            <w:tcW w:w="0" w:type="dxa"/>
            <w:vAlign w:val="bottom"/>
          </w:tcPr>
          <w:p>
            <w:pPr>
              <w:spacing w:after="0"/>
              <w:rPr>
                <w:sz w:val="1"/>
                <w:szCs w:val="1"/>
                <w:color w:val="auto"/>
              </w:rPr>
            </w:pPr>
          </w:p>
        </w:tc>
      </w:tr>
      <w:tr>
        <w:trPr>
          <w:trHeight w:val="29"/>
        </w:trPr>
        <w:tc>
          <w:tcPr>
            <w:tcW w:w="6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Development of psilocybin Sublingual Film</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$238</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3"/>
              </w:rPr>
              <w:t>$3</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$235</w:t>
            </w:r>
          </w:p>
        </w:tc>
        <w:tc>
          <w:tcPr>
            <w:tcW w:w="0" w:type="dxa"/>
            <w:vAlign w:val="bottom"/>
          </w:tcPr>
          <w:p>
            <w:pPr>
              <w:spacing w:after="0"/>
              <w:rPr>
                <w:sz w:val="1"/>
                <w:szCs w:val="1"/>
                <w:color w:val="auto"/>
              </w:rPr>
            </w:pPr>
          </w:p>
        </w:tc>
      </w:tr>
      <w:tr>
        <w:trPr>
          <w:trHeight w:val="29"/>
        </w:trPr>
        <w:tc>
          <w:tcPr>
            <w:tcW w:w="6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Phase IIa MDD study completed with data</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$600</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$737</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$(137)</w:t>
            </w:r>
          </w:p>
        </w:tc>
        <w:tc>
          <w:tcPr>
            <w:tcW w:w="0" w:type="dxa"/>
            <w:vAlign w:val="bottom"/>
          </w:tcPr>
          <w:p>
            <w:pPr>
              <w:spacing w:after="0"/>
              <w:rPr>
                <w:sz w:val="1"/>
                <w:szCs w:val="1"/>
                <w:color w:val="auto"/>
              </w:rPr>
            </w:pPr>
          </w:p>
        </w:tc>
      </w:tr>
      <w:tr>
        <w:trPr>
          <w:trHeight w:val="225"/>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Phase IIb MDD study completed with data</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$1,000</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$1,000</w:t>
            </w:r>
          </w:p>
        </w:tc>
        <w:tc>
          <w:tcPr>
            <w:tcW w:w="0" w:type="dxa"/>
            <w:vAlign w:val="bottom"/>
          </w:tcPr>
          <w:p>
            <w:pPr>
              <w:spacing w:after="0"/>
              <w:rPr>
                <w:sz w:val="1"/>
                <w:szCs w:val="1"/>
                <w:color w:val="auto"/>
              </w:rPr>
            </w:pPr>
          </w:p>
        </w:tc>
      </w:tr>
      <w:tr>
        <w:trPr>
          <w:trHeight w:val="203"/>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Support of additional phase IIb study sites in Canada and the United States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$1,950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$512</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$1,438</w:t>
            </w:r>
          </w:p>
        </w:tc>
        <w:tc>
          <w:tcPr>
            <w:tcW w:w="0" w:type="dxa"/>
            <w:vAlign w:val="bottom"/>
          </w:tcPr>
          <w:p>
            <w:pPr>
              <w:spacing w:after="0"/>
              <w:rPr>
                <w:sz w:val="1"/>
                <w:szCs w:val="1"/>
                <w:color w:val="auto"/>
              </w:rPr>
            </w:pPr>
          </w:p>
        </w:tc>
      </w:tr>
      <w:tr>
        <w:trPr>
          <w:trHeight w:val="29"/>
        </w:trPr>
        <w:tc>
          <w:tcPr>
            <w:tcW w:w="6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Commence microdose study with the Canadian Centre for Psychedelic Science</w:t>
            </w:r>
            <w:r>
              <w:rPr>
                <w:rFonts w:ascii="Arial" w:cs="Arial" w:eastAsia="Arial" w:hAnsi="Arial"/>
                <w:sz w:val="19"/>
                <w:szCs w:val="19"/>
                <w:color w:val="auto"/>
                <w:vertAlign w:val="superscript"/>
              </w:rPr>
              <w:t>(3)</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7"/>
              </w:rPr>
              <w:t>$50</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$50</w:t>
            </w:r>
          </w:p>
        </w:tc>
        <w:tc>
          <w:tcPr>
            <w:tcW w:w="0" w:type="dxa"/>
            <w:vAlign w:val="bottom"/>
          </w:tcPr>
          <w:p>
            <w:pPr>
              <w:spacing w:after="0"/>
              <w:rPr>
                <w:sz w:val="1"/>
                <w:szCs w:val="1"/>
                <w:color w:val="auto"/>
              </w:rPr>
            </w:pPr>
          </w:p>
        </w:tc>
      </w:tr>
      <w:tr>
        <w:trPr>
          <w:trHeight w:val="225"/>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Commence safety and efficacy clinical study with the University of the West Indies</w:t>
            </w:r>
            <w:r>
              <w:rPr>
                <w:rFonts w:ascii="Arial" w:cs="Arial" w:eastAsia="Arial" w:hAnsi="Arial"/>
                <w:sz w:val="19"/>
                <w:szCs w:val="19"/>
                <w:color w:val="auto"/>
                <w:vertAlign w:val="superscript"/>
              </w:rPr>
              <w:t>(4)</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N/A</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Deuterated Tryptamines Preclinical Programs</w:t>
            </w: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w w:val="96"/>
              </w:rPr>
              <w:t>Progression of CYB003 for phase I studies readiness and utilization of the associated delivery</w:t>
            </w:r>
          </w:p>
        </w:tc>
        <w:tc>
          <w:tcPr>
            <w:tcW w:w="1540" w:type="dxa"/>
            <w:vAlign w:val="bottom"/>
            <w:tcBorders>
              <w:top w:val="single" w:sz="8" w:color="auto"/>
              <w:right w:val="single" w:sz="8" w:color="auto"/>
            </w:tcBorders>
          </w:tcPr>
          <w:p>
            <w:pPr>
              <w:spacing w:after="0"/>
              <w:rPr>
                <w:sz w:val="16"/>
                <w:szCs w:val="16"/>
                <w:color w:val="auto"/>
              </w:rPr>
            </w:pPr>
          </w:p>
        </w:tc>
        <w:tc>
          <w:tcPr>
            <w:tcW w:w="1540" w:type="dxa"/>
            <w:vAlign w:val="bottom"/>
            <w:tcBorders>
              <w:top w:val="single" w:sz="8" w:color="auto"/>
              <w:right w:val="single" w:sz="8" w:color="auto"/>
            </w:tcBorders>
          </w:tcPr>
          <w:p>
            <w:pPr>
              <w:spacing w:after="0"/>
              <w:rPr>
                <w:sz w:val="16"/>
                <w:szCs w:val="16"/>
                <w:color w:val="auto"/>
              </w:rPr>
            </w:pPr>
          </w:p>
        </w:tc>
        <w:tc>
          <w:tcPr>
            <w:tcW w:w="19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platform</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$5,720</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$1,748</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$3,972</w:t>
            </w:r>
          </w:p>
        </w:tc>
        <w:tc>
          <w:tcPr>
            <w:tcW w:w="0" w:type="dxa"/>
            <w:vAlign w:val="bottom"/>
          </w:tcPr>
          <w:p>
            <w:pPr>
              <w:spacing w:after="0"/>
              <w:rPr>
                <w:sz w:val="1"/>
                <w:szCs w:val="1"/>
                <w:color w:val="auto"/>
              </w:rPr>
            </w:pPr>
          </w:p>
        </w:tc>
      </w:tr>
      <w:tr>
        <w:trPr>
          <w:trHeight w:val="29"/>
        </w:trPr>
        <w:tc>
          <w:tcPr>
            <w:tcW w:w="6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Progression of CYB004 for phase I studies readiness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$6,200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$912</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$5,288</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Phenethylamine Preclinical Development Program</w:t>
            </w: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Phenethylamine preclinical development program</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$2,600</w:t>
            </w:r>
          </w:p>
        </w:tc>
        <w:tc>
          <w:tcPr>
            <w:tcW w:w="1540" w:type="dxa"/>
            <w:vAlign w:val="bottom"/>
            <w:tcBorders>
              <w:top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$378</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$2,222</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9"/>
        </w:trPr>
        <w:tc>
          <w:tcPr>
            <w:tcW w:w="10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59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Nutraceutical Products</w:t>
            </w:r>
            <w:r>
              <w:rPr>
                <w:rFonts w:ascii="Arial" w:cs="Arial" w:eastAsia="Arial" w:hAnsi="Arial"/>
                <w:sz w:val="19"/>
                <w:szCs w:val="19"/>
                <w:b w:val="1"/>
                <w:bCs w:val="1"/>
                <w:color w:val="auto"/>
                <w:vertAlign w:val="superscript"/>
              </w:rPr>
              <w:t>(5)</w:t>
            </w:r>
          </w:p>
        </w:tc>
        <w:tc>
          <w:tcPr>
            <w:tcW w:w="1540" w:type="dxa"/>
            <w:vAlign w:val="bottom"/>
            <w:tcBorders>
              <w:bottom w:val="single" w:sz="8" w:color="D9D9D9"/>
              <w:right w:val="single" w:sz="8" w:color="D9D9D9"/>
            </w:tcBorders>
            <w:shd w:val="clear" w:color="auto" w:fill="D9D9D9"/>
          </w:tcPr>
          <w:p>
            <w:pPr>
              <w:spacing w:after="0"/>
              <w:rPr>
                <w:sz w:val="24"/>
                <w:szCs w:val="24"/>
                <w:color w:val="auto"/>
              </w:rPr>
            </w:pPr>
          </w:p>
        </w:tc>
        <w:tc>
          <w:tcPr>
            <w:tcW w:w="1540" w:type="dxa"/>
            <w:vAlign w:val="bottom"/>
            <w:tcBorders>
              <w:bottom w:val="single" w:sz="8" w:color="D9D9D9"/>
              <w:right w:val="single" w:sz="8" w:color="D9D9D9"/>
            </w:tcBorders>
            <w:shd w:val="clear" w:color="auto" w:fill="D9D9D9"/>
          </w:tcPr>
          <w:p>
            <w:pPr>
              <w:spacing w:after="0"/>
              <w:rPr>
                <w:sz w:val="24"/>
                <w:szCs w:val="24"/>
                <w:color w:val="auto"/>
              </w:rPr>
            </w:pPr>
          </w:p>
        </w:tc>
        <w:tc>
          <w:tcPr>
            <w:tcW w:w="1980" w:type="dxa"/>
            <w:vAlign w:val="bottom"/>
            <w:tcBorders>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Inventory fulfilment</w:t>
            </w:r>
          </w:p>
        </w:tc>
        <w:tc>
          <w:tcPr>
            <w:tcW w:w="1540" w:type="dxa"/>
            <w:vAlign w:val="bottom"/>
            <w:tcBorders>
              <w:top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$200</w:t>
            </w:r>
          </w:p>
        </w:tc>
        <w:tc>
          <w:tcPr>
            <w:tcW w:w="1540" w:type="dxa"/>
            <w:vAlign w:val="bottom"/>
            <w:tcBorders>
              <w:top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3"/>
              </w:rPr>
              <w:t>$200</w:t>
            </w:r>
          </w:p>
        </w:tc>
        <w:tc>
          <w:tcPr>
            <w:tcW w:w="0" w:type="dxa"/>
            <w:vAlign w:val="bottom"/>
          </w:tcPr>
          <w:p>
            <w:pPr>
              <w:spacing w:after="0"/>
              <w:rPr>
                <w:sz w:val="1"/>
                <w:szCs w:val="1"/>
                <w:color w:val="auto"/>
              </w:rPr>
            </w:pPr>
          </w:p>
        </w:tc>
      </w:tr>
      <w:tr>
        <w:trPr>
          <w:trHeight w:val="29"/>
        </w:trPr>
        <w:tc>
          <w:tcPr>
            <w:tcW w:w="6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Product deployment</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$200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$200</w:t>
            </w:r>
          </w:p>
        </w:tc>
        <w:tc>
          <w:tcPr>
            <w:tcW w:w="0" w:type="dxa"/>
            <w:vAlign w:val="bottom"/>
          </w:tcPr>
          <w:p>
            <w:pPr>
              <w:spacing w:after="0"/>
              <w:rPr>
                <w:sz w:val="1"/>
                <w:szCs w:val="1"/>
                <w:color w:val="auto"/>
              </w:rPr>
            </w:pPr>
          </w:p>
        </w:tc>
      </w:tr>
      <w:tr>
        <w:trPr>
          <w:trHeight w:val="29"/>
        </w:trPr>
        <w:tc>
          <w:tcPr>
            <w:tcW w:w="6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Nutraceutical marketing</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$100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$100</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Technology</w:t>
            </w: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Marketing</w:t>
            </w:r>
            <w:r>
              <w:rPr>
                <w:rFonts w:ascii="Arial" w:cs="Arial" w:eastAsia="Arial" w:hAnsi="Arial"/>
                <w:sz w:val="19"/>
                <w:szCs w:val="19"/>
                <w:color w:val="auto"/>
                <w:vertAlign w:val="superscript"/>
              </w:rPr>
              <w:t>(5)</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$2,000</w:t>
            </w:r>
          </w:p>
        </w:tc>
        <w:tc>
          <w:tcPr>
            <w:tcW w:w="1540" w:type="dxa"/>
            <w:vAlign w:val="bottom"/>
            <w:tcBorders>
              <w:top w:val="single" w:sz="8" w:color="auto"/>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$2,000</w:t>
            </w: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Development of patient digital therapy platform</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$2,600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$414</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$2,186</w:t>
            </w:r>
          </w:p>
        </w:tc>
        <w:tc>
          <w:tcPr>
            <w:tcW w:w="0" w:type="dxa"/>
            <w:vAlign w:val="bottom"/>
          </w:tcPr>
          <w:p>
            <w:pPr>
              <w:spacing w:after="0"/>
              <w:rPr>
                <w:sz w:val="1"/>
                <w:szCs w:val="1"/>
                <w:color w:val="auto"/>
              </w:rPr>
            </w:pPr>
          </w:p>
        </w:tc>
      </w:tr>
      <w:tr>
        <w:trPr>
          <w:trHeight w:val="29"/>
        </w:trPr>
        <w:tc>
          <w:tcPr>
            <w:tcW w:w="6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Commence study utilizing Kernel Flow technology</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$1,825</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$209</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$1,616</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60" w:type="dxa"/>
            <w:vAlign w:val="bottom"/>
            <w:tcBorders>
              <w:bottom w:val="single" w:sz="8" w:color="D9D9D9"/>
              <w:right w:val="single" w:sz="8" w:color="D9D9D9"/>
            </w:tcBorders>
            <w:shd w:val="clear" w:color="auto" w:fill="D9D9D9"/>
          </w:tcPr>
          <w:p>
            <w:pPr>
              <w:ind w:left="80"/>
              <w:spacing w:after="0"/>
              <w:rPr>
                <w:sz w:val="20"/>
                <w:szCs w:val="20"/>
                <w:color w:val="auto"/>
              </w:rPr>
            </w:pPr>
            <w:r>
              <w:rPr>
                <w:rFonts w:ascii="Arial" w:cs="Arial" w:eastAsia="Arial" w:hAnsi="Arial"/>
                <w:sz w:val="15"/>
                <w:szCs w:val="15"/>
                <w:b w:val="1"/>
                <w:bCs w:val="1"/>
                <w:color w:val="auto"/>
              </w:rPr>
              <w:t>Other</w:t>
            </w: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Transaction costs (legal fees, audit fees, transfer agent fees and other expenses)</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$1,678</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$3,294</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$(1,616)</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General and administrative</w:t>
            </w:r>
            <w:r>
              <w:rPr>
                <w:rFonts w:ascii="Arial" w:cs="Arial" w:eastAsia="Arial" w:hAnsi="Arial"/>
                <w:sz w:val="19"/>
                <w:szCs w:val="19"/>
                <w:color w:val="auto"/>
                <w:vertAlign w:val="superscript"/>
              </w:rPr>
              <w:t>(6)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$9,100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$20,882</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$(11,782)</w:t>
            </w: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Total use of funds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$36,061</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4"/>
              </w:rPr>
              <w:t>$29,110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$6,951</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Unallocated working capital</w:t>
            </w:r>
            <w:r>
              <w:rPr>
                <w:rFonts w:ascii="Arial" w:cs="Arial" w:eastAsia="Arial" w:hAnsi="Arial"/>
                <w:sz w:val="19"/>
                <w:szCs w:val="19"/>
                <w:b w:val="1"/>
                <w:bCs w:val="1"/>
                <w:color w:val="auto"/>
                <w:vertAlign w:val="superscript"/>
              </w:rPr>
              <w:t>(7)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$13,606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$20,557</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$(6,951)</w:t>
            </w: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$49,667</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$49,667</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
        <w:spacing w:after="0"/>
        <w:rPr>
          <w:sz w:val="20"/>
          <w:szCs w:val="20"/>
          <w:color w:val="auto"/>
        </w:rPr>
      </w:pPr>
      <w:r>
        <w:rPr>
          <w:rFonts w:ascii="Arial" w:cs="Arial" w:eastAsia="Arial" w:hAnsi="Arial"/>
          <w:sz w:val="15"/>
          <w:szCs w:val="15"/>
          <w:b w:val="1"/>
          <w:bCs w:val="1"/>
          <w:u w:val="single" w:color="auto"/>
          <w:color w:val="auto"/>
        </w:rPr>
        <w:t>Notes:</w:t>
      </w:r>
    </w:p>
    <w:p>
      <w:pPr>
        <w:ind w:left="402" w:hanging="402"/>
        <w:spacing w:after="0" w:line="221" w:lineRule="auto"/>
        <w:tabs>
          <w:tab w:leader="none" w:pos="402" w:val="left"/>
        </w:tabs>
        <w:numPr>
          <w:ilvl w:val="0"/>
          <w:numId w:val="33"/>
        </w:numPr>
        <w:rPr>
          <w:rFonts w:ascii="Arial" w:cs="Arial" w:eastAsia="Arial" w:hAnsi="Arial"/>
          <w:sz w:val="15"/>
          <w:szCs w:val="15"/>
          <w:color w:val="auto"/>
        </w:rPr>
      </w:pPr>
      <w:r>
        <w:rPr>
          <w:rFonts w:ascii="Arial" w:cs="Arial" w:eastAsia="Arial" w:hAnsi="Arial"/>
          <w:sz w:val="15"/>
          <w:szCs w:val="15"/>
          <w:color w:val="auto"/>
        </w:rPr>
        <w:t>Certain amounts have been converted from USD to CAD at an exchange rate of 1.26:1.</w:t>
      </w:r>
    </w:p>
    <w:p>
      <w:pPr>
        <w:jc w:val="both"/>
        <w:ind w:left="402" w:hanging="402"/>
        <w:spacing w:after="0" w:line="274" w:lineRule="auto"/>
        <w:tabs>
          <w:tab w:leader="none" w:pos="395"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 light of compelling data related to CYB003, the Company will merge its Psilocybin Program with its deuterated tryptamine CYB003 preclinical program. The Company was previously running the programs in parallel in order to determine the molecules and methods of actions with the most benefits and least amount of drawbacks. This has now evolved into a single program, focusing on both the MDD and AUD indication in the U.S. and UK, to prioritize the advancement of the superior molecule in the most cost effective manner.</w:t>
      </w:r>
    </w:p>
    <w:p>
      <w:pPr>
        <w:spacing w:after="0" w:line="1" w:lineRule="exact"/>
        <w:rPr>
          <w:rFonts w:ascii="Arial" w:cs="Arial" w:eastAsia="Arial" w:hAnsi="Arial"/>
          <w:sz w:val="13"/>
          <w:szCs w:val="13"/>
          <w:color w:val="auto"/>
        </w:rPr>
      </w:pPr>
    </w:p>
    <w:p>
      <w:pPr>
        <w:ind w:left="402" w:hanging="402"/>
        <w:spacing w:after="0" w:line="238" w:lineRule="auto"/>
        <w:tabs>
          <w:tab w:leader="none" w:pos="402" w:val="left"/>
        </w:tabs>
        <w:numPr>
          <w:ilvl w:val="0"/>
          <w:numId w:val="33"/>
        </w:numPr>
        <w:rPr>
          <w:rFonts w:ascii="Arial" w:cs="Arial" w:eastAsia="Arial" w:hAnsi="Arial"/>
          <w:sz w:val="15"/>
          <w:szCs w:val="15"/>
          <w:color w:val="auto"/>
        </w:rPr>
      </w:pPr>
      <w:r>
        <w:rPr>
          <w:rFonts w:ascii="Arial" w:cs="Arial" w:eastAsia="Arial" w:hAnsi="Arial"/>
          <w:sz w:val="15"/>
          <w:szCs w:val="15"/>
          <w:color w:val="auto"/>
        </w:rPr>
        <w:t>On April 6 2021, the Company provided notice to the CCPS of its decision to terminate this arrangement.</w:t>
      </w:r>
    </w:p>
    <w:p>
      <w:pPr>
        <w:ind w:left="402" w:hanging="402"/>
        <w:spacing w:after="0"/>
        <w:tabs>
          <w:tab w:leader="none" w:pos="402"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Company no longer anticipates to conduct any business activities in Jamaica. The Company intends to complete future clinical trials in the U.S. and the UK.</w:t>
      </w:r>
    </w:p>
    <w:p>
      <w:pPr>
        <w:spacing w:after="0" w:line="2" w:lineRule="exact"/>
        <w:rPr>
          <w:rFonts w:ascii="Arial" w:cs="Arial" w:eastAsia="Arial" w:hAnsi="Arial"/>
          <w:sz w:val="15"/>
          <w:szCs w:val="15"/>
          <w:color w:val="auto"/>
        </w:rPr>
      </w:pPr>
    </w:p>
    <w:p>
      <w:pPr>
        <w:ind w:left="402" w:hanging="402"/>
        <w:spacing w:after="0" w:line="244" w:lineRule="auto"/>
        <w:tabs>
          <w:tab w:leader="none" w:pos="395"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Company concluded its evaluation of the Product Line and its marketing platform and concluded that it would not proceed with this program in order to prioritize the research and development progression of psychedelic molecules.</w:t>
      </w:r>
    </w:p>
    <w:p>
      <w:pPr>
        <w:ind w:left="402" w:hanging="402"/>
        <w:spacing w:after="0" w:line="218" w:lineRule="auto"/>
        <w:tabs>
          <w:tab w:leader="none" w:pos="402" w:val="left"/>
        </w:tabs>
        <w:numPr>
          <w:ilvl w:val="0"/>
          <w:numId w:val="33"/>
        </w:numPr>
        <w:rPr>
          <w:rFonts w:ascii="Arial" w:cs="Arial" w:eastAsia="Arial" w:hAnsi="Arial"/>
          <w:sz w:val="14"/>
          <w:szCs w:val="14"/>
          <w:color w:val="auto"/>
        </w:rPr>
      </w:pPr>
      <w:r>
        <w:rPr>
          <w:rFonts w:ascii="Arial" w:cs="Arial" w:eastAsia="Arial" w:hAnsi="Arial"/>
          <w:sz w:val="14"/>
          <w:szCs w:val="14"/>
          <w:color w:val="auto"/>
        </w:rPr>
        <w:t>General and administrative expenses are comprised of payroll consulting and benefits $5,580, office and administrative $5,693, marketing investor relations $9,609.</w:t>
      </w:r>
    </w:p>
    <w:p>
      <w:pPr>
        <w:ind w:left="402" w:hanging="402"/>
        <w:spacing w:after="0"/>
        <w:tabs>
          <w:tab w:leader="none" w:pos="402"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unallocated working balance will be held in short-term, investment grade, interest-bearing securities, in government securities or in bank accounts at the discretion of management.</w:t>
      </w:r>
    </w:p>
    <w:p>
      <w:pPr>
        <w:spacing w:after="0" w:line="209" w:lineRule="exact"/>
        <w:rPr>
          <w:sz w:val="20"/>
          <w:szCs w:val="20"/>
          <w:color w:val="auto"/>
        </w:rPr>
      </w:pPr>
    </w:p>
    <w:p>
      <w:pPr>
        <w:jc w:val="both"/>
        <w:ind w:left="2"/>
        <w:spacing w:after="0" w:line="276" w:lineRule="auto"/>
        <w:rPr>
          <w:sz w:val="20"/>
          <w:szCs w:val="20"/>
          <w:color w:val="auto"/>
        </w:rPr>
      </w:pPr>
      <w:r>
        <w:rPr>
          <w:rFonts w:ascii="Arial" w:cs="Arial" w:eastAsia="Arial" w:hAnsi="Arial"/>
          <w:sz w:val="17"/>
          <w:szCs w:val="17"/>
          <w:color w:val="auto"/>
        </w:rPr>
        <w:t>The below table describes the differences between the Company’s anticipated use of proceeds from the Company’s public offering completed on August 3, 2021 as described in its prospectus supplement dated July 28, 2021 to the Company’s short form base shelf prospectus dated July 5, 2021 (the “</w:t>
      </w:r>
      <w:r>
        <w:rPr>
          <w:rFonts w:ascii="Arial" w:cs="Arial" w:eastAsia="Arial" w:hAnsi="Arial"/>
          <w:sz w:val="17"/>
          <w:szCs w:val="17"/>
          <w:b w:val="1"/>
          <w:bCs w:val="1"/>
          <w:color w:val="auto"/>
        </w:rPr>
        <w:t>July 2021</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and the Company’s actual use of proceeds from the offering as at September 30, 2021.</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2"/>
          </w:cols>
          <w:pgMar w:left="318" w:top="731" w:right="339" w:bottom="1440" w:gutter="0" w:footer="0" w:header="0"/>
        </w:sectPr>
      </w:pPr>
    </w:p>
    <w:bookmarkStart w:id="41" w:name="page42"/>
    <w:bookmarkEnd w:id="41"/>
    <w:tbl>
      <w:tblPr>
        <w:tblLayout w:type="fixed"/>
        <w:tblInd w:w="32" w:type="dxa"/>
        <w:tblCellMar>
          <w:top w:w="0" w:type="dxa"/>
          <w:left w:w="0" w:type="dxa"/>
          <w:bottom w:w="0" w:type="dxa"/>
          <w:right w:w="0" w:type="dxa"/>
        </w:tblCellMar>
      </w:tblPr>
      <w:tr>
        <w:trPr>
          <w:trHeight w:val="351"/>
        </w:trPr>
        <w:tc>
          <w:tcPr>
            <w:tcW w:w="100" w:type="dxa"/>
            <w:vAlign w:val="bottom"/>
            <w:tcBorders>
              <w:top w:val="single" w:sz="8" w:color="auto"/>
              <w:left w:val="single" w:sz="8" w:color="auto"/>
              <w:right w:val="single" w:sz="8" w:color="D9D9D9"/>
            </w:tcBorders>
            <w:shd w:val="clear" w:color="auto" w:fill="D9D9D9"/>
          </w:tcPr>
          <w:p>
            <w:pPr>
              <w:spacing w:after="0"/>
              <w:rPr>
                <w:sz w:val="24"/>
                <w:szCs w:val="24"/>
                <w:color w:val="auto"/>
              </w:rPr>
            </w:pPr>
          </w:p>
        </w:tc>
        <w:tc>
          <w:tcPr>
            <w:tcW w:w="4460" w:type="dxa"/>
            <w:vAlign w:val="bottom"/>
            <w:tcBorders>
              <w:top w:val="single" w:sz="8" w:color="auto"/>
              <w:right w:val="single" w:sz="8" w:color="auto"/>
            </w:tcBorders>
            <w:shd w:val="clear" w:color="auto" w:fill="D9D9D9"/>
          </w:tcPr>
          <w:p>
            <w:pPr>
              <w:ind w:left="1140"/>
              <w:spacing w:after="0"/>
              <w:rPr>
                <w:sz w:val="20"/>
                <w:szCs w:val="20"/>
                <w:color w:val="auto"/>
              </w:rPr>
            </w:pPr>
            <w:r>
              <w:rPr>
                <w:rFonts w:ascii="Arial" w:cs="Arial" w:eastAsia="Arial" w:hAnsi="Arial"/>
                <w:sz w:val="15"/>
                <w:szCs w:val="15"/>
                <w:b w:val="1"/>
                <w:bCs w:val="1"/>
                <w:color w:val="auto"/>
              </w:rPr>
              <w:t>Use of Available Funds ($000’s)</w:t>
            </w:r>
            <w:r>
              <w:rPr>
                <w:rFonts w:ascii="Arial" w:cs="Arial" w:eastAsia="Arial" w:hAnsi="Arial"/>
                <w:sz w:val="19"/>
                <w:szCs w:val="19"/>
                <w:b w:val="1"/>
                <w:bCs w:val="1"/>
                <w:color w:val="auto"/>
                <w:vertAlign w:val="superscript"/>
              </w:rPr>
              <w:t>(1)</w:t>
            </w:r>
          </w:p>
        </w:tc>
        <w:tc>
          <w:tcPr>
            <w:tcW w:w="16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4"/>
              </w:rPr>
              <w:t>Previous Disclosure</w:t>
            </w:r>
          </w:p>
        </w:tc>
        <w:tc>
          <w:tcPr>
            <w:tcW w:w="1560" w:type="dxa"/>
            <w:vAlign w:val="bottom"/>
            <w:tcBorders>
              <w:top w:val="single" w:sz="8" w:color="auto"/>
              <w:right w:val="single" w:sz="8" w:color="auto"/>
            </w:tcBorders>
            <w:shd w:val="clear" w:color="auto" w:fill="D9D9D9"/>
          </w:tcPr>
          <w:p>
            <w:pPr>
              <w:spacing w:after="0"/>
              <w:rPr>
                <w:sz w:val="24"/>
                <w:szCs w:val="24"/>
                <w:color w:val="auto"/>
              </w:rPr>
            </w:pPr>
          </w:p>
        </w:tc>
        <w:tc>
          <w:tcPr>
            <w:tcW w:w="1680" w:type="dxa"/>
            <w:vAlign w:val="bottom"/>
            <w:tcBorders>
              <w:top w:val="single" w:sz="8" w:color="auto"/>
              <w:right w:val="single" w:sz="8" w:color="auto"/>
            </w:tcBorders>
            <w:shd w:val="clear" w:color="auto" w:fill="D9D9D9"/>
          </w:tcPr>
          <w:p>
            <w:pPr>
              <w:spacing w:after="0"/>
              <w:rPr>
                <w:sz w:val="24"/>
                <w:szCs w:val="24"/>
                <w:color w:val="auto"/>
              </w:rPr>
            </w:pPr>
          </w:p>
        </w:tc>
        <w:tc>
          <w:tcPr>
            <w:tcW w:w="1820" w:type="dxa"/>
            <w:vAlign w:val="bottom"/>
            <w:tcBorders>
              <w:top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4460" w:type="dxa"/>
            <w:vAlign w:val="bottom"/>
            <w:tcBorders>
              <w:right w:val="single" w:sz="8" w:color="auto"/>
            </w:tcBorders>
            <w:shd w:val="clear" w:color="auto" w:fill="D9D9D9"/>
          </w:tcPr>
          <w:p>
            <w:pPr>
              <w:spacing w:after="0"/>
              <w:rPr>
                <w:sz w:val="7"/>
                <w:szCs w:val="7"/>
                <w:color w:val="auto"/>
              </w:rPr>
            </w:pPr>
          </w:p>
        </w:tc>
        <w:tc>
          <w:tcPr>
            <w:tcW w:w="1600" w:type="dxa"/>
            <w:vAlign w:val="bottom"/>
            <w:tcBorders>
              <w:right w:val="single" w:sz="8" w:color="auto"/>
            </w:tcBorders>
            <w:vMerge w:val="continue"/>
            <w:shd w:val="clear" w:color="auto" w:fill="D9D9D9"/>
          </w:tcPr>
          <w:p>
            <w:pPr>
              <w:spacing w:after="0"/>
              <w:rPr>
                <w:sz w:val="7"/>
                <w:szCs w:val="7"/>
                <w:color w:val="auto"/>
              </w:rPr>
            </w:pP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Actual Use of Proceeds</w:t>
            </w:r>
          </w:p>
        </w:tc>
        <w:tc>
          <w:tcPr>
            <w:tcW w:w="16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9"/>
              </w:rPr>
              <w:t>Additional Amounts</w:t>
            </w:r>
          </w:p>
        </w:tc>
        <w:tc>
          <w:tcPr>
            <w:tcW w:w="182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4460" w:type="dxa"/>
            <w:vAlign w:val="bottom"/>
            <w:tcBorders>
              <w:right w:val="single" w:sz="8" w:color="auto"/>
            </w:tcBorders>
            <w:shd w:val="clear" w:color="auto" w:fill="D9D9D9"/>
          </w:tcPr>
          <w:p>
            <w:pPr>
              <w:spacing w:after="0"/>
              <w:rPr>
                <w:sz w:val="8"/>
                <w:szCs w:val="8"/>
                <w:color w:val="auto"/>
              </w:rPr>
            </w:pPr>
          </w:p>
        </w:tc>
        <w:tc>
          <w:tcPr>
            <w:tcW w:w="16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6"/>
              </w:rPr>
              <w:t>Regarding Use</w:t>
            </w:r>
          </w:p>
        </w:tc>
        <w:tc>
          <w:tcPr>
            <w:tcW w:w="1560" w:type="dxa"/>
            <w:vAlign w:val="bottom"/>
            <w:tcBorders>
              <w:right w:val="single" w:sz="8" w:color="auto"/>
            </w:tcBorders>
            <w:vMerge w:val="continue"/>
            <w:shd w:val="clear" w:color="auto" w:fill="D9D9D9"/>
          </w:tcPr>
          <w:p>
            <w:pPr>
              <w:spacing w:after="0"/>
              <w:rPr>
                <w:sz w:val="8"/>
                <w:szCs w:val="8"/>
                <w:color w:val="auto"/>
              </w:rPr>
            </w:pPr>
          </w:p>
        </w:tc>
        <w:tc>
          <w:tcPr>
            <w:tcW w:w="1680" w:type="dxa"/>
            <w:vAlign w:val="bottom"/>
            <w:tcBorders>
              <w:right w:val="single" w:sz="8" w:color="auto"/>
            </w:tcBorders>
            <w:vMerge w:val="continue"/>
            <w:shd w:val="clear" w:color="auto" w:fill="D9D9D9"/>
          </w:tcPr>
          <w:p>
            <w:pPr>
              <w:spacing w:after="0"/>
              <w:rPr>
                <w:sz w:val="8"/>
                <w:szCs w:val="8"/>
                <w:color w:val="auto"/>
              </w:rPr>
            </w:pPr>
          </w:p>
        </w:tc>
        <w:tc>
          <w:tcPr>
            <w:tcW w:w="18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7"/>
              </w:rPr>
              <w:t>Current Use of Proceeds at</w:t>
            </w: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4460" w:type="dxa"/>
            <w:vAlign w:val="bottom"/>
            <w:tcBorders>
              <w:right w:val="single" w:sz="8" w:color="auto"/>
            </w:tcBorders>
            <w:shd w:val="clear" w:color="auto" w:fill="D9D9D9"/>
          </w:tcPr>
          <w:p>
            <w:pPr>
              <w:spacing w:after="0"/>
              <w:rPr>
                <w:sz w:val="7"/>
                <w:szCs w:val="7"/>
                <w:color w:val="auto"/>
              </w:rPr>
            </w:pPr>
          </w:p>
        </w:tc>
        <w:tc>
          <w:tcPr>
            <w:tcW w:w="1600" w:type="dxa"/>
            <w:vAlign w:val="bottom"/>
            <w:tcBorders>
              <w:right w:val="single" w:sz="8" w:color="auto"/>
            </w:tcBorders>
            <w:vMerge w:val="continue"/>
            <w:shd w:val="clear" w:color="auto" w:fill="D9D9D9"/>
          </w:tcPr>
          <w:p>
            <w:pPr>
              <w:spacing w:after="0"/>
              <w:rPr>
                <w:sz w:val="7"/>
                <w:szCs w:val="7"/>
                <w:color w:val="auto"/>
              </w:rPr>
            </w:pP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6"/>
              </w:rPr>
              <w:t>as at September 30,</w:t>
            </w:r>
          </w:p>
        </w:tc>
        <w:tc>
          <w:tcPr>
            <w:tcW w:w="16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8"/>
              </w:rPr>
              <w:t>Allocated at September</w:t>
            </w:r>
          </w:p>
        </w:tc>
        <w:tc>
          <w:tcPr>
            <w:tcW w:w="1820" w:type="dxa"/>
            <w:vAlign w:val="bottom"/>
            <w:tcBorders>
              <w:right w:val="single" w:sz="8" w:color="auto"/>
            </w:tcBorders>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4460" w:type="dxa"/>
            <w:vAlign w:val="bottom"/>
            <w:tcBorders>
              <w:right w:val="single" w:sz="8" w:color="auto"/>
            </w:tcBorders>
            <w:shd w:val="clear" w:color="auto" w:fill="D9D9D9"/>
          </w:tcPr>
          <w:p>
            <w:pPr>
              <w:spacing w:after="0"/>
              <w:rPr>
                <w:sz w:val="8"/>
                <w:szCs w:val="8"/>
                <w:color w:val="auto"/>
              </w:rPr>
            </w:pPr>
          </w:p>
        </w:tc>
        <w:tc>
          <w:tcPr>
            <w:tcW w:w="16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6"/>
              </w:rPr>
              <w:t>of Proceeds in the July</w:t>
            </w:r>
          </w:p>
        </w:tc>
        <w:tc>
          <w:tcPr>
            <w:tcW w:w="1560" w:type="dxa"/>
            <w:vAlign w:val="bottom"/>
            <w:tcBorders>
              <w:right w:val="single" w:sz="8" w:color="auto"/>
            </w:tcBorders>
            <w:vMerge w:val="continue"/>
            <w:shd w:val="clear" w:color="auto" w:fill="D9D9D9"/>
          </w:tcPr>
          <w:p>
            <w:pPr>
              <w:spacing w:after="0"/>
              <w:rPr>
                <w:sz w:val="8"/>
                <w:szCs w:val="8"/>
                <w:color w:val="auto"/>
              </w:rPr>
            </w:pPr>
          </w:p>
        </w:tc>
        <w:tc>
          <w:tcPr>
            <w:tcW w:w="1680" w:type="dxa"/>
            <w:vAlign w:val="bottom"/>
            <w:tcBorders>
              <w:right w:val="single" w:sz="8" w:color="auto"/>
            </w:tcBorders>
            <w:vMerge w:val="continue"/>
            <w:shd w:val="clear" w:color="auto" w:fill="D9D9D9"/>
          </w:tcPr>
          <w:p>
            <w:pPr>
              <w:spacing w:after="0"/>
              <w:rPr>
                <w:sz w:val="8"/>
                <w:szCs w:val="8"/>
                <w:color w:val="auto"/>
              </w:rPr>
            </w:pPr>
          </w:p>
        </w:tc>
        <w:tc>
          <w:tcPr>
            <w:tcW w:w="18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7"/>
              </w:rPr>
              <w:t>September 30, 2021</w:t>
            </w: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4460" w:type="dxa"/>
            <w:vAlign w:val="bottom"/>
            <w:tcBorders>
              <w:right w:val="single" w:sz="8" w:color="auto"/>
            </w:tcBorders>
            <w:shd w:val="clear" w:color="auto" w:fill="D9D9D9"/>
          </w:tcPr>
          <w:p>
            <w:pPr>
              <w:spacing w:after="0"/>
              <w:rPr>
                <w:sz w:val="7"/>
                <w:szCs w:val="7"/>
                <w:color w:val="auto"/>
              </w:rPr>
            </w:pPr>
          </w:p>
        </w:tc>
        <w:tc>
          <w:tcPr>
            <w:tcW w:w="1600" w:type="dxa"/>
            <w:vAlign w:val="bottom"/>
            <w:tcBorders>
              <w:right w:val="single" w:sz="8" w:color="auto"/>
            </w:tcBorders>
            <w:vMerge w:val="continue"/>
            <w:shd w:val="clear" w:color="auto" w:fill="D9D9D9"/>
          </w:tcPr>
          <w:p>
            <w:pPr>
              <w:spacing w:after="0"/>
              <w:rPr>
                <w:sz w:val="7"/>
                <w:szCs w:val="7"/>
                <w:color w:val="auto"/>
              </w:rPr>
            </w:pP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3"/>
              </w:rPr>
              <w:t>2021</w:t>
            </w:r>
          </w:p>
        </w:tc>
        <w:tc>
          <w:tcPr>
            <w:tcW w:w="16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8"/>
              </w:rPr>
              <w:t>30, 2021</w:t>
            </w:r>
          </w:p>
        </w:tc>
        <w:tc>
          <w:tcPr>
            <w:tcW w:w="1820" w:type="dxa"/>
            <w:vAlign w:val="bottom"/>
            <w:tcBorders>
              <w:right w:val="single" w:sz="8" w:color="auto"/>
            </w:tcBorders>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00" w:type="dxa"/>
            <w:vAlign w:val="bottom"/>
            <w:tcBorders>
              <w:left w:val="single" w:sz="8" w:color="auto"/>
              <w:right w:val="single" w:sz="8" w:color="D9D9D9"/>
            </w:tcBorders>
            <w:shd w:val="clear" w:color="auto" w:fill="D9D9D9"/>
          </w:tcPr>
          <w:p>
            <w:pPr>
              <w:spacing w:after="0"/>
              <w:rPr>
                <w:sz w:val="9"/>
                <w:szCs w:val="9"/>
                <w:color w:val="auto"/>
              </w:rPr>
            </w:pPr>
          </w:p>
        </w:tc>
        <w:tc>
          <w:tcPr>
            <w:tcW w:w="4460" w:type="dxa"/>
            <w:vAlign w:val="bottom"/>
            <w:tcBorders>
              <w:right w:val="single" w:sz="8" w:color="auto"/>
            </w:tcBorders>
            <w:shd w:val="clear" w:color="auto" w:fill="D9D9D9"/>
          </w:tcPr>
          <w:p>
            <w:pPr>
              <w:spacing w:after="0"/>
              <w:rPr>
                <w:sz w:val="9"/>
                <w:szCs w:val="9"/>
                <w:color w:val="auto"/>
              </w:rPr>
            </w:pPr>
          </w:p>
        </w:tc>
        <w:tc>
          <w:tcPr>
            <w:tcW w:w="16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2021 Prospectus</w:t>
            </w:r>
          </w:p>
        </w:tc>
        <w:tc>
          <w:tcPr>
            <w:tcW w:w="1560" w:type="dxa"/>
            <w:vAlign w:val="bottom"/>
            <w:tcBorders>
              <w:right w:val="single" w:sz="8" w:color="auto"/>
            </w:tcBorders>
            <w:vMerge w:val="continue"/>
            <w:shd w:val="clear" w:color="auto" w:fill="D9D9D9"/>
          </w:tcPr>
          <w:p>
            <w:pPr>
              <w:spacing w:after="0"/>
              <w:rPr>
                <w:sz w:val="9"/>
                <w:szCs w:val="9"/>
                <w:color w:val="auto"/>
              </w:rPr>
            </w:pPr>
          </w:p>
        </w:tc>
        <w:tc>
          <w:tcPr>
            <w:tcW w:w="1680" w:type="dxa"/>
            <w:vAlign w:val="bottom"/>
            <w:tcBorders>
              <w:right w:val="single" w:sz="8" w:color="auto"/>
            </w:tcBorders>
            <w:vMerge w:val="continue"/>
            <w:shd w:val="clear" w:color="auto" w:fill="D9D9D9"/>
          </w:tcPr>
          <w:p>
            <w:pPr>
              <w:spacing w:after="0"/>
              <w:rPr>
                <w:sz w:val="9"/>
                <w:szCs w:val="9"/>
                <w:color w:val="auto"/>
              </w:rPr>
            </w:pPr>
          </w:p>
        </w:tc>
        <w:tc>
          <w:tcPr>
            <w:tcW w:w="1820" w:type="dxa"/>
            <w:vAlign w:val="bottom"/>
            <w:tcBorders>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4460" w:type="dxa"/>
            <w:vAlign w:val="bottom"/>
            <w:tcBorders>
              <w:right w:val="single" w:sz="8" w:color="auto"/>
            </w:tcBorders>
            <w:shd w:val="clear" w:color="auto" w:fill="D9D9D9"/>
          </w:tcPr>
          <w:p>
            <w:pPr>
              <w:spacing w:after="0"/>
              <w:rPr>
                <w:sz w:val="7"/>
                <w:szCs w:val="7"/>
                <w:color w:val="auto"/>
              </w:rPr>
            </w:pPr>
          </w:p>
        </w:tc>
        <w:tc>
          <w:tcPr>
            <w:tcW w:w="1600" w:type="dxa"/>
            <w:vAlign w:val="bottom"/>
            <w:tcBorders>
              <w:right w:val="single" w:sz="8" w:color="auto"/>
            </w:tcBorders>
            <w:vMerge w:val="continue"/>
            <w:shd w:val="clear" w:color="auto" w:fill="D9D9D9"/>
          </w:tcPr>
          <w:p>
            <w:pPr>
              <w:spacing w:after="0"/>
              <w:rPr>
                <w:sz w:val="7"/>
                <w:szCs w:val="7"/>
                <w:color w:val="auto"/>
              </w:rPr>
            </w:pPr>
          </w:p>
        </w:tc>
        <w:tc>
          <w:tcPr>
            <w:tcW w:w="1560" w:type="dxa"/>
            <w:vAlign w:val="bottom"/>
            <w:tcBorders>
              <w:right w:val="single" w:sz="8" w:color="auto"/>
            </w:tcBorders>
            <w:shd w:val="clear" w:color="auto" w:fill="D9D9D9"/>
          </w:tcPr>
          <w:p>
            <w:pPr>
              <w:spacing w:after="0"/>
              <w:rPr>
                <w:sz w:val="7"/>
                <w:szCs w:val="7"/>
                <w:color w:val="auto"/>
              </w:rPr>
            </w:pPr>
          </w:p>
        </w:tc>
        <w:tc>
          <w:tcPr>
            <w:tcW w:w="1680" w:type="dxa"/>
            <w:vAlign w:val="bottom"/>
            <w:tcBorders>
              <w:right w:val="single" w:sz="8" w:color="auto"/>
            </w:tcBorders>
            <w:shd w:val="clear" w:color="auto" w:fill="D9D9D9"/>
          </w:tcPr>
          <w:p>
            <w:pPr>
              <w:spacing w:after="0"/>
              <w:rPr>
                <w:sz w:val="7"/>
                <w:szCs w:val="7"/>
                <w:color w:val="auto"/>
              </w:rPr>
            </w:pPr>
          </w:p>
        </w:tc>
        <w:tc>
          <w:tcPr>
            <w:tcW w:w="182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0" w:type="dxa"/>
            <w:vAlign w:val="bottom"/>
            <w:tcBorders>
              <w:left w:val="single" w:sz="8" w:color="auto"/>
              <w:bottom w:val="single" w:sz="8" w:color="auto"/>
              <w:right w:val="single" w:sz="8" w:color="D9D9D9"/>
            </w:tcBorders>
            <w:shd w:val="clear" w:color="auto" w:fill="D9D9D9"/>
          </w:tcPr>
          <w:p>
            <w:pPr>
              <w:spacing w:after="0"/>
              <w:rPr>
                <w:sz w:val="23"/>
                <w:szCs w:val="23"/>
                <w:color w:val="auto"/>
              </w:rPr>
            </w:pPr>
          </w:p>
        </w:tc>
        <w:tc>
          <w:tcPr>
            <w:tcW w:w="4460" w:type="dxa"/>
            <w:vAlign w:val="bottom"/>
            <w:tcBorders>
              <w:bottom w:val="single" w:sz="8" w:color="auto"/>
              <w:right w:val="single" w:sz="8" w:color="auto"/>
            </w:tcBorders>
            <w:shd w:val="clear" w:color="auto" w:fill="D9D9D9"/>
          </w:tcPr>
          <w:p>
            <w:pPr>
              <w:spacing w:after="0"/>
              <w:rPr>
                <w:sz w:val="23"/>
                <w:szCs w:val="23"/>
                <w:color w:val="auto"/>
              </w:rPr>
            </w:pPr>
          </w:p>
        </w:tc>
        <w:tc>
          <w:tcPr>
            <w:tcW w:w="1600" w:type="dxa"/>
            <w:vAlign w:val="bottom"/>
            <w:tcBorders>
              <w:bottom w:val="single" w:sz="8" w:color="auto"/>
              <w:right w:val="single" w:sz="8" w:color="auto"/>
            </w:tcBorders>
            <w:shd w:val="clear" w:color="auto" w:fill="D9D9D9"/>
          </w:tcPr>
          <w:p>
            <w:pPr>
              <w:spacing w:after="0"/>
              <w:rPr>
                <w:sz w:val="23"/>
                <w:szCs w:val="23"/>
                <w:color w:val="auto"/>
              </w:rPr>
            </w:pPr>
          </w:p>
        </w:tc>
        <w:tc>
          <w:tcPr>
            <w:tcW w:w="1560" w:type="dxa"/>
            <w:vAlign w:val="bottom"/>
            <w:tcBorders>
              <w:bottom w:val="single" w:sz="8" w:color="auto"/>
              <w:right w:val="single" w:sz="8" w:color="auto"/>
            </w:tcBorders>
            <w:shd w:val="clear" w:color="auto" w:fill="D9D9D9"/>
          </w:tcPr>
          <w:p>
            <w:pPr>
              <w:spacing w:after="0"/>
              <w:rPr>
                <w:sz w:val="23"/>
                <w:szCs w:val="23"/>
                <w:color w:val="auto"/>
              </w:rPr>
            </w:pPr>
          </w:p>
        </w:tc>
        <w:tc>
          <w:tcPr>
            <w:tcW w:w="1680" w:type="dxa"/>
            <w:vAlign w:val="bottom"/>
            <w:tcBorders>
              <w:bottom w:val="single" w:sz="8" w:color="auto"/>
              <w:right w:val="single" w:sz="8" w:color="auto"/>
            </w:tcBorders>
            <w:shd w:val="clear" w:color="auto" w:fill="D9D9D9"/>
          </w:tcPr>
          <w:p>
            <w:pPr>
              <w:spacing w:after="0"/>
              <w:rPr>
                <w:sz w:val="23"/>
                <w:szCs w:val="23"/>
                <w:color w:val="auto"/>
              </w:rPr>
            </w:pPr>
          </w:p>
        </w:tc>
        <w:tc>
          <w:tcPr>
            <w:tcW w:w="1820" w:type="dxa"/>
            <w:vAlign w:val="bottom"/>
            <w:tcBorders>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6060" w:type="dxa"/>
            <w:vAlign w:val="bottom"/>
            <w:tcBorders>
              <w:bottom w:val="single" w:sz="8" w:color="auto"/>
              <w:right w:val="single" w:sz="8" w:color="D9D9D9"/>
            </w:tcBorders>
            <w:gridSpan w:val="2"/>
            <w:shd w:val="clear" w:color="auto" w:fill="D9D9D9"/>
          </w:tcPr>
          <w:p>
            <w:pPr>
              <w:spacing w:after="0"/>
              <w:rPr>
                <w:sz w:val="20"/>
                <w:szCs w:val="20"/>
                <w:color w:val="auto"/>
              </w:rPr>
            </w:pPr>
            <w:r>
              <w:rPr>
                <w:rFonts w:ascii="Arial" w:cs="Arial" w:eastAsia="Arial" w:hAnsi="Arial"/>
                <w:sz w:val="15"/>
                <w:szCs w:val="15"/>
                <w:b w:val="1"/>
                <w:bCs w:val="1"/>
                <w:color w:val="auto"/>
              </w:rPr>
              <w:t>Deuterated Psilocybin Analog Program (formerly the Psilocybin Program)</w:t>
            </w:r>
            <w:r>
              <w:rPr>
                <w:rFonts w:ascii="Arial" w:cs="Arial" w:eastAsia="Arial" w:hAnsi="Arial"/>
                <w:sz w:val="19"/>
                <w:szCs w:val="19"/>
                <w:b w:val="1"/>
                <w:bCs w:val="1"/>
                <w:color w:val="auto"/>
                <w:vertAlign w:val="superscript"/>
              </w:rPr>
              <w:t>(2)</w:t>
            </w:r>
          </w:p>
        </w:tc>
        <w:tc>
          <w:tcPr>
            <w:tcW w:w="1560" w:type="dxa"/>
            <w:vAlign w:val="bottom"/>
            <w:tcBorders>
              <w:bottom w:val="single" w:sz="8" w:color="auto"/>
              <w:right w:val="single" w:sz="8" w:color="D9D9D9"/>
            </w:tcBorders>
            <w:shd w:val="clear" w:color="auto" w:fill="D9D9D9"/>
          </w:tcPr>
          <w:p>
            <w:pPr>
              <w:spacing w:after="0"/>
              <w:rPr>
                <w:sz w:val="19"/>
                <w:szCs w:val="19"/>
                <w:color w:val="auto"/>
              </w:rPr>
            </w:pPr>
          </w:p>
        </w:tc>
        <w:tc>
          <w:tcPr>
            <w:tcW w:w="1680" w:type="dxa"/>
            <w:vAlign w:val="bottom"/>
            <w:tcBorders>
              <w:bottom w:val="single" w:sz="8" w:color="auto"/>
              <w:right w:val="single" w:sz="8" w:color="D9D9D9"/>
            </w:tcBorders>
            <w:shd w:val="clear" w:color="auto" w:fill="D9D9D9"/>
          </w:tcPr>
          <w:p>
            <w:pPr>
              <w:spacing w:after="0"/>
              <w:rPr>
                <w:sz w:val="19"/>
                <w:szCs w:val="19"/>
                <w:color w:val="auto"/>
              </w:rPr>
            </w:pPr>
          </w:p>
        </w:tc>
        <w:tc>
          <w:tcPr>
            <w:tcW w:w="182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Development of psilocybin Sublingual Film</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$210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$(210)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Phase IIa MDD study completed with data</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$772</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$339</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$(433)</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Phase IIb MDD study completed with data</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$1,000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$(1,000)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w w:val="89"/>
              </w:rPr>
              <w:t>Support of additional phase IIb study sites in Canada and the United States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$1,810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$379</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$(1,431)</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5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Progression of the program for phase I study readiness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4"/>
              </w:rPr>
              <w:t>$4,762</w:t>
            </w:r>
            <w:r>
              <w:rPr>
                <w:rFonts w:ascii="Arial" w:cs="Arial" w:eastAsia="Arial" w:hAnsi="Arial"/>
                <w:sz w:val="19"/>
                <w:szCs w:val="19"/>
                <w:color w:val="auto"/>
                <w:w w:val="84"/>
                <w:vertAlign w:val="superscript"/>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4"/>
              </w:rPr>
              <w:t>$4,762</w:t>
            </w:r>
            <w:r>
              <w:rPr>
                <w:rFonts w:ascii="Arial" w:cs="Arial" w:eastAsia="Arial" w:hAnsi="Arial"/>
                <w:sz w:val="19"/>
                <w:szCs w:val="19"/>
                <w:color w:val="auto"/>
                <w:w w:val="84"/>
                <w:vertAlign w:val="superscript"/>
              </w:rPr>
              <w:t>(3)</w:t>
            </w:r>
          </w:p>
        </w:tc>
        <w:tc>
          <w:tcPr>
            <w:tcW w:w="0" w:type="dxa"/>
            <w:vAlign w:val="bottom"/>
          </w:tcPr>
          <w:p>
            <w:pPr>
              <w:spacing w:after="0"/>
              <w:rPr>
                <w:sz w:val="1"/>
                <w:szCs w:val="1"/>
                <w:color w:val="auto"/>
              </w:rPr>
            </w:pPr>
          </w:p>
        </w:tc>
      </w:tr>
      <w:tr>
        <w:trPr>
          <w:trHeight w:val="225"/>
        </w:trPr>
        <w:tc>
          <w:tcPr>
            <w:tcW w:w="45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Completion of pre-clinical studies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TBD</w:t>
            </w:r>
            <w:r>
              <w:rPr>
                <w:rFonts w:ascii="Arial" w:cs="Arial" w:eastAsia="Arial" w:hAnsi="Arial"/>
                <w:sz w:val="19"/>
                <w:szCs w:val="19"/>
                <w:color w:val="auto"/>
                <w:w w:val="87"/>
                <w:vertAlign w:val="superscript"/>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TBD</w:t>
            </w:r>
            <w:r>
              <w:rPr>
                <w:rFonts w:ascii="Arial" w:cs="Arial" w:eastAsia="Arial" w:hAnsi="Arial"/>
                <w:sz w:val="19"/>
                <w:szCs w:val="19"/>
                <w:color w:val="auto"/>
                <w:w w:val="87"/>
                <w:vertAlign w:val="superscript"/>
              </w:rPr>
              <w:t>(3)</w:t>
            </w:r>
          </w:p>
        </w:tc>
        <w:tc>
          <w:tcPr>
            <w:tcW w:w="0" w:type="dxa"/>
            <w:vAlign w:val="bottom"/>
          </w:tcPr>
          <w:p>
            <w:pPr>
              <w:spacing w:after="0"/>
              <w:rPr>
                <w:sz w:val="1"/>
                <w:szCs w:val="1"/>
                <w:color w:val="auto"/>
              </w:rPr>
            </w:pPr>
          </w:p>
        </w:tc>
      </w:tr>
      <w:tr>
        <w:trPr>
          <w:trHeight w:val="192"/>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Chemistry, Manufacturing and Control development, including the</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TBD</w:t>
            </w:r>
            <w:r>
              <w:rPr>
                <w:rFonts w:ascii="Arial" w:cs="Arial" w:eastAsia="Arial" w:hAnsi="Arial"/>
                <w:sz w:val="19"/>
                <w:szCs w:val="19"/>
                <w:color w:val="auto"/>
                <w:w w:val="87"/>
                <w:vertAlign w:val="superscript"/>
              </w:rPr>
              <w:t>(3)</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TBD</w:t>
            </w:r>
            <w:r>
              <w:rPr>
                <w:rFonts w:ascii="Arial" w:cs="Arial" w:eastAsia="Arial" w:hAnsi="Arial"/>
                <w:sz w:val="19"/>
                <w:szCs w:val="19"/>
                <w:color w:val="auto"/>
                <w:w w:val="87"/>
                <w:vertAlign w:val="superscript"/>
              </w:rPr>
              <w:t>(3)</w:t>
            </w:r>
          </w:p>
        </w:tc>
        <w:tc>
          <w:tcPr>
            <w:tcW w:w="0" w:type="dxa"/>
            <w:vAlign w:val="bottom"/>
          </w:tcPr>
          <w:p>
            <w:pPr>
              <w:spacing w:after="0"/>
              <w:rPr>
                <w:sz w:val="1"/>
                <w:szCs w:val="1"/>
                <w:color w:val="auto"/>
              </w:rPr>
            </w:pPr>
          </w:p>
        </w:tc>
      </w:tr>
      <w:tr>
        <w:trPr>
          <w:trHeight w:val="143"/>
        </w:trPr>
        <w:tc>
          <w:tcPr>
            <w:tcW w:w="456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production of clinical materials</w:t>
            </w:r>
          </w:p>
        </w:tc>
        <w:tc>
          <w:tcPr>
            <w:tcW w:w="160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vMerge w:val="continue"/>
          </w:tcPr>
          <w:p>
            <w:pPr>
              <w:spacing w:after="0"/>
              <w:rPr>
                <w:sz w:val="12"/>
                <w:szCs w:val="12"/>
                <w:color w:val="auto"/>
              </w:rPr>
            </w:pPr>
          </w:p>
        </w:tc>
        <w:tc>
          <w:tcPr>
            <w:tcW w:w="168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4560" w:type="dxa"/>
            <w:vAlign w:val="bottom"/>
            <w:tcBorders>
              <w:left w:val="single" w:sz="8" w:color="auto"/>
              <w:right w:val="single" w:sz="8" w:color="auto"/>
            </w:tcBorders>
            <w:gridSpan w:val="2"/>
            <w:vMerge w:val="continue"/>
          </w:tcPr>
          <w:p>
            <w:pPr>
              <w:spacing w:after="0"/>
              <w:rPr>
                <w:sz w:val="3"/>
                <w:szCs w:val="3"/>
                <w:color w:val="auto"/>
              </w:rPr>
            </w:pPr>
          </w:p>
        </w:tc>
        <w:tc>
          <w:tcPr>
            <w:tcW w:w="1600" w:type="dxa"/>
            <w:vAlign w:val="bottom"/>
            <w:tcBorders>
              <w:right w:val="single" w:sz="8" w:color="auto"/>
            </w:tcBorders>
          </w:tcPr>
          <w:p>
            <w:pPr>
              <w:spacing w:after="0"/>
              <w:rPr>
                <w:sz w:val="3"/>
                <w:szCs w:val="3"/>
                <w:color w:val="auto"/>
              </w:rPr>
            </w:pPr>
          </w:p>
        </w:tc>
        <w:tc>
          <w:tcPr>
            <w:tcW w:w="1560" w:type="dxa"/>
            <w:vAlign w:val="bottom"/>
            <w:tcBorders>
              <w:right w:val="single" w:sz="8" w:color="auto"/>
            </w:tcBorders>
          </w:tcPr>
          <w:p>
            <w:pPr>
              <w:spacing w:after="0"/>
              <w:rPr>
                <w:sz w:val="3"/>
                <w:szCs w:val="3"/>
                <w:color w:val="auto"/>
              </w:rPr>
            </w:pPr>
          </w:p>
        </w:tc>
        <w:tc>
          <w:tcPr>
            <w:tcW w:w="1680" w:type="dxa"/>
            <w:vAlign w:val="bottom"/>
            <w:tcBorders>
              <w:right w:val="single" w:sz="8" w:color="auto"/>
            </w:tcBorders>
          </w:tcPr>
          <w:p>
            <w:pPr>
              <w:spacing w:after="0"/>
              <w:rPr>
                <w:sz w:val="3"/>
                <w:szCs w:val="3"/>
                <w:color w:val="auto"/>
              </w:rPr>
            </w:pPr>
          </w:p>
        </w:tc>
        <w:tc>
          <w:tcPr>
            <w:tcW w:w="18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5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w w:val="95"/>
              </w:rPr>
              <w:t>IND and clinical trial application filings with the US FDA and the MHRA</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TBD</w:t>
            </w:r>
            <w:r>
              <w:rPr>
                <w:rFonts w:ascii="Arial" w:cs="Arial" w:eastAsia="Arial" w:hAnsi="Arial"/>
                <w:sz w:val="19"/>
                <w:szCs w:val="19"/>
                <w:color w:val="auto"/>
                <w:w w:val="87"/>
                <w:vertAlign w:val="superscript"/>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TBD</w:t>
            </w:r>
            <w:r>
              <w:rPr>
                <w:rFonts w:ascii="Arial" w:cs="Arial" w:eastAsia="Arial" w:hAnsi="Arial"/>
                <w:sz w:val="19"/>
                <w:szCs w:val="19"/>
                <w:color w:val="auto"/>
                <w:w w:val="87"/>
                <w:vertAlign w:val="superscript"/>
              </w:rPr>
              <w:t>(3)</w:t>
            </w: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44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Deuterated Tryptamines Preclinical Programs</w:t>
            </w:r>
          </w:p>
        </w:tc>
        <w:tc>
          <w:tcPr>
            <w:tcW w:w="1600" w:type="dxa"/>
            <w:vAlign w:val="bottom"/>
            <w:tcBorders>
              <w:bottom w:val="single" w:sz="8" w:color="D9D9D9"/>
              <w:right w:val="single" w:sz="8" w:color="D9D9D9"/>
            </w:tcBorders>
            <w:shd w:val="clear" w:color="auto" w:fill="D9D9D9"/>
          </w:tcPr>
          <w:p>
            <w:pPr>
              <w:spacing w:after="0"/>
              <w:rPr>
                <w:sz w:val="19"/>
                <w:szCs w:val="19"/>
                <w:color w:val="auto"/>
              </w:rPr>
            </w:pP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680" w:type="dxa"/>
            <w:vAlign w:val="bottom"/>
            <w:tcBorders>
              <w:bottom w:val="single" w:sz="8" w:color="D9D9D9"/>
              <w:right w:val="single" w:sz="8" w:color="D9D9D9"/>
            </w:tcBorders>
            <w:shd w:val="clear" w:color="auto" w:fill="D9D9D9"/>
          </w:tcPr>
          <w:p>
            <w:pPr>
              <w:spacing w:after="0"/>
              <w:rPr>
                <w:sz w:val="19"/>
                <w:szCs w:val="19"/>
                <w:color w:val="auto"/>
              </w:rPr>
            </w:pPr>
          </w:p>
        </w:tc>
        <w:tc>
          <w:tcPr>
            <w:tcW w:w="182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56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w w:val="91"/>
              </w:rPr>
              <w:t>Progression of CYB003 for phase I studies readiness and utilization of the</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$2,886</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$1,198</w:t>
            </w: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$(1,688)</w:t>
            </w:r>
          </w:p>
        </w:tc>
        <w:tc>
          <w:tcPr>
            <w:tcW w:w="1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89"/>
        </w:trPr>
        <w:tc>
          <w:tcPr>
            <w:tcW w:w="4560" w:type="dxa"/>
            <w:vAlign w:val="bottom"/>
            <w:tcBorders>
              <w:left w:val="single" w:sz="8" w:color="auto"/>
              <w:right w:val="single" w:sz="8" w:color="auto"/>
            </w:tcBorders>
            <w:gridSpan w:val="2"/>
            <w:vMerge w:val="restart"/>
          </w:tcPr>
          <w:p>
            <w:pPr>
              <w:ind w:left="40"/>
              <w:spacing w:after="0" w:line="216" w:lineRule="exact"/>
              <w:rPr>
                <w:sz w:val="20"/>
                <w:szCs w:val="20"/>
                <w:color w:val="auto"/>
              </w:rPr>
            </w:pPr>
            <w:r>
              <w:rPr>
                <w:rFonts w:ascii="Arial" w:cs="Arial" w:eastAsia="Arial" w:hAnsi="Arial"/>
                <w:sz w:val="15"/>
                <w:szCs w:val="15"/>
                <w:color w:val="auto"/>
              </w:rPr>
              <w:t>associated delivery platform</w:t>
            </w:r>
            <w:r>
              <w:rPr>
                <w:rFonts w:ascii="Arial" w:cs="Arial" w:eastAsia="Arial" w:hAnsi="Arial"/>
                <w:sz w:val="19"/>
                <w:szCs w:val="19"/>
                <w:color w:val="auto"/>
                <w:vertAlign w:val="superscript"/>
              </w:rPr>
              <w:t>(2)</w:t>
            </w:r>
          </w:p>
        </w:tc>
        <w:tc>
          <w:tcPr>
            <w:tcW w:w="160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560" w:type="dxa"/>
            <w:vAlign w:val="bottom"/>
            <w:tcBorders>
              <w:left w:val="single" w:sz="8" w:color="auto"/>
              <w:bottom w:val="single" w:sz="8" w:color="auto"/>
              <w:right w:val="single" w:sz="8" w:color="auto"/>
            </w:tcBorders>
            <w:gridSpan w:val="2"/>
            <w:vMerge w:val="continue"/>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Progression of CYB004 for phase I studies readiness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$2,777</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$466</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$2,311</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44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Phenethylamine Preclinical Development Program</w:t>
            </w:r>
          </w:p>
        </w:tc>
        <w:tc>
          <w:tcPr>
            <w:tcW w:w="1600" w:type="dxa"/>
            <w:vAlign w:val="bottom"/>
            <w:tcBorders>
              <w:bottom w:val="single" w:sz="8" w:color="D9D9D9"/>
              <w:right w:val="single" w:sz="8" w:color="D9D9D9"/>
            </w:tcBorders>
            <w:shd w:val="clear" w:color="auto" w:fill="D9D9D9"/>
          </w:tcPr>
          <w:p>
            <w:pPr>
              <w:spacing w:after="0"/>
              <w:rPr>
                <w:sz w:val="19"/>
                <w:szCs w:val="19"/>
                <w:color w:val="auto"/>
              </w:rPr>
            </w:pP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680" w:type="dxa"/>
            <w:vAlign w:val="bottom"/>
            <w:tcBorders>
              <w:bottom w:val="single" w:sz="8" w:color="D9D9D9"/>
              <w:right w:val="single" w:sz="8" w:color="D9D9D9"/>
            </w:tcBorders>
            <w:shd w:val="clear" w:color="auto" w:fill="D9D9D9"/>
          </w:tcPr>
          <w:p>
            <w:pPr>
              <w:spacing w:after="0"/>
              <w:rPr>
                <w:sz w:val="19"/>
                <w:szCs w:val="19"/>
                <w:color w:val="auto"/>
              </w:rPr>
            </w:pPr>
          </w:p>
        </w:tc>
        <w:tc>
          <w:tcPr>
            <w:tcW w:w="182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6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Phenethylamine preclinical development program</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$2,375</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3"/>
              </w:rPr>
              <w:t>$216</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$2,159</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9"/>
        </w:trPr>
        <w:tc>
          <w:tcPr>
            <w:tcW w:w="10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44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color w:val="auto"/>
              </w:rPr>
              <w:t>Nutraceutical Products</w:t>
            </w:r>
            <w:r>
              <w:rPr>
                <w:rFonts w:ascii="Arial" w:cs="Arial" w:eastAsia="Arial" w:hAnsi="Arial"/>
                <w:sz w:val="19"/>
                <w:szCs w:val="19"/>
                <w:color w:val="auto"/>
                <w:vertAlign w:val="superscript"/>
              </w:rPr>
              <w:t>(4)</w:t>
            </w:r>
          </w:p>
        </w:tc>
        <w:tc>
          <w:tcPr>
            <w:tcW w:w="1600" w:type="dxa"/>
            <w:vAlign w:val="bottom"/>
            <w:tcBorders>
              <w:bottom w:val="single" w:sz="8" w:color="D9D9D9"/>
              <w:right w:val="single" w:sz="8" w:color="D9D9D9"/>
            </w:tcBorders>
            <w:shd w:val="clear" w:color="auto" w:fill="D9D9D9"/>
          </w:tcPr>
          <w:p>
            <w:pPr>
              <w:spacing w:after="0"/>
              <w:rPr>
                <w:sz w:val="24"/>
                <w:szCs w:val="24"/>
                <w:color w:val="auto"/>
              </w:rPr>
            </w:pPr>
          </w:p>
        </w:tc>
        <w:tc>
          <w:tcPr>
            <w:tcW w:w="1560" w:type="dxa"/>
            <w:vAlign w:val="bottom"/>
            <w:tcBorders>
              <w:bottom w:val="single" w:sz="8" w:color="D9D9D9"/>
              <w:right w:val="single" w:sz="8" w:color="D9D9D9"/>
            </w:tcBorders>
            <w:shd w:val="clear" w:color="auto" w:fill="D9D9D9"/>
          </w:tcPr>
          <w:p>
            <w:pPr>
              <w:spacing w:after="0"/>
              <w:rPr>
                <w:sz w:val="24"/>
                <w:szCs w:val="24"/>
                <w:color w:val="auto"/>
              </w:rPr>
            </w:pPr>
          </w:p>
        </w:tc>
        <w:tc>
          <w:tcPr>
            <w:tcW w:w="1680" w:type="dxa"/>
            <w:vAlign w:val="bottom"/>
            <w:tcBorders>
              <w:bottom w:val="single" w:sz="8" w:color="D9D9D9"/>
              <w:right w:val="single" w:sz="8" w:color="D9D9D9"/>
            </w:tcBorders>
            <w:shd w:val="clear" w:color="auto" w:fill="D9D9D9"/>
          </w:tcPr>
          <w:p>
            <w:pPr>
              <w:spacing w:after="0"/>
              <w:rPr>
                <w:sz w:val="24"/>
                <w:szCs w:val="24"/>
                <w:color w:val="auto"/>
              </w:rPr>
            </w:pPr>
          </w:p>
        </w:tc>
        <w:tc>
          <w:tcPr>
            <w:tcW w:w="1820" w:type="dxa"/>
            <w:vAlign w:val="bottom"/>
            <w:tcBorders>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56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Inventory fulfilment</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$(200)</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Product deployment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$(200)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Nutraceutical marketing</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$(100)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44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Technology</w:t>
            </w:r>
          </w:p>
        </w:tc>
        <w:tc>
          <w:tcPr>
            <w:tcW w:w="1600" w:type="dxa"/>
            <w:vAlign w:val="bottom"/>
            <w:tcBorders>
              <w:bottom w:val="single" w:sz="8" w:color="D9D9D9"/>
              <w:right w:val="single" w:sz="8" w:color="D9D9D9"/>
            </w:tcBorders>
            <w:shd w:val="clear" w:color="auto" w:fill="D9D9D9"/>
          </w:tcPr>
          <w:p>
            <w:pPr>
              <w:spacing w:after="0"/>
              <w:rPr>
                <w:sz w:val="19"/>
                <w:szCs w:val="19"/>
                <w:color w:val="auto"/>
              </w:rPr>
            </w:pP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680" w:type="dxa"/>
            <w:vAlign w:val="bottom"/>
            <w:tcBorders>
              <w:bottom w:val="single" w:sz="8" w:color="D9D9D9"/>
              <w:right w:val="single" w:sz="8" w:color="D9D9D9"/>
            </w:tcBorders>
            <w:shd w:val="clear" w:color="auto" w:fill="D9D9D9"/>
          </w:tcPr>
          <w:p>
            <w:pPr>
              <w:spacing w:after="0"/>
              <w:rPr>
                <w:sz w:val="19"/>
                <w:szCs w:val="19"/>
                <w:color w:val="auto"/>
              </w:rPr>
            </w:pPr>
          </w:p>
        </w:tc>
        <w:tc>
          <w:tcPr>
            <w:tcW w:w="182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Marketing</w:t>
            </w:r>
            <w:r>
              <w:rPr>
                <w:rFonts w:ascii="Arial" w:cs="Arial" w:eastAsia="Arial" w:hAnsi="Arial"/>
                <w:sz w:val="19"/>
                <w:szCs w:val="19"/>
                <w:color w:val="auto"/>
                <w:vertAlign w:val="superscript"/>
              </w:rPr>
              <w:t>(4)</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Development of patient digital therapy platform</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$2,363</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$204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$2,159</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Commence study utilizing Kernel Flow technology</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$1,825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$209</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$1,616</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44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Other</w:t>
            </w:r>
          </w:p>
        </w:tc>
        <w:tc>
          <w:tcPr>
            <w:tcW w:w="1600" w:type="dxa"/>
            <w:vAlign w:val="bottom"/>
            <w:tcBorders>
              <w:bottom w:val="single" w:sz="8" w:color="D9D9D9"/>
              <w:right w:val="single" w:sz="8" w:color="D9D9D9"/>
            </w:tcBorders>
            <w:shd w:val="clear" w:color="auto" w:fill="D9D9D9"/>
          </w:tcPr>
          <w:p>
            <w:pPr>
              <w:spacing w:after="0"/>
              <w:rPr>
                <w:sz w:val="19"/>
                <w:szCs w:val="19"/>
                <w:color w:val="auto"/>
              </w:rPr>
            </w:pP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680" w:type="dxa"/>
            <w:vAlign w:val="bottom"/>
            <w:tcBorders>
              <w:bottom w:val="single" w:sz="8" w:color="D9D9D9"/>
              <w:right w:val="single" w:sz="8" w:color="D9D9D9"/>
            </w:tcBorders>
            <w:shd w:val="clear" w:color="auto" w:fill="D9D9D9"/>
          </w:tcPr>
          <w:p>
            <w:pPr>
              <w:spacing w:after="0"/>
              <w:rPr>
                <w:sz w:val="19"/>
                <w:szCs w:val="19"/>
                <w:color w:val="auto"/>
              </w:rPr>
            </w:pPr>
          </w:p>
        </w:tc>
        <w:tc>
          <w:tcPr>
            <w:tcW w:w="182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56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w w:val="96"/>
              </w:rPr>
              <w:t>Transaction costs (legal fees, audit fees, transfer agent fees and other</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$4,502</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$1,852</w:t>
            </w: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$2,650</w:t>
            </w:r>
          </w:p>
        </w:tc>
        <w:tc>
          <w:tcPr>
            <w:tcW w:w="0" w:type="dxa"/>
            <w:vAlign w:val="bottom"/>
          </w:tcPr>
          <w:p>
            <w:pPr>
              <w:spacing w:after="0"/>
              <w:rPr>
                <w:sz w:val="1"/>
                <w:szCs w:val="1"/>
                <w:color w:val="auto"/>
              </w:rPr>
            </w:pPr>
          </w:p>
        </w:tc>
      </w:tr>
      <w:tr>
        <w:trPr>
          <w:trHeight w:val="89"/>
        </w:trPr>
        <w:tc>
          <w:tcPr>
            <w:tcW w:w="456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expenses)</w:t>
            </w:r>
          </w:p>
        </w:tc>
        <w:tc>
          <w:tcPr>
            <w:tcW w:w="160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560" w:type="dxa"/>
            <w:vAlign w:val="bottom"/>
            <w:tcBorders>
              <w:left w:val="single" w:sz="8" w:color="auto"/>
              <w:right w:val="single" w:sz="8" w:color="auto"/>
            </w:tcBorders>
            <w:gridSpan w:val="2"/>
            <w:vMerge w:val="continue"/>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5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General and administrative</w:t>
            </w:r>
            <w:r>
              <w:rPr>
                <w:rFonts w:ascii="Arial" w:cs="Arial" w:eastAsia="Arial" w:hAnsi="Arial"/>
                <w:sz w:val="19"/>
                <w:szCs w:val="19"/>
                <w:color w:val="auto"/>
                <w:vertAlign w:val="superscript"/>
              </w:rPr>
              <w:t>(5)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$18,398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$10,557</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$7,841</w:t>
            </w: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Total use of funds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$39,418</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$15,420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$(500)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$23,498</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9"/>
        </w:trPr>
        <w:tc>
          <w:tcPr>
            <w:tcW w:w="45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Unallocated working capital</w:t>
            </w:r>
            <w:r>
              <w:rPr>
                <w:rFonts w:ascii="Arial" w:cs="Arial" w:eastAsia="Arial" w:hAnsi="Arial"/>
                <w:sz w:val="25"/>
                <w:szCs w:val="25"/>
                <w:b w:val="1"/>
                <w:bCs w:val="1"/>
                <w:color w:val="auto"/>
                <w:vertAlign w:val="superscript"/>
              </w:rPr>
              <w:t>(6)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$29,550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$53,547</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N/A</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$45,470</w:t>
            </w: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TOTAL: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$68,968</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$68,967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N/A</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$68,968</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
        <w:spacing w:after="0"/>
        <w:rPr>
          <w:sz w:val="20"/>
          <w:szCs w:val="20"/>
          <w:color w:val="auto"/>
        </w:rPr>
      </w:pPr>
      <w:r>
        <w:rPr>
          <w:rFonts w:ascii="Arial" w:cs="Arial" w:eastAsia="Arial" w:hAnsi="Arial"/>
          <w:sz w:val="15"/>
          <w:szCs w:val="15"/>
          <w:b w:val="1"/>
          <w:bCs w:val="1"/>
          <w:u w:val="single" w:color="auto"/>
          <w:color w:val="auto"/>
        </w:rPr>
        <w:t>Notes:</w:t>
      </w:r>
    </w:p>
    <w:p>
      <w:pPr>
        <w:spacing w:after="0" w:line="38" w:lineRule="exact"/>
        <w:rPr>
          <w:sz w:val="20"/>
          <w:szCs w:val="20"/>
          <w:color w:val="auto"/>
        </w:rPr>
      </w:pPr>
    </w:p>
    <w:p>
      <w:pPr>
        <w:ind w:left="402" w:hanging="402"/>
        <w:spacing w:after="0"/>
        <w:tabs>
          <w:tab w:leader="none" w:pos="402" w:val="left"/>
        </w:tabs>
        <w:numPr>
          <w:ilvl w:val="0"/>
          <w:numId w:val="34"/>
        </w:numPr>
        <w:rPr>
          <w:rFonts w:ascii="Arial" w:cs="Arial" w:eastAsia="Arial" w:hAnsi="Arial"/>
          <w:sz w:val="15"/>
          <w:szCs w:val="15"/>
          <w:color w:val="auto"/>
        </w:rPr>
      </w:pPr>
      <w:r>
        <w:rPr>
          <w:rFonts w:ascii="Arial" w:cs="Arial" w:eastAsia="Arial" w:hAnsi="Arial"/>
          <w:sz w:val="15"/>
          <w:szCs w:val="15"/>
          <w:color w:val="auto"/>
        </w:rPr>
        <w:t>Certain amounts have been converted from USD to CAD at an exchange rate of 1.27:1.</w:t>
      </w:r>
    </w:p>
    <w:p>
      <w:pPr>
        <w:jc w:val="both"/>
        <w:ind w:left="402" w:hanging="402"/>
        <w:spacing w:after="0" w:line="215" w:lineRule="auto"/>
        <w:tabs>
          <w:tab w:leader="none" w:pos="395"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light of compelling data related to CYB003, the Company will merge its Psilocybin Program with its deuterated tryptamine CYB003 preclinical program. The Company was previously running the programs in parallel in order to determine the molecules and methods of actions with the most benefits and least amount of drawbacks. This has now evolved into a single program, focusing on both the MDD and AUD indication in the U.S. and UK, to prioritize the advancement of the superior molecule in the most cost effective manner.</w:t>
      </w:r>
    </w:p>
    <w:p>
      <w:pPr>
        <w:spacing w:after="0" w:line="1" w:lineRule="exact"/>
        <w:rPr>
          <w:rFonts w:ascii="Arial" w:cs="Arial" w:eastAsia="Arial" w:hAnsi="Arial"/>
          <w:sz w:val="13"/>
          <w:szCs w:val="13"/>
          <w:color w:val="auto"/>
        </w:rPr>
      </w:pPr>
    </w:p>
    <w:p>
      <w:pPr>
        <w:jc w:val="both"/>
        <w:ind w:left="402" w:hanging="402"/>
        <w:spacing w:after="0" w:line="215" w:lineRule="auto"/>
        <w:tabs>
          <w:tab w:leader="none" w:pos="395"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Company has identified its main milestones related to this program, however as a result of the timing of the compelling pre-clinical data and the decision to merge its Psilocybin Program with its deuterated tryptamine CYB003 preclinical program, it is still working on finalizing its projected spend estimates per milestone. The Company estimates that its spend over the next 12 months for this program will be similar to that previously disclosed for the Psilocybin Program and the deuterated tryptamine CYB003 preclinical program. The Company had listed its estimated spend under the "Progression of the program for phase I study readiness", however going forward this will be allocated to the appropriate milestone.</w:t>
      </w:r>
    </w:p>
    <w:p>
      <w:pPr>
        <w:spacing w:after="0" w:line="2" w:lineRule="exact"/>
        <w:rPr>
          <w:rFonts w:ascii="Arial" w:cs="Arial" w:eastAsia="Arial" w:hAnsi="Arial"/>
          <w:sz w:val="13"/>
          <w:szCs w:val="13"/>
          <w:color w:val="auto"/>
        </w:rPr>
      </w:pPr>
    </w:p>
    <w:p>
      <w:pPr>
        <w:ind w:left="402" w:hanging="402"/>
        <w:spacing w:after="0" w:line="187" w:lineRule="auto"/>
        <w:tabs>
          <w:tab w:leader="none" w:pos="395"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Company completed its evaluation of the Product Line and its marketing platform and concluded that it would not proceed with this program in order to prioritize the research and development progression of psychedelic molecules.</w:t>
      </w:r>
    </w:p>
    <w:p>
      <w:pPr>
        <w:ind w:left="402" w:hanging="402"/>
        <w:spacing w:after="0" w:line="200" w:lineRule="auto"/>
        <w:tabs>
          <w:tab w:leader="none" w:pos="402" w:val="left"/>
        </w:tabs>
        <w:numPr>
          <w:ilvl w:val="0"/>
          <w:numId w:val="34"/>
        </w:numPr>
        <w:rPr>
          <w:rFonts w:ascii="Arial" w:cs="Arial" w:eastAsia="Arial" w:hAnsi="Arial"/>
          <w:sz w:val="14"/>
          <w:szCs w:val="14"/>
          <w:color w:val="auto"/>
        </w:rPr>
      </w:pPr>
      <w:r>
        <w:rPr>
          <w:rFonts w:ascii="Arial" w:cs="Arial" w:eastAsia="Arial" w:hAnsi="Arial"/>
          <w:sz w:val="14"/>
          <w:szCs w:val="14"/>
          <w:color w:val="auto"/>
        </w:rPr>
        <w:t>General and administrative expenses are comprised of payroll consulting and benefits $2,812, office and administrative $3,479, marketing investor relations $4,225.</w:t>
      </w:r>
    </w:p>
    <w:p>
      <w:pPr>
        <w:ind w:left="402" w:hanging="402"/>
        <w:spacing w:after="0"/>
        <w:tabs>
          <w:tab w:leader="none" w:pos="402"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unallocated working balance will be held in short-term, investment grade, interest-bearing securities, in government securities or in bank accounts at the discretion of management.</w:t>
      </w:r>
    </w:p>
    <w:p>
      <w:pPr>
        <w:spacing w:after="0" w:line="209" w:lineRule="exact"/>
        <w:rPr>
          <w:sz w:val="20"/>
          <w:szCs w:val="20"/>
          <w:color w:val="auto"/>
        </w:rPr>
      </w:pPr>
    </w:p>
    <w:p>
      <w:pPr>
        <w:jc w:val="both"/>
        <w:ind w:left="2"/>
        <w:spacing w:after="0" w:line="269" w:lineRule="auto"/>
        <w:rPr>
          <w:sz w:val="20"/>
          <w:szCs w:val="20"/>
          <w:color w:val="auto"/>
        </w:rPr>
      </w:pPr>
      <w:r>
        <w:rPr>
          <w:rFonts w:ascii="Arial" w:cs="Arial" w:eastAsia="Arial" w:hAnsi="Arial"/>
          <w:sz w:val="17"/>
          <w:szCs w:val="17"/>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w:t>
      </w:r>
    </w:p>
    <w:p>
      <w:pPr>
        <w:sectPr>
          <w:pgSz w:w="11900" w:h="16838" w:orient="portrait"/>
          <w:cols w:equalWidth="0" w:num="1">
            <w:col w:w="11242"/>
          </w:cols>
          <w:pgMar w:left="318" w:top="7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2"/>
          </w:cols>
          <w:pgMar w:left="318" w:top="731"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color w:val="auto"/>
        </w:rPr>
        <w:t>types of financing will be available if needed or that these financings will be on terms at least as favourable to the Company as those previously obtained.</w:t>
      </w:r>
    </w:p>
    <w:p>
      <w:pPr>
        <w:spacing w:after="0" w:line="22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expected use of net proceeds from the Company’s financing activities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Certain COVID-19 related risks could delay or slow the implementation of the planned objectives resulting in additional costs for the Company to achieve its business objectives. The extent to which COVID-19 may impact the Company business activities will depend on future developments, such as the ultimate geographic spread of the disease, the duration of the outbreak, travel restrictions, business disruptions, and the effectiveness of actions taken in Canada, the United States, and other countries to contain and treat the disease. As these events are highly uncertain and the Company cannot determine their potential impact on operations at this time. The COVID-19 pandemic may negatively impact the Company’s business through disruption of supply and manufacturing, which would influence the amount and timing of planned expenditure. For example, prolonged disruptions in the supply of goods and services relied on by the Company to develop its products or restrictions resulting from government regulations that impact the Company ability to conduct its studies and clinic trials, may adversely impact the Company’s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on Stated Milestones and Business Objectives</w:t>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below table is intended to provide an update, as at September 30, 2021, on the Company’s business objectives and milestones, as disclosed in the July 2021 Prospectus. The July 2021 Prospectus, which is available on SEDAR at </w:t>
      </w:r>
      <w:r>
        <w:rPr>
          <w:rFonts w:ascii="Arial" w:cs="Arial" w:eastAsia="Arial" w:hAnsi="Arial"/>
          <w:sz w:val="18"/>
          <w:szCs w:val="18"/>
          <w:i w:val="1"/>
          <w:iCs w:val="1"/>
          <w:u w:val="single" w:color="auto"/>
          <w:color w:val="0000FF"/>
        </w:rPr>
        <w:t>www.sedar.com</w:t>
      </w:r>
      <w:r>
        <w:rPr>
          <w:rFonts w:ascii="Arial" w:cs="Arial" w:eastAsia="Arial" w:hAnsi="Arial"/>
          <w:sz w:val="18"/>
          <w:szCs w:val="18"/>
          <w:color w:val="auto"/>
        </w:rPr>
        <w:t>, identified certain business milestones of the Company, which are reproduced below. As of September 30, 2021, the Company provided the status of these milestones, the actual or revised estimated costs and the revised date of expected completion thereof, if applicable. Further, the Company has included additional objectives and milestones that have been identified since the date of the July 2021 Prospectus.</w:t>
      </w:r>
    </w:p>
    <w:p>
      <w:pPr>
        <w:spacing w:after="0" w:line="17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following are “forward-looking statements” and as such, there is no guarantee that such milestones will be achieved on the timelines indicated or at all. Forward-looking statements are based on management’s current expectations and are subject to a number of risks, uncertainties, and assumptions. See “Forward-Looking Statements” and “Risk Factors”.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320" w:top="710" w:right="319" w:bottom="1440" w:gutter="0" w:footer="0" w:header="0"/>
        </w:sectPr>
      </w:pPr>
    </w:p>
    <w:bookmarkStart w:id="43" w:name="page44"/>
    <w:bookmarkEnd w:id="43"/>
    <w:tbl>
      <w:tblPr>
        <w:tblLayout w:type="fixed"/>
        <w:tblInd w:w="572" w:type="dxa"/>
        <w:tblCellMar>
          <w:top w:w="0" w:type="dxa"/>
          <w:left w:w="0" w:type="dxa"/>
          <w:bottom w:w="0" w:type="dxa"/>
          <w:right w:w="0" w:type="dxa"/>
        </w:tblCellMar>
      </w:tblPr>
      <w:tr>
        <w:trPr>
          <w:trHeight w:val="199"/>
        </w:trPr>
        <w:tc>
          <w:tcPr>
            <w:tcW w:w="2000" w:type="dxa"/>
            <w:vAlign w:val="bottom"/>
            <w:tcBorders>
              <w:top w:val="single" w:sz="8" w:color="auto"/>
              <w:left w:val="single" w:sz="8" w:color="auto"/>
              <w:right w:val="single" w:sz="8" w:color="auto"/>
            </w:tcBorders>
            <w:vMerge w:val="restart"/>
            <w:shd w:val="clear" w:color="auto" w:fill="D9D9D9"/>
          </w:tcPr>
          <w:p>
            <w:pPr>
              <w:ind w:left="700"/>
              <w:spacing w:after="0"/>
              <w:rPr>
                <w:sz w:val="20"/>
                <w:szCs w:val="20"/>
                <w:color w:val="auto"/>
              </w:rPr>
            </w:pPr>
            <w:r>
              <w:rPr>
                <w:rFonts w:ascii="Arial" w:cs="Arial" w:eastAsia="Arial" w:hAnsi="Arial"/>
                <w:sz w:val="15"/>
                <w:szCs w:val="15"/>
                <w:b w:val="1"/>
                <w:bCs w:val="1"/>
                <w:color w:val="auto"/>
              </w:rPr>
              <w:t>Objective</w:t>
            </w:r>
          </w:p>
        </w:tc>
        <w:tc>
          <w:tcPr>
            <w:tcW w:w="820" w:type="dxa"/>
            <w:vAlign w:val="bottom"/>
            <w:tcBorders>
              <w:top w:val="single" w:sz="8" w:color="auto"/>
            </w:tcBorders>
            <w:shd w:val="clear" w:color="auto" w:fill="D9D9D9"/>
          </w:tcPr>
          <w:p>
            <w:pPr>
              <w:spacing w:after="0"/>
              <w:rPr>
                <w:sz w:val="17"/>
                <w:szCs w:val="17"/>
                <w:color w:val="auto"/>
              </w:rPr>
            </w:pPr>
          </w:p>
        </w:tc>
        <w:tc>
          <w:tcPr>
            <w:tcW w:w="220" w:type="dxa"/>
            <w:vAlign w:val="bottom"/>
            <w:tcBorders>
              <w:top w:val="single" w:sz="8" w:color="auto"/>
            </w:tcBorders>
            <w:shd w:val="clear" w:color="auto" w:fill="D9D9D9"/>
          </w:tcPr>
          <w:p>
            <w:pPr>
              <w:spacing w:after="0"/>
              <w:rPr>
                <w:sz w:val="17"/>
                <w:szCs w:val="17"/>
                <w:color w:val="auto"/>
              </w:rPr>
            </w:pPr>
          </w:p>
        </w:tc>
        <w:tc>
          <w:tcPr>
            <w:tcW w:w="360" w:type="dxa"/>
            <w:vAlign w:val="bottom"/>
            <w:tcBorders>
              <w:top w:val="single" w:sz="8" w:color="auto"/>
            </w:tcBorders>
            <w:shd w:val="clear" w:color="auto" w:fill="D9D9D9"/>
          </w:tcPr>
          <w:p>
            <w:pPr>
              <w:spacing w:after="0"/>
              <w:rPr>
                <w:sz w:val="17"/>
                <w:szCs w:val="17"/>
                <w:color w:val="auto"/>
              </w:rPr>
            </w:pPr>
          </w:p>
        </w:tc>
        <w:tc>
          <w:tcPr>
            <w:tcW w:w="680" w:type="dxa"/>
            <w:vAlign w:val="bottom"/>
            <w:tcBorders>
              <w:top w:val="single" w:sz="8" w:color="auto"/>
              <w:right w:val="single" w:sz="8" w:color="auto"/>
            </w:tcBorders>
            <w:shd w:val="clear" w:color="auto" w:fill="D9D9D9"/>
          </w:tcPr>
          <w:p>
            <w:pPr>
              <w:spacing w:after="0"/>
              <w:rPr>
                <w:sz w:val="17"/>
                <w:szCs w:val="17"/>
                <w:color w:val="auto"/>
              </w:rPr>
            </w:pPr>
          </w:p>
        </w:tc>
        <w:tc>
          <w:tcPr>
            <w:tcW w:w="12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98"/>
              </w:rPr>
              <w:t>Prior   Estimated</w:t>
            </w:r>
          </w:p>
        </w:tc>
        <w:tc>
          <w:tcPr>
            <w:tcW w:w="12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8"/>
              </w:rPr>
              <w:t>Actual or Revised</w:t>
            </w:r>
          </w:p>
        </w:tc>
        <w:tc>
          <w:tcPr>
            <w:tcW w:w="15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90"/>
              </w:rPr>
              <w:t>Actual/Estimated</w:t>
            </w:r>
          </w:p>
        </w:tc>
        <w:tc>
          <w:tcPr>
            <w:tcW w:w="132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7"/>
              </w:rPr>
              <w:t>Status</w:t>
            </w:r>
          </w:p>
        </w:tc>
        <w:tc>
          <w:tcPr>
            <w:tcW w:w="0" w:type="dxa"/>
            <w:vAlign w:val="bottom"/>
          </w:tcPr>
          <w:p>
            <w:pPr>
              <w:spacing w:after="0"/>
              <w:rPr>
                <w:sz w:val="1"/>
                <w:szCs w:val="1"/>
                <w:color w:val="auto"/>
              </w:rPr>
            </w:pPr>
          </w:p>
        </w:tc>
      </w:tr>
      <w:tr>
        <w:trPr>
          <w:trHeight w:val="229"/>
        </w:trPr>
        <w:tc>
          <w:tcPr>
            <w:tcW w:w="2000" w:type="dxa"/>
            <w:vAlign w:val="bottom"/>
            <w:tcBorders>
              <w:left w:val="single" w:sz="8" w:color="auto"/>
              <w:right w:val="single" w:sz="8" w:color="auto"/>
            </w:tcBorders>
            <w:vMerge w:val="continue"/>
            <w:shd w:val="clear" w:color="auto" w:fill="D9D9D9"/>
          </w:tcPr>
          <w:p>
            <w:pPr>
              <w:spacing w:after="0"/>
              <w:rPr>
                <w:sz w:val="19"/>
                <w:szCs w:val="19"/>
                <w:color w:val="auto"/>
              </w:rPr>
            </w:pPr>
          </w:p>
        </w:tc>
        <w:tc>
          <w:tcPr>
            <w:tcW w:w="2080" w:type="dxa"/>
            <w:vAlign w:val="bottom"/>
            <w:tcBorders>
              <w:right w:val="single" w:sz="8" w:color="auto"/>
            </w:tcBorders>
            <w:gridSpan w:val="4"/>
            <w:shd w:val="clear" w:color="auto" w:fill="D9D9D9"/>
          </w:tcPr>
          <w:p>
            <w:pPr>
              <w:ind w:left="600"/>
              <w:spacing w:after="0"/>
              <w:rPr>
                <w:sz w:val="20"/>
                <w:szCs w:val="20"/>
                <w:color w:val="auto"/>
              </w:rPr>
            </w:pPr>
            <w:r>
              <w:rPr>
                <w:rFonts w:ascii="Arial" w:cs="Arial" w:eastAsia="Arial" w:hAnsi="Arial"/>
                <w:sz w:val="15"/>
                <w:szCs w:val="15"/>
                <w:b w:val="1"/>
                <w:bCs w:val="1"/>
                <w:color w:val="auto"/>
              </w:rPr>
              <w:t>Milestone</w:t>
            </w:r>
            <w:r>
              <w:rPr>
                <w:rFonts w:ascii="Arial" w:cs="Arial" w:eastAsia="Arial" w:hAnsi="Arial"/>
                <w:sz w:val="19"/>
                <w:szCs w:val="19"/>
                <w:b w:val="1"/>
                <w:bCs w:val="1"/>
                <w:color w:val="auto"/>
                <w:vertAlign w:val="superscript"/>
              </w:rPr>
              <w:t>(1)(2)</w:t>
            </w:r>
          </w:p>
        </w:tc>
        <w:tc>
          <w:tcPr>
            <w:tcW w:w="12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96"/>
              </w:rPr>
              <w:t>Cost in July 2021</w:t>
            </w:r>
          </w:p>
        </w:tc>
        <w:tc>
          <w:tcPr>
            <w:tcW w:w="12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3"/>
              </w:rPr>
              <w:t xml:space="preserve">Estimated Cost </w:t>
            </w:r>
            <w:r>
              <w:rPr>
                <w:rFonts w:ascii="Arial" w:cs="Arial" w:eastAsia="Arial" w:hAnsi="Arial"/>
                <w:sz w:val="19"/>
                <w:szCs w:val="19"/>
                <w:b w:val="1"/>
                <w:bCs w:val="1"/>
                <w:color w:val="auto"/>
                <w:w w:val="83"/>
                <w:vertAlign w:val="superscript"/>
              </w:rPr>
              <w:t>(3)</w:t>
            </w:r>
          </w:p>
        </w:tc>
        <w:tc>
          <w:tcPr>
            <w:tcW w:w="15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93"/>
              </w:rPr>
              <w:t>Timeframe for</w:t>
            </w:r>
          </w:p>
        </w:tc>
        <w:tc>
          <w:tcPr>
            <w:tcW w:w="1320" w:type="dxa"/>
            <w:vAlign w:val="bottom"/>
            <w:tcBorders>
              <w:right w:val="single" w:sz="8" w:color="auto"/>
            </w:tcBorders>
            <w:vMerge w:val="continue"/>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0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820" w:type="dxa"/>
            <w:vAlign w:val="bottom"/>
            <w:tcBorders>
              <w:bottom w:val="single" w:sz="8" w:color="auto"/>
            </w:tcBorders>
            <w:shd w:val="clear" w:color="auto" w:fill="D9D9D9"/>
          </w:tcPr>
          <w:p>
            <w:pPr>
              <w:spacing w:after="0"/>
              <w:rPr>
                <w:sz w:val="12"/>
                <w:szCs w:val="12"/>
                <w:color w:val="auto"/>
              </w:rPr>
            </w:pPr>
          </w:p>
        </w:tc>
        <w:tc>
          <w:tcPr>
            <w:tcW w:w="220" w:type="dxa"/>
            <w:vAlign w:val="bottom"/>
            <w:tcBorders>
              <w:bottom w:val="single" w:sz="8" w:color="auto"/>
            </w:tcBorders>
            <w:shd w:val="clear" w:color="auto" w:fill="D9D9D9"/>
          </w:tcPr>
          <w:p>
            <w:pPr>
              <w:spacing w:after="0"/>
              <w:rPr>
                <w:sz w:val="12"/>
                <w:szCs w:val="12"/>
                <w:color w:val="auto"/>
              </w:rPr>
            </w:pPr>
          </w:p>
        </w:tc>
        <w:tc>
          <w:tcPr>
            <w:tcW w:w="360" w:type="dxa"/>
            <w:vAlign w:val="bottom"/>
            <w:tcBorders>
              <w:bottom w:val="single" w:sz="8" w:color="auto"/>
            </w:tcBorders>
            <w:shd w:val="clear" w:color="auto" w:fill="D9D9D9"/>
          </w:tcPr>
          <w:p>
            <w:pPr>
              <w:spacing w:after="0"/>
              <w:rPr>
                <w:sz w:val="12"/>
                <w:szCs w:val="12"/>
                <w:color w:val="auto"/>
              </w:rPr>
            </w:pPr>
          </w:p>
        </w:tc>
        <w:tc>
          <w:tcPr>
            <w:tcW w:w="680" w:type="dxa"/>
            <w:vAlign w:val="bottom"/>
            <w:tcBorders>
              <w:bottom w:val="single" w:sz="8" w:color="auto"/>
              <w:right w:val="single" w:sz="8" w:color="auto"/>
            </w:tcBorders>
            <w:shd w:val="clear" w:color="auto" w:fill="D9D9D9"/>
          </w:tcPr>
          <w:p>
            <w:pPr>
              <w:spacing w:after="0"/>
              <w:rPr>
                <w:sz w:val="12"/>
                <w:szCs w:val="12"/>
                <w:color w:val="auto"/>
              </w:rPr>
            </w:pPr>
          </w:p>
        </w:tc>
        <w:tc>
          <w:tcPr>
            <w:tcW w:w="1220" w:type="dxa"/>
            <w:vAlign w:val="bottom"/>
            <w:tcBorders>
              <w:bottom w:val="single" w:sz="8" w:color="auto"/>
              <w:right w:val="single" w:sz="8" w:color="auto"/>
            </w:tcBorders>
            <w:shd w:val="clear" w:color="auto" w:fill="D9D9D9"/>
          </w:tcPr>
          <w:p>
            <w:pPr>
              <w:spacing w:after="0" w:line="147" w:lineRule="exact"/>
              <w:rPr>
                <w:sz w:val="20"/>
                <w:szCs w:val="20"/>
                <w:color w:val="auto"/>
              </w:rPr>
            </w:pPr>
            <w:r>
              <w:rPr>
                <w:rFonts w:ascii="Arial" w:cs="Arial" w:eastAsia="Arial" w:hAnsi="Arial"/>
                <w:sz w:val="13"/>
                <w:szCs w:val="13"/>
                <w:b w:val="1"/>
                <w:bCs w:val="1"/>
                <w:color w:val="auto"/>
              </w:rPr>
              <w:t>Prospectus</w:t>
            </w:r>
            <w:r>
              <w:rPr>
                <w:rFonts w:ascii="Arial" w:cs="Arial" w:eastAsia="Arial" w:hAnsi="Arial"/>
                <w:sz w:val="17"/>
                <w:szCs w:val="17"/>
                <w:b w:val="1"/>
                <w:bCs w:val="1"/>
                <w:color w:val="auto"/>
                <w:vertAlign w:val="superscript"/>
              </w:rPr>
              <w:t>(3)</w:t>
            </w:r>
          </w:p>
        </w:tc>
        <w:tc>
          <w:tcPr>
            <w:tcW w:w="1200" w:type="dxa"/>
            <w:vAlign w:val="bottom"/>
            <w:tcBorders>
              <w:bottom w:val="single" w:sz="8" w:color="auto"/>
              <w:right w:val="single" w:sz="8" w:color="auto"/>
            </w:tcBorders>
            <w:shd w:val="clear" w:color="auto" w:fill="D9D9D9"/>
          </w:tcPr>
          <w:p>
            <w:pPr>
              <w:spacing w:after="0"/>
              <w:rPr>
                <w:sz w:val="12"/>
                <w:szCs w:val="12"/>
                <w:color w:val="auto"/>
              </w:rPr>
            </w:pPr>
          </w:p>
        </w:tc>
        <w:tc>
          <w:tcPr>
            <w:tcW w:w="1540" w:type="dxa"/>
            <w:vAlign w:val="bottom"/>
            <w:tcBorders>
              <w:bottom w:val="single" w:sz="8" w:color="auto"/>
              <w:right w:val="single" w:sz="8" w:color="auto"/>
            </w:tcBorders>
            <w:shd w:val="clear" w:color="auto" w:fill="D9D9D9"/>
          </w:tcPr>
          <w:p>
            <w:pPr>
              <w:jc w:val="center"/>
              <w:spacing w:after="0" w:line="147" w:lineRule="exact"/>
              <w:rPr>
                <w:sz w:val="20"/>
                <w:szCs w:val="20"/>
                <w:color w:val="auto"/>
              </w:rPr>
            </w:pPr>
            <w:r>
              <w:rPr>
                <w:rFonts w:ascii="Arial" w:cs="Arial" w:eastAsia="Arial" w:hAnsi="Arial"/>
                <w:sz w:val="13"/>
                <w:szCs w:val="13"/>
                <w:b w:val="1"/>
                <w:bCs w:val="1"/>
                <w:color w:val="auto"/>
                <w:w w:val="94"/>
              </w:rPr>
              <w:t>Completion</w:t>
            </w:r>
            <w:r>
              <w:rPr>
                <w:rFonts w:ascii="Arial" w:cs="Arial" w:eastAsia="Arial" w:hAnsi="Arial"/>
                <w:sz w:val="17"/>
                <w:szCs w:val="17"/>
                <w:b w:val="1"/>
                <w:bCs w:val="1"/>
                <w:color w:val="auto"/>
                <w:w w:val="94"/>
                <w:vertAlign w:val="superscript"/>
              </w:rPr>
              <w:t>(4)(5)</w:t>
            </w:r>
          </w:p>
        </w:tc>
        <w:tc>
          <w:tcPr>
            <w:tcW w:w="1320" w:type="dxa"/>
            <w:vAlign w:val="bottom"/>
            <w:tcBorders>
              <w:bottom w:val="single" w:sz="8" w:color="auto"/>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ind w:left="100"/>
              <w:spacing w:after="0" w:line="180" w:lineRule="exact"/>
              <w:rPr>
                <w:sz w:val="20"/>
                <w:szCs w:val="20"/>
                <w:color w:val="auto"/>
              </w:rPr>
            </w:pPr>
            <w:r>
              <w:rPr>
                <w:rFonts w:ascii="Arial" w:cs="Arial" w:eastAsia="Arial" w:hAnsi="Arial"/>
                <w:sz w:val="15"/>
                <w:szCs w:val="15"/>
                <w:color w:val="auto"/>
              </w:rPr>
              <w:t>Psilocybin Program</w:t>
            </w:r>
            <w:r>
              <w:rPr>
                <w:rFonts w:ascii="Arial" w:cs="Arial" w:eastAsia="Arial" w:hAnsi="Arial"/>
                <w:sz w:val="19"/>
                <w:szCs w:val="19"/>
                <w:color w:val="auto"/>
                <w:vertAlign w:val="superscript"/>
              </w:rPr>
              <w:t>(8)</w:t>
            </w: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rPr>
              <w:t>Chemically develop and</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00" w:type="dxa"/>
            <w:vAlign w:val="bottom"/>
            <w:tcBorders>
              <w:left w:val="single" w:sz="8" w:color="auto"/>
              <w:right w:val="single" w:sz="8" w:color="auto"/>
            </w:tcBorders>
          </w:tcPr>
          <w:p>
            <w:pPr>
              <w:spacing w:after="0"/>
              <w:rPr>
                <w:sz w:val="22"/>
                <w:szCs w:val="22"/>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99"/>
              </w:rPr>
              <w:t>synthesize psychedelic APIs</w:t>
            </w:r>
            <w:r>
              <w:rPr>
                <w:rFonts w:ascii="Arial" w:cs="Arial" w:eastAsia="Arial" w:hAnsi="Arial"/>
                <w:sz w:val="19"/>
                <w:szCs w:val="19"/>
                <w:color w:val="auto"/>
                <w:w w:val="99"/>
                <w:vertAlign w:val="superscript"/>
              </w:rPr>
              <w:t>(6)</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Q1 2021</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Completed</w:t>
            </w:r>
            <w:r>
              <w:rPr>
                <w:rFonts w:ascii="Arial" w:cs="Arial" w:eastAsia="Arial" w:hAnsi="Arial"/>
                <w:sz w:val="19"/>
                <w:szCs w:val="19"/>
                <w:color w:val="auto"/>
                <w:w w:val="86"/>
                <w:vertAlign w:val="superscript"/>
              </w:rPr>
              <w:t>(7)</w:t>
            </w:r>
          </w:p>
        </w:tc>
        <w:tc>
          <w:tcPr>
            <w:tcW w:w="0" w:type="dxa"/>
            <w:vAlign w:val="bottom"/>
          </w:tcPr>
          <w:p>
            <w:pPr>
              <w:spacing w:after="0"/>
              <w:rPr>
                <w:sz w:val="1"/>
                <w:szCs w:val="1"/>
                <w:color w:val="auto"/>
              </w:rPr>
            </w:pPr>
          </w:p>
        </w:tc>
      </w:tr>
      <w:tr>
        <w:trPr>
          <w:trHeight w:val="138"/>
        </w:trPr>
        <w:tc>
          <w:tcPr>
            <w:tcW w:w="2000" w:type="dxa"/>
            <w:vAlign w:val="bottom"/>
            <w:tcBorders>
              <w:left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5"/>
                <w:szCs w:val="15"/>
                <w:color w:val="auto"/>
                <w:w w:val="90"/>
              </w:rPr>
              <w:t>Development</w:t>
            </w:r>
          </w:p>
        </w:tc>
        <w:tc>
          <w:tcPr>
            <w:tcW w:w="22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5"/>
                <w:szCs w:val="15"/>
                <w:color w:val="auto"/>
              </w:rPr>
              <w:t>of</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w w:val="94"/>
              </w:rPr>
              <w:t>psilocybin</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000" w:type="dxa"/>
            <w:vAlign w:val="bottom"/>
            <w:tcBorders>
              <w:left w:val="single" w:sz="8" w:color="auto"/>
              <w:right w:val="single" w:sz="8" w:color="auto"/>
            </w:tcBorders>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5"/>
                <w:szCs w:val="15"/>
                <w:color w:val="auto"/>
              </w:rPr>
              <w:t>Sublingual Film</w:t>
            </w:r>
            <w:r>
              <w:rPr>
                <w:rFonts w:ascii="Arial" w:cs="Arial" w:eastAsia="Arial" w:hAnsi="Arial"/>
                <w:sz w:val="19"/>
                <w:szCs w:val="19"/>
                <w:color w:val="auto"/>
                <w:vertAlign w:val="superscript"/>
              </w:rPr>
              <w:t>(9)</w:t>
            </w:r>
          </w:p>
        </w:tc>
        <w:tc>
          <w:tcPr>
            <w:tcW w:w="68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$210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Merged</w:t>
            </w:r>
            <w:r>
              <w:rPr>
                <w:rFonts w:ascii="Arial" w:cs="Arial" w:eastAsia="Arial" w:hAnsi="Arial"/>
                <w:sz w:val="19"/>
                <w:szCs w:val="19"/>
                <w:color w:val="auto"/>
                <w:w w:val="84"/>
                <w:vertAlign w:val="superscript"/>
              </w:rPr>
              <w:t>(8)</w:t>
            </w:r>
          </w:p>
        </w:tc>
        <w:tc>
          <w:tcPr>
            <w:tcW w:w="0" w:type="dxa"/>
            <w:vAlign w:val="bottom"/>
          </w:tcPr>
          <w:p>
            <w:pPr>
              <w:spacing w:after="0"/>
              <w:rPr>
                <w:sz w:val="1"/>
                <w:szCs w:val="1"/>
                <w:color w:val="auto"/>
              </w:rPr>
            </w:pPr>
          </w:p>
        </w:tc>
      </w:tr>
      <w:tr>
        <w:trPr>
          <w:trHeight w:val="211"/>
        </w:trPr>
        <w:tc>
          <w:tcPr>
            <w:tcW w:w="2000" w:type="dxa"/>
            <w:vAlign w:val="bottom"/>
            <w:tcBorders>
              <w:left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gridSpan w:val="4"/>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94"/>
              </w:rPr>
              <w:t>Phase IIa MDD study completed</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000" w:type="dxa"/>
            <w:vAlign w:val="bottom"/>
            <w:tcBorders>
              <w:left w:val="single" w:sz="8" w:color="auto"/>
              <w:right w:val="single" w:sz="8" w:color="auto"/>
            </w:tcBorders>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5"/>
                <w:szCs w:val="15"/>
                <w:color w:val="auto"/>
                <w:w w:val="96"/>
              </w:rPr>
              <w:t>with data</w:t>
            </w:r>
            <w:r>
              <w:rPr>
                <w:rFonts w:ascii="Arial" w:cs="Arial" w:eastAsia="Arial" w:hAnsi="Arial"/>
                <w:sz w:val="19"/>
                <w:szCs w:val="19"/>
                <w:color w:val="auto"/>
                <w:w w:val="96"/>
                <w:vertAlign w:val="superscript"/>
              </w:rPr>
              <w:t>(10)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$772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$339</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Merged</w:t>
            </w:r>
            <w:r>
              <w:rPr>
                <w:rFonts w:ascii="Arial" w:cs="Arial" w:eastAsia="Arial" w:hAnsi="Arial"/>
                <w:sz w:val="19"/>
                <w:szCs w:val="19"/>
                <w:color w:val="auto"/>
                <w:w w:val="84"/>
                <w:vertAlign w:val="superscript"/>
              </w:rPr>
              <w:t>(8)</w:t>
            </w:r>
          </w:p>
        </w:tc>
        <w:tc>
          <w:tcPr>
            <w:tcW w:w="0" w:type="dxa"/>
            <w:vAlign w:val="bottom"/>
          </w:tcPr>
          <w:p>
            <w:pPr>
              <w:spacing w:after="0"/>
              <w:rPr>
                <w:sz w:val="1"/>
                <w:szCs w:val="1"/>
                <w:color w:val="auto"/>
              </w:rPr>
            </w:pPr>
          </w:p>
        </w:tc>
      </w:tr>
      <w:tr>
        <w:trPr>
          <w:trHeight w:val="211"/>
        </w:trPr>
        <w:tc>
          <w:tcPr>
            <w:tcW w:w="2000" w:type="dxa"/>
            <w:vAlign w:val="bottom"/>
            <w:tcBorders>
              <w:left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gridSpan w:val="4"/>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94"/>
              </w:rPr>
              <w:t>Phase IIb MDD study completed</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right w:val="single" w:sz="8" w:color="auto"/>
            </w:tcBorders>
          </w:tcPr>
          <w:p>
            <w:pPr>
              <w:spacing w:after="0"/>
              <w:rPr>
                <w:sz w:val="21"/>
                <w:szCs w:val="21"/>
                <w:color w:val="auto"/>
              </w:rPr>
            </w:pPr>
          </w:p>
        </w:tc>
        <w:tc>
          <w:tcPr>
            <w:tcW w:w="820" w:type="dxa"/>
            <w:vAlign w:val="bottom"/>
          </w:tcPr>
          <w:p>
            <w:pPr>
              <w:spacing w:after="0"/>
              <w:rPr>
                <w:sz w:val="20"/>
                <w:szCs w:val="20"/>
                <w:color w:val="auto"/>
              </w:rPr>
            </w:pPr>
            <w:r>
              <w:rPr>
                <w:rFonts w:ascii="Arial" w:cs="Arial" w:eastAsia="Arial" w:hAnsi="Arial"/>
                <w:sz w:val="15"/>
                <w:szCs w:val="15"/>
                <w:color w:val="auto"/>
                <w:w w:val="96"/>
              </w:rPr>
              <w:t>with data</w:t>
            </w:r>
            <w:r>
              <w:rPr>
                <w:rFonts w:ascii="Arial" w:cs="Arial" w:eastAsia="Arial" w:hAnsi="Arial"/>
                <w:sz w:val="19"/>
                <w:szCs w:val="19"/>
                <w:color w:val="auto"/>
                <w:w w:val="96"/>
                <w:vertAlign w:val="superscript"/>
              </w:rPr>
              <w:t>(10)</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$1,000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Merged</w:t>
            </w:r>
            <w:r>
              <w:rPr>
                <w:rFonts w:ascii="Arial" w:cs="Arial" w:eastAsia="Arial" w:hAnsi="Arial"/>
                <w:sz w:val="19"/>
                <w:szCs w:val="19"/>
                <w:color w:val="auto"/>
                <w:w w:val="84"/>
                <w:vertAlign w:val="superscript"/>
              </w:rPr>
              <w:t>(8)</w:t>
            </w: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gridSpan w:val="4"/>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rPr>
              <w:t>Support of additional phase IIb</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5"/>
                <w:szCs w:val="15"/>
                <w:color w:val="auto"/>
              </w:rPr>
              <w:t>study sites in Canada and the</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$1,810</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3"/>
              </w:rPr>
              <w:t>$379</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4"/>
              </w:rPr>
              <w:t>Merged</w:t>
            </w:r>
            <w:r>
              <w:rPr>
                <w:rFonts w:ascii="Arial" w:cs="Arial" w:eastAsia="Arial" w:hAnsi="Arial"/>
                <w:sz w:val="19"/>
                <w:szCs w:val="19"/>
                <w:color w:val="auto"/>
                <w:w w:val="84"/>
                <w:vertAlign w:val="superscript"/>
              </w:rPr>
              <w:t>(8)</w:t>
            </w:r>
          </w:p>
        </w:tc>
        <w:tc>
          <w:tcPr>
            <w:tcW w:w="0" w:type="dxa"/>
            <w:vAlign w:val="bottom"/>
          </w:tcPr>
          <w:p>
            <w:pPr>
              <w:spacing w:after="0"/>
              <w:rPr>
                <w:sz w:val="1"/>
                <w:szCs w:val="1"/>
                <w:color w:val="auto"/>
              </w:rPr>
            </w:pPr>
          </w:p>
        </w:tc>
      </w:tr>
      <w:tr>
        <w:trPr>
          <w:trHeight w:val="143"/>
        </w:trPr>
        <w:tc>
          <w:tcPr>
            <w:tcW w:w="2000" w:type="dxa"/>
            <w:vAlign w:val="bottom"/>
            <w:tcBorders>
              <w:left w:val="single" w:sz="8" w:color="auto"/>
              <w:right w:val="single" w:sz="8" w:color="auto"/>
            </w:tcBorders>
          </w:tcPr>
          <w:p>
            <w:pPr>
              <w:spacing w:after="0"/>
              <w:rPr>
                <w:sz w:val="12"/>
                <w:szCs w:val="12"/>
                <w:color w:val="auto"/>
              </w:rPr>
            </w:pPr>
          </w:p>
        </w:tc>
        <w:tc>
          <w:tcPr>
            <w:tcW w:w="1040" w:type="dxa"/>
            <w:vAlign w:val="bottom"/>
            <w:gridSpan w:val="2"/>
            <w:vMerge w:val="restart"/>
          </w:tcPr>
          <w:p>
            <w:pPr>
              <w:spacing w:after="0"/>
              <w:rPr>
                <w:sz w:val="20"/>
                <w:szCs w:val="20"/>
                <w:color w:val="auto"/>
              </w:rPr>
            </w:pPr>
            <w:r>
              <w:rPr>
                <w:rFonts w:ascii="Arial" w:cs="Arial" w:eastAsia="Arial" w:hAnsi="Arial"/>
                <w:sz w:val="15"/>
                <w:szCs w:val="15"/>
                <w:color w:val="auto"/>
                <w:w w:val="90"/>
              </w:rPr>
              <w:t>United States</w:t>
            </w:r>
            <w:r>
              <w:rPr>
                <w:rFonts w:ascii="Arial" w:cs="Arial" w:eastAsia="Arial" w:hAnsi="Arial"/>
                <w:sz w:val="19"/>
                <w:szCs w:val="19"/>
                <w:color w:val="auto"/>
                <w:w w:val="90"/>
                <w:vertAlign w:val="superscript"/>
              </w:rPr>
              <w:t>(10)</w:t>
            </w:r>
          </w:p>
        </w:tc>
        <w:tc>
          <w:tcPr>
            <w:tcW w:w="3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00" w:type="dxa"/>
            <w:vAlign w:val="bottom"/>
            <w:tcBorders>
              <w:left w:val="single" w:sz="8" w:color="auto"/>
              <w:right w:val="single" w:sz="8" w:color="auto"/>
            </w:tcBorders>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gridSpan w:val="4"/>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92"/>
              </w:rPr>
              <w:t>Commence microdose study with</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0" w:type="dxa"/>
            <w:vAlign w:val="bottom"/>
            <w:tcBorders>
              <w:left w:val="single" w:sz="8" w:color="auto"/>
              <w:right w:val="single" w:sz="8" w:color="auto"/>
            </w:tcBorders>
          </w:tcPr>
          <w:p>
            <w:pPr>
              <w:spacing w:after="0"/>
              <w:rPr>
                <w:sz w:val="14"/>
                <w:szCs w:val="14"/>
                <w:color w:val="auto"/>
              </w:rPr>
            </w:pPr>
          </w:p>
        </w:tc>
        <w:tc>
          <w:tcPr>
            <w:tcW w:w="1400" w:type="dxa"/>
            <w:vAlign w:val="bottom"/>
            <w:gridSpan w:val="3"/>
          </w:tcPr>
          <w:p>
            <w:pPr>
              <w:spacing w:after="0" w:line="172" w:lineRule="exact"/>
              <w:rPr>
                <w:sz w:val="20"/>
                <w:szCs w:val="20"/>
                <w:color w:val="auto"/>
              </w:rPr>
            </w:pPr>
            <w:r>
              <w:rPr>
                <w:rFonts w:ascii="Arial" w:cs="Arial" w:eastAsia="Arial" w:hAnsi="Arial"/>
                <w:sz w:val="15"/>
                <w:szCs w:val="15"/>
                <w:color w:val="auto"/>
                <w:w w:val="88"/>
              </w:rPr>
              <w:t>the Canadian Centre of</w:t>
            </w:r>
          </w:p>
        </w:tc>
        <w:tc>
          <w:tcPr>
            <w:tcW w:w="68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101"/>
        </w:trPr>
        <w:tc>
          <w:tcPr>
            <w:tcW w:w="2000" w:type="dxa"/>
            <w:vAlign w:val="bottom"/>
            <w:tcBorders>
              <w:left w:val="single" w:sz="8" w:color="auto"/>
              <w:right w:val="single" w:sz="8" w:color="auto"/>
            </w:tcBorders>
          </w:tcPr>
          <w:p>
            <w:pPr>
              <w:spacing w:after="0"/>
              <w:rPr>
                <w:sz w:val="8"/>
                <w:szCs w:val="8"/>
                <w:color w:val="auto"/>
              </w:rPr>
            </w:pPr>
          </w:p>
        </w:tc>
        <w:tc>
          <w:tcPr>
            <w:tcW w:w="1400" w:type="dxa"/>
            <w:vAlign w:val="bottom"/>
            <w:gridSpan w:val="3"/>
            <w:vMerge w:val="restart"/>
          </w:tcPr>
          <w:p>
            <w:pPr>
              <w:spacing w:after="0"/>
              <w:rPr>
                <w:sz w:val="20"/>
                <w:szCs w:val="20"/>
                <w:color w:val="auto"/>
              </w:rPr>
            </w:pPr>
            <w:r>
              <w:rPr>
                <w:rFonts w:ascii="Arial" w:cs="Arial" w:eastAsia="Arial" w:hAnsi="Arial"/>
                <w:sz w:val="15"/>
                <w:szCs w:val="15"/>
                <w:color w:val="auto"/>
                <w:w w:val="86"/>
              </w:rPr>
              <w:t>Psychedelic Science</w:t>
            </w:r>
            <w:r>
              <w:rPr>
                <w:rFonts w:ascii="Arial" w:cs="Arial" w:eastAsia="Arial" w:hAnsi="Arial"/>
                <w:sz w:val="19"/>
                <w:szCs w:val="19"/>
                <w:color w:val="auto"/>
                <w:w w:val="86"/>
                <w:vertAlign w:val="superscript"/>
              </w:rPr>
              <w:t>(11)</w:t>
            </w:r>
          </w:p>
        </w:tc>
        <w:tc>
          <w:tcPr>
            <w:tcW w:w="68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00" w:type="dxa"/>
            <w:vAlign w:val="bottom"/>
            <w:tcBorders>
              <w:left w:val="single" w:sz="8" w:color="auto"/>
              <w:right w:val="single" w:sz="8" w:color="auto"/>
            </w:tcBorders>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bottom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gridSpan w:val="4"/>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4"/>
              </w:rPr>
              <w:t>Deuterated Psilocybin Analog</w:t>
            </w: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rPr>
              <w:t>Progression of the program for</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1"/>
              </w:rPr>
              <w:t>$4,762</w:t>
            </w:r>
            <w:r>
              <w:rPr>
                <w:rFonts w:ascii="Arial" w:cs="Arial" w:eastAsia="Arial" w:hAnsi="Arial"/>
                <w:sz w:val="19"/>
                <w:szCs w:val="19"/>
                <w:color w:val="auto"/>
                <w:w w:val="81"/>
                <w:vertAlign w:val="superscript"/>
              </w:rPr>
              <w:t>(12)</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43"/>
        </w:trPr>
        <w:tc>
          <w:tcPr>
            <w:tcW w:w="2000" w:type="dxa"/>
            <w:vAlign w:val="bottom"/>
            <w:tcBorders>
              <w:left w:val="single" w:sz="8" w:color="auto"/>
              <w:right w:val="single" w:sz="8" w:color="auto"/>
            </w:tcBorders>
            <w:vMerge w:val="restart"/>
          </w:tcPr>
          <w:p>
            <w:pPr>
              <w:ind w:left="100"/>
              <w:spacing w:after="0" w:line="216" w:lineRule="exact"/>
              <w:rPr>
                <w:sz w:val="20"/>
                <w:szCs w:val="20"/>
                <w:color w:val="auto"/>
              </w:rPr>
            </w:pPr>
            <w:r>
              <w:rPr>
                <w:rFonts w:ascii="Arial" w:cs="Arial" w:eastAsia="Arial" w:hAnsi="Arial"/>
                <w:sz w:val="15"/>
                <w:szCs w:val="15"/>
                <w:color w:val="auto"/>
              </w:rPr>
              <w:t>Program</w:t>
            </w:r>
            <w:r>
              <w:rPr>
                <w:rFonts w:ascii="Arial" w:cs="Arial" w:eastAsia="Arial" w:hAnsi="Arial"/>
                <w:sz w:val="19"/>
                <w:szCs w:val="19"/>
                <w:color w:val="auto"/>
                <w:vertAlign w:val="superscript"/>
              </w:rPr>
              <w:t>(8)</w:t>
            </w:r>
          </w:p>
        </w:tc>
        <w:tc>
          <w:tcPr>
            <w:tcW w:w="1400" w:type="dxa"/>
            <w:vAlign w:val="bottom"/>
            <w:gridSpan w:val="3"/>
            <w:vMerge w:val="restart"/>
          </w:tcPr>
          <w:p>
            <w:pPr>
              <w:spacing w:after="0"/>
              <w:rPr>
                <w:sz w:val="20"/>
                <w:szCs w:val="20"/>
                <w:color w:val="auto"/>
              </w:rPr>
            </w:pPr>
            <w:r>
              <w:rPr>
                <w:rFonts w:ascii="Arial" w:cs="Arial" w:eastAsia="Arial" w:hAnsi="Arial"/>
                <w:sz w:val="15"/>
                <w:szCs w:val="15"/>
                <w:color w:val="auto"/>
                <w:w w:val="87"/>
              </w:rPr>
              <w:t>phase I study readiness</w:t>
            </w:r>
          </w:p>
        </w:tc>
        <w:tc>
          <w:tcPr>
            <w:tcW w:w="68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00" w:type="dxa"/>
            <w:vAlign w:val="bottom"/>
            <w:tcBorders>
              <w:left w:val="single" w:sz="8" w:color="auto"/>
              <w:right w:val="single" w:sz="8" w:color="auto"/>
            </w:tcBorders>
            <w:vMerge w:val="continue"/>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00" w:type="dxa"/>
            <w:vAlign w:val="bottom"/>
            <w:tcBorders>
              <w:left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w w:val="92"/>
              </w:rPr>
              <w:t>Completion of pre-clinical studies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bottom w:val="single" w:sz="8" w:color="auto"/>
              <w:right w:val="single" w:sz="8" w:color="auto"/>
            </w:tcBorders>
          </w:tcPr>
          <w:p>
            <w:pPr>
              <w:jc w:val="center"/>
              <w:spacing w:after="0" w:line="225" w:lineRule="exact"/>
              <w:rPr>
                <w:sz w:val="20"/>
                <w:szCs w:val="20"/>
                <w:color w:val="auto"/>
              </w:rPr>
            </w:pPr>
            <w:r>
              <w:rPr>
                <w:rFonts w:ascii="Arial" w:cs="Arial" w:eastAsia="Arial" w:hAnsi="Arial"/>
                <w:sz w:val="26"/>
                <w:szCs w:val="26"/>
                <w:color w:val="auto"/>
                <w:w w:val="86"/>
                <w:vertAlign w:val="subscript"/>
              </w:rPr>
              <w:t>TBD</w:t>
            </w:r>
            <w:r>
              <w:rPr>
                <w:rFonts w:ascii="Arial" w:cs="Arial" w:eastAsia="Arial" w:hAnsi="Arial"/>
                <w:sz w:val="9"/>
                <w:szCs w:val="9"/>
                <w:color w:val="auto"/>
                <w:w w:val="86"/>
              </w:rPr>
              <w:t>(12)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Q1-2022</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92"/>
        </w:trPr>
        <w:tc>
          <w:tcPr>
            <w:tcW w:w="2000" w:type="dxa"/>
            <w:vAlign w:val="bottom"/>
            <w:tcBorders>
              <w:left w:val="single" w:sz="8" w:color="auto"/>
              <w:right w:val="single" w:sz="8" w:color="auto"/>
            </w:tcBorders>
          </w:tcPr>
          <w:p>
            <w:pPr>
              <w:spacing w:after="0"/>
              <w:rPr>
                <w:sz w:val="16"/>
                <w:szCs w:val="16"/>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rPr>
              <w:t>Chemistry, manufacturing and</w:t>
            </w:r>
          </w:p>
        </w:tc>
        <w:tc>
          <w:tcPr>
            <w:tcW w:w="12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0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rPr>
              <w:t>control development, including</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right w:val="single" w:sz="8" w:color="auto"/>
            </w:tcBorders>
            <w:vMerge w:val="restart"/>
          </w:tcPr>
          <w:p>
            <w:pPr>
              <w:jc w:val="center"/>
              <w:spacing w:after="0" w:line="326" w:lineRule="exact"/>
              <w:rPr>
                <w:sz w:val="20"/>
                <w:szCs w:val="20"/>
                <w:color w:val="auto"/>
              </w:rPr>
            </w:pPr>
            <w:r>
              <w:rPr>
                <w:rFonts w:ascii="Arial" w:cs="Arial" w:eastAsia="Arial" w:hAnsi="Arial"/>
                <w:sz w:val="29"/>
                <w:szCs w:val="29"/>
                <w:color w:val="auto"/>
                <w:w w:val="77"/>
                <w:vertAlign w:val="subscript"/>
              </w:rPr>
              <w:t>TBD</w:t>
            </w:r>
            <w:r>
              <w:rPr>
                <w:rFonts w:ascii="Arial" w:cs="Arial" w:eastAsia="Arial" w:hAnsi="Arial"/>
                <w:sz w:val="10"/>
                <w:szCs w:val="10"/>
                <w:color w:val="auto"/>
                <w:w w:val="77"/>
              </w:rPr>
              <w:t>(12)</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Q1-2022</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43"/>
        </w:trPr>
        <w:tc>
          <w:tcPr>
            <w:tcW w:w="2000" w:type="dxa"/>
            <w:vAlign w:val="bottom"/>
            <w:tcBorders>
              <w:left w:val="single" w:sz="8" w:color="auto"/>
              <w:right w:val="single" w:sz="8" w:color="auto"/>
            </w:tcBorders>
          </w:tcPr>
          <w:p>
            <w:pPr>
              <w:spacing w:after="0"/>
              <w:rPr>
                <w:sz w:val="12"/>
                <w:szCs w:val="12"/>
                <w:color w:val="auto"/>
              </w:rPr>
            </w:pPr>
          </w:p>
        </w:tc>
        <w:tc>
          <w:tcPr>
            <w:tcW w:w="208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5"/>
                <w:szCs w:val="15"/>
                <w:color w:val="auto"/>
              </w:rPr>
              <w:t>the production of clinical</w:t>
            </w:r>
          </w:p>
        </w:tc>
        <w:tc>
          <w:tcPr>
            <w:tcW w:w="122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000" w:type="dxa"/>
            <w:vAlign w:val="bottom"/>
            <w:tcBorders>
              <w:left w:val="single" w:sz="8" w:color="auto"/>
              <w:right w:val="single" w:sz="8" w:color="auto"/>
            </w:tcBorders>
          </w:tcPr>
          <w:p>
            <w:pPr>
              <w:spacing w:after="0"/>
              <w:rPr>
                <w:sz w:val="3"/>
                <w:szCs w:val="3"/>
                <w:color w:val="auto"/>
              </w:rPr>
            </w:pPr>
          </w:p>
        </w:tc>
        <w:tc>
          <w:tcPr>
            <w:tcW w:w="2080" w:type="dxa"/>
            <w:vAlign w:val="bottom"/>
            <w:tcBorders>
              <w:right w:val="single" w:sz="8" w:color="auto"/>
            </w:tcBorders>
            <w:gridSpan w:val="4"/>
            <w:vMerge w:val="continue"/>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00" w:type="dxa"/>
            <w:vAlign w:val="bottom"/>
            <w:tcBorders>
              <w:left w:val="single" w:sz="8" w:color="auto"/>
              <w:right w:val="single" w:sz="8" w:color="auto"/>
            </w:tcBorders>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5"/>
                <w:szCs w:val="15"/>
                <w:color w:val="auto"/>
              </w:rPr>
              <w:t>materials</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00" w:type="dxa"/>
            <w:vAlign w:val="bottom"/>
            <w:tcBorders>
              <w:left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gridSpan w:val="4"/>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00" w:type="dxa"/>
            <w:vAlign w:val="bottom"/>
            <w:tcBorders>
              <w:left w:val="single" w:sz="8" w:color="auto"/>
              <w:right w:val="single" w:sz="8" w:color="auto"/>
            </w:tcBorders>
          </w:tcPr>
          <w:p>
            <w:pPr>
              <w:spacing w:after="0"/>
              <w:rPr>
                <w:sz w:val="16"/>
                <w:szCs w:val="16"/>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97"/>
              </w:rPr>
              <w:t>IND and clinical trial application</w:t>
            </w:r>
          </w:p>
        </w:tc>
        <w:tc>
          <w:tcPr>
            <w:tcW w:w="12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0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98"/>
              </w:rPr>
              <w:t>filings with the US FDA and the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21"/>
                <w:szCs w:val="21"/>
                <w:color w:val="auto"/>
                <w:vertAlign w:val="subscript"/>
              </w:rPr>
              <w:t>TBD</w:t>
            </w:r>
            <w:r>
              <w:rPr>
                <w:rFonts w:ascii="Arial" w:cs="Arial" w:eastAsia="Arial" w:hAnsi="Arial"/>
                <w:sz w:val="8"/>
                <w:szCs w:val="8"/>
                <w:color w:val="auto"/>
              </w:rPr>
              <w:t>(12)</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Q2-2022</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87"/>
        </w:trPr>
        <w:tc>
          <w:tcPr>
            <w:tcW w:w="2000" w:type="dxa"/>
            <w:vAlign w:val="bottom"/>
            <w:tcBorders>
              <w:left w:val="single" w:sz="8" w:color="auto"/>
              <w:right w:val="single" w:sz="8" w:color="auto"/>
            </w:tcBorders>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5"/>
                <w:szCs w:val="15"/>
                <w:color w:val="auto"/>
              </w:rPr>
              <w:t>MHRA</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gridSpan w:val="4"/>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Deuterated Tryptamines</w:t>
            </w: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89"/>
              </w:rPr>
              <w:t>Progression of CYB003 to phase I</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0" w:type="dxa"/>
            <w:vAlign w:val="bottom"/>
            <w:tcBorders>
              <w:left w:val="single" w:sz="8" w:color="auto"/>
              <w:right w:val="single" w:sz="8" w:color="auto"/>
            </w:tcBorders>
          </w:tcPr>
          <w:p>
            <w:pPr>
              <w:ind w:left="100"/>
              <w:spacing w:after="0" w:line="172" w:lineRule="exact"/>
              <w:rPr>
                <w:sz w:val="20"/>
                <w:szCs w:val="20"/>
                <w:color w:val="auto"/>
              </w:rPr>
            </w:pPr>
            <w:r>
              <w:rPr>
                <w:rFonts w:ascii="Arial" w:cs="Arial" w:eastAsia="Arial" w:hAnsi="Arial"/>
                <w:sz w:val="15"/>
                <w:szCs w:val="15"/>
                <w:color w:val="auto"/>
              </w:rPr>
              <w:t>Preclinical Programs</w:t>
            </w:r>
          </w:p>
        </w:tc>
        <w:tc>
          <w:tcPr>
            <w:tcW w:w="208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5"/>
                <w:szCs w:val="15"/>
                <w:color w:val="auto"/>
                <w:w w:val="97"/>
              </w:rPr>
              <w:t>studies and development of the</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$2,886</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$1,198</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4"/>
              </w:rPr>
              <w:t>Merged</w:t>
            </w:r>
            <w:r>
              <w:rPr>
                <w:rFonts w:ascii="Arial" w:cs="Arial" w:eastAsia="Arial" w:hAnsi="Arial"/>
                <w:sz w:val="19"/>
                <w:szCs w:val="19"/>
                <w:color w:val="auto"/>
                <w:w w:val="84"/>
                <w:vertAlign w:val="superscript"/>
              </w:rPr>
              <w:t>(8)</w:t>
            </w: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rPr>
              <w:t>associated delivery platform</w:t>
            </w:r>
            <w:r>
              <w:rPr>
                <w:rFonts w:ascii="Arial" w:cs="Arial" w:eastAsia="Arial" w:hAnsi="Arial"/>
                <w:sz w:val="19"/>
                <w:szCs w:val="19"/>
                <w:color w:val="auto"/>
                <w:vertAlign w:val="superscript"/>
              </w:rPr>
              <w:t>(8)</w:t>
            </w:r>
          </w:p>
        </w:tc>
        <w:tc>
          <w:tcPr>
            <w:tcW w:w="1220" w:type="dxa"/>
            <w:vAlign w:val="bottom"/>
            <w:tcBorders>
              <w:right w:val="single" w:sz="8" w:color="auto"/>
            </w:tcBorders>
            <w:vMerge w:val="continue"/>
          </w:tcPr>
          <w:p>
            <w:pPr>
              <w:spacing w:after="0"/>
              <w:rPr>
                <w:sz w:val="21"/>
                <w:szCs w:val="21"/>
                <w:color w:val="auto"/>
              </w:rPr>
            </w:pPr>
          </w:p>
        </w:tc>
        <w:tc>
          <w:tcPr>
            <w:tcW w:w="1200" w:type="dxa"/>
            <w:vAlign w:val="bottom"/>
            <w:tcBorders>
              <w:right w:val="single" w:sz="8" w:color="auto"/>
            </w:tcBorders>
            <w:vMerge w:val="continue"/>
          </w:tcPr>
          <w:p>
            <w:pPr>
              <w:spacing w:after="0"/>
              <w:rPr>
                <w:sz w:val="21"/>
                <w:szCs w:val="21"/>
                <w:color w:val="auto"/>
              </w:rPr>
            </w:pPr>
          </w:p>
        </w:tc>
        <w:tc>
          <w:tcPr>
            <w:tcW w:w="1540" w:type="dxa"/>
            <w:vAlign w:val="bottom"/>
            <w:tcBorders>
              <w:right w:val="single" w:sz="8" w:color="auto"/>
            </w:tcBorders>
            <w:vMerge w:val="continue"/>
          </w:tcPr>
          <w:p>
            <w:pPr>
              <w:spacing w:after="0"/>
              <w:rPr>
                <w:sz w:val="21"/>
                <w:szCs w:val="21"/>
                <w:color w:val="auto"/>
              </w:rPr>
            </w:pPr>
          </w:p>
        </w:tc>
        <w:tc>
          <w:tcPr>
            <w:tcW w:w="13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000" w:type="dxa"/>
            <w:vAlign w:val="bottom"/>
            <w:tcBorders>
              <w:left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gridSpan w:val="4"/>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89"/>
              </w:rPr>
              <w:t>Progression of CYB004 to phase I</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00" w:type="dxa"/>
            <w:vAlign w:val="bottom"/>
            <w:tcBorders>
              <w:left w:val="single" w:sz="8" w:color="auto"/>
              <w:right w:val="single" w:sz="8" w:color="auto"/>
            </w:tcBorders>
          </w:tcPr>
          <w:p>
            <w:pPr>
              <w:spacing w:after="0"/>
              <w:rPr>
                <w:sz w:val="22"/>
                <w:szCs w:val="22"/>
                <w:color w:val="auto"/>
              </w:rPr>
            </w:pPr>
          </w:p>
        </w:tc>
        <w:tc>
          <w:tcPr>
            <w:tcW w:w="820" w:type="dxa"/>
            <w:vAlign w:val="bottom"/>
          </w:tcPr>
          <w:p>
            <w:pPr>
              <w:spacing w:after="0"/>
              <w:rPr>
                <w:sz w:val="20"/>
                <w:szCs w:val="20"/>
                <w:color w:val="auto"/>
              </w:rPr>
            </w:pPr>
            <w:r>
              <w:rPr>
                <w:rFonts w:ascii="Arial" w:cs="Arial" w:eastAsia="Arial" w:hAnsi="Arial"/>
                <w:sz w:val="15"/>
                <w:szCs w:val="15"/>
                <w:color w:val="auto"/>
              </w:rPr>
              <w:t>studies</w:t>
            </w:r>
            <w:r>
              <w:rPr>
                <w:rFonts w:ascii="Arial" w:cs="Arial" w:eastAsia="Arial" w:hAnsi="Arial"/>
                <w:sz w:val="19"/>
                <w:szCs w:val="19"/>
                <w:color w:val="auto"/>
                <w:vertAlign w:val="superscript"/>
              </w:rPr>
              <w:t>(13)</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$2,777</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$2,777</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2"/>
              </w:rPr>
              <w:t>Q2 2022</w:t>
            </w:r>
            <w:r>
              <w:rPr>
                <w:rFonts w:ascii="Arial" w:cs="Arial" w:eastAsia="Arial" w:hAnsi="Arial"/>
                <w:sz w:val="19"/>
                <w:szCs w:val="19"/>
                <w:color w:val="auto"/>
                <w:w w:val="82"/>
                <w:vertAlign w:val="superscript"/>
              </w:rPr>
              <w:t>(14)</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38"/>
        </w:trPr>
        <w:tc>
          <w:tcPr>
            <w:tcW w:w="2000" w:type="dxa"/>
            <w:vAlign w:val="bottom"/>
            <w:tcBorders>
              <w:left w:val="single" w:sz="8" w:color="auto"/>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gridSpan w:val="2"/>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Phenethylamine Preclinical</w:t>
            </w:r>
          </w:p>
        </w:tc>
        <w:tc>
          <w:tcPr>
            <w:tcW w:w="820" w:type="dxa"/>
            <w:vAlign w:val="bottom"/>
          </w:tcPr>
          <w:p>
            <w:pPr>
              <w:spacing w:after="0"/>
              <w:rPr>
                <w:sz w:val="20"/>
                <w:szCs w:val="20"/>
                <w:color w:val="auto"/>
              </w:rPr>
            </w:pPr>
            <w:r>
              <w:rPr>
                <w:rFonts w:ascii="Arial" w:cs="Arial" w:eastAsia="Arial" w:hAnsi="Arial"/>
                <w:sz w:val="15"/>
                <w:szCs w:val="15"/>
                <w:color w:val="auto"/>
                <w:w w:val="99"/>
              </w:rPr>
              <w:t>Progression</w:t>
            </w:r>
          </w:p>
        </w:tc>
        <w:tc>
          <w:tcPr>
            <w:tcW w:w="220" w:type="dxa"/>
            <w:vAlign w:val="bottom"/>
          </w:tcPr>
          <w:p>
            <w:pPr>
              <w:ind w:left="20"/>
              <w:spacing w:after="0"/>
              <w:rPr>
                <w:sz w:val="20"/>
                <w:szCs w:val="20"/>
                <w:color w:val="auto"/>
              </w:rPr>
            </w:pPr>
            <w:r>
              <w:rPr>
                <w:rFonts w:ascii="Arial" w:cs="Arial" w:eastAsia="Arial" w:hAnsi="Arial"/>
                <w:sz w:val="15"/>
                <w:szCs w:val="15"/>
                <w:color w:val="auto"/>
              </w:rPr>
              <w:t>of</w:t>
            </w:r>
          </w:p>
        </w:tc>
        <w:tc>
          <w:tcPr>
            <w:tcW w:w="104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w w:val="92"/>
              </w:rPr>
              <w:t>phenethylamine</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Program</w:t>
            </w: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97"/>
              </w:rPr>
              <w:t>candidate to phase I studies</w:t>
            </w:r>
            <w:r>
              <w:rPr>
                <w:rFonts w:ascii="Arial" w:cs="Arial" w:eastAsia="Arial" w:hAnsi="Arial"/>
                <w:sz w:val="19"/>
                <w:szCs w:val="19"/>
                <w:color w:val="auto"/>
                <w:w w:val="97"/>
                <w:vertAlign w:val="superscript"/>
              </w:rPr>
              <w:t>(14)</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$2,375</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$2,375</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Q4 2022 – Q1 2023</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bottom w:val="single" w:sz="8" w:color="auto"/>
              <w:right w:val="single" w:sz="8" w:color="auto"/>
            </w:tcBorders>
          </w:tcPr>
          <w:p>
            <w:pPr>
              <w:spacing w:after="0"/>
              <w:rPr>
                <w:sz w:val="13"/>
                <w:szCs w:val="13"/>
                <w:color w:val="auto"/>
              </w:rPr>
            </w:pPr>
          </w:p>
        </w:tc>
        <w:tc>
          <w:tcPr>
            <w:tcW w:w="1400" w:type="dxa"/>
            <w:vAlign w:val="bottom"/>
            <w:tcBorders>
              <w:bottom w:val="single" w:sz="8" w:color="auto"/>
            </w:tcBorders>
            <w:gridSpan w:val="3"/>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Nutraceutical Products</w:t>
            </w:r>
            <w:r>
              <w:rPr>
                <w:rFonts w:ascii="Arial" w:cs="Arial" w:eastAsia="Arial" w:hAnsi="Arial"/>
                <w:sz w:val="19"/>
                <w:szCs w:val="19"/>
                <w:color w:val="auto"/>
                <w:vertAlign w:val="superscript"/>
              </w:rPr>
              <w:t>(15)</w:t>
            </w: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Inventory fulfillment</w:t>
            </w:r>
          </w:p>
        </w:tc>
        <w:tc>
          <w:tcPr>
            <w:tcW w:w="6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195"/>
        </w:trPr>
        <w:tc>
          <w:tcPr>
            <w:tcW w:w="2000" w:type="dxa"/>
            <w:vAlign w:val="bottom"/>
            <w:tcBorders>
              <w:left w:val="single" w:sz="8" w:color="auto"/>
              <w:right w:val="single" w:sz="8" w:color="auto"/>
            </w:tcBorders>
          </w:tcPr>
          <w:p>
            <w:pPr>
              <w:spacing w:after="0"/>
              <w:rPr>
                <w:sz w:val="16"/>
                <w:szCs w:val="16"/>
                <w:color w:val="auto"/>
              </w:rPr>
            </w:pPr>
          </w:p>
        </w:tc>
        <w:tc>
          <w:tcPr>
            <w:tcW w:w="1400" w:type="dxa"/>
            <w:vAlign w:val="bottom"/>
            <w:gridSpan w:val="3"/>
          </w:tcPr>
          <w:p>
            <w:pPr>
              <w:spacing w:after="0"/>
              <w:rPr>
                <w:sz w:val="20"/>
                <w:szCs w:val="20"/>
                <w:color w:val="auto"/>
              </w:rPr>
            </w:pPr>
            <w:r>
              <w:rPr>
                <w:rFonts w:ascii="Arial" w:cs="Arial" w:eastAsia="Arial" w:hAnsi="Arial"/>
                <w:sz w:val="15"/>
                <w:szCs w:val="15"/>
                <w:color w:val="auto"/>
              </w:rPr>
              <w:t>Product deployment</w:t>
            </w:r>
          </w:p>
        </w:tc>
        <w:tc>
          <w:tcPr>
            <w:tcW w:w="6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29"/>
        </w:trPr>
        <w:tc>
          <w:tcPr>
            <w:tcW w:w="2000" w:type="dxa"/>
            <w:vAlign w:val="bottom"/>
            <w:tcBorders>
              <w:left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00" w:type="dxa"/>
            <w:vAlign w:val="bottom"/>
            <w:tcBorders>
              <w:left w:val="single" w:sz="8" w:color="auto"/>
              <w:right w:val="single" w:sz="8" w:color="auto"/>
            </w:tcBorders>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5"/>
                <w:szCs w:val="15"/>
                <w:color w:val="auto"/>
              </w:rPr>
              <w:t>Marketing</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$100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29"/>
        </w:trPr>
        <w:tc>
          <w:tcPr>
            <w:tcW w:w="200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Technology Programs</w:t>
            </w:r>
          </w:p>
        </w:tc>
        <w:tc>
          <w:tcPr>
            <w:tcW w:w="820" w:type="dxa"/>
            <w:vAlign w:val="bottom"/>
          </w:tcPr>
          <w:p>
            <w:pPr>
              <w:spacing w:after="0"/>
              <w:rPr>
                <w:sz w:val="20"/>
                <w:szCs w:val="20"/>
                <w:color w:val="auto"/>
              </w:rPr>
            </w:pPr>
            <w:r>
              <w:rPr>
                <w:rFonts w:ascii="Arial" w:cs="Arial" w:eastAsia="Arial" w:hAnsi="Arial"/>
                <w:sz w:val="15"/>
                <w:szCs w:val="15"/>
                <w:color w:val="auto"/>
                <w:w w:val="90"/>
              </w:rPr>
              <w:t>Marketing</w:t>
            </w:r>
            <w:r>
              <w:rPr>
                <w:rFonts w:ascii="Arial" w:cs="Arial" w:eastAsia="Arial" w:hAnsi="Arial"/>
                <w:sz w:val="19"/>
                <w:szCs w:val="19"/>
                <w:color w:val="auto"/>
                <w:w w:val="90"/>
                <w:vertAlign w:val="superscript"/>
              </w:rPr>
              <w:t>(15)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color w:val="auto"/>
                <w:w w:val="89"/>
                <w:vertAlign w:val="subscript"/>
              </w:rPr>
              <w:t>Nil</w:t>
            </w:r>
            <w:r>
              <w:rPr>
                <w:rFonts w:ascii="Arial" w:cs="Arial" w:eastAsia="Arial" w:hAnsi="Arial"/>
                <w:sz w:val="10"/>
                <w:szCs w:val="10"/>
                <w:color w:val="auto"/>
                <w:w w:val="89"/>
              </w:rPr>
              <w:t>(24)</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126"/>
        </w:trPr>
        <w:tc>
          <w:tcPr>
            <w:tcW w:w="2000" w:type="dxa"/>
            <w:vAlign w:val="bottom"/>
            <w:tcBorders>
              <w:left w:val="single" w:sz="8" w:color="auto"/>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00" w:type="dxa"/>
            <w:vAlign w:val="bottom"/>
            <w:tcBorders>
              <w:left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5"/>
                <w:szCs w:val="15"/>
                <w:color w:val="auto"/>
                <w:w w:val="90"/>
              </w:rPr>
              <w:t>Development</w:t>
            </w:r>
          </w:p>
        </w:tc>
        <w:tc>
          <w:tcPr>
            <w:tcW w:w="220" w:type="dxa"/>
            <w:vAlign w:val="bottom"/>
          </w:tcPr>
          <w:p>
            <w:pPr>
              <w:ind w:left="100"/>
              <w:spacing w:after="0"/>
              <w:rPr>
                <w:sz w:val="20"/>
                <w:szCs w:val="20"/>
                <w:color w:val="auto"/>
              </w:rPr>
            </w:pPr>
            <w:r>
              <w:rPr>
                <w:rFonts w:ascii="Arial" w:cs="Arial" w:eastAsia="Arial" w:hAnsi="Arial"/>
                <w:sz w:val="15"/>
                <w:szCs w:val="15"/>
                <w:color w:val="auto"/>
                <w:w w:val="79"/>
              </w:rPr>
              <w:t>of</w:t>
            </w:r>
          </w:p>
        </w:tc>
        <w:tc>
          <w:tcPr>
            <w:tcW w:w="104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patient  digital</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right w:val="single" w:sz="8" w:color="auto"/>
            </w:tcBorders>
          </w:tcPr>
          <w:p>
            <w:pPr>
              <w:spacing w:after="0"/>
              <w:rPr>
                <w:sz w:val="21"/>
                <w:szCs w:val="21"/>
                <w:color w:val="auto"/>
              </w:rPr>
            </w:pPr>
          </w:p>
        </w:tc>
        <w:tc>
          <w:tcPr>
            <w:tcW w:w="1400" w:type="dxa"/>
            <w:vAlign w:val="bottom"/>
            <w:gridSpan w:val="3"/>
          </w:tcPr>
          <w:p>
            <w:pPr>
              <w:spacing w:after="0"/>
              <w:rPr>
                <w:sz w:val="20"/>
                <w:szCs w:val="20"/>
                <w:color w:val="auto"/>
              </w:rPr>
            </w:pPr>
            <w:r>
              <w:rPr>
                <w:rFonts w:ascii="Arial" w:cs="Arial" w:eastAsia="Arial" w:hAnsi="Arial"/>
                <w:sz w:val="15"/>
                <w:szCs w:val="15"/>
                <w:color w:val="auto"/>
              </w:rPr>
              <w:t>therapy platform</w:t>
            </w:r>
            <w:r>
              <w:rPr>
                <w:rFonts w:ascii="Arial" w:cs="Arial" w:eastAsia="Arial" w:hAnsi="Arial"/>
                <w:sz w:val="19"/>
                <w:szCs w:val="19"/>
                <w:color w:val="auto"/>
                <w:vertAlign w:val="superscript"/>
              </w:rPr>
              <w:t>(16)</w:t>
            </w:r>
          </w:p>
        </w:tc>
        <w:tc>
          <w:tcPr>
            <w:tcW w:w="68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$2,363</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$2,363</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Q4 2021</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gridSpan w:val="2"/>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5"/>
                <w:szCs w:val="15"/>
                <w:color w:val="auto"/>
                <w:w w:val="95"/>
              </w:rPr>
              <w:t>Sponsorship</w:t>
            </w:r>
          </w:p>
        </w:tc>
        <w:tc>
          <w:tcPr>
            <w:tcW w:w="220" w:type="dxa"/>
            <w:vAlign w:val="bottom"/>
          </w:tcPr>
          <w:p>
            <w:pPr>
              <w:spacing w:after="0"/>
              <w:rPr>
                <w:sz w:val="20"/>
                <w:szCs w:val="20"/>
                <w:color w:val="auto"/>
              </w:rPr>
            </w:pPr>
            <w:r>
              <w:rPr>
                <w:rFonts w:ascii="Arial" w:cs="Arial" w:eastAsia="Arial" w:hAnsi="Arial"/>
                <w:sz w:val="15"/>
                <w:szCs w:val="15"/>
                <w:color w:val="auto"/>
              </w:rPr>
              <w:t>of</w:t>
            </w:r>
          </w:p>
        </w:tc>
        <w:tc>
          <w:tcPr>
            <w:tcW w:w="104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w w:val="96"/>
              </w:rPr>
              <w:t>studies utilizing</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rPr>
              <w:t>Kernel Flow technology</w:t>
            </w:r>
            <w:r>
              <w:rPr>
                <w:rFonts w:ascii="Arial" w:cs="Arial" w:eastAsia="Arial" w:hAnsi="Arial"/>
                <w:sz w:val="19"/>
                <w:szCs w:val="19"/>
                <w:color w:val="auto"/>
                <w:vertAlign w:val="superscript"/>
              </w:rPr>
              <w:t>(17)</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$1,825</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$1,825</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Q4 2021 – Q4 2022</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00" w:type="dxa"/>
            <w:vAlign w:val="bottom"/>
            <w:tcBorders>
              <w:left w:val="single" w:sz="8" w:color="auto"/>
              <w:bottom w:val="single" w:sz="8" w:color="D9D9D9"/>
              <w:right w:val="single" w:sz="8" w:color="auto"/>
            </w:tcBorders>
            <w:shd w:val="clear" w:color="auto" w:fill="D9D9D9"/>
          </w:tcPr>
          <w:p>
            <w:pPr>
              <w:spacing w:after="0"/>
              <w:rPr>
                <w:sz w:val="17"/>
                <w:szCs w:val="17"/>
                <w:color w:val="auto"/>
              </w:rPr>
            </w:pPr>
          </w:p>
        </w:tc>
        <w:tc>
          <w:tcPr>
            <w:tcW w:w="82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TOTAL</w:t>
            </w:r>
          </w:p>
        </w:tc>
        <w:tc>
          <w:tcPr>
            <w:tcW w:w="220" w:type="dxa"/>
            <w:vAlign w:val="bottom"/>
            <w:tcBorders>
              <w:bottom w:val="single" w:sz="8" w:color="D9D9D9"/>
            </w:tcBorders>
            <w:shd w:val="clear" w:color="auto" w:fill="D9D9D9"/>
          </w:tcPr>
          <w:p>
            <w:pPr>
              <w:spacing w:after="0"/>
              <w:rPr>
                <w:sz w:val="17"/>
                <w:szCs w:val="17"/>
                <w:color w:val="auto"/>
              </w:rPr>
            </w:pPr>
          </w:p>
        </w:tc>
        <w:tc>
          <w:tcPr>
            <w:tcW w:w="360" w:type="dxa"/>
            <w:vAlign w:val="bottom"/>
            <w:tcBorders>
              <w:bottom w:val="single" w:sz="8" w:color="D9D9D9"/>
            </w:tcBorders>
            <w:shd w:val="clear" w:color="auto" w:fill="D9D9D9"/>
          </w:tcPr>
          <w:p>
            <w:pPr>
              <w:spacing w:after="0"/>
              <w:rPr>
                <w:sz w:val="17"/>
                <w:szCs w:val="17"/>
                <w:color w:val="auto"/>
              </w:rPr>
            </w:pPr>
          </w:p>
        </w:tc>
        <w:tc>
          <w:tcPr>
            <w:tcW w:w="680" w:type="dxa"/>
            <w:vAlign w:val="bottom"/>
            <w:tcBorders>
              <w:bottom w:val="single" w:sz="8" w:color="D9D9D9"/>
              <w:right w:val="single" w:sz="8" w:color="auto"/>
            </w:tcBorders>
            <w:shd w:val="clear" w:color="auto" w:fill="D9D9D9"/>
          </w:tcPr>
          <w:p>
            <w:pPr>
              <w:spacing w:after="0"/>
              <w:rPr>
                <w:sz w:val="17"/>
                <w:szCs w:val="17"/>
                <w:color w:val="auto"/>
              </w:rPr>
            </w:pPr>
          </w:p>
        </w:tc>
        <w:tc>
          <w:tcPr>
            <w:tcW w:w="12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91"/>
              </w:rPr>
              <w:t>16,018</w:t>
            </w:r>
          </w:p>
        </w:tc>
        <w:tc>
          <w:tcPr>
            <w:tcW w:w="12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7"/>
              </w:rPr>
              <w:t>16,018</w:t>
            </w:r>
          </w:p>
        </w:tc>
        <w:tc>
          <w:tcPr>
            <w:tcW w:w="1540" w:type="dxa"/>
            <w:vAlign w:val="bottom"/>
            <w:tcBorders>
              <w:bottom w:val="single" w:sz="8" w:color="D9D9D9"/>
              <w:right w:val="single" w:sz="8" w:color="auto"/>
            </w:tcBorders>
            <w:shd w:val="clear" w:color="auto" w:fill="D9D9D9"/>
          </w:tcPr>
          <w:p>
            <w:pPr>
              <w:spacing w:after="0"/>
              <w:rPr>
                <w:sz w:val="17"/>
                <w:szCs w:val="17"/>
                <w:color w:val="auto"/>
              </w:rPr>
            </w:pPr>
          </w:p>
        </w:tc>
        <w:tc>
          <w:tcPr>
            <w:tcW w:w="1320" w:type="dxa"/>
            <w:vAlign w:val="bottom"/>
            <w:tcBorders>
              <w:bottom w:val="single" w:sz="8" w:color="D9D9D9"/>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
        <w:spacing w:after="0"/>
        <w:rPr>
          <w:sz w:val="20"/>
          <w:szCs w:val="20"/>
          <w:color w:val="auto"/>
        </w:rPr>
      </w:pPr>
      <w:r>
        <w:rPr>
          <w:rFonts w:ascii="Arial" w:cs="Arial" w:eastAsia="Arial" w:hAnsi="Arial"/>
          <w:sz w:val="15"/>
          <w:szCs w:val="15"/>
          <w:b w:val="1"/>
          <w:bCs w:val="1"/>
          <w:u w:val="single" w:color="auto"/>
          <w:color w:val="auto"/>
        </w:rPr>
        <w:t>Notes</w:t>
      </w:r>
      <w:r>
        <w:rPr>
          <w:rFonts w:ascii="Arial" w:cs="Arial" w:eastAsia="Arial" w:hAnsi="Arial"/>
          <w:sz w:val="15"/>
          <w:szCs w:val="15"/>
          <w:u w:val="single" w:color="auto"/>
          <w:color w:val="auto"/>
        </w:rPr>
        <w:t>:</w:t>
      </w:r>
    </w:p>
    <w:p>
      <w:pPr>
        <w:spacing w:after="0" w:line="52" w:lineRule="exact"/>
        <w:rPr>
          <w:sz w:val="20"/>
          <w:szCs w:val="20"/>
          <w:color w:val="auto"/>
        </w:rPr>
      </w:pPr>
    </w:p>
    <w:p>
      <w:pPr>
        <w:ind w:left="342" w:hanging="342"/>
        <w:spacing w:after="0"/>
        <w:tabs>
          <w:tab w:leader="none" w:pos="342"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There may be circumstances where for sound business reasons the Company reallocates the funds or determines to not proceed with a milestone.</w:t>
      </w:r>
    </w:p>
    <w:p>
      <w:pPr>
        <w:spacing w:after="0" w:line="22" w:lineRule="exact"/>
        <w:rPr>
          <w:rFonts w:ascii="Arial" w:cs="Arial" w:eastAsia="Arial" w:hAnsi="Arial"/>
          <w:sz w:val="14"/>
          <w:szCs w:val="14"/>
          <w:color w:val="auto"/>
        </w:rPr>
      </w:pPr>
    </w:p>
    <w:p>
      <w:pPr>
        <w:ind w:left="322" w:hanging="322"/>
        <w:spacing w:after="0" w:line="238" w:lineRule="auto"/>
        <w:tabs>
          <w:tab w:leader="none" w:pos="322" w:val="left"/>
        </w:tabs>
        <w:numPr>
          <w:ilvl w:val="0"/>
          <w:numId w:val="35"/>
        </w:numPr>
        <w:rPr>
          <w:rFonts w:ascii="Arial" w:cs="Arial" w:eastAsia="Arial" w:hAnsi="Arial"/>
          <w:sz w:val="15"/>
          <w:szCs w:val="15"/>
          <w:color w:val="auto"/>
        </w:rPr>
      </w:pPr>
      <w:r>
        <w:rPr>
          <w:rFonts w:ascii="Arial" w:cs="Arial" w:eastAsia="Arial" w:hAnsi="Arial"/>
          <w:sz w:val="15"/>
          <w:szCs w:val="15"/>
          <w:color w:val="auto"/>
        </w:rPr>
        <w:t>Subject to receipt of all necessary approvals, including the academic and scientific organizations with which the Company is working.</w:t>
      </w:r>
    </w:p>
    <w:p>
      <w:pPr>
        <w:ind w:left="322" w:hanging="322"/>
        <w:spacing w:after="0" w:line="238" w:lineRule="auto"/>
        <w:tabs>
          <w:tab w:leader="none" w:pos="322" w:val="left"/>
        </w:tabs>
        <w:numPr>
          <w:ilvl w:val="0"/>
          <w:numId w:val="35"/>
        </w:numPr>
        <w:rPr>
          <w:rFonts w:ascii="Arial" w:cs="Arial" w:eastAsia="Arial" w:hAnsi="Arial"/>
          <w:sz w:val="15"/>
          <w:szCs w:val="15"/>
          <w:color w:val="auto"/>
        </w:rPr>
      </w:pPr>
      <w:r>
        <w:rPr>
          <w:rFonts w:ascii="Arial" w:cs="Arial" w:eastAsia="Arial" w:hAnsi="Arial"/>
          <w:sz w:val="15"/>
          <w:szCs w:val="15"/>
          <w:color w:val="auto"/>
        </w:rPr>
        <w:t>Certain amounts have been converted from USD to CAD at an exchange rate of 1.26:1 and all dollar amounts presented in thousands.</w:t>
      </w:r>
    </w:p>
    <w:p>
      <w:pPr>
        <w:ind w:left="322" w:hanging="322"/>
        <w:spacing w:after="0" w:line="238" w:lineRule="auto"/>
        <w:tabs>
          <w:tab w:leader="none" w:pos="322"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total expenditure may be incurred by the Company after the relevant quarter that is indicated as the target timeframe for completion.</w:t>
      </w:r>
    </w:p>
    <w:p>
      <w:pPr>
        <w:ind w:left="322" w:hanging="322"/>
        <w:spacing w:after="0"/>
        <w:tabs>
          <w:tab w:leader="none" w:pos="322"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a calendar year-end.</w:t>
      </w:r>
    </w:p>
    <w:p>
      <w:pPr>
        <w:sectPr>
          <w:pgSz w:w="11900" w:h="16838" w:orient="portrait"/>
          <w:cols w:equalWidth="0" w:num="1">
            <w:col w:w="10141"/>
          </w:cols>
          <w:pgMar w:left="318" w:top="731"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5542"/>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141"/>
          </w:cols>
          <w:pgMar w:left="318" w:top="731" w:right="1440" w:bottom="1440" w:gutter="0" w:footer="0" w:header="0"/>
          <w:type w:val="continuous"/>
        </w:sectPr>
      </w:pPr>
    </w:p>
    <w:bookmarkStart w:id="44" w:name="page45"/>
    <w:bookmarkEnd w:id="44"/>
    <w:p>
      <w:pPr>
        <w:ind w:left="582" w:hanging="582"/>
        <w:spacing w:after="0" w:line="278" w:lineRule="auto"/>
        <w:tabs>
          <w:tab w:leader="none" w:pos="315"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This milestone was previously expected to be completed in Q2 2021, as disclosed in the Listing Statement. However, the milestone was completed earlier than expected, in Q1 2021, due to frustration between Smart Medicines GMP Inc. and Cybin Corp. and this resulted in the termination of the professional services agreement dated June 24, 2020 between Cybin Corp. and Smart Medicines GMP Inc. See “History of the Company” in the AIF. With the acquisition of Adelia, the Company secured an alternative to the Deliverables (as defined below) and now has in-house ability to develop molecules which can be scaled to GMP quantities. See “History of the Company” in the AIF. There are multiple risk factors regarding the ability to successfully commercially scale a chemically synthesized process to obtain psilocybin and other analogues. The Company expects to work with Adelia to provide psilocybin API for further studies, commercial oral film manufacturing and potential sales to research institutes. See “Risk Factors”.</w:t>
      </w:r>
    </w:p>
    <w:p>
      <w:pPr>
        <w:ind w:left="582" w:hanging="582"/>
        <w:spacing w:after="0" w:line="237" w:lineRule="auto"/>
        <w:tabs>
          <w:tab w:leader="none" w:pos="31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actual cost is lower than previously anticipated, and as previously disclosed in the Listing Statement, and February 2021 Prospectus, as a result of the termination of the professional services agreement dated June 24, 2020 between Cybin Corp. and Smart Medicines GMP Inc. See “</w:t>
      </w:r>
      <w:r>
        <w:rPr>
          <w:rFonts w:ascii="Arial" w:cs="Arial" w:eastAsia="Arial" w:hAnsi="Arial"/>
          <w:sz w:val="14"/>
          <w:szCs w:val="14"/>
          <w:i w:val="1"/>
          <w:iCs w:val="1"/>
          <w:color w:val="auto"/>
        </w:rPr>
        <w:t>History of the Company</w:t>
      </w:r>
      <w:r>
        <w:rPr>
          <w:rFonts w:ascii="Arial" w:cs="Arial" w:eastAsia="Arial" w:hAnsi="Arial"/>
          <w:sz w:val="14"/>
          <w:szCs w:val="14"/>
          <w:color w:val="auto"/>
        </w:rPr>
        <w:t>” in the AIF.</w:t>
      </w:r>
    </w:p>
    <w:p>
      <w:pPr>
        <w:jc w:val="both"/>
        <w:ind w:left="582" w:hanging="582"/>
        <w:spacing w:after="0" w:line="229" w:lineRule="auto"/>
        <w:tabs>
          <w:tab w:leader="none" w:pos="582"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light of compelling data related to CYB003, the Company will merge its Psilocybin Program with its deuterated tryptamine CYB003 preclinical program. The Company was previously running the programs in parallel in order to determine the molecules and methods of actions with the most benefits and least amount of drawbacks. This has now evolved into a single program, focusing on both the MDD and AUD indication in the U.S. and UK, to prioritize the advancement of the superior molecule in the most cost effective manner</w:t>
      </w:r>
    </w:p>
    <w:p>
      <w:pPr>
        <w:ind w:left="342" w:hanging="342"/>
        <w:spacing w:after="0"/>
        <w:tabs>
          <w:tab w:leader="none" w:pos="342"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material factors and assumptions underlying this forward-looking statement are: (a) drug development involves long lead times, is very expensive and involves many variables of</w:t>
      </w:r>
    </w:p>
    <w:p>
      <w:pPr>
        <w:spacing w:after="0" w:line="22" w:lineRule="exact"/>
        <w:rPr>
          <w:sz w:val="20"/>
          <w:szCs w:val="20"/>
          <w:color w:val="auto"/>
        </w:rPr>
      </w:pPr>
    </w:p>
    <w:p>
      <w:pPr>
        <w:jc w:val="both"/>
        <w:ind w:left="582"/>
        <w:spacing w:after="0" w:line="255" w:lineRule="auto"/>
        <w:rPr>
          <w:sz w:val="20"/>
          <w:szCs w:val="20"/>
          <w:color w:val="auto"/>
        </w:rPr>
      </w:pPr>
      <w:r>
        <w:rPr>
          <w:rFonts w:ascii="Arial" w:cs="Arial" w:eastAsia="Arial" w:hAnsi="Arial"/>
          <w:sz w:val="14"/>
          <w:szCs w:val="14"/>
          <w:color w:val="auto"/>
        </w:rPr>
        <w:t>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Further,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 The Company is prioritizing its Deuterated Psilocybin Analog Program</w:t>
      </w:r>
    </w:p>
    <w:p>
      <w:pPr>
        <w:spacing w:after="0" w:line="1" w:lineRule="exact"/>
        <w:rPr>
          <w:sz w:val="20"/>
          <w:szCs w:val="20"/>
          <w:color w:val="auto"/>
        </w:rPr>
      </w:pPr>
    </w:p>
    <w:p>
      <w:pPr>
        <w:ind w:left="582" w:hanging="582"/>
        <w:spacing w:after="0" w:line="238" w:lineRule="auto"/>
        <w:tabs>
          <w:tab w:leader="none" w:pos="392"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Company is currently prioritizing its Deuterated Psilocybin Analog Program and it has merged its efforts from both the Psilocybin Program and the deuterated tryptamine CYB003 preclinical program, focusing on both the MDD and AUD indications in the U.S. and the UK.</w:t>
      </w:r>
    </w:p>
    <w:p>
      <w:pPr>
        <w:ind w:left="582" w:hanging="582"/>
        <w:spacing w:after="0" w:line="238" w:lineRule="auto"/>
        <w:tabs>
          <w:tab w:leader="none" w:pos="441" w:val="left"/>
        </w:tabs>
        <w:numPr>
          <w:ilvl w:val="0"/>
          <w:numId w:val="37"/>
        </w:numPr>
        <w:rPr>
          <w:rFonts w:ascii="Arial" w:cs="Arial" w:eastAsia="Arial" w:hAnsi="Arial"/>
          <w:sz w:val="15"/>
          <w:szCs w:val="15"/>
          <w:color w:val="auto"/>
        </w:rPr>
      </w:pPr>
      <w:r>
        <w:rPr>
          <w:rFonts w:ascii="Arial" w:cs="Arial" w:eastAsia="Arial" w:hAnsi="Arial"/>
          <w:sz w:val="15"/>
          <w:szCs w:val="15"/>
          <w:color w:val="auto"/>
        </w:rPr>
        <w:t>On April 6, 2021, the Company provided notice to the CCPS of its decision to terminate this arrangement, as a result, the actual cost is lower than previously anticipated, and as previously disclosed in the Listing Statement and February 2021 Prospectus. See “</w:t>
      </w:r>
      <w:r>
        <w:rPr>
          <w:rFonts w:ascii="Arial" w:cs="Arial" w:eastAsia="Arial" w:hAnsi="Arial"/>
          <w:sz w:val="15"/>
          <w:szCs w:val="15"/>
          <w:i w:val="1"/>
          <w:iCs w:val="1"/>
          <w:color w:val="auto"/>
        </w:rPr>
        <w:t>History of the Company</w:t>
      </w:r>
      <w:r>
        <w:rPr>
          <w:rFonts w:ascii="Arial" w:cs="Arial" w:eastAsia="Arial" w:hAnsi="Arial"/>
          <w:sz w:val="15"/>
          <w:szCs w:val="15"/>
          <w:color w:val="auto"/>
        </w:rPr>
        <w:t>” in the AIF.</w:t>
      </w:r>
    </w:p>
    <w:p>
      <w:pPr>
        <w:jc w:val="both"/>
        <w:ind w:left="582" w:hanging="582"/>
        <w:spacing w:after="0" w:line="238" w:lineRule="auto"/>
        <w:tabs>
          <w:tab w:leader="none" w:pos="582"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Company has identified its main milestones related to this program, however as a result of the timing of the compelling pre-clinical data and the decision to merge its Psilocybin Program with its deuterated tryptamine CYB003 preclinical program, it is still working on finalizing its projected spend estimates per milestone. The Company estimates that its spend over the next 12 months for this program will be similar to that previously disclosed for the Psilocybin Program and the deuterated tryptamine CYB003 preclinical program. The Company had listed its estimated spend under the "Progression of the program for phase I study readiness", however going forward this will be allocated to the appropriate milestone.</w:t>
      </w:r>
    </w:p>
    <w:p>
      <w:pPr>
        <w:ind w:left="582" w:hanging="582"/>
        <w:spacing w:after="0" w:line="255" w:lineRule="auto"/>
        <w:tabs>
          <w:tab w:leader="none" w:pos="493"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Deuterated Tryptamines Preclinical Programs and Phenethylamine Preclinical Program were a new objectives following completion of the Adelia Transaction. These business objectives require clinical trial sites, contract manufacturers, certain scale-ups in operation, etc. which may impact the time frame that these are completed. The proceeds allocated include estimated costs associated with the progression of CYB004 to phase I studies and the progression of phenethylamine candidate to phase I studies. The anticipated timeline for completing this objective is Q2 2022 for CYB004, updated from the prior estimate Q1 2022, which is based on, among others, the following material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(as defined below); and (b) the Company assumes it will enter into agreements with certain third party vendors to complete a range of additional preclinical programs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4"/>
          <w:szCs w:val="14"/>
          <w:i w:val="1"/>
          <w:iCs w:val="1"/>
          <w:color w:val="auto"/>
        </w:rPr>
        <w:t>Risk Factors</w:t>
      </w:r>
      <w:r>
        <w:rPr>
          <w:rFonts w:ascii="Arial" w:cs="Arial" w:eastAsia="Arial" w:hAnsi="Arial"/>
          <w:sz w:val="14"/>
          <w:szCs w:val="14"/>
          <w:color w:val="auto"/>
        </w:rPr>
        <w:t>”.</w:t>
      </w:r>
    </w:p>
    <w:p>
      <w:pPr>
        <w:spacing w:after="0" w:line="2" w:lineRule="exact"/>
        <w:rPr>
          <w:rFonts w:ascii="Arial" w:cs="Arial" w:eastAsia="Arial" w:hAnsi="Arial"/>
          <w:sz w:val="14"/>
          <w:szCs w:val="14"/>
          <w:color w:val="auto"/>
        </w:rPr>
      </w:pPr>
    </w:p>
    <w:p>
      <w:pPr>
        <w:ind w:left="582" w:hanging="582"/>
        <w:spacing w:after="0" w:line="255" w:lineRule="auto"/>
        <w:tabs>
          <w:tab w:leader="none" w:pos="4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Company anticipates that its phenethylamine program may deliver a drug candidate suitable for entry into phase I clinical studies by Q1 2023. 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and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 w:lineRule="exact"/>
        <w:rPr>
          <w:rFonts w:ascii="Arial" w:cs="Arial" w:eastAsia="Arial" w:hAnsi="Arial"/>
          <w:sz w:val="14"/>
          <w:szCs w:val="14"/>
          <w:color w:val="auto"/>
        </w:rPr>
      </w:pPr>
    </w:p>
    <w:p>
      <w:pPr>
        <w:ind w:left="582" w:hanging="582"/>
        <w:spacing w:after="0" w:line="241" w:lineRule="auto"/>
        <w:tabs>
          <w:tab w:leader="none" w:pos="396"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Company completed its evaluation of the Product Line and its marketing platform and concluded that it would not proceed with this program in order to prioritize the research and development progression of psychedelic molecules.</w:t>
      </w:r>
    </w:p>
    <w:p>
      <w:pPr>
        <w:spacing w:after="0" w:line="200" w:lineRule="exact"/>
        <w:rPr>
          <w:sz w:val="20"/>
          <w:szCs w:val="20"/>
          <w:color w:val="auto"/>
        </w:rPr>
      </w:pPr>
    </w:p>
    <w:p>
      <w:pPr>
        <w:spacing w:after="0" w:line="363"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2"/>
          </w:cols>
          <w:pgMar w:left="318" w:top="718" w:right="339" w:bottom="1440" w:gutter="0" w:footer="0" w:header="0"/>
        </w:sectPr>
      </w:pPr>
    </w:p>
    <w:bookmarkStart w:id="45" w:name="page46"/>
    <w:bookmarkEnd w:id="45"/>
    <w:p>
      <w:pPr>
        <w:ind w:left="582" w:right="20" w:hanging="582"/>
        <w:spacing w:after="0" w:line="258" w:lineRule="auto"/>
        <w:tabs>
          <w:tab w:leader="none" w:pos="422"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proceeds allocated include estimated costs associated with the ongoing development of the patient digital platform. Significant events that must occur to move forward with the proposed business objective include identifying the intended consumer, entering into third party agreements to develop the platform, and identifying and retaining qualified individuals to support the ongoing development and operation of the digital therapy platform. The anticipated timeline for completing this objective is late Q4 2021 which is based on certain material factors or assumptions including, but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ind w:left="382" w:hanging="382"/>
        <w:spacing w:after="0"/>
        <w:tabs>
          <w:tab w:leader="none" w:pos="382"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Kernel Flow study will require the identification and recruitment of investigators and development of acceptable study protocols. See “Risk Factors”.</w:t>
      </w:r>
    </w:p>
    <w:p>
      <w:pPr>
        <w:spacing w:after="0" w:line="200" w:lineRule="exact"/>
        <w:rPr>
          <w:sz w:val="20"/>
          <w:szCs w:val="20"/>
          <w:color w:val="auto"/>
        </w:rPr>
      </w:pPr>
    </w:p>
    <w:p>
      <w:pPr>
        <w:spacing w:after="0" w:line="219" w:lineRule="exact"/>
        <w:rPr>
          <w:sz w:val="20"/>
          <w:szCs w:val="20"/>
          <w:color w:val="auto"/>
        </w:rPr>
      </w:pPr>
    </w:p>
    <w:p>
      <w:pPr>
        <w:jc w:val="both"/>
        <w:ind w:left="2"/>
        <w:spacing w:after="0" w:line="283" w:lineRule="auto"/>
        <w:rPr>
          <w:sz w:val="20"/>
          <w:szCs w:val="20"/>
          <w:color w:val="auto"/>
        </w:rPr>
      </w:pPr>
      <w:r>
        <w:rPr>
          <w:rFonts w:ascii="Arial" w:cs="Arial" w:eastAsia="Arial" w:hAnsi="Arial"/>
          <w:sz w:val="16"/>
          <w:szCs w:val="16"/>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66" w:lineRule="exact"/>
        <w:rPr>
          <w:sz w:val="20"/>
          <w:szCs w:val="20"/>
          <w:color w:val="auto"/>
        </w:rPr>
      </w:pPr>
    </w:p>
    <w:p>
      <w:pPr>
        <w:jc w:val="both"/>
        <w:ind w:left="2" w:right="20"/>
        <w:spacing w:after="0" w:line="263" w:lineRule="auto"/>
        <w:rPr>
          <w:sz w:val="20"/>
          <w:szCs w:val="20"/>
          <w:color w:val="auto"/>
        </w:rPr>
      </w:pPr>
      <w:r>
        <w:rPr>
          <w:rFonts w:ascii="Arial" w:cs="Arial" w:eastAsia="Arial" w:hAnsi="Arial"/>
          <w:sz w:val="17"/>
          <w:szCs w:val="17"/>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Major Objectives</w:t>
      </w:r>
    </w:p>
    <w:p>
      <w:pPr>
        <w:spacing w:after="0" w:line="221" w:lineRule="exact"/>
        <w:rPr>
          <w:sz w:val="20"/>
          <w:szCs w:val="20"/>
          <w:color w:val="auto"/>
        </w:rPr>
      </w:pPr>
    </w:p>
    <w:p>
      <w:pPr>
        <w:jc w:val="both"/>
        <w:ind w:left="2" w:right="20"/>
        <w:spacing w:after="0" w:line="236" w:lineRule="auto"/>
        <w:rPr>
          <w:sz w:val="20"/>
          <w:szCs w:val="20"/>
          <w:color w:val="auto"/>
        </w:rPr>
      </w:pPr>
      <w:r>
        <w:rPr>
          <w:rFonts w:ascii="Arial" w:cs="Arial" w:eastAsia="Arial" w:hAnsi="Arial"/>
          <w:sz w:val="18"/>
          <w:szCs w:val="18"/>
          <w:color w:val="auto"/>
        </w:rPr>
        <w:t>As of the date of this MD&amp;A, the Company has four major objectives which have not generated revenue. The Company previously had five major objectives, however has made the decision to not progress with the Nutraceutical Products Program. In addition, the Company has merged its Psilocybin Program with its will CYB003 deuterated tryptamine pre-clinical program and will be prioritizing the progression of the Deuterated Psilocybin Analog Program going forward, as it has been identified as a superior molecule.</w:t>
      </w:r>
    </w:p>
    <w:p>
      <w:pPr>
        <w:spacing w:after="0" w:line="201"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The following is a description of each such objective, including a description of the Company’s plan for such objective, the status of the objective relative to the Company’s plan for such objective and anticipated expenditures to advance the objective to the next stage of the Company’s plan for the specific objective.</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Deuterated Psilocybin Analog Program (formerly the Psilocybin Program)</w:t>
      </w:r>
    </w:p>
    <w:p>
      <w:pPr>
        <w:spacing w:after="0" w:line="213" w:lineRule="exact"/>
        <w:rPr>
          <w:sz w:val="20"/>
          <w:szCs w:val="20"/>
          <w:color w:val="auto"/>
        </w:rPr>
      </w:pPr>
    </w:p>
    <w:p>
      <w:pPr>
        <w:jc w:val="both"/>
        <w:ind w:left="2" w:right="20"/>
        <w:spacing w:after="0" w:line="221" w:lineRule="auto"/>
        <w:rPr>
          <w:sz w:val="20"/>
          <w:szCs w:val="20"/>
          <w:color w:val="auto"/>
        </w:rPr>
      </w:pPr>
      <w:r>
        <w:rPr>
          <w:rFonts w:ascii="Arial" w:cs="Arial" w:eastAsia="Arial" w:hAnsi="Arial"/>
          <w:sz w:val="18"/>
          <w:szCs w:val="18"/>
          <w:color w:val="auto"/>
        </w:rPr>
        <w:t>While oral psilocybin has been demonstrated to be efficacious, the Company did recognized the challenges and limitations of the molecule and worked on ways to address them, by simultaneously looking at the formulation in two programs and then the molecule itself in another. In light of compelling data regarding the Company’s novel oral psilocybin analog molecule (CYB003), the Company has determined that it would be leveraging the data obtained through the Psilocybin Program to advance its newly defined Deuterated Psilocybin Analog Program. The Deuterated Psilocybin Analog Program will merge both the MDD and AUD indication into a single program. The Company has determined that this merger of programs would be the most efficient and cost-effective way for the Company to move forward.</w:t>
      </w:r>
    </w:p>
    <w:p>
      <w:pPr>
        <w:spacing w:after="0" w:line="177" w:lineRule="exact"/>
        <w:rPr>
          <w:sz w:val="20"/>
          <w:szCs w:val="20"/>
          <w:color w:val="auto"/>
        </w:rPr>
      </w:pPr>
    </w:p>
    <w:p>
      <w:pPr>
        <w:jc w:val="both"/>
        <w:ind w:left="2" w:right="20"/>
        <w:spacing w:after="0" w:line="230" w:lineRule="auto"/>
        <w:rPr>
          <w:sz w:val="20"/>
          <w:szCs w:val="20"/>
          <w:color w:val="auto"/>
        </w:rPr>
      </w:pPr>
      <w:r>
        <w:rPr>
          <w:rFonts w:ascii="Arial" w:cs="Arial" w:eastAsia="Arial" w:hAnsi="Arial"/>
          <w:sz w:val="18"/>
          <w:szCs w:val="18"/>
          <w:color w:val="auto"/>
        </w:rPr>
        <w:t>As a result, the Company will be prioritizing the progression of the Deuterated Psilocybin Analog Program going forward, as this has been demonstrated to be the superior molecule. The Company will continue to advance on the previous disclosed psilocybin milestones, in the U.S. and the UK, as it deems them necessary to bring psychedelics to therapeutics.</w:t>
      </w:r>
    </w:p>
    <w:p>
      <w:pPr>
        <w:spacing w:after="0" w:line="188"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w:t>
      </w:r>
    </w:p>
    <w:p>
      <w:pPr>
        <w:spacing w:after="0" w:line="200" w:lineRule="exact"/>
        <w:rPr>
          <w:sz w:val="20"/>
          <w:szCs w:val="20"/>
          <w:color w:val="auto"/>
        </w:rPr>
      </w:pPr>
    </w:p>
    <w:p>
      <w:pPr>
        <w:spacing w:after="0" w:line="341"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2"/>
          </w:cols>
          <w:pgMar w:left="318" w:top="718" w:right="319" w:bottom="1440" w:gutter="0" w:footer="0" w:header="0"/>
        </w:sectPr>
      </w:pPr>
    </w:p>
    <w:bookmarkStart w:id="46" w:name="page47"/>
    <w:bookmarkEnd w:id="46"/>
    <w:p>
      <w:pPr>
        <w:ind w:left="2"/>
        <w:spacing w:after="0"/>
        <w:rPr>
          <w:sz w:val="20"/>
          <w:szCs w:val="20"/>
          <w:color w:val="auto"/>
        </w:rPr>
      </w:pPr>
      <w:r>
        <w:rPr>
          <w:rFonts w:ascii="Arial" w:cs="Arial" w:eastAsia="Arial" w:hAnsi="Arial"/>
          <w:sz w:val="16"/>
          <w:szCs w:val="16"/>
          <w:color w:val="auto"/>
        </w:rPr>
        <w:t>drug application submission and approval, and assumes the success of implementation and results of such studies on timelines indicated as possible by such</w:t>
      </w:r>
    </w:p>
    <w:p>
      <w:pPr>
        <w:spacing w:after="0" w:line="48" w:lineRule="exact"/>
        <w:rPr>
          <w:sz w:val="20"/>
          <w:szCs w:val="20"/>
          <w:color w:val="auto"/>
        </w:rPr>
      </w:pPr>
    </w:p>
    <w:p>
      <w:pPr>
        <w:jc w:val="both"/>
        <w:ind w:left="2"/>
        <w:spacing w:after="0" w:line="267" w:lineRule="auto"/>
        <w:rPr>
          <w:sz w:val="20"/>
          <w:szCs w:val="20"/>
          <w:color w:val="auto"/>
        </w:rPr>
      </w:pPr>
      <w:r>
        <w:rPr>
          <w:rFonts w:ascii="Arial" w:cs="Arial" w:eastAsia="Arial" w:hAnsi="Arial"/>
          <w:sz w:val="18"/>
          <w:szCs w:val="18"/>
          <w:color w:val="auto"/>
        </w:rPr>
        <w:t>guidelines, other industry examples, and the Company’s development efforts to date. The result is a reallocation of funds and shifting of priorities to meet the overall objective of the Company’s spending estimates.</w:t>
      </w:r>
    </w:p>
    <w:p>
      <w:pPr>
        <w:spacing w:after="0" w:line="175" w:lineRule="exact"/>
        <w:rPr>
          <w:sz w:val="20"/>
          <w:szCs w:val="20"/>
          <w:color w:val="auto"/>
        </w:rPr>
      </w:pPr>
    </w:p>
    <w:p>
      <w:pPr>
        <w:jc w:val="both"/>
        <w:ind w:left="2"/>
        <w:spacing w:after="0" w:line="249" w:lineRule="auto"/>
        <w:rPr>
          <w:sz w:val="20"/>
          <w:szCs w:val="20"/>
          <w:color w:val="auto"/>
        </w:rPr>
      </w:pPr>
      <w:r>
        <w:rPr>
          <w:rFonts w:ascii="Arial" w:cs="Arial" w:eastAsia="Arial" w:hAnsi="Arial"/>
          <w:sz w:val="18"/>
          <w:szCs w:val="18"/>
          <w:color w:val="auto"/>
        </w:rPr>
        <w:t>The Company has been investigating the development of short-acting tryptamines with the aim of creating clinical development candidates suitable for phase I clinical research, utilizing (i) the chemical modification of tryptamine derivatives through the selective substitution of hydrogen atoms within the tryptamine molecules with deuterium; and (ii) the combination of such deuterated tryptamine derivative molecules with selected drug delivery methods, including but not limited to oral, inhalation methods, intravenous and intramuscular delivery.</w:t>
      </w:r>
    </w:p>
    <w:p>
      <w:pPr>
        <w:spacing w:after="0" w:line="193" w:lineRule="exact"/>
        <w:rPr>
          <w:sz w:val="20"/>
          <w:szCs w:val="20"/>
          <w:color w:val="auto"/>
        </w:rPr>
      </w:pPr>
    </w:p>
    <w:p>
      <w:pPr>
        <w:jc w:val="both"/>
        <w:ind w:left="2"/>
        <w:spacing w:after="0" w:line="221" w:lineRule="auto"/>
        <w:rPr>
          <w:sz w:val="20"/>
          <w:szCs w:val="20"/>
          <w:color w:val="auto"/>
        </w:rPr>
      </w:pPr>
      <w:r>
        <w:rPr>
          <w:rFonts w:ascii="Arial" w:cs="Arial" w:eastAsia="Arial" w:hAnsi="Arial"/>
          <w:sz w:val="18"/>
          <w:szCs w:val="18"/>
          <w:color w:val="auto"/>
        </w:rPr>
        <w:t>Academic research performed at New York University and John Hopkins University has indicated oral psilocybin to be efficacious in the treatment of mental health disorders, especially MDD, but with significant limitations, specifically: slow onset of action, extended duration of effect, and a variability in response among patients</w:t>
      </w:r>
      <w:r>
        <w:rPr>
          <w:rFonts w:ascii="Arial" w:cs="Arial" w:eastAsia="Arial" w:hAnsi="Arial"/>
          <w:sz w:val="23"/>
          <w:szCs w:val="23"/>
          <w:color w:val="auto"/>
          <w:vertAlign w:val="superscript"/>
        </w:rPr>
        <w:t>14</w:t>
      </w:r>
      <w:r>
        <w:rPr>
          <w:rFonts w:ascii="Arial" w:cs="Arial" w:eastAsia="Arial" w:hAnsi="Arial"/>
          <w:sz w:val="18"/>
          <w:szCs w:val="18"/>
          <w:color w:val="auto"/>
        </w:rPr>
        <w:t>. The Company’s CYB001 and CYB002 programs studied proprietary formulations, while the Company’s CYB003 program explored proprietary analogs with the goal to retain the benefits and address the challenges.</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18"/>
          <w:szCs w:val="18"/>
          <w:color w:val="auto"/>
        </w:rPr>
        <w:t>In multi-species pre-clinical studies, the Company’s deuterated psilocybin analog from its CYB003 program demonstrates:</w:t>
      </w:r>
    </w:p>
    <w:p>
      <w:pPr>
        <w:spacing w:after="0" w:line="221" w:lineRule="exact"/>
        <w:rPr>
          <w:sz w:val="20"/>
          <w:szCs w:val="20"/>
          <w:color w:val="auto"/>
        </w:rPr>
      </w:pPr>
    </w:p>
    <w:p>
      <w:pPr>
        <w:ind w:left="582" w:hanging="289"/>
        <w:spacing w:after="0"/>
        <w:tabs>
          <w:tab w:leader="none" w:pos="582"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50% reduction in variability compared to oral psilocybin; which indicates potential for more accurate dosing in patients with MDD and AUD;</w:t>
      </w:r>
    </w:p>
    <w:p>
      <w:pPr>
        <w:spacing w:after="0" w:line="16" w:lineRule="exact"/>
        <w:rPr>
          <w:rFonts w:ascii="Arial" w:cs="Arial" w:eastAsia="Arial" w:hAnsi="Arial"/>
          <w:sz w:val="17"/>
          <w:szCs w:val="17"/>
          <w:color w:val="auto"/>
        </w:rPr>
      </w:pPr>
    </w:p>
    <w:p>
      <w:pPr>
        <w:ind w:left="582" w:right="140" w:hanging="289"/>
        <w:spacing w:after="0" w:line="226" w:lineRule="auto"/>
        <w:tabs>
          <w:tab w:leader="none" w:pos="5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50% reduction in dose compared to oral psilocybin; which indicates potential to maintain equivalent efficacy while reducing side effects, such as nausea, in patients with MDD and AUD;</w:t>
      </w:r>
    </w:p>
    <w:p>
      <w:pPr>
        <w:spacing w:after="0" w:line="1" w:lineRule="exact"/>
        <w:rPr>
          <w:rFonts w:ascii="Arial" w:cs="Arial" w:eastAsia="Arial" w:hAnsi="Arial"/>
          <w:sz w:val="18"/>
          <w:szCs w:val="18"/>
          <w:color w:val="auto"/>
        </w:rPr>
      </w:pPr>
    </w:p>
    <w:p>
      <w:pPr>
        <w:ind w:left="582" w:hanging="289"/>
        <w:spacing w:after="0" w:line="241" w:lineRule="auto"/>
        <w:tabs>
          <w:tab w:leader="none" w:pos="5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50% shorter time to onset when compared to oral psilocybin; which indicates potential for shorter duration of treatment, lower inter-subject variability, better therapeutic control and safety, leading to a better patient experience, with lower cost and scalability; and</w:t>
      </w:r>
    </w:p>
    <w:p>
      <w:pPr>
        <w:ind w:left="582" w:hanging="289"/>
        <w:spacing w:after="0" w:line="248" w:lineRule="auto"/>
        <w:tabs>
          <w:tab w:leader="none" w:pos="5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nearly double brain penetration when compared to oral psilocybin; which indicates potential for a less variable treatment response, a lower dose therapeutic effect, and reduced patient side effects.</w:t>
      </w:r>
    </w:p>
    <w:p>
      <w:pPr>
        <w:spacing w:after="0" w:line="192" w:lineRule="exact"/>
        <w:rPr>
          <w:sz w:val="20"/>
          <w:szCs w:val="20"/>
          <w:color w:val="auto"/>
        </w:rPr>
      </w:pPr>
    </w:p>
    <w:p>
      <w:pPr>
        <w:ind w:left="2"/>
        <w:spacing w:after="0" w:line="267" w:lineRule="auto"/>
        <w:rPr>
          <w:sz w:val="20"/>
          <w:szCs w:val="20"/>
          <w:color w:val="auto"/>
        </w:rPr>
      </w:pPr>
      <w:r>
        <w:rPr>
          <w:rFonts w:ascii="Arial" w:cs="Arial" w:eastAsia="Arial" w:hAnsi="Arial"/>
          <w:sz w:val="18"/>
          <w:szCs w:val="18"/>
          <w:color w:val="auto"/>
        </w:rPr>
        <w:t>Based on the Company's multi-species pre-clinical studies, the deuterated psilocybin analog in CYB003 has the potential to reduce time and resource burden on patients, providers and payers, with the potential to improve scalability and accessibility from the following conclusions:</w:t>
      </w:r>
    </w:p>
    <w:p>
      <w:pPr>
        <w:spacing w:after="0" w:line="175" w:lineRule="exact"/>
        <w:rPr>
          <w:sz w:val="20"/>
          <w:szCs w:val="20"/>
          <w:color w:val="auto"/>
        </w:rPr>
      </w:pPr>
    </w:p>
    <w:p>
      <w:pPr>
        <w:ind w:left="582" w:hanging="289"/>
        <w:spacing w:after="0"/>
        <w:tabs>
          <w:tab w:leader="none" w:pos="5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faster onset of action equates to less down time in the clinic before effects begin;</w:t>
      </w:r>
    </w:p>
    <w:p>
      <w:pPr>
        <w:spacing w:after="0" w:line="4" w:lineRule="exact"/>
        <w:rPr>
          <w:rFonts w:ascii="Arial" w:cs="Arial" w:eastAsia="Arial" w:hAnsi="Arial"/>
          <w:sz w:val="18"/>
          <w:szCs w:val="18"/>
          <w:color w:val="auto"/>
        </w:rPr>
      </w:pPr>
    </w:p>
    <w:p>
      <w:pPr>
        <w:ind w:left="582" w:hanging="289"/>
        <w:spacing w:after="0" w:line="226" w:lineRule="auto"/>
        <w:tabs>
          <w:tab w:leader="none" w:pos="5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half the duration of effect translates to shorter clinic days or more patients per day;</w:t>
      </w:r>
    </w:p>
    <w:p>
      <w:pPr>
        <w:ind w:left="582" w:hanging="289"/>
        <w:spacing w:after="0" w:line="226" w:lineRule="auto"/>
        <w:tabs>
          <w:tab w:leader="none" w:pos="5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more predictable dose effects create a safer and more effective patient response;</w:t>
      </w:r>
    </w:p>
    <w:p>
      <w:pPr>
        <w:ind w:left="582" w:hanging="289"/>
        <w:spacing w:after="0" w:line="226" w:lineRule="auto"/>
        <w:tabs>
          <w:tab w:leader="none" w:pos="5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lowered peripheral exposure diminishes the risk of nausea; and</w:t>
      </w:r>
    </w:p>
    <w:p>
      <w:pPr>
        <w:ind w:left="582" w:hanging="289"/>
        <w:spacing w:after="0"/>
        <w:tabs>
          <w:tab w:leader="none" w:pos="5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better brain penetration suggests lower overall dose needed to achieve clinical efficacy.</w:t>
      </w:r>
    </w:p>
    <w:p>
      <w:pPr>
        <w:spacing w:after="0" w:line="181" w:lineRule="exact"/>
        <w:rPr>
          <w:sz w:val="20"/>
          <w:szCs w:val="20"/>
          <w:color w:val="auto"/>
        </w:rPr>
      </w:pPr>
    </w:p>
    <w:p>
      <w:pPr>
        <w:ind w:left="2"/>
        <w:spacing w:after="0" w:line="221" w:lineRule="auto"/>
        <w:rPr>
          <w:sz w:val="20"/>
          <w:szCs w:val="20"/>
          <w:color w:val="auto"/>
        </w:rPr>
      </w:pPr>
      <w:r>
        <w:rPr>
          <w:rFonts w:ascii="Arial" w:cs="Arial" w:eastAsia="Arial" w:hAnsi="Arial"/>
          <w:sz w:val="18"/>
          <w:szCs w:val="18"/>
          <w:color w:val="auto"/>
        </w:rPr>
        <w:t>The Company expects the complete its CYB003 pre-clinical studies by the end of Q1-2022</w:t>
      </w:r>
      <w:r>
        <w:rPr>
          <w:rFonts w:ascii="Arial" w:cs="Arial" w:eastAsia="Arial" w:hAnsi="Arial"/>
          <w:sz w:val="23"/>
          <w:szCs w:val="23"/>
          <w:color w:val="auto"/>
          <w:vertAlign w:val="superscript"/>
        </w:rPr>
        <w:t>15</w:t>
      </w:r>
      <w:r>
        <w:rPr>
          <w:rFonts w:ascii="Arial" w:cs="Arial" w:eastAsia="Arial" w:hAnsi="Arial"/>
          <w:sz w:val="18"/>
          <w:szCs w:val="18"/>
          <w:color w:val="auto"/>
        </w:rPr>
        <w:t>. Simultaneously, the Company will be advancing the CMC development, including the production of clinical materials, and expects this to be completed by Q1-2022</w:t>
      </w:r>
      <w:r>
        <w:rPr>
          <w:rFonts w:ascii="Arial" w:cs="Arial" w:eastAsia="Arial" w:hAnsi="Arial"/>
          <w:sz w:val="23"/>
          <w:szCs w:val="23"/>
          <w:color w:val="auto"/>
          <w:vertAlign w:val="superscript"/>
        </w:rPr>
        <w:t>16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15532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left="2" w:hanging="2"/>
        <w:spacing w:after="0" w:line="199" w:lineRule="auto"/>
        <w:tabs>
          <w:tab w:leader="none" w:pos="203" w:val="left"/>
        </w:tabs>
        <w:numPr>
          <w:ilvl w:val="0"/>
          <w:numId w:val="41"/>
        </w:numPr>
        <w:rPr>
          <w:rFonts w:ascii="Arial" w:cs="Arial" w:eastAsia="Arial" w:hAnsi="Arial"/>
          <w:sz w:val="25"/>
          <w:szCs w:val="25"/>
          <w:color w:val="auto"/>
          <w:vertAlign w:val="superscript"/>
        </w:rPr>
      </w:pPr>
      <w:r>
        <w:rPr>
          <w:rFonts w:ascii="Arial" w:cs="Arial" w:eastAsia="Arial" w:hAnsi="Arial"/>
          <w:sz w:val="15"/>
          <w:szCs w:val="15"/>
          <w:color w:val="auto"/>
        </w:rPr>
        <w:t xml:space="preserve">Effects of Psilocybin-Assisted Therapy on Major Depressive Disorder A Randomized Clinical Trial: </w:t>
      </w:r>
      <w:r>
        <w:rPr>
          <w:rFonts w:ascii="Arial" w:cs="Arial" w:eastAsia="Arial" w:hAnsi="Arial"/>
          <w:sz w:val="15"/>
          <w:szCs w:val="15"/>
          <w:u w:val="single" w:color="auto"/>
          <w:color w:val="3051F2"/>
        </w:rPr>
        <w:t>https://jamanetwork.com/journals/jamapsychiatry/fullarticle/2772630</w:t>
      </w:r>
      <w:r>
        <w:rPr>
          <w:rFonts w:ascii="Arial" w:cs="Arial" w:eastAsia="Arial" w:hAnsi="Arial"/>
          <w:sz w:val="15"/>
          <w:szCs w:val="15"/>
          <w:color w:val="auto"/>
        </w:rPr>
        <w:t xml:space="preserve">; Rapid and sustained symptom reduction following psilocybin treatment for anxiety and depression in patients with life-threatening cancer: a randomized controlled trial: </w:t>
      </w:r>
      <w:r>
        <w:rPr>
          <w:rFonts w:ascii="Arial" w:cs="Arial" w:eastAsia="Arial" w:hAnsi="Arial"/>
          <w:sz w:val="15"/>
          <w:szCs w:val="15"/>
          <w:u w:val="single" w:color="auto"/>
          <w:color w:val="3051F2"/>
        </w:rPr>
        <w:t>https://pubmed.ncbi.nlm.nih.gov/27909164/</w:t>
      </w:r>
    </w:p>
    <w:p>
      <w:pPr>
        <w:spacing w:after="0" w:line="1" w:lineRule="exact"/>
        <w:rPr>
          <w:rFonts w:ascii="Arial" w:cs="Arial" w:eastAsia="Arial" w:hAnsi="Arial"/>
          <w:sz w:val="25"/>
          <w:szCs w:val="25"/>
          <w:color w:val="auto"/>
          <w:vertAlign w:val="superscript"/>
        </w:rPr>
      </w:pPr>
    </w:p>
    <w:p>
      <w:pPr>
        <w:jc w:val="both"/>
        <w:ind w:left="2" w:hanging="2"/>
        <w:spacing w:after="0" w:line="224" w:lineRule="auto"/>
        <w:tabs>
          <w:tab w:leader="none" w:pos="147"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4"/>
          <w:szCs w:val="14"/>
          <w:i w:val="1"/>
          <w:iCs w:val="1"/>
          <w:color w:val="auto"/>
        </w:rPr>
        <w:t>Risk Factors”.</w:t>
      </w:r>
    </w:p>
    <w:p>
      <w:pPr>
        <w:jc w:val="both"/>
        <w:ind w:left="2" w:hanging="2"/>
        <w:spacing w:after="0" w:line="228" w:lineRule="auto"/>
        <w:tabs>
          <w:tab w:leader="none" w:pos="147"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4"/>
          <w:szCs w:val="14"/>
          <w:i w:val="1"/>
          <w:iCs w:val="1"/>
          <w:color w:val="auto"/>
        </w:rPr>
        <w:t>Risk Factors”.</w:t>
      </w:r>
    </w:p>
    <w:p>
      <w:pPr>
        <w:spacing w:after="0" w:line="200" w:lineRule="exact"/>
        <w:rPr>
          <w:sz w:val="20"/>
          <w:szCs w:val="20"/>
          <w:color w:val="auto"/>
        </w:rPr>
      </w:pPr>
    </w:p>
    <w:p>
      <w:pPr>
        <w:spacing w:after="0" w:line="353"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2"/>
          </w:cols>
          <w:pgMar w:left="318" w:top="710" w:right="339" w:bottom="1440" w:gutter="0" w:footer="0" w:header="0"/>
        </w:sectPr>
      </w:pPr>
    </w:p>
    <w:bookmarkStart w:id="47" w:name="page48"/>
    <w:bookmarkEnd w:id="47"/>
    <w:p>
      <w:pPr>
        <w:jc w:val="both"/>
        <w:spacing w:after="0" w:line="250" w:lineRule="auto"/>
        <w:rPr>
          <w:sz w:val="20"/>
          <w:szCs w:val="20"/>
          <w:color w:val="auto"/>
        </w:rPr>
      </w:pPr>
      <w:r>
        <w:rPr>
          <w:rFonts w:ascii="Arial" w:cs="Arial" w:eastAsia="Arial" w:hAnsi="Arial"/>
          <w:sz w:val="17"/>
          <w:szCs w:val="17"/>
          <w:color w:val="auto"/>
        </w:rPr>
        <w:t>Once the pre-clinical studies and CMC development are complete, the Company intends to submit IND and CTA filings with the US FDA and the MHRA, respectively. The Company expects to submit these filings during Q2 2022. Subsequent to regulatory approval, early-phase clinical trials in MDD and AUD, leveraging the Company's innovative EMBARK</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psychotherapy program, will commence in both the U.S. and the UK. 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9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As a result of the timing of the compelling pre-clinical data and the decision to merge the Company's Psilocybin Program with its deuterated tryptamine CYB003 preclinical program, the Company is still working through finalizing its projected spend per milestone. The Company estimates that its spend over the next 12 months for this program will be similar to that previously disclosed for the Psilocybin Program and the deuterated tryptamine CYB003 preclinical program, being $4,762. Anticipated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Deuterated Tryptamines Preclinical Programs</w:t>
      </w:r>
    </w:p>
    <w:p>
      <w:pPr>
        <w:spacing w:after="0" w:line="22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is investigating the development of short-acting tryptamines with the aim of creating clinical development candidates suitable for phase I clinical research, utilizing (i) the chemical modification of tryptamine derivatives through the selective substitution of hydrogen atoms within the tryptamine molecules with deuterium; and (ii) the combination of such deuterated tryptamine derivative molecules with selected drug delivery methods, including but not limited to oral, inhalation methods, intravenous and intramuscular delivery.</w:t>
      </w:r>
    </w:p>
    <w:p>
      <w:pPr>
        <w:spacing w:after="0" w:line="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order to assess the feasibility and viability of these deuterated tryptamine derivatives entering phase I clinical studies, the Company has and will contract with reputable and licensed third-party vendors to undertake extensive preclinical characterization of target molecules on the Company’s behalf. These activities include but are not limited to: the synthesis of such molecules as APIs at laboratory scale, the development and optimization of production processes for such APIs. To date, the Company has undertaken sufficient work to enable selection of two deuterated tryptamine candidates and has scaled up production processes to optimize and maximize yields and ensure the drug candidates meet the required purity levels. In vitro proof of principal in animal models has been completed to ensure selection of molecules with optimal anticipated pharmacokinetics best suited for future phase I clinical trials.</w:t>
      </w:r>
    </w:p>
    <w:p>
      <w:pPr>
        <w:spacing w:after="0" w:line="173"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Further preclinical development activities over the next 12 months are anticipated to include the development of stable formulations utilizing such APIs, the development and validation of analytical methods for such formulations, the scale up of API production processes beyond laboratory scale, suitable for entry into animal and human studies, studies of the stability of such formulations suitable for human studies, the development of Chemistry, Manufacturing and Controls to meet current Good Manufacturing Processes (“</w:t>
      </w:r>
      <w:r>
        <w:rPr>
          <w:rFonts w:ascii="Arial" w:cs="Arial" w:eastAsia="Arial" w:hAnsi="Arial"/>
          <w:sz w:val="18"/>
          <w:szCs w:val="18"/>
          <w:b w:val="1"/>
          <w:bCs w:val="1"/>
          <w:color w:val="auto"/>
        </w:rPr>
        <w:t>cGMP</w:t>
      </w:r>
      <w:r>
        <w:rPr>
          <w:rFonts w:ascii="Arial" w:cs="Arial" w:eastAsia="Arial" w:hAnsi="Arial"/>
          <w:sz w:val="18"/>
          <w:szCs w:val="18"/>
          <w:color w:val="auto"/>
        </w:rPr>
        <w:t>”). There is no assurance that the aforementioned timelines will be met or that the studies will advance to clinical trials, at all.</w:t>
      </w:r>
    </w:p>
    <w:p>
      <w:pPr>
        <w:spacing w:after="0" w:line="19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Further the Company’s third party vendors will be responsible for completing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The Company intends to complete these studies, and collect further relevant safety and toxicity data, prior to the filing for an IND application with FDA, a CTA with Health Canada, or other similar application with regulatory bodies in other jurisdictions. There is no assurance that the aforementioned timelines will be met or that the studies will advance to clinical trials, at all.</w:t>
      </w:r>
    </w:p>
    <w:p>
      <w:pPr>
        <w:spacing w:after="0" w:line="18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While the Company was previously focusing on two deuterated tryptamine candidates, CYB003 and CYB004, this program is now focused on one candidate, CYB004. The Company has a newly defined program, the Deuterated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320" w:top="710" w:right="319" w:bottom="1440" w:gutter="0" w:footer="0" w:header="0"/>
        </w:sectPr>
      </w:pPr>
    </w:p>
    <w:bookmarkStart w:id="48" w:name="page49"/>
    <w:bookmarkEnd w:id="48"/>
    <w:p>
      <w:pPr>
        <w:jc w:val="both"/>
        <w:ind w:left="2"/>
        <w:spacing w:after="0" w:line="230" w:lineRule="auto"/>
        <w:rPr>
          <w:sz w:val="20"/>
          <w:szCs w:val="20"/>
          <w:color w:val="auto"/>
        </w:rPr>
      </w:pPr>
      <w:r>
        <w:rPr>
          <w:rFonts w:ascii="Arial" w:cs="Arial" w:eastAsia="Arial" w:hAnsi="Arial"/>
          <w:sz w:val="18"/>
          <w:szCs w:val="18"/>
          <w:color w:val="auto"/>
        </w:rPr>
        <w:t>Psilocybin Analog Program, which merges the initiatives of the Psilocybin Program and the deuterated tryptamine CYB003 preclinical program into one single program (Deuterated Psilocybin Analog Program). The work performed to date related to CYB003 in this program has been instrumental in defining the new program, as described above.</w:t>
      </w:r>
    </w:p>
    <w:p>
      <w:pPr>
        <w:spacing w:after="0" w:line="188" w:lineRule="exact"/>
        <w:rPr>
          <w:sz w:val="20"/>
          <w:szCs w:val="20"/>
          <w:color w:val="auto"/>
        </w:rPr>
      </w:pPr>
    </w:p>
    <w:p>
      <w:pPr>
        <w:jc w:val="both"/>
        <w:ind w:left="2" w:right="20"/>
        <w:spacing w:after="0" w:line="251" w:lineRule="auto"/>
        <w:rPr>
          <w:sz w:val="20"/>
          <w:szCs w:val="20"/>
          <w:color w:val="auto"/>
        </w:rPr>
      </w:pPr>
      <w:r>
        <w:rPr>
          <w:rFonts w:ascii="Arial" w:cs="Arial" w:eastAsia="Arial" w:hAnsi="Arial"/>
          <w:sz w:val="17"/>
          <w:szCs w:val="17"/>
          <w:color w:val="auto"/>
        </w:rPr>
        <w:t>The Company anticipates that its CYB004 program may deliver a drug candidate suitable for entry into phase I clinical studies by Q2 2022, updated from the prior estimate of Q1 2022</w:t>
      </w:r>
      <w:r>
        <w:rPr>
          <w:rFonts w:ascii="Arial" w:cs="Arial" w:eastAsia="Arial" w:hAnsi="Arial"/>
          <w:sz w:val="22"/>
          <w:szCs w:val="22"/>
          <w:color w:val="auto"/>
          <w:vertAlign w:val="superscript"/>
        </w:rPr>
        <w:t>17</w:t>
      </w:r>
      <w:r>
        <w:rPr>
          <w:rFonts w:ascii="Arial" w:cs="Arial" w:eastAsia="Arial" w:hAnsi="Arial"/>
          <w:sz w:val="17"/>
          <w:szCs w:val="17"/>
          <w:color w:val="auto"/>
        </w:rPr>
        <w:t>. The Company expects to spend $3,250 to advance preclinical development of CYB004 by Q1 2022, a decrease in the previous estimate of $6,200. The change is not a reflection of a decrease in spend to accomplish the milestone, but rather a decrease in the amount that the Company expects to incur in the next twelve months. The Company cannot at this time estimate the cost of bringing CYB004 to market as much of the associated costs depend on the outcomes of the phase I and phase II clinical trials. Further, there is no assurance that the aforementioned timelines will be met or that the CYB004 program will advance to clinical trials, at all. Anticipated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195" w:lineRule="exact"/>
        <w:rPr>
          <w:sz w:val="20"/>
          <w:szCs w:val="20"/>
          <w:color w:val="auto"/>
        </w:rPr>
      </w:pPr>
    </w:p>
    <w:p>
      <w:pPr>
        <w:jc w:val="both"/>
        <w:ind w:left="2" w:right="20"/>
        <w:spacing w:after="0" w:line="330" w:lineRule="auto"/>
        <w:rPr>
          <w:sz w:val="20"/>
          <w:szCs w:val="20"/>
          <w:color w:val="auto"/>
        </w:rPr>
      </w:pPr>
      <w:r>
        <w:rPr>
          <w:rFonts w:ascii="Arial" w:cs="Arial" w:eastAsia="Arial" w:hAnsi="Arial"/>
          <w:sz w:val="16"/>
          <w:szCs w:val="16"/>
          <w:color w:val="auto"/>
        </w:rPr>
        <w:t>The Company has started research on DMT like molecules. This is a tryptamine that is being researched and modified for the potential use in psychiatric patients by oral administration. Research is ongoing to identify the best development candidate and is subject to receipt of all necessary approvals.</w:t>
      </w:r>
    </w:p>
    <w:p>
      <w:pPr>
        <w:spacing w:after="0" w:line="12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Phenethylamine Program</w:t>
      </w:r>
    </w:p>
    <w:p>
      <w:pPr>
        <w:spacing w:after="0" w:line="225" w:lineRule="exact"/>
        <w:rPr>
          <w:sz w:val="20"/>
          <w:szCs w:val="20"/>
          <w:color w:val="auto"/>
        </w:rPr>
      </w:pPr>
    </w:p>
    <w:p>
      <w:pPr>
        <w:jc w:val="both"/>
        <w:ind w:left="2" w:right="20"/>
        <w:spacing w:after="0" w:line="249" w:lineRule="auto"/>
        <w:rPr>
          <w:sz w:val="20"/>
          <w:szCs w:val="20"/>
          <w:color w:val="auto"/>
        </w:rPr>
      </w:pPr>
      <w:r>
        <w:rPr>
          <w:rFonts w:ascii="Arial" w:cs="Arial" w:eastAsia="Arial" w:hAnsi="Arial"/>
          <w:sz w:val="18"/>
          <w:szCs w:val="18"/>
          <w:color w:val="auto"/>
        </w:rPr>
        <w:t>The Company is investigating the development of phenethylamine derivatives with the aim of creating clinical development candidates suitable for phase I clinical research, utilizing (i) the chemical modification of phenethylamine derivatives; and (ii) the combination of such phenethylamine derivative molecules with selected drug delivery methods, including but not limited to sublingual delivery, orally dissolving tablets, inhalation methods, intravenous and intramuscular delivery.</w:t>
      </w:r>
    </w:p>
    <w:p>
      <w:pPr>
        <w:spacing w:after="0" w:line="193" w:lineRule="exact"/>
        <w:rPr>
          <w:sz w:val="20"/>
          <w:szCs w:val="20"/>
          <w:color w:val="auto"/>
        </w:rPr>
      </w:pPr>
    </w:p>
    <w:p>
      <w:pPr>
        <w:jc w:val="both"/>
        <w:ind w:left="2" w:right="20"/>
        <w:spacing w:after="0" w:line="262" w:lineRule="auto"/>
        <w:rPr>
          <w:sz w:val="20"/>
          <w:szCs w:val="20"/>
          <w:color w:val="auto"/>
        </w:rPr>
      </w:pPr>
      <w:r>
        <w:rPr>
          <w:rFonts w:ascii="Arial" w:cs="Arial" w:eastAsia="Arial" w:hAnsi="Arial"/>
          <w:sz w:val="17"/>
          <w:szCs w:val="17"/>
          <w:color w:val="auto"/>
        </w:rPr>
        <w:t>Work on the synthesis and optimization of these molecules has only recently begun at a licensed third-party vendor. In order to assess the feasibility and viability of these phenethylamine derivatives entering phase I clinical studies, the Company has and will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suitable for entry into animal and human studies, studies of the stability of such formulations suitable for human studies, the development of Chemistry, Manufacturing and Controls to meet current cGMP.</w:t>
      </w:r>
    </w:p>
    <w:p>
      <w:pPr>
        <w:spacing w:after="0" w:line="182" w:lineRule="exact"/>
        <w:rPr>
          <w:sz w:val="20"/>
          <w:szCs w:val="20"/>
          <w:color w:val="auto"/>
        </w:rPr>
      </w:pPr>
    </w:p>
    <w:p>
      <w:pPr>
        <w:jc w:val="both"/>
        <w:ind w:left="2" w:right="20"/>
        <w:spacing w:after="0" w:line="265" w:lineRule="auto"/>
        <w:rPr>
          <w:sz w:val="20"/>
          <w:szCs w:val="20"/>
          <w:color w:val="auto"/>
        </w:rPr>
      </w:pPr>
      <w:r>
        <w:rPr>
          <w:rFonts w:ascii="Arial" w:cs="Arial" w:eastAsia="Arial" w:hAnsi="Arial"/>
          <w:sz w:val="17"/>
          <w:szCs w:val="17"/>
          <w:color w:val="auto"/>
        </w:rPr>
        <w:t>In addition, utilizing the expertise of selected third parties, the Company intends to oversee the study of the pharmacokinetic profiles of its formulations in a number of animal models and the completion of Absorption, Distribution, Metabolism, and Excretion profiles. Further, the Company’s licensed third party vendors will be responsible for completing a range of additional preclinical programs including but not limited to dos-ranging studies in multiple animal species, toxicity studies in multiple animal species, genotoxicity studies, teratogenicity studies, along with neuropharmacological, pulmonary, and cardiovascular profiling, before the final selection of drug candidates for entry into human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15532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2" w:right="20" w:hanging="2"/>
        <w:spacing w:after="0" w:line="268" w:lineRule="auto"/>
        <w:tabs>
          <w:tab w:leader="none" w:pos="161" w:val="left"/>
        </w:tabs>
        <w:numPr>
          <w:ilvl w:val="0"/>
          <w:numId w:val="42"/>
        </w:numPr>
        <w:rPr>
          <w:rFonts w:ascii="Arial" w:cs="Arial" w:eastAsia="Arial" w:hAnsi="Arial"/>
          <w:sz w:val="19"/>
          <w:szCs w:val="19"/>
          <w:color w:val="auto"/>
          <w:vertAlign w:val="superscript"/>
        </w:rPr>
      </w:pPr>
      <w:r>
        <w:rPr>
          <w:rFonts w:ascii="Arial" w:cs="Arial" w:eastAsia="Arial" w:hAnsi="Arial"/>
          <w:sz w:val="13"/>
          <w:szCs w:val="13"/>
          <w:color w:val="auto"/>
        </w:rPr>
        <w:t xml:space="preserve">The anticipated timeline for completing this objective is Q2 2022 for CYB004, updated from the prior estimate Q1 2022, which is based on, among others, the following material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(as defined below); and (b) the Company assumes it will enter into agreements with certain third party vendors to complete a range of additional preclinical programs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3"/>
          <w:szCs w:val="13"/>
          <w:i w:val="1"/>
          <w:iCs w:val="1"/>
          <w:color w:val="auto"/>
        </w:rPr>
        <w:t>“Risk Factors”</w:t>
      </w:r>
      <w:r>
        <w:rPr>
          <w:rFonts w:ascii="Arial" w:cs="Arial" w:eastAsia="Arial" w:hAnsi="Arial"/>
          <w:sz w:val="13"/>
          <w:szCs w:val="13"/>
          <w:color w:val="auto"/>
        </w:rPr>
        <w:t>.</w:t>
      </w:r>
    </w:p>
    <w:p>
      <w:pPr>
        <w:spacing w:after="0" w:line="200" w:lineRule="exact"/>
        <w:rPr>
          <w:sz w:val="20"/>
          <w:szCs w:val="20"/>
          <w:color w:val="auto"/>
        </w:rPr>
      </w:pPr>
    </w:p>
    <w:p>
      <w:pPr>
        <w:spacing w:after="0" w:line="348"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2"/>
          </w:cols>
          <w:pgMar w:left="318" w:top="698" w:right="319" w:bottom="1440" w:gutter="0" w:footer="0" w:header="0"/>
        </w:sectPr>
      </w:pPr>
    </w:p>
    <w:bookmarkStart w:id="49" w:name="page50"/>
    <w:bookmarkEnd w:id="49"/>
    <w:p>
      <w:pPr>
        <w:jc w:val="both"/>
        <w:ind w:right="20"/>
        <w:spacing w:after="0" w:line="267" w:lineRule="auto"/>
        <w:rPr>
          <w:sz w:val="20"/>
          <w:szCs w:val="20"/>
          <w:color w:val="auto"/>
        </w:rPr>
      </w:pPr>
      <w:r>
        <w:rPr>
          <w:rFonts w:ascii="Arial" w:cs="Arial" w:eastAsia="Arial" w:hAnsi="Arial"/>
          <w:sz w:val="18"/>
          <w:szCs w:val="18"/>
          <w:color w:val="auto"/>
        </w:rPr>
        <w:t>The Company intends to complete these studies, and collect further relevant safety and toxicity data, prior to the filing for an IND application with the FDA, a CTA with Health Canada, or other similar application with regulatory bodies in other jurisdictions.</w:t>
      </w:r>
    </w:p>
    <w:p>
      <w:pPr>
        <w:spacing w:after="0" w:line="175"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color w:val="auto"/>
        </w:rPr>
        <w:t>The Company anticipates that its phenethylamine program may deliver a drug candidate suitable for entry into phase I clinical studies by Q1 2023. The Company expects to spend $2,600 to complete preclinical development of a phenethylamine drug candidate by the end of calendar 2022. The Company cannot at this time estimate the cost of bringing a phenethylamine drug candidate to market as much of the associated costs depend on the outcomes of the phase I and phase II clinical trials. Further, there is no assurance that the aforementioned timelines will be met or that such studies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Nutraceutical Products</w:t>
      </w:r>
    </w:p>
    <w:p>
      <w:pPr>
        <w:spacing w:after="0" w:line="22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Subsequent to quarter end, the Company determined that it would not proceed with the Product Line in order to focus its efforts on the research and development progression of psychedelic molecules. As a result, the Company no longer expects to complete its anticipated milestone and is expecting to spend NIL on this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Programs</w:t>
      </w:r>
    </w:p>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worked on a number of fronts to establish an e-Commerce platform to support the education, sales and marketing of potential consumer and prescription mental wellness products, including but not limited to its line of nutraceutical products. The Company has undertaken commissioned market research activities to evaluate the market potential and the steps necessary to establish such a platform, along with commercial discussions with a number of parties that could assist the Company in building and accelerating its path to market. With the decision to no longer pursue with the nutraceutical business segment, the spend has been reduced to NIL.</w:t>
      </w:r>
    </w:p>
    <w:p>
      <w:pPr>
        <w:spacing w:after="0" w:line="19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has begun work on the creation of a Digital Platform. The Digital Platform is envisioned to help patients undergoing psychedelic therapies to memorialize the learning from their treatment sessions and to assist with the integration of such learnings into the patient’s psychotherapy program. Activities have been undertaken to establish the design of a Minimum Viable Product and to identify the necessary key modules and components. Following this first step, the Company intends to undertake activities to support the buildout and preparation for launch of the Digital Platform by the end of calendar 2021. The Company expects to spend $2,600 to complete the establishment and launch of the Digital Platform by the end of calendar 2021.</w:t>
      </w:r>
    </w:p>
    <w:p>
      <w:pPr>
        <w:spacing w:after="0" w:line="164"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Company recently announced an agreement with Kernel that will enable the Company to use Kernel Flow devices to potentially measure neural activity during psychedelic therapy. While the Company previously announced that it delivery was expected in Q2 2021 and studies would commence in the second half of 2021, the Company has since decided to focus on sponsoring studies in the near term. On June 1, 2021, the Company announced its sponsorship of Kernel’s feasibility study of its Kernel Flow technology to measure Ketamine’s psychedelic effect on cerebral cortex hemodynamics. The Company expects to spend $1,825 to undertake clinical studies utilizing these devices by the end of calendar 2022. There is no guarantee that the use of such devices in clinical studies will result in a commercially viable product and there is no assurance that the aforementioned timelines will be met or that such studies will advance to clinical trials, at all.</w:t>
      </w:r>
    </w:p>
    <w:p>
      <w:pPr>
        <w:spacing w:after="0" w:line="19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"Risk Factors" in this MD&amp;A or unforeseen events.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than as described in the AIF and herein, to the knowledge of management, there are no other particular significant events or milestones that must occur for the Company’s initial business objectives in the next 12 months to be accomplished. However, there is no guarantee that the Company will meet its business objectives or milestones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320" w:top="710" w:right="319" w:bottom="1440" w:gutter="0" w:footer="0" w:header="0"/>
        </w:sectPr>
      </w:pPr>
    </w:p>
    <w:bookmarkStart w:id="50" w:name="page51"/>
    <w:bookmarkEnd w:id="50"/>
    <w:p>
      <w:pPr>
        <w:jc w:val="both"/>
        <w:spacing w:after="0" w:line="267" w:lineRule="auto"/>
        <w:rPr>
          <w:sz w:val="20"/>
          <w:szCs w:val="20"/>
          <w:color w:val="auto"/>
        </w:rPr>
      </w:pPr>
      <w:r>
        <w:rPr>
          <w:rFonts w:ascii="Arial" w:cs="Arial" w:eastAsia="Arial" w:hAnsi="Arial"/>
          <w:sz w:val="18"/>
          <w:szCs w:val="18"/>
          <w:color w:val="auto"/>
        </w:rPr>
        <w:t>described above within the specific time periods, within the estimated costs or at all. The Company may, for sound business reasons, reallocate its time or capital resources, or both, differently than as described above.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Cybin has title to eleven provisional patent applications, and four PCT applications including claims directed to compositions of matter and methods of use in support of its research and development and pre-clinical trial programs.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2"/>
                <w:szCs w:val="22"/>
                <w:color w:val="auto"/>
              </w:rPr>
            </w:pPr>
          </w:p>
        </w:tc>
        <w:tc>
          <w:tcPr>
            <w:tcW w:w="2020" w:type="dxa"/>
            <w:vAlign w:val="bottom"/>
            <w:tcBorders>
              <w:top w:val="single" w:sz="8" w:color="auto"/>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6"/>
                <w:szCs w:val="16"/>
                <w:b w:val="1"/>
                <w:bCs w:val="1"/>
                <w:color w:val="auto"/>
                <w:w w:val="95"/>
              </w:rPr>
              <w:t>Patent Application Number</w:t>
            </w:r>
          </w:p>
        </w:tc>
        <w:tc>
          <w:tcPr>
            <w:tcW w:w="1760" w:type="dxa"/>
            <w:vAlign w:val="bottom"/>
            <w:tcBorders>
              <w:top w:val="single" w:sz="8" w:color="auto"/>
              <w:bottom w:val="single" w:sz="8" w:color="BFBFBF"/>
              <w:right w:val="single" w:sz="8" w:color="auto"/>
            </w:tcBorders>
            <w:shd w:val="clear" w:color="auto" w:fill="BFBFBF"/>
          </w:tcPr>
          <w:p>
            <w:pPr>
              <w:ind w:left="140"/>
              <w:spacing w:after="0"/>
              <w:rPr>
                <w:sz w:val="20"/>
                <w:szCs w:val="20"/>
                <w:color w:val="auto"/>
              </w:rPr>
            </w:pPr>
            <w:r>
              <w:rPr>
                <w:rFonts w:ascii="Arial" w:cs="Arial" w:eastAsia="Arial" w:hAnsi="Arial"/>
                <w:sz w:val="16"/>
                <w:szCs w:val="16"/>
                <w:b w:val="1"/>
                <w:bCs w:val="1"/>
                <w:color w:val="auto"/>
              </w:rPr>
              <w:t>Jurisdiction of Filing</w:t>
            </w:r>
          </w:p>
        </w:tc>
        <w:tc>
          <w:tcPr>
            <w:tcW w:w="2020" w:type="dxa"/>
            <w:vAlign w:val="bottom"/>
            <w:tcBorders>
              <w:top w:val="single" w:sz="8" w:color="auto"/>
              <w:bottom w:val="single" w:sz="8" w:color="BFBFBF"/>
              <w:right w:val="single" w:sz="8" w:color="auto"/>
            </w:tcBorders>
            <w:shd w:val="clear" w:color="auto" w:fill="BFBFBF"/>
          </w:tcPr>
          <w:p>
            <w:pPr>
              <w:ind w:left="780"/>
              <w:spacing w:after="0"/>
              <w:rPr>
                <w:sz w:val="20"/>
                <w:szCs w:val="20"/>
                <w:color w:val="auto"/>
              </w:rPr>
            </w:pPr>
            <w:r>
              <w:rPr>
                <w:rFonts w:ascii="Arial" w:cs="Arial" w:eastAsia="Arial" w:hAnsi="Arial"/>
                <w:sz w:val="16"/>
                <w:szCs w:val="16"/>
                <w:b w:val="1"/>
                <w:bCs w:val="1"/>
                <w:color w:val="auto"/>
              </w:rPr>
              <w:t>Status</w:t>
            </w:r>
          </w:p>
        </w:tc>
        <w:tc>
          <w:tcPr>
            <w:tcW w:w="5120" w:type="dxa"/>
            <w:vAlign w:val="bottom"/>
            <w:tcBorders>
              <w:top w:val="single" w:sz="8" w:color="auto"/>
              <w:bottom w:val="single" w:sz="8" w:color="BFBFBF"/>
              <w:right w:val="single" w:sz="8" w:color="auto"/>
            </w:tcBorders>
            <w:shd w:val="clear" w:color="auto" w:fill="BFBFBF"/>
          </w:tcPr>
          <w:p>
            <w:pPr>
              <w:ind w:left="21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1"/>
        </w:trPr>
        <w:tc>
          <w:tcPr>
            <w:tcW w:w="3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w:t>
            </w:r>
          </w:p>
        </w:tc>
        <w:tc>
          <w:tcPr>
            <w:tcW w:w="20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63/114,738</w:t>
            </w:r>
          </w:p>
        </w:tc>
        <w:tc>
          <w:tcPr>
            <w:tcW w:w="1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Deuterated Tryptamine Derivatives (Alfa-d2) and Methods of Use</w:t>
            </w: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63/114,769</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Treatment Protocols for Inhalation Delivery of Psychedelic Medications</w:t>
            </w: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3</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63/131,974</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8"/>
              </w:rPr>
              <w:t>Deuterated and Fluorinated Phenethylamine Derivatives And Methods Of</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51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Use</w:t>
            </w:r>
          </w:p>
        </w:tc>
        <w:tc>
          <w:tcPr>
            <w:tcW w:w="0" w:type="dxa"/>
            <w:vAlign w:val="bottom"/>
          </w:tcPr>
          <w:p>
            <w:pPr>
              <w:spacing w:after="0"/>
              <w:rPr>
                <w:sz w:val="1"/>
                <w:szCs w:val="1"/>
                <w:color w:val="auto"/>
              </w:rPr>
            </w:pPr>
          </w:p>
        </w:tc>
      </w:tr>
      <w:tr>
        <w:trPr>
          <w:trHeight w:val="98"/>
        </w:trPr>
        <w:tc>
          <w:tcPr>
            <w:tcW w:w="320" w:type="dxa"/>
            <w:vAlign w:val="bottom"/>
            <w:tcBorders>
              <w:left w:val="single" w:sz="8" w:color="auto"/>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51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4</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63/137,250</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Deuterated  N-Substituted  Phenethylamine  Serotonin  5-HT2A-Selective</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51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Agonists and Methods of Use</w:t>
            </w:r>
          </w:p>
        </w:tc>
        <w:tc>
          <w:tcPr>
            <w:tcW w:w="0" w:type="dxa"/>
            <w:vAlign w:val="bottom"/>
          </w:tcPr>
          <w:p>
            <w:pPr>
              <w:spacing w:after="0"/>
              <w:rPr>
                <w:sz w:val="1"/>
                <w:szCs w:val="1"/>
                <w:color w:val="auto"/>
              </w:rPr>
            </w:pPr>
          </w:p>
        </w:tc>
      </w:tr>
      <w:tr>
        <w:trPr>
          <w:trHeight w:val="98"/>
        </w:trPr>
        <w:tc>
          <w:tcPr>
            <w:tcW w:w="320" w:type="dxa"/>
            <w:vAlign w:val="bottom"/>
            <w:tcBorders>
              <w:left w:val="single" w:sz="8" w:color="auto"/>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51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63/157,118</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6</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63/162,749</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Salt forms of psilocin</w:t>
            </w: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7</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63/189,449</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Formulations of psilocybin</w:t>
            </w: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8</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PCT/IB2021/054340</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Tryptamine Derivative Compounds and Methods</w:t>
            </w: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63/219,880</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Integrated Data Collection Devices for Use in Psychotherapy</w:t>
            </w: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17/394,038</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Deuterated Tryptamines and Methods of Use</w:t>
            </w: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11</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PCT/EP2021/072898</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Phenethlamine Derivatives, Compositions, and Methods of Use</w:t>
            </w: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PCT/EP2021/072896</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13</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63/241,891</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Combination Drug Therapies</w:t>
            </w: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14</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PCT/EP2021/077057</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Treatment Protocols for Inhalation Delivery of Psychedelic Medications</w:t>
            </w: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15</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63/276,117</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Psilocybin Analog Formulations and Methods of Use</w:t>
            </w: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provisional patent applications cover a wide range of novel psychedelic compounds from different classes including targeted structural modifications to improve the drugs pharmacokinetic characteristics and safety profiles without altering their receptor binding. Novel drug delivery platform claims are expected to enable administration of the psychedelic drugs with faster onset of action, higher bioavailability by way of bypassing liver metabolism and are expect to offer more control for better patient experience and optimized therapeutic outcomes.</w:t>
      </w:r>
    </w:p>
    <w:p>
      <w:pPr>
        <w:spacing w:after="0" w:line="168" w:lineRule="exact"/>
        <w:rPr>
          <w:sz w:val="20"/>
          <w:szCs w:val="20"/>
          <w:color w:val="auto"/>
        </w:rPr>
      </w:pPr>
    </w:p>
    <w:p>
      <w:pPr>
        <w:jc w:val="both"/>
        <w:ind w:right="20"/>
        <w:spacing w:after="0" w:line="297" w:lineRule="auto"/>
        <w:rPr>
          <w:sz w:val="20"/>
          <w:szCs w:val="20"/>
          <w:color w:val="auto"/>
        </w:rPr>
      </w:pPr>
      <w:r>
        <w:rPr>
          <w:rFonts w:ascii="Arial" w:cs="Arial" w:eastAsia="Arial" w:hAnsi="Arial"/>
          <w:sz w:val="17"/>
          <w:szCs w:val="17"/>
          <w:color w:val="auto"/>
        </w:rPr>
        <w:t>Cybin has also filed applications for registration of twenty trademarks, including Changing Minds™, Cybin™, Cybin Therapeutics™, Embark™, It’s not magic. It’s mushrooms™, It's not magic, its science™, Journey™, Mushroom &amp; Friends™, Psilotonin™ and Psychedelics to Therapeutics™.</w:t>
      </w:r>
    </w:p>
    <w:p>
      <w:pPr>
        <w:spacing w:after="0" w:line="128"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spacing w:after="0" w:line="168" w:lineRule="exact"/>
        <w:rPr>
          <w:sz w:val="20"/>
          <w:szCs w:val="20"/>
          <w:color w:val="auto"/>
        </w:rPr>
      </w:pPr>
    </w:p>
    <w:p>
      <w:pPr>
        <w:jc w:val="both"/>
        <w:ind w:right="20"/>
        <w:spacing w:after="0" w:line="297" w:lineRule="auto"/>
        <w:rPr>
          <w:sz w:val="20"/>
          <w:szCs w:val="20"/>
          <w:color w:val="auto"/>
        </w:rPr>
      </w:pPr>
      <w:r>
        <w:rPr>
          <w:rFonts w:ascii="Arial" w:cs="Arial" w:eastAsia="Arial" w:hAnsi="Arial"/>
          <w:sz w:val="17"/>
          <w:szCs w:val="17"/>
          <w:color w:val="auto"/>
        </w:rPr>
        <w:t>On July 8, 2021, the Company announced its scaling up of its European operations though its recently formed wholly owned Ireland subsidiary, Cybin Ireland. In connection with the formation of Cybin Ireland, the Company transferred its intellectual property assets to this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320" w:top="710" w:right="319" w:bottom="1440" w:gutter="0" w:footer="0" w:header="0"/>
        </w:sectPr>
      </w:pPr>
    </w:p>
    <w:bookmarkStart w:id="51" w:name="page52"/>
    <w:bookmarkEnd w:id="51"/>
    <w:p>
      <w:pPr>
        <w:ind w:left="2"/>
        <w:spacing w:after="0"/>
        <w:rPr>
          <w:sz w:val="20"/>
          <w:szCs w:val="20"/>
          <w:color w:val="auto"/>
        </w:rPr>
      </w:pPr>
      <w:r>
        <w:rPr>
          <w:rFonts w:ascii="Arial" w:cs="Arial" w:eastAsia="Arial" w:hAnsi="Arial"/>
          <w:sz w:val="18"/>
          <w:szCs w:val="18"/>
          <w:b w:val="1"/>
          <w:bCs w:val="1"/>
          <w:i w:val="1"/>
          <w:iCs w:val="1"/>
          <w:color w:val="auto"/>
        </w:rPr>
        <w:t>Regulatory Framework and Licensing Regime</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Canada</w:t>
      </w:r>
    </w:p>
    <w:p>
      <w:pPr>
        <w:spacing w:after="0" w:line="233" w:lineRule="exact"/>
        <w:rPr>
          <w:sz w:val="20"/>
          <w:szCs w:val="20"/>
          <w:color w:val="auto"/>
        </w:rPr>
      </w:pPr>
    </w:p>
    <w:p>
      <w:pPr>
        <w:jc w:val="both"/>
        <w:ind w:left="2"/>
        <w:spacing w:after="0" w:line="246" w:lineRule="auto"/>
        <w:rPr>
          <w:sz w:val="20"/>
          <w:szCs w:val="20"/>
          <w:color w:val="auto"/>
        </w:rPr>
      </w:pPr>
      <w:r>
        <w:rPr>
          <w:rFonts w:ascii="Arial" w:cs="Arial" w:eastAsia="Arial" w:hAnsi="Arial"/>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70" w:lineRule="exact"/>
        <w:rPr>
          <w:sz w:val="20"/>
          <w:szCs w:val="20"/>
          <w:color w:val="auto"/>
        </w:rPr>
      </w:pPr>
    </w:p>
    <w:p>
      <w:pPr>
        <w:jc w:val="both"/>
        <w:ind w:left="2" w:right="20"/>
        <w:spacing w:after="0" w:line="247" w:lineRule="auto"/>
        <w:rPr>
          <w:sz w:val="20"/>
          <w:szCs w:val="20"/>
          <w:color w:val="auto"/>
        </w:rPr>
      </w:pPr>
      <w:r>
        <w:rPr>
          <w:rFonts w:ascii="Arial" w:cs="Arial" w:eastAsia="Arial" w:hAnsi="Arial"/>
          <w:sz w:val="18"/>
          <w:szCs w:val="18"/>
          <w:color w:val="auto"/>
        </w:rPr>
        <w:t xml:space="preserve">Certain psychoactive compounds, such as psilocybin, are considered controlled substances under Schedule III of the </w:t>
      </w:r>
      <w:r>
        <w:rPr>
          <w:rFonts w:ascii="Arial" w:cs="Arial" w:eastAsia="Arial" w:hAnsi="Arial"/>
          <w:sz w:val="18"/>
          <w:szCs w:val="18"/>
          <w:i w:val="1"/>
          <w:iCs w:val="1"/>
          <w:color w:val="auto"/>
        </w:rPr>
        <w:t>Controlled Drugs and Substances Act</w:t>
      </w:r>
      <w:r>
        <w:rPr>
          <w:rFonts w:ascii="Arial" w:cs="Arial" w:eastAsia="Arial" w:hAnsi="Arial"/>
          <w:sz w:val="18"/>
          <w:szCs w:val="18"/>
          <w:color w:val="auto"/>
        </w:rPr>
        <w:t xml:space="preserve"> (Canada) (the “</w:t>
      </w:r>
      <w:r>
        <w:rPr>
          <w:rFonts w:ascii="Arial" w:cs="Arial" w:eastAsia="Arial" w:hAnsi="Arial"/>
          <w:sz w:val="18"/>
          <w:szCs w:val="18"/>
          <w:b w:val="1"/>
          <w:bCs w:val="1"/>
          <w:color w:val="auto"/>
        </w:rPr>
        <w:t>CDSA</w:t>
      </w:r>
      <w:r>
        <w:rPr>
          <w:rFonts w:ascii="Arial" w:cs="Arial" w:eastAsia="Arial" w:hAnsi="Arial"/>
          <w:sz w:val="18"/>
          <w:szCs w:val="18"/>
          <w:color w:val="auto"/>
        </w:rPr>
        <w:t>”). In order to conduct any scientific research, including pre-clinical and clinical trials, using psychoactive compounds listed as controlled substances under the CDSA, an exemption under Section 56 of the CDSA (“</w:t>
      </w:r>
      <w:r>
        <w:rPr>
          <w:rFonts w:ascii="Arial" w:cs="Arial" w:eastAsia="Arial" w:hAnsi="Arial"/>
          <w:sz w:val="18"/>
          <w:szCs w:val="18"/>
          <w:b w:val="1"/>
          <w:bCs w:val="1"/>
          <w:color w:val="auto"/>
        </w:rPr>
        <w:t>Section 56 Exemption</w:t>
      </w:r>
      <w:r>
        <w:rPr>
          <w:rFonts w:ascii="Arial" w:cs="Arial" w:eastAsia="Arial" w:hAnsi="Arial"/>
          <w:sz w:val="18"/>
          <w:szCs w:val="18"/>
          <w:color w:val="auto"/>
        </w:rPr>
        <w:t>”) is required. This exemption allows the holder to possess and use the controlled substance without being subject to the restrictions set out in the CDSA. The Company has not applied for a Section 56 Exemption from Health Canada.</w:t>
      </w:r>
    </w:p>
    <w:p>
      <w:pPr>
        <w:spacing w:after="0" w:line="170" w:lineRule="exact"/>
        <w:rPr>
          <w:sz w:val="20"/>
          <w:szCs w:val="20"/>
          <w:color w:val="auto"/>
        </w:rPr>
      </w:pPr>
    </w:p>
    <w:p>
      <w:pPr>
        <w:jc w:val="both"/>
        <w:ind w:left="2" w:right="20"/>
        <w:spacing w:after="0" w:line="260" w:lineRule="auto"/>
        <w:rPr>
          <w:sz w:val="20"/>
          <w:szCs w:val="20"/>
          <w:color w:val="auto"/>
        </w:rPr>
      </w:pPr>
      <w:r>
        <w:rPr>
          <w:rFonts w:ascii="Arial" w:cs="Arial" w:eastAsia="Arial" w:hAnsi="Arial"/>
          <w:sz w:val="17"/>
          <w:szCs w:val="17"/>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w:t>
      </w:r>
      <w:r>
        <w:rPr>
          <w:rFonts w:ascii="Arial" w:cs="Arial" w:eastAsia="Arial" w:hAnsi="Arial"/>
          <w:sz w:val="17"/>
          <w:szCs w:val="17"/>
          <w:i w:val="1"/>
          <w:iCs w:val="1"/>
          <w:color w:val="auto"/>
        </w:rPr>
        <w:t>Controlled Drugs and Substances</w:t>
      </w:r>
      <w:r>
        <w:rPr>
          <w:rFonts w:ascii="Arial" w:cs="Arial" w:eastAsia="Arial" w:hAnsi="Arial"/>
          <w:sz w:val="17"/>
          <w:szCs w:val="17"/>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w:t>
      </w:r>
      <w:r>
        <w:rPr>
          <w:rFonts w:ascii="Arial" w:cs="Arial" w:eastAsia="Arial" w:hAnsi="Arial"/>
          <w:sz w:val="17"/>
          <w:szCs w:val="17"/>
          <w:i w:val="1"/>
          <w:iCs w:val="1"/>
          <w:color w:val="auto"/>
        </w:rPr>
        <w:t xml:space="preserve"> Food and Drugs Regulations</w:t>
      </w:r>
      <w:r>
        <w:rPr>
          <w:rFonts w:ascii="Arial" w:cs="Arial" w:eastAsia="Arial" w:hAnsi="Arial"/>
          <w:sz w:val="17"/>
          <w:szCs w:val="17"/>
          <w:color w:val="auto"/>
        </w:rPr>
        <w:t>) and subject to any restrictions placed on the licence by Health Canada, an entity with a Dealer’s Licence may produce,</w:t>
      </w:r>
      <w:r>
        <w:rPr>
          <w:rFonts w:ascii="Arial" w:cs="Arial" w:eastAsia="Arial" w:hAnsi="Arial"/>
          <w:sz w:val="17"/>
          <w:szCs w:val="17"/>
          <w:i w:val="1"/>
          <w:iCs w:val="1"/>
          <w:color w:val="auto"/>
        </w:rPr>
        <w:t xml:space="preserve"> </w:t>
      </w:r>
      <w:r>
        <w:rPr>
          <w:rFonts w:ascii="Arial" w:cs="Arial" w:eastAsia="Arial" w:hAnsi="Arial"/>
          <w:sz w:val="17"/>
          <w:szCs w:val="17"/>
          <w:color w:val="auto"/>
        </w:rPr>
        <w:t>assemble, sell, provide, transport, send, deliver, import or export a restricted drug (as listed in Part J in the Food and Drugs Regulations – which includes psilocybin and psilocin) (see s. J.01.009 (1) of the Food and Drug Regulations).</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Company intends to sponsor and work with licensed third parties to conduct any clinical trials and research and does not handle controlled substances.</w:t>
      </w:r>
    </w:p>
    <w:p>
      <w:pPr>
        <w:spacing w:after="0" w:line="40" w:lineRule="exact"/>
        <w:rPr>
          <w:sz w:val="20"/>
          <w:szCs w:val="20"/>
          <w:color w:val="auto"/>
        </w:rPr>
      </w:pPr>
    </w:p>
    <w:p>
      <w:pPr>
        <w:ind w:left="2"/>
        <w:spacing w:after="0"/>
        <w:rPr>
          <w:sz w:val="20"/>
          <w:szCs w:val="20"/>
          <w:color w:val="auto"/>
        </w:rPr>
      </w:pPr>
      <w:r>
        <w:rPr>
          <w:rFonts w:ascii="Arial" w:cs="Arial" w:eastAsia="Arial" w:hAnsi="Arial"/>
          <w:sz w:val="16"/>
          <w:szCs w:val="16"/>
          <w:color w:val="auto"/>
        </w:rPr>
        <w:t>If the Company were to conduct this work without the reliance on third parties, it would need to obtain additional licences and approvals described above.</w:t>
      </w:r>
    </w:p>
    <w:p>
      <w:pPr>
        <w:spacing w:after="0" w:line="204"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United States</w:t>
      </w:r>
    </w:p>
    <w:p>
      <w:pPr>
        <w:spacing w:after="0" w:line="184" w:lineRule="exact"/>
        <w:rPr>
          <w:sz w:val="20"/>
          <w:szCs w:val="20"/>
          <w:color w:val="auto"/>
        </w:rPr>
      </w:pPr>
    </w:p>
    <w:p>
      <w:pPr>
        <w:jc w:val="both"/>
        <w:ind w:left="2" w:right="20"/>
        <w:spacing w:after="0" w:line="237" w:lineRule="auto"/>
        <w:rPr>
          <w:sz w:val="20"/>
          <w:szCs w:val="20"/>
          <w:color w:val="auto"/>
        </w:rPr>
      </w:pPr>
      <w:r>
        <w:rPr>
          <w:rFonts w:ascii="Arial" w:cs="Arial" w:eastAsia="Arial" w:hAnsi="Arial"/>
          <w:sz w:val="16"/>
          <w:szCs w:val="16"/>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related to Deuterated Psilocybin Analog Program upon completion of its pre-clinical studies and CMC development</w:t>
      </w:r>
      <w:r>
        <w:rPr>
          <w:rFonts w:ascii="Arial" w:cs="Arial" w:eastAsia="Arial" w:hAnsi="Arial"/>
          <w:sz w:val="21"/>
          <w:szCs w:val="21"/>
          <w:color w:val="auto"/>
          <w:vertAlign w:val="superscript"/>
        </w:rPr>
        <w:t>18</w:t>
      </w:r>
      <w:r>
        <w:rPr>
          <w:rFonts w:ascii="Arial" w:cs="Arial" w:eastAsia="Arial" w:hAnsi="Arial"/>
          <w:sz w:val="16"/>
          <w:szCs w:val="16"/>
          <w:color w:val="auto"/>
        </w:rPr>
        <w:t>. Anticipated timelines related to regulatory filings are based on reasonable assumptions informed by current knowledge and information available to the Company.</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16"/>
          <w:szCs w:val="16"/>
          <w:color w:val="auto"/>
        </w:rPr>
        <w:t>Psilocybin, psilocin, dimethyltryptamine, and 5-Methoxy-N-N-dimethyltryptamine are strictly controlled under the Controlled Substances Act (21 U.S.C. §</w:t>
      </w:r>
    </w:p>
    <w:p>
      <w:pPr>
        <w:spacing w:after="0" w:line="40" w:lineRule="exact"/>
        <w:rPr>
          <w:sz w:val="20"/>
          <w:szCs w:val="20"/>
          <w:color w:val="auto"/>
        </w:rPr>
      </w:pPr>
    </w:p>
    <w:p>
      <w:pPr>
        <w:ind w:left="2" w:right="20" w:hanging="2"/>
        <w:spacing w:after="0" w:line="248" w:lineRule="auto"/>
        <w:tabs>
          <w:tab w:leader="none" w:pos="39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“CSA”) as Schedule I substances. Schedule I substances by definition have no currently accepted medical use in the United States, a lack of accepted safety for use under medical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5532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54" w:lineRule="exact"/>
        <w:rPr>
          <w:sz w:val="20"/>
          <w:szCs w:val="20"/>
          <w:color w:val="auto"/>
        </w:rPr>
      </w:pPr>
    </w:p>
    <w:p>
      <w:pPr>
        <w:jc w:val="both"/>
        <w:ind w:left="2" w:right="20" w:hanging="2"/>
        <w:spacing w:after="0" w:line="247" w:lineRule="auto"/>
        <w:tabs>
          <w:tab w:leader="none" w:pos="154"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4"/>
          <w:szCs w:val="14"/>
          <w:i w:val="1"/>
          <w:iCs w:val="1"/>
          <w:color w:val="auto"/>
        </w:rPr>
        <w:t>Risk Factors”.</w:t>
      </w:r>
    </w:p>
    <w:p>
      <w:pPr>
        <w:spacing w:after="0" w:line="200" w:lineRule="exact"/>
        <w:rPr>
          <w:sz w:val="20"/>
          <w:szCs w:val="20"/>
          <w:color w:val="auto"/>
        </w:rPr>
      </w:pPr>
    </w:p>
    <w:p>
      <w:pPr>
        <w:spacing w:after="0" w:line="34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2"/>
          </w:cols>
          <w:pgMar w:left="318" w:top="710" w:right="319" w:bottom="1440" w:gutter="0" w:footer="0" w:header="0"/>
        </w:sectPr>
      </w:pPr>
    </w:p>
    <w:bookmarkStart w:id="52" w:name="page53"/>
    <w:bookmarkEnd w:id="52"/>
    <w:p>
      <w:pPr>
        <w:jc w:val="both"/>
        <w:ind w:left="2"/>
        <w:spacing w:after="0" w:line="283" w:lineRule="auto"/>
        <w:rPr>
          <w:sz w:val="20"/>
          <w:szCs w:val="20"/>
          <w:color w:val="auto"/>
        </w:rPr>
      </w:pPr>
      <w:r>
        <w:rPr>
          <w:rFonts w:ascii="Arial" w:cs="Arial" w:eastAsia="Arial" w:hAnsi="Arial"/>
          <w:sz w:val="16"/>
          <w:szCs w:val="16"/>
          <w:color w:val="auto"/>
        </w:rPr>
        <w:t>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U.S. Drug Enforcement Administration (the “</w:t>
      </w:r>
      <w:r>
        <w:rPr>
          <w:rFonts w:ascii="Arial" w:cs="Arial" w:eastAsia="Arial" w:hAnsi="Arial"/>
          <w:sz w:val="16"/>
          <w:szCs w:val="16"/>
          <w:b w:val="1"/>
          <w:bCs w:val="1"/>
          <w:color w:val="auto"/>
        </w:rPr>
        <w:t>DEA</w:t>
      </w:r>
      <w:r>
        <w:rPr>
          <w:rFonts w:ascii="Arial" w:cs="Arial" w:eastAsia="Arial" w:hAnsi="Arial"/>
          <w:sz w:val="16"/>
          <w:szCs w:val="16"/>
          <w:color w:val="auto"/>
        </w:rPr>
        <w:t>”), and obtain DEA approval of the research proposal. A majority of state laws in the United States also classify psilocybin and psilocin as Schedule I controlled substances. For any product containing psilocybin to be available for commercial marketing in the United States, psilocybin and psilocin must be rescheduled, or the product itself must be scheduled, by the DEA to Schedule II, III, IV or V. Scheduling determinations by the DEA are dependent on FDA approval of a substance or a specific formulation of a substance.</w:t>
      </w:r>
    </w:p>
    <w:p>
      <w:pPr>
        <w:spacing w:after="0" w:line="142"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Jamaica</w:t>
      </w:r>
    </w:p>
    <w:p>
      <w:pPr>
        <w:spacing w:after="0" w:line="197" w:lineRule="exact"/>
        <w:rPr>
          <w:sz w:val="20"/>
          <w:szCs w:val="20"/>
          <w:color w:val="auto"/>
        </w:rPr>
      </w:pPr>
    </w:p>
    <w:p>
      <w:pPr>
        <w:jc w:val="both"/>
        <w:ind w:left="2"/>
        <w:spacing w:after="0" w:line="297" w:lineRule="auto"/>
        <w:rPr>
          <w:sz w:val="20"/>
          <w:szCs w:val="20"/>
          <w:color w:val="auto"/>
        </w:rPr>
      </w:pPr>
      <w:r>
        <w:rPr>
          <w:rFonts w:ascii="Arial" w:cs="Arial" w:eastAsia="Arial" w:hAnsi="Arial"/>
          <w:sz w:val="17"/>
          <w:szCs w:val="17"/>
          <w:color w:val="auto"/>
        </w:rPr>
        <w:t>The Company previously disclosed supporting clinical trials in Jamaica. Due to the new Deuterated Psilocybin Analog Program, the Company no longer anticipates to conduct any business activities in Jamaica. The Company intends to complete future clinical trials in the U.S. and the UK.</w:t>
      </w:r>
    </w:p>
    <w:p>
      <w:pPr>
        <w:spacing w:after="0" w:line="128"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United Kingdom</w:t>
      </w:r>
    </w:p>
    <w:p>
      <w:pPr>
        <w:spacing w:after="0" w:line="197"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58" w:lineRule="exact"/>
        <w:rPr>
          <w:sz w:val="20"/>
          <w:szCs w:val="20"/>
          <w:color w:val="auto"/>
        </w:rPr>
      </w:pPr>
    </w:p>
    <w:p>
      <w:pPr>
        <w:jc w:val="both"/>
        <w:ind w:left="2"/>
        <w:spacing w:after="0" w:line="256" w:lineRule="auto"/>
        <w:rPr>
          <w:sz w:val="20"/>
          <w:szCs w:val="20"/>
          <w:color w:val="auto"/>
        </w:rPr>
      </w:pPr>
      <w:r>
        <w:rPr>
          <w:rFonts w:ascii="Arial" w:cs="Arial" w:eastAsia="Arial" w:hAnsi="Arial"/>
          <w:sz w:val="18"/>
          <w:szCs w:val="18"/>
          <w:color w:val="auto"/>
        </w:rPr>
        <w:t>The main UK controlled drugs legislation is the Misuse of Drugs Act 1971 (the “</w:t>
      </w:r>
      <w:r>
        <w:rPr>
          <w:rFonts w:ascii="Arial" w:cs="Arial" w:eastAsia="Arial" w:hAnsi="Arial"/>
          <w:sz w:val="18"/>
          <w:szCs w:val="18"/>
          <w:b w:val="1"/>
          <w:bCs w:val="1"/>
          <w:color w:val="auto"/>
        </w:rPr>
        <w:t>MDA</w:t>
      </w:r>
      <w:r>
        <w:rPr>
          <w:rFonts w:ascii="Arial" w:cs="Arial" w:eastAsia="Arial" w:hAnsi="Arial"/>
          <w:sz w:val="18"/>
          <w:szCs w:val="18"/>
          <w:color w:val="auto"/>
        </w:rPr>
        <w:t>”) and the Misuse of Drugs Regulations 2001 (the “</w:t>
      </w:r>
      <w:r>
        <w:rPr>
          <w:rFonts w:ascii="Arial" w:cs="Arial" w:eastAsia="Arial" w:hAnsi="Arial"/>
          <w:sz w:val="18"/>
          <w:szCs w:val="18"/>
          <w:b w:val="1"/>
          <w:bCs w:val="1"/>
          <w:color w:val="auto"/>
        </w:rPr>
        <w:t>MDR</w:t>
      </w:r>
      <w:r>
        <w:rPr>
          <w:rFonts w:ascii="Arial" w:cs="Arial" w:eastAsia="Arial" w:hAnsi="Arial"/>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61"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62"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162" w:lineRule="exact"/>
        <w:rPr>
          <w:sz w:val="20"/>
          <w:szCs w:val="20"/>
          <w:color w:val="auto"/>
        </w:rPr>
      </w:pPr>
    </w:p>
    <w:p>
      <w:pPr>
        <w:jc w:val="both"/>
        <w:ind w:left="2"/>
        <w:spacing w:after="0" w:line="228" w:lineRule="auto"/>
        <w:rPr>
          <w:sz w:val="20"/>
          <w:szCs w:val="20"/>
          <w:color w:val="auto"/>
        </w:rPr>
      </w:pPr>
      <w:r>
        <w:rPr>
          <w:rFonts w:ascii="Arial" w:cs="Arial" w:eastAsia="Arial" w:hAnsi="Arial"/>
          <w:sz w:val="18"/>
          <w:szCs w:val="18"/>
          <w:color w:val="auto"/>
        </w:rPr>
        <w:t>The Company intends to file an clinical trial application with the MHRA related to the Deuterated Psilocybin Analog Program upon completion of its pre-clinical studies and CMC development</w:t>
      </w:r>
      <w:r>
        <w:rPr>
          <w:rFonts w:ascii="Arial" w:cs="Arial" w:eastAsia="Arial" w:hAnsi="Arial"/>
          <w:sz w:val="23"/>
          <w:szCs w:val="23"/>
          <w:color w:val="auto"/>
          <w:vertAlign w:val="superscript"/>
        </w:rPr>
        <w:t>19</w:t>
      </w:r>
      <w:r>
        <w:rPr>
          <w:rFonts w:ascii="Arial" w:cs="Arial" w:eastAsia="Arial" w:hAnsi="Arial"/>
          <w:sz w:val="18"/>
          <w:szCs w:val="18"/>
          <w:color w:val="auto"/>
        </w:rPr>
        <w:t>. Anticipated timelines related to regulatory filings are based on reasonable assumptions informed by current knowledge and information available to the Company.</w:t>
      </w:r>
    </w:p>
    <w:p>
      <w:pPr>
        <w:spacing w:after="0" w:line="199"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Licensing Requirements</w:t>
      </w:r>
    </w:p>
    <w:p>
      <w:pPr>
        <w:spacing w:after="0" w:line="197"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The Company obtains API from the pharmaceutical ingredient provider who is based in the United States. The API itself is expected to be manufactured and packaged in FDA-registered facilities in the United Kingdom. The API is expected to be sent directly to the Company’s partners for research and development purposes in the United States, Canada and the UK.</w:t>
      </w:r>
    </w:p>
    <w:p>
      <w:pPr>
        <w:spacing w:after="0" w:line="162"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5532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49" w:lineRule="exact"/>
        <w:rPr>
          <w:sz w:val="20"/>
          <w:szCs w:val="20"/>
          <w:color w:val="auto"/>
        </w:rPr>
      </w:pPr>
    </w:p>
    <w:p>
      <w:pPr>
        <w:jc w:val="both"/>
        <w:ind w:left="2" w:hanging="2"/>
        <w:spacing w:after="0" w:line="247" w:lineRule="auto"/>
        <w:tabs>
          <w:tab w:leader="none" w:pos="154"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4"/>
          <w:szCs w:val="14"/>
          <w:i w:val="1"/>
          <w:iCs w:val="1"/>
          <w:color w:val="auto"/>
        </w:rPr>
        <w:t>Risk Factors”.</w:t>
      </w:r>
    </w:p>
    <w:p>
      <w:pPr>
        <w:spacing w:after="0" w:line="200" w:lineRule="exact"/>
        <w:rPr>
          <w:sz w:val="20"/>
          <w:szCs w:val="20"/>
          <w:color w:val="auto"/>
        </w:rPr>
      </w:pPr>
    </w:p>
    <w:p>
      <w:pPr>
        <w:spacing w:after="0" w:line="35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2"/>
          </w:cols>
          <w:pgMar w:left="318" w:top="710" w:right="339" w:bottom="1440" w:gutter="0" w:footer="0" w:header="0"/>
        </w:sectPr>
      </w:pPr>
    </w:p>
    <w:bookmarkStart w:id="53" w:name="page54"/>
    <w:bookmarkEnd w:id="53"/>
    <w:p>
      <w:pPr>
        <w:jc w:val="both"/>
        <w:ind w:left="2" w:right="100"/>
        <w:spacing w:after="0" w:line="249" w:lineRule="auto"/>
        <w:rPr>
          <w:sz w:val="20"/>
          <w:szCs w:val="20"/>
          <w:color w:val="auto"/>
        </w:rPr>
      </w:pPr>
      <w:r>
        <w:rPr>
          <w:rFonts w:ascii="Arial" w:cs="Arial" w:eastAsia="Arial" w:hAnsi="Arial"/>
          <w:sz w:val="18"/>
          <w:szCs w:val="18"/>
          <w:color w:val="auto"/>
        </w:rPr>
        <w:t>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68" w:lineRule="exact"/>
        <w:rPr>
          <w:sz w:val="20"/>
          <w:szCs w:val="20"/>
          <w:color w:val="auto"/>
        </w:rPr>
      </w:pPr>
    </w:p>
    <w:p>
      <w:pPr>
        <w:jc w:val="both"/>
        <w:ind w:left="2" w:right="100"/>
        <w:spacing w:after="0" w:line="277" w:lineRule="auto"/>
        <w:rPr>
          <w:sz w:val="20"/>
          <w:szCs w:val="20"/>
          <w:color w:val="auto"/>
        </w:rPr>
      </w:pPr>
      <w:r>
        <w:rPr>
          <w:rFonts w:ascii="Arial" w:cs="Arial" w:eastAsia="Arial" w:hAnsi="Arial"/>
          <w:sz w:val="18"/>
          <w:szCs w:val="18"/>
          <w:color w:val="auto"/>
        </w:rPr>
        <w:t>All premises that are licensed in connection with the possession, supply, manufacture and/or production of controlled drugs are required to adhere to detailed security standards.</w:t>
      </w:r>
      <w:r>
        <w:rPr>
          <w:rFonts w:ascii="Arial" w:cs="Arial" w:eastAsia="Arial" w:hAnsi="Arial"/>
          <w:sz w:val="23"/>
          <w:szCs w:val="23"/>
          <w:color w:val="auto"/>
          <w:vertAlign w:val="superscript"/>
        </w:rPr>
        <w:t>20</w:t>
      </w:r>
    </w:p>
    <w:p>
      <w:pPr>
        <w:spacing w:after="0" w:line="67" w:lineRule="exact"/>
        <w:rPr>
          <w:sz w:val="20"/>
          <w:szCs w:val="20"/>
          <w:color w:val="auto"/>
        </w:rPr>
      </w:pPr>
    </w:p>
    <w:p>
      <w:pPr>
        <w:jc w:val="both"/>
        <w:ind w:left="2" w:right="100"/>
        <w:spacing w:after="0" w:line="268" w:lineRule="auto"/>
        <w:rPr>
          <w:sz w:val="20"/>
          <w:szCs w:val="20"/>
          <w:color w:val="auto"/>
        </w:rPr>
      </w:pPr>
      <w:r>
        <w:rPr>
          <w:rFonts w:ascii="Arial" w:cs="Arial" w:eastAsia="Arial" w:hAnsi="Arial"/>
          <w:sz w:val="17"/>
          <w:szCs w:val="17"/>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Arial" w:cs="Arial" w:eastAsia="Arial" w:hAnsi="Arial"/>
          <w:sz w:val="22"/>
          <w:szCs w:val="22"/>
          <w:color w:val="auto"/>
          <w:vertAlign w:val="superscript"/>
        </w:rPr>
        <w:t>21</w:t>
      </w:r>
    </w:p>
    <w:p>
      <w:pPr>
        <w:spacing w:after="0" w:line="80"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Pharmaceutical Products</w:t>
      </w:r>
    </w:p>
    <w:p>
      <w:pPr>
        <w:spacing w:after="0" w:line="197" w:lineRule="exact"/>
        <w:rPr>
          <w:sz w:val="20"/>
          <w:szCs w:val="20"/>
          <w:color w:val="auto"/>
        </w:rPr>
      </w:pPr>
    </w:p>
    <w:p>
      <w:pPr>
        <w:jc w:val="both"/>
        <w:ind w:left="2" w:right="100"/>
        <w:spacing w:after="0" w:line="254" w:lineRule="auto"/>
        <w:rPr>
          <w:sz w:val="20"/>
          <w:szCs w:val="20"/>
          <w:color w:val="auto"/>
        </w:rPr>
      </w:pPr>
      <w:r>
        <w:rPr>
          <w:rFonts w:ascii="Arial" w:cs="Arial" w:eastAsia="Arial" w:hAnsi="Arial"/>
          <w:sz w:val="18"/>
          <w:szCs w:val="18"/>
          <w:color w:val="auto"/>
        </w:rPr>
        <w:t>Products are regulated as “medicinal products” under UK legislation (the Human Medicines Regulations 2012) if (i) they are presented as a substance or combination of substances having properties for treating or preventing disease in human beings having a medicinal effect (e.g., in marketing claims) or (ii) have a medicinal effect (i.e., even if no claims are made about the product).</w:t>
      </w:r>
    </w:p>
    <w:p>
      <w:pPr>
        <w:spacing w:after="0" w:line="162" w:lineRule="exact"/>
        <w:rPr>
          <w:sz w:val="20"/>
          <w:szCs w:val="20"/>
          <w:color w:val="auto"/>
        </w:rPr>
      </w:pPr>
    </w:p>
    <w:p>
      <w:pPr>
        <w:jc w:val="both"/>
        <w:ind w:left="2" w:right="100"/>
        <w:spacing w:after="0" w:line="254" w:lineRule="auto"/>
        <w:rPr>
          <w:sz w:val="20"/>
          <w:szCs w:val="20"/>
          <w:color w:val="auto"/>
        </w:rPr>
      </w:pPr>
      <w:r>
        <w:rPr>
          <w:rFonts w:ascii="Arial" w:cs="Arial" w:eastAsia="Arial" w:hAnsi="Arial"/>
          <w:sz w:val="18"/>
          <w:szCs w:val="18"/>
          <w:color w:val="auto"/>
        </w:rPr>
        <w:t>A product has a “medicinal effect” if it has a pharmacological, immunological or metabolic effect on the body that restores, corrects or modifies a physiological function. Whether this is the case for a specific product will depend on factors such as the concentration of the psilocybin/psilocin and the mode of action of any psilocybin/psilocin absorbed in the body.</w:t>
      </w:r>
    </w:p>
    <w:p>
      <w:pPr>
        <w:spacing w:after="0" w:line="162" w:lineRule="exact"/>
        <w:rPr>
          <w:sz w:val="20"/>
          <w:szCs w:val="20"/>
          <w:color w:val="auto"/>
        </w:rPr>
      </w:pPr>
    </w:p>
    <w:p>
      <w:pPr>
        <w:jc w:val="both"/>
        <w:ind w:left="2" w:right="80"/>
        <w:spacing w:after="0" w:line="247" w:lineRule="auto"/>
        <w:rPr>
          <w:sz w:val="20"/>
          <w:szCs w:val="20"/>
          <w:color w:val="auto"/>
        </w:rPr>
      </w:pPr>
      <w:r>
        <w:rPr>
          <w:rFonts w:ascii="Arial" w:cs="Arial" w:eastAsia="Arial" w:hAnsi="Arial"/>
          <w:sz w:val="18"/>
          <w:szCs w:val="18"/>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w:t>
      </w:r>
      <w:r>
        <w:rPr>
          <w:rFonts w:ascii="Arial" w:cs="Arial" w:eastAsia="Arial" w:hAnsi="Arial"/>
          <w:sz w:val="18"/>
          <w:szCs w:val="18"/>
          <w:b w:val="1"/>
          <w:bCs w:val="1"/>
          <w:color w:val="auto"/>
        </w:rPr>
        <w:t>GMP</w:t>
      </w:r>
      <w:r>
        <w:rPr>
          <w:rFonts w:ascii="Arial" w:cs="Arial" w:eastAsia="Arial" w:hAnsi="Arial"/>
          <w:sz w:val="18"/>
          <w:szCs w:val="18"/>
          <w:color w:val="auto"/>
        </w:rPr>
        <w:t>”)) and/or Good Distribution Practice ("</w:t>
      </w:r>
      <w:r>
        <w:rPr>
          <w:rFonts w:ascii="Arial" w:cs="Arial" w:eastAsia="Arial" w:hAnsi="Arial"/>
          <w:sz w:val="18"/>
          <w:szCs w:val="18"/>
          <w:b w:val="1"/>
          <w:bCs w:val="1"/>
          <w:color w:val="auto"/>
        </w:rPr>
        <w:t>GDP</w:t>
      </w:r>
      <w:r>
        <w:rPr>
          <w:rFonts w:ascii="Arial" w:cs="Arial" w:eastAsia="Arial" w:hAnsi="Arial"/>
          <w:sz w:val="18"/>
          <w:szCs w:val="18"/>
          <w:color w:val="auto"/>
        </w:rPr>
        <w:t>") and to hold a related licence from the MHRA.</w:t>
      </w:r>
    </w:p>
    <w:p>
      <w:pPr>
        <w:spacing w:after="0" w:line="170" w:lineRule="exact"/>
        <w:rPr>
          <w:sz w:val="20"/>
          <w:szCs w:val="20"/>
          <w:color w:val="auto"/>
        </w:rPr>
      </w:pPr>
    </w:p>
    <w:p>
      <w:pPr>
        <w:jc w:val="both"/>
        <w:ind w:left="2" w:right="80"/>
        <w:spacing w:after="0" w:line="254" w:lineRule="auto"/>
        <w:rPr>
          <w:sz w:val="20"/>
          <w:szCs w:val="20"/>
          <w:color w:val="auto"/>
        </w:rPr>
      </w:pPr>
      <w:r>
        <w:rPr>
          <w:rFonts w:ascii="Arial" w:cs="Arial" w:eastAsia="Arial" w:hAnsi="Arial"/>
          <w:sz w:val="18"/>
          <w:szCs w:val="18"/>
          <w:color w:val="auto"/>
        </w:rPr>
        <w:t>As mentioned above, once the API has been made in the UK, it is expected to be sent directly to the Company’s partners for research and development purposes in the UK, United States or Canada. How the API is subsequently processed will determine the licences that the UK-based facility must hold. In particular:</w:t>
      </w:r>
    </w:p>
    <w:p>
      <w:pPr>
        <w:spacing w:after="0" w:line="158" w:lineRule="exact"/>
        <w:rPr>
          <w:sz w:val="20"/>
          <w:szCs w:val="20"/>
          <w:color w:val="auto"/>
        </w:rPr>
      </w:pPr>
    </w:p>
    <w:p>
      <w:pPr>
        <w:jc w:val="both"/>
        <w:ind w:left="1182" w:right="100" w:hanging="302"/>
        <w:spacing w:after="0" w:line="248" w:lineRule="auto"/>
        <w:tabs>
          <w:tab w:leader="none" w:pos="11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API is just one ‘ingredient’ of the investigational medicinal product (the “</w:t>
      </w:r>
      <w:r>
        <w:rPr>
          <w:rFonts w:ascii="Arial" w:cs="Arial" w:eastAsia="Arial" w:hAnsi="Arial"/>
          <w:sz w:val="18"/>
          <w:szCs w:val="18"/>
          <w:b w:val="1"/>
          <w:bCs w:val="1"/>
          <w:color w:val="auto"/>
        </w:rPr>
        <w:t>IMP</w:t>
      </w:r>
      <w:r>
        <w:rPr>
          <w:rFonts w:ascii="Arial" w:cs="Arial" w:eastAsia="Arial" w:hAnsi="Arial"/>
          <w:sz w:val="18"/>
          <w:szCs w:val="18"/>
          <w:color w:val="auto"/>
        </w:rPr>
        <w:t>”) which is used in the clinical trial then the UK-based facility must register with the MHRA and provide the MHRA with 60 days’ notice of the intended start of manufacture/distribution of the API, and comply with GMP and GDP for active substances; and</w:t>
      </w:r>
    </w:p>
    <w:p>
      <w:pPr>
        <w:spacing w:after="0" w:line="2" w:lineRule="exact"/>
        <w:rPr>
          <w:rFonts w:ascii="Arial" w:cs="Arial" w:eastAsia="Arial" w:hAnsi="Arial"/>
          <w:sz w:val="18"/>
          <w:szCs w:val="18"/>
          <w:color w:val="auto"/>
        </w:rPr>
      </w:pPr>
    </w:p>
    <w:p>
      <w:pPr>
        <w:jc w:val="both"/>
        <w:ind w:left="1182" w:right="100" w:hanging="302"/>
        <w:spacing w:after="0" w:line="245" w:lineRule="auto"/>
        <w:tabs>
          <w:tab w:leader="none" w:pos="11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conversely, if the API will itself constitute the IMP, the manufacturer must hold a Manufacturer’s Authorizations for IMPs licence (“</w:t>
      </w:r>
      <w:r>
        <w:rPr>
          <w:rFonts w:ascii="Arial" w:cs="Arial" w:eastAsia="Arial" w:hAnsi="Arial"/>
          <w:sz w:val="18"/>
          <w:szCs w:val="18"/>
          <w:b w:val="1"/>
          <w:bCs w:val="1"/>
          <w:color w:val="auto"/>
        </w:rPr>
        <w:t>MIA(IMP</w:t>
      </w:r>
      <w:r>
        <w:rPr>
          <w:rFonts w:ascii="Arial" w:cs="Arial" w:eastAsia="Arial" w:hAnsi="Arial"/>
          <w:sz w:val="18"/>
          <w:szCs w:val="18"/>
          <w:color w:val="auto"/>
        </w:rPr>
        <w:t>)”). In this scenario, an MIA(IMP) would be required regardless of whether the IMP is for use in the UK, another EEA Member State or a third country (such as the United States or Canada).</w:t>
      </w:r>
    </w:p>
    <w:p>
      <w:pPr>
        <w:spacing w:after="0" w:line="194" w:lineRule="exact"/>
        <w:rPr>
          <w:sz w:val="20"/>
          <w:szCs w:val="20"/>
          <w:color w:val="auto"/>
        </w:rPr>
      </w:pPr>
    </w:p>
    <w:p>
      <w:pPr>
        <w:jc w:val="both"/>
        <w:ind w:left="2" w:right="100"/>
        <w:spacing w:after="0" w:line="254" w:lineRule="auto"/>
        <w:rPr>
          <w:sz w:val="20"/>
          <w:szCs w:val="20"/>
          <w:color w:val="auto"/>
        </w:rPr>
      </w:pPr>
      <w:r>
        <w:rPr>
          <w:rFonts w:ascii="Arial" w:cs="Arial" w:eastAsia="Arial" w:hAnsi="Arial"/>
          <w:sz w:val="18"/>
          <w:szCs w:val="18"/>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15532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49" w:lineRule="exact"/>
        <w:rPr>
          <w:sz w:val="20"/>
          <w:szCs w:val="20"/>
          <w:color w:val="auto"/>
        </w:rPr>
      </w:pPr>
    </w:p>
    <w:p>
      <w:pPr>
        <w:ind w:left="2" w:hanging="2"/>
        <w:spacing w:after="0" w:line="284" w:lineRule="auto"/>
        <w:tabs>
          <w:tab w:leader="none" w:pos="124" w:val="left"/>
        </w:tabs>
        <w:numPr>
          <w:ilvl w:val="0"/>
          <w:numId w:val="47"/>
        </w:numPr>
        <w:rPr>
          <w:rFonts w:ascii="Arial" w:cs="Arial" w:eastAsia="Arial" w:hAnsi="Arial"/>
          <w:sz w:val="7"/>
          <w:szCs w:val="7"/>
          <w:color w:val="auto"/>
        </w:rPr>
      </w:pPr>
      <w:r>
        <w:rPr>
          <w:rFonts w:ascii="Arial" w:cs="Arial" w:eastAsia="Arial" w:hAnsi="Arial"/>
          <w:sz w:val="13"/>
          <w:szCs w:val="13"/>
          <w:color w:val="auto"/>
        </w:rPr>
        <w:t>Home Office guidance; Security guidance for all existing or prospective Home Office Controlled Drug Licensees and/or Precursor Chemical Licensees or Registrants; 2020</w:t>
      </w:r>
      <w:r>
        <w:rPr>
          <w:rFonts w:ascii="Arial" w:cs="Arial" w:eastAsia="Arial" w:hAnsi="Arial"/>
          <w:sz w:val="13"/>
          <w:szCs w:val="13"/>
          <w:u w:val="single" w:color="auto"/>
          <w:color w:val="3051F2"/>
        </w:rPr>
        <w:t>;</w:t>
      </w:r>
      <w:r>
        <w:rPr>
          <w:rFonts w:ascii="Arial" w:cs="Arial" w:eastAsia="Arial" w:hAnsi="Arial"/>
          <w:sz w:val="13"/>
          <w:szCs w:val="13"/>
          <w:color w:val="auto"/>
        </w:rPr>
        <w:t xml:space="preserve"> </w:t>
      </w:r>
      <w:r>
        <w:rPr>
          <w:rFonts w:ascii="Arial" w:cs="Arial" w:eastAsia="Arial" w:hAnsi="Arial"/>
          <w:sz w:val="13"/>
          <w:szCs w:val="13"/>
          <w:u w:val="single" w:color="auto"/>
          <w:color w:val="3051F2"/>
        </w:rPr>
        <w:t>https://assets.publishing.service.gov.uk/government/uploads/system/uploads/attachment_data/file/857591/Security_Guidance_for_all_Businesses_and_Other_Organisations_v1.4_Jan_2020.pdf.</w:t>
      </w:r>
    </w:p>
    <w:p>
      <w:pPr>
        <w:ind w:left="122" w:hanging="122"/>
        <w:spacing w:after="0" w:line="238" w:lineRule="auto"/>
        <w:tabs>
          <w:tab w:leader="none" w:pos="122" w:val="left"/>
        </w:tabs>
        <w:numPr>
          <w:ilvl w:val="0"/>
          <w:numId w:val="47"/>
        </w:numPr>
        <w:rPr>
          <w:rFonts w:ascii="Arial" w:cs="Arial" w:eastAsia="Arial" w:hAnsi="Arial"/>
          <w:sz w:val="8"/>
          <w:szCs w:val="8"/>
          <w:color w:val="auto"/>
        </w:rPr>
      </w:pPr>
      <w:r>
        <w:rPr>
          <w:rFonts w:ascii="Arial" w:cs="Arial" w:eastAsia="Arial" w:hAnsi="Arial"/>
          <w:sz w:val="15"/>
          <w:szCs w:val="15"/>
          <w:color w:val="auto"/>
        </w:rPr>
        <w:t>Home Office guidance; Guidelines for Standard Operating Procedures (SOPs);</w:t>
      </w:r>
    </w:p>
    <w:p>
      <w:pPr>
        <w:ind w:left="2"/>
        <w:spacing w:after="0"/>
        <w:rPr>
          <w:sz w:val="20"/>
          <w:szCs w:val="20"/>
          <w:color w:val="auto"/>
        </w:rPr>
      </w:pPr>
      <w:r>
        <w:rPr>
          <w:rFonts w:ascii="Arial" w:cs="Arial" w:eastAsia="Arial" w:hAnsi="Arial"/>
          <w:sz w:val="15"/>
          <w:szCs w:val="15"/>
          <w:u w:val="single" w:color="auto"/>
          <w:color w:val="3051F2"/>
        </w:rPr>
        <w:t>https://assets.publishing.service.gov.uk/government/uploads/system/uploads/attachment_data/file/480572/StandardOpProcedure.pdf.</w:t>
      </w:r>
    </w:p>
    <w:p>
      <w:pPr>
        <w:spacing w:after="0" w:line="200" w:lineRule="exact"/>
        <w:rPr>
          <w:sz w:val="20"/>
          <w:szCs w:val="20"/>
          <w:color w:val="auto"/>
        </w:rPr>
      </w:pPr>
    </w:p>
    <w:p>
      <w:pPr>
        <w:spacing w:after="0" w:line="353"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2"/>
          </w:cols>
          <w:pgMar w:left="318" w:top="710" w:right="239" w:bottom="1440" w:gutter="0" w:footer="0" w:header="0"/>
        </w:sectPr>
      </w:pPr>
    </w:p>
    <w:bookmarkStart w:id="54" w:name="page55"/>
    <w:bookmarkEnd w:id="54"/>
    <w:p>
      <w:pPr>
        <w:ind w:left="2"/>
        <w:spacing w:after="0"/>
        <w:rPr>
          <w:sz w:val="20"/>
          <w:szCs w:val="20"/>
          <w:color w:val="auto"/>
        </w:rPr>
      </w:pPr>
      <w:r>
        <w:rPr>
          <w:rFonts w:ascii="Arial" w:cs="Arial" w:eastAsia="Arial" w:hAnsi="Arial"/>
          <w:sz w:val="18"/>
          <w:szCs w:val="18"/>
          <w:color w:val="auto"/>
        </w:rPr>
        <w:t>and another category of product, the legal position in the UK and EU is that it will be regulated as a medicinal product.</w:t>
      </w:r>
    </w:p>
    <w:p>
      <w:pPr>
        <w:spacing w:after="0" w:line="19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Research and Development</w:t>
      </w:r>
    </w:p>
    <w:p>
      <w:pPr>
        <w:spacing w:after="0" w:line="201" w:lineRule="exact"/>
        <w:rPr>
          <w:sz w:val="20"/>
          <w:szCs w:val="20"/>
          <w:color w:val="auto"/>
        </w:rPr>
      </w:pPr>
    </w:p>
    <w:p>
      <w:pPr>
        <w:jc w:val="both"/>
        <w:ind w:left="2" w:right="20"/>
        <w:spacing w:after="0" w:line="263" w:lineRule="auto"/>
        <w:rPr>
          <w:sz w:val="20"/>
          <w:szCs w:val="20"/>
          <w:color w:val="auto"/>
        </w:rPr>
      </w:pPr>
      <w:r>
        <w:rPr>
          <w:rFonts w:ascii="Arial" w:cs="Arial" w:eastAsia="Arial" w:hAnsi="Arial"/>
          <w:sz w:val="17"/>
          <w:szCs w:val="17"/>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58" w:lineRule="exact"/>
        <w:rPr>
          <w:sz w:val="20"/>
          <w:szCs w:val="20"/>
          <w:color w:val="auto"/>
        </w:rPr>
      </w:pPr>
    </w:p>
    <w:p>
      <w:pPr>
        <w:jc w:val="both"/>
        <w:ind w:left="2" w:right="20"/>
        <w:spacing w:after="0" w:line="301" w:lineRule="auto"/>
        <w:rPr>
          <w:sz w:val="20"/>
          <w:szCs w:val="20"/>
          <w:color w:val="auto"/>
        </w:rPr>
      </w:pPr>
      <w:r>
        <w:rPr>
          <w:rFonts w:ascii="Arial" w:cs="Arial" w:eastAsia="Arial" w:hAnsi="Arial"/>
          <w:sz w:val="16"/>
          <w:szCs w:val="16"/>
          <w:color w:val="auto"/>
        </w:rPr>
        <w:t>As a result of COVID-19, certain institutions have implemented certain facility procedures and are utilizing technology in an effort to mitigate the effects of the pandemic, specifically by moving patient interactions to remote status wherever possible. The Company cannot guarantee that the continued effects of COVID-19 will not impact patient recruiting for clinical trials and institutional processes at institutions involved in pharmaceutical product development.</w:t>
      </w:r>
    </w:p>
    <w:p>
      <w:pPr>
        <w:spacing w:after="0" w:line="127" w:lineRule="exact"/>
        <w:rPr>
          <w:sz w:val="20"/>
          <w:szCs w:val="20"/>
          <w:color w:val="auto"/>
        </w:rPr>
      </w:pPr>
    </w:p>
    <w:p>
      <w:pPr>
        <w:jc w:val="both"/>
        <w:ind w:left="2" w:right="20"/>
        <w:spacing w:after="0" w:line="265" w:lineRule="auto"/>
        <w:rPr>
          <w:sz w:val="20"/>
          <w:szCs w:val="20"/>
          <w:color w:val="auto"/>
        </w:rPr>
      </w:pPr>
      <w:r>
        <w:rPr>
          <w:rFonts w:ascii="Arial" w:cs="Arial" w:eastAsia="Arial" w:hAnsi="Arial"/>
          <w:sz w:val="17"/>
          <w:szCs w:val="17"/>
          <w:color w:val="auto"/>
        </w:rPr>
        <w:t xml:space="preserve">Psychedelics are a class of drug whose primary action is to trigger psychedelic experiences via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Arial" w:cs="Arial" w:eastAsia="Arial" w:hAnsi="Arial"/>
          <w:sz w:val="17"/>
          <w:szCs w:val="17"/>
          <w:i w:val="1"/>
          <w:iCs w:val="1"/>
          <w:color w:val="auto"/>
        </w:rPr>
        <w:t>Psilocybe</w:t>
      </w:r>
      <w:r>
        <w:rPr>
          <w:rFonts w:ascii="Arial" w:cs="Arial" w:eastAsia="Arial" w:hAnsi="Arial"/>
          <w:sz w:val="17"/>
          <w:szCs w:val="17"/>
          <w:color w:val="auto"/>
        </w:rPr>
        <w:t xml:space="preserve">, such as </w:t>
      </w:r>
      <w:r>
        <w:rPr>
          <w:rFonts w:ascii="Arial" w:cs="Arial" w:eastAsia="Arial" w:hAnsi="Arial"/>
          <w:sz w:val="17"/>
          <w:szCs w:val="17"/>
          <w:i w:val="1"/>
          <w:iCs w:val="1"/>
          <w:color w:val="auto"/>
        </w:rPr>
        <w:t>P. azurescens</w:t>
      </w:r>
      <w:r>
        <w:rPr>
          <w:rFonts w:ascii="Arial" w:cs="Arial" w:eastAsia="Arial" w:hAnsi="Arial"/>
          <w:sz w:val="17"/>
          <w:szCs w:val="17"/>
          <w:color w:val="auto"/>
        </w:rPr>
        <w:t xml:space="preserve">, </w:t>
      </w:r>
      <w:r>
        <w:rPr>
          <w:rFonts w:ascii="Arial" w:cs="Arial" w:eastAsia="Arial" w:hAnsi="Arial"/>
          <w:sz w:val="17"/>
          <w:szCs w:val="17"/>
          <w:i w:val="1"/>
          <w:iCs w:val="1"/>
          <w:color w:val="auto"/>
        </w:rPr>
        <w:t>P. semilanceata</w:t>
      </w:r>
      <w:r>
        <w:rPr>
          <w:rFonts w:ascii="Arial" w:cs="Arial" w:eastAsia="Arial" w:hAnsi="Arial"/>
          <w:sz w:val="17"/>
          <w:szCs w:val="17"/>
          <w:color w:val="auto"/>
        </w:rPr>
        <w:t xml:space="preserve">, and </w:t>
      </w:r>
      <w:r>
        <w:rPr>
          <w:rFonts w:ascii="Arial" w:cs="Arial" w:eastAsia="Arial" w:hAnsi="Arial"/>
          <w:sz w:val="17"/>
          <w:szCs w:val="17"/>
          <w:i w:val="1"/>
          <w:iCs w:val="1"/>
          <w:color w:val="auto"/>
        </w:rPr>
        <w:t>P. cyanescens</w:t>
      </w:r>
      <w:r>
        <w:rPr>
          <w:rFonts w:ascii="Arial" w:cs="Arial" w:eastAsia="Arial" w:hAnsi="Arial"/>
          <w:sz w:val="17"/>
          <w:szCs w:val="17"/>
          <w:color w:val="auto"/>
        </w:rPr>
        <w:t>, but psilocybin has also been isolated from about a dozen other genera. As a prodrug, psilocybin is quickly converted by the body to psilocin, which has mind-altering effects.</w:t>
      </w:r>
    </w:p>
    <w:p>
      <w:pPr>
        <w:spacing w:after="0" w:line="156"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51" w:lineRule="exact"/>
        <w:rPr>
          <w:sz w:val="20"/>
          <w:szCs w:val="20"/>
          <w:color w:val="auto"/>
        </w:rPr>
      </w:pPr>
    </w:p>
    <w:p>
      <w:pPr>
        <w:jc w:val="both"/>
        <w:ind w:left="2" w:right="20"/>
        <w:spacing w:after="0" w:line="261" w:lineRule="auto"/>
        <w:rPr>
          <w:sz w:val="20"/>
          <w:szCs w:val="20"/>
          <w:color w:val="auto"/>
        </w:rPr>
      </w:pPr>
      <w:r>
        <w:rPr>
          <w:rFonts w:ascii="Arial" w:cs="Arial" w:eastAsia="Arial" w:hAnsi="Arial"/>
          <w:sz w:val="18"/>
          <w:szCs w:val="18"/>
          <w:color w:val="auto"/>
        </w:rPr>
        <w:t>Psilocybin found in certain species of mushrooms is a non-habit forming naturally occurring psychedelic compound. Once ingested, psilocybin is rapidly metabolized to psilocin, which then acts on serotonin receptors in the brain. The Company intends to research and sponsor clinical trials on the efficacy of chemically synthesized psilocybin as it relates to the following indications</w:t>
      </w:r>
      <w:r>
        <w:rPr>
          <w:rFonts w:ascii="Arial" w:cs="Arial" w:eastAsia="Arial" w:hAnsi="Arial"/>
          <w:sz w:val="23"/>
          <w:szCs w:val="23"/>
          <w:color w:val="auto"/>
          <w:vertAlign w:val="superscript"/>
        </w:rPr>
        <w:t>22</w:t>
      </w:r>
      <w:r>
        <w:rPr>
          <w:rFonts w:ascii="Arial" w:cs="Arial" w:eastAsia="Arial" w:hAnsi="Arial"/>
          <w:sz w:val="18"/>
          <w:szCs w:val="18"/>
          <w:color w:val="auto"/>
        </w:rPr>
        <w:t>:</w:t>
      </w:r>
    </w:p>
    <w:p>
      <w:pPr>
        <w:spacing w:after="0" w:line="82" w:lineRule="exact"/>
        <w:rPr>
          <w:sz w:val="20"/>
          <w:szCs w:val="20"/>
          <w:color w:val="auto"/>
        </w:rPr>
      </w:pPr>
    </w:p>
    <w:p>
      <w:pPr>
        <w:ind w:left="1162" w:hanging="575"/>
        <w:spacing w:after="0"/>
        <w:tabs>
          <w:tab w:leader="none" w:pos="11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mental health (depression, PTSD, anxiety and attention deficit hyperactivity disorder); and</w:t>
      </w:r>
    </w:p>
    <w:p>
      <w:pPr>
        <w:spacing w:after="0" w:line="16" w:lineRule="exact"/>
        <w:rPr>
          <w:rFonts w:ascii="Arial" w:cs="Arial" w:eastAsia="Arial" w:hAnsi="Arial"/>
          <w:sz w:val="18"/>
          <w:szCs w:val="18"/>
          <w:color w:val="auto"/>
        </w:rPr>
      </w:pPr>
    </w:p>
    <w:p>
      <w:pPr>
        <w:ind w:left="1162" w:hanging="575"/>
        <w:spacing w:after="0"/>
        <w:tabs>
          <w:tab w:leader="none" w:pos="11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addiction (alcohol, drugs and cigarettes).</w:t>
      </w:r>
    </w:p>
    <w:p>
      <w:pPr>
        <w:spacing w:after="0" w:line="193" w:lineRule="exact"/>
        <w:rPr>
          <w:sz w:val="20"/>
          <w:szCs w:val="20"/>
          <w:color w:val="auto"/>
        </w:rPr>
      </w:pPr>
    </w:p>
    <w:p>
      <w:pPr>
        <w:jc w:val="both"/>
        <w:ind w:left="2" w:right="20"/>
        <w:spacing w:after="0" w:line="239" w:lineRule="auto"/>
        <w:rPr>
          <w:sz w:val="20"/>
          <w:szCs w:val="20"/>
          <w:color w:val="auto"/>
        </w:rPr>
      </w:pPr>
      <w:r>
        <w:rPr>
          <w:rFonts w:ascii="Arial" w:cs="Arial" w:eastAsia="Arial" w:hAnsi="Arial"/>
          <w:sz w:val="18"/>
          <w:szCs w:val="18"/>
          <w:color w:val="auto"/>
        </w:rPr>
        <w:t>Cybin has commenced research and development on the delivery of synthetic psilocybin and other psychedelics through mechanisms such as sublingual film delivery, ODT and via inhalation.</w:t>
      </w:r>
    </w:p>
    <w:p>
      <w:pPr>
        <w:spacing w:after="0" w:line="187"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Research and development is led by the Company’s North American Chief Research and Development Officer, Dr. Michael G. Palfreyman. Dr. Palfreyman, who holds a PhD in Neuroscience and Neuropharmacology from the University of Nottingham, United Kingdom, is an accomplished pharmaceutical industry veteran responsible for more than 30 successful clinical programs.</w:t>
      </w:r>
    </w:p>
    <w:p>
      <w:pPr>
        <w:spacing w:after="0" w:line="162"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The Company has also retained Stosic and Associates, a leading government relations firm, to work with high level pharmaceutical, institutional and government relations individuals to progress the acceptance of psychedelics in Canada for medical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5532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37" w:lineRule="exact"/>
        <w:rPr>
          <w:sz w:val="20"/>
          <w:szCs w:val="20"/>
          <w:color w:val="auto"/>
        </w:rPr>
      </w:pPr>
    </w:p>
    <w:p>
      <w:pPr>
        <w:jc w:val="both"/>
        <w:ind w:left="2" w:hanging="2"/>
        <w:spacing w:after="0" w:line="230" w:lineRule="auto"/>
        <w:tabs>
          <w:tab w:leader="none" w:pos="147"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Certain statements regarding psilocybin, psychedelic tryptamine, tryptamine derivatives or other psychedelic compounds have not been evaluated by Health Canada, the FDA or other similar regulatory authorities, nor has the efficacy of psilocybin, psychedelic tryptamine, tryptamine derivatives or other psychedelic compounds been confirmed by approved research. There is no assurance that psilocybin,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2"/>
          </w:cols>
          <w:pgMar w:left="318" w:top="710" w:right="319" w:bottom="1440" w:gutter="0" w:footer="0" w:header="0"/>
        </w:sectPr>
      </w:pPr>
    </w:p>
    <w:bookmarkStart w:id="55" w:name="page56"/>
    <w:bookmarkEnd w:id="55"/>
    <w:p>
      <w:pPr>
        <w:jc w:val="both"/>
        <w:ind w:right="20"/>
        <w:spacing w:after="0" w:line="249" w:lineRule="auto"/>
        <w:rPr>
          <w:sz w:val="20"/>
          <w:szCs w:val="20"/>
          <w:color w:val="auto"/>
        </w:rPr>
      </w:pPr>
      <w:r>
        <w:rPr>
          <w:rFonts w:ascii="Arial" w:cs="Arial" w:eastAsia="Arial" w:hAnsi="Arial"/>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prescription drug product candidate may be marketed in Canada generally involves:</w:t>
      </w:r>
    </w:p>
    <w:p>
      <w:pPr>
        <w:spacing w:after="0" w:line="197" w:lineRule="exact"/>
        <w:rPr>
          <w:sz w:val="20"/>
          <w:szCs w:val="20"/>
          <w:color w:val="auto"/>
        </w:rPr>
      </w:pPr>
    </w:p>
    <w:p>
      <w:pPr>
        <w:ind w:left="580" w:right="20" w:hanging="289"/>
        <w:spacing w:after="0" w:line="267" w:lineRule="auto"/>
        <w:tabs>
          <w:tab w:leader="none" w:pos="569"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Chemical and Biological Research – </w:t>
      </w:r>
      <w:r>
        <w:rPr>
          <w:rFonts w:ascii="Arial" w:cs="Arial" w:eastAsia="Arial" w:hAnsi="Arial"/>
          <w:sz w:val="18"/>
          <w:szCs w:val="18"/>
          <w:color w:val="auto"/>
        </w:rPr>
        <w:t>Laboratory tests are carried out on tissue cultures and with a variety of small animals to determine the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drug. If the results are promising, the manufacturer will proceed to the next step of development.</w:t>
      </w:r>
    </w:p>
    <w:p>
      <w:pPr>
        <w:spacing w:after="0" w:line="175" w:lineRule="exact"/>
        <w:rPr>
          <w:rFonts w:ascii="Arial" w:cs="Arial" w:eastAsia="Arial" w:hAnsi="Arial"/>
          <w:sz w:val="18"/>
          <w:szCs w:val="18"/>
          <w:color w:val="auto"/>
        </w:rPr>
      </w:pPr>
    </w:p>
    <w:p>
      <w:pPr>
        <w:ind w:left="580" w:right="20" w:hanging="289"/>
        <w:spacing w:after="0" w:line="267" w:lineRule="auto"/>
        <w:tabs>
          <w:tab w:leader="none" w:pos="569"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Pre-Clinical Development – </w:t>
      </w:r>
      <w:r>
        <w:rPr>
          <w:rFonts w:ascii="Arial" w:cs="Arial" w:eastAsia="Arial" w:hAnsi="Arial"/>
          <w:sz w:val="18"/>
          <w:szCs w:val="18"/>
          <w:color w:val="auto"/>
        </w:rPr>
        <w:t>Animals are given the drug in varying amounts over differing periods of time. If it can be shown that the drug causes no</w:t>
      </w:r>
      <w:r>
        <w:rPr>
          <w:rFonts w:ascii="Arial" w:cs="Arial" w:eastAsia="Arial" w:hAnsi="Arial"/>
          <w:sz w:val="18"/>
          <w:szCs w:val="18"/>
          <w:i w:val="1"/>
          <w:iCs w:val="1"/>
          <w:color w:val="auto"/>
        </w:rPr>
        <w:t xml:space="preserve"> </w:t>
      </w:r>
      <w:r>
        <w:rPr>
          <w:rFonts w:ascii="Arial" w:cs="Arial" w:eastAsia="Arial" w:hAnsi="Arial"/>
          <w:sz w:val="18"/>
          <w:szCs w:val="18"/>
          <w:color w:val="auto"/>
        </w:rPr>
        <w:t>serious or unexpected harm at the doses required to have an effect, the manufacturer will proceed to clinical trials.</w:t>
      </w:r>
    </w:p>
    <w:p>
      <w:pPr>
        <w:spacing w:after="0" w:line="175" w:lineRule="exact"/>
        <w:rPr>
          <w:rFonts w:ascii="Arial" w:cs="Arial" w:eastAsia="Arial" w:hAnsi="Arial"/>
          <w:sz w:val="18"/>
          <w:szCs w:val="18"/>
          <w:color w:val="auto"/>
        </w:rPr>
      </w:pPr>
    </w:p>
    <w:p>
      <w:pPr>
        <w:jc w:val="both"/>
        <w:ind w:left="580" w:right="20" w:hanging="289"/>
        <w:spacing w:after="0" w:line="269" w:lineRule="auto"/>
        <w:tabs>
          <w:tab w:leader="none" w:pos="569"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Clinical Trials – Phase I - </w:t>
      </w:r>
      <w:r>
        <w:rPr>
          <w:rFonts w:ascii="Arial" w:cs="Arial" w:eastAsia="Arial" w:hAnsi="Arial"/>
          <w:sz w:val="17"/>
          <w:szCs w:val="17"/>
          <w:color w:val="auto"/>
        </w:rPr>
        <w:t>The first administration in humans is to test if people can tolerate the drug. If this testing is to take place in Canada,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 must prepare a clinical trial application for the Therapeutic Products Directorate of Health Canada (the “</w:t>
      </w:r>
      <w:r>
        <w:rPr>
          <w:rFonts w:ascii="Arial" w:cs="Arial" w:eastAsia="Arial" w:hAnsi="Arial"/>
          <w:sz w:val="17"/>
          <w:szCs w:val="17"/>
          <w:b w:val="1"/>
          <w:bCs w:val="1"/>
          <w:color w:val="auto"/>
        </w:rPr>
        <w:t>TPD</w:t>
      </w:r>
      <w:r>
        <w:rPr>
          <w:rFonts w:ascii="Arial" w:cs="Arial" w:eastAsia="Arial" w:hAnsi="Arial"/>
          <w:sz w:val="17"/>
          <w:szCs w:val="17"/>
          <w:color w:val="auto"/>
        </w:rPr>
        <w:t>”). This includes the results of the first two steps and a proposal for testing in humans. If the information is sufficient, the Health Products and Food Branch of Health Canada (the “</w:t>
      </w:r>
      <w:r>
        <w:rPr>
          <w:rFonts w:ascii="Arial" w:cs="Arial" w:eastAsia="Arial" w:hAnsi="Arial"/>
          <w:sz w:val="17"/>
          <w:szCs w:val="17"/>
          <w:b w:val="1"/>
          <w:bCs w:val="1"/>
          <w:color w:val="auto"/>
        </w:rPr>
        <w:t>HPFB</w:t>
      </w:r>
      <w:r>
        <w:rPr>
          <w:rFonts w:ascii="Arial" w:cs="Arial" w:eastAsia="Arial" w:hAnsi="Arial"/>
          <w:sz w:val="17"/>
          <w:szCs w:val="17"/>
          <w:color w:val="auto"/>
        </w:rPr>
        <w:t>”) grants permission to start testing the drug, generally first on healthy volunteers.</w:t>
      </w:r>
    </w:p>
    <w:p>
      <w:pPr>
        <w:spacing w:after="0" w:line="175" w:lineRule="exact"/>
        <w:rPr>
          <w:rFonts w:ascii="Arial" w:cs="Arial" w:eastAsia="Arial" w:hAnsi="Arial"/>
          <w:sz w:val="17"/>
          <w:szCs w:val="17"/>
          <w:color w:val="auto"/>
        </w:rPr>
      </w:pPr>
    </w:p>
    <w:p>
      <w:pPr>
        <w:jc w:val="both"/>
        <w:ind w:left="580" w:right="20" w:hanging="289"/>
        <w:spacing w:after="0" w:line="254" w:lineRule="auto"/>
        <w:tabs>
          <w:tab w:leader="none" w:pos="569"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 - </w:t>
      </w:r>
      <w:r>
        <w:rPr>
          <w:rFonts w:ascii="Arial" w:cs="Arial" w:eastAsia="Arial" w:hAnsi="Arial"/>
          <w:sz w:val="18"/>
          <w:szCs w:val="18"/>
          <w:color w:val="auto"/>
        </w:rPr>
        <w:t>Phase II trials are carried out on people with the target condition, who are usually otherwise healthy, with no other</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condition. Trials carried out in Canada must be approved by the TPD. In phase II, the objective of the trials is to continue to gather information on the safety of the drug and begin to determine its effectiveness.</w:t>
      </w:r>
    </w:p>
    <w:p>
      <w:pPr>
        <w:spacing w:after="0" w:line="186" w:lineRule="exact"/>
        <w:rPr>
          <w:rFonts w:ascii="Arial" w:cs="Arial" w:eastAsia="Arial" w:hAnsi="Arial"/>
          <w:sz w:val="18"/>
          <w:szCs w:val="18"/>
          <w:color w:val="auto"/>
        </w:rPr>
      </w:pPr>
    </w:p>
    <w:p>
      <w:pPr>
        <w:jc w:val="both"/>
        <w:ind w:left="580" w:right="20" w:hanging="289"/>
        <w:spacing w:after="0" w:line="249" w:lineRule="auto"/>
        <w:tabs>
          <w:tab w:leader="none" w:pos="569"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III - </w:t>
      </w:r>
      <w:r>
        <w:rPr>
          <w:rFonts w:ascii="Arial" w:cs="Arial" w:eastAsia="Arial" w:hAnsi="Arial"/>
          <w:sz w:val="18"/>
          <w:szCs w:val="18"/>
          <w:color w:val="auto"/>
        </w:rPr>
        <w:t>If the results from phase II show promise, the manufacturer provides an updated clinical trial application to the TPD for</w:t>
      </w:r>
      <w:r>
        <w:rPr>
          <w:rFonts w:ascii="Arial" w:cs="Arial" w:eastAsia="Arial" w:hAnsi="Arial"/>
          <w:sz w:val="18"/>
          <w:szCs w:val="18"/>
          <w:i w:val="1"/>
          <w:iCs w:val="1"/>
          <w:color w:val="auto"/>
        </w:rPr>
        <w:t xml:space="preserve"> </w:t>
      </w:r>
      <w:r>
        <w:rPr>
          <w:rFonts w:ascii="Arial" w:cs="Arial" w:eastAsia="Arial" w:hAnsi="Arial"/>
          <w:sz w:val="18"/>
          <w:szCs w:val="18"/>
          <w:color w:val="auto"/>
        </w:rPr>
        <w:t>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188" w:lineRule="exact"/>
        <w:rPr>
          <w:rFonts w:ascii="Arial" w:cs="Arial" w:eastAsia="Arial" w:hAnsi="Arial"/>
          <w:sz w:val="18"/>
          <w:szCs w:val="18"/>
          <w:color w:val="auto"/>
        </w:rPr>
      </w:pPr>
    </w:p>
    <w:p>
      <w:pPr>
        <w:jc w:val="both"/>
        <w:ind w:left="580" w:right="20" w:hanging="289"/>
        <w:spacing w:after="0" w:line="248" w:lineRule="auto"/>
        <w:tabs>
          <w:tab w:leader="none" w:pos="569"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New Drug Submission – </w:t>
      </w:r>
      <w:r>
        <w:rPr>
          <w:rFonts w:ascii="Arial" w:cs="Arial" w:eastAsia="Arial" w:hAnsi="Arial"/>
          <w:sz w:val="18"/>
          <w:szCs w:val="18"/>
          <w:color w:val="auto"/>
        </w:rPr>
        <w:t>If the results from phase III continue to be favourable, the drug manufacturer can submit a new drug submission (“</w:t>
      </w:r>
      <w:r>
        <w:rPr>
          <w:rFonts w:ascii="Arial" w:cs="Arial" w:eastAsia="Arial" w:hAnsi="Arial"/>
          <w:sz w:val="18"/>
          <w:szCs w:val="18"/>
          <w:b w:val="1"/>
          <w:bCs w:val="1"/>
          <w:color w:val="auto"/>
        </w:rPr>
        <w:t>NDS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35"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Because psilocybin and psilocin are listed as Schedule I substances under the CSA, for any product containing psilocybin to be available for commercial marketing in the United States, psilocybin and psilocin must be rescheduled, or the product itself must be scheduled, by the DEA to Schedule II, III, IV or V.</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prescription drug product candidate may be marketed in the United States generally involves:</w:t>
      </w:r>
    </w:p>
    <w:p>
      <w:pPr>
        <w:spacing w:after="0" w:line="17" w:lineRule="exact"/>
        <w:rPr>
          <w:sz w:val="20"/>
          <w:szCs w:val="20"/>
          <w:color w:val="auto"/>
        </w:rPr>
      </w:pPr>
    </w:p>
    <w:p>
      <w:pPr>
        <w:ind w:left="580" w:right="20" w:hanging="289"/>
        <w:spacing w:after="0" w:line="241" w:lineRule="auto"/>
        <w:tabs>
          <w:tab w:leader="none" w:pos="5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animal studies and formulation studies, all performed in accordance with the FDA’s Good Laboratory, Good Clincal and/or Manufacturing Practice regulations;</w:t>
      </w:r>
    </w:p>
    <w:p>
      <w:pPr>
        <w:ind w:left="580" w:hanging="289"/>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ind w:left="580" w:hanging="289"/>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approval by an institutional review board or independent ethics committee at each clinical trial site before each trial may be initiated;</w:t>
      </w:r>
    </w:p>
    <w:p>
      <w:pPr>
        <w:ind w:left="580" w:right="20" w:hanging="289"/>
        <w:spacing w:after="0" w:line="277" w:lineRule="auto"/>
        <w:tabs>
          <w:tab w:leader="none" w:pos="569"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320" w:top="710" w:right="319" w:bottom="1440" w:gutter="0" w:footer="0" w:header="0"/>
        </w:sectPr>
      </w:pPr>
    </w:p>
    <w:bookmarkStart w:id="56" w:name="page57"/>
    <w:bookmarkEnd w:id="56"/>
    <w:p>
      <w:pPr>
        <w:ind w:left="580" w:hanging="289"/>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submission to the FDA of a New Drug Application (“</w:t>
      </w:r>
      <w:r>
        <w:rPr>
          <w:rFonts w:ascii="Arial" w:cs="Arial" w:eastAsia="Arial" w:hAnsi="Arial"/>
          <w:sz w:val="18"/>
          <w:szCs w:val="18"/>
          <w:b w:val="1"/>
          <w:bCs w:val="1"/>
          <w:color w:val="auto"/>
        </w:rPr>
        <w:t>NDA</w:t>
      </w:r>
      <w:r>
        <w:rPr>
          <w:rFonts w:ascii="Arial" w:cs="Arial" w:eastAsia="Arial" w:hAnsi="Arial"/>
          <w:sz w:val="18"/>
          <w:szCs w:val="18"/>
          <w:color w:val="auto"/>
        </w:rPr>
        <w:t>”);</w:t>
      </w:r>
    </w:p>
    <w:p>
      <w:pPr>
        <w:spacing w:after="0" w:line="20" w:lineRule="exact"/>
        <w:rPr>
          <w:rFonts w:ascii="Arial" w:cs="Arial" w:eastAsia="Arial" w:hAnsi="Arial"/>
          <w:sz w:val="18"/>
          <w:szCs w:val="18"/>
          <w:color w:val="auto"/>
        </w:rPr>
      </w:pPr>
    </w:p>
    <w:p>
      <w:pPr>
        <w:jc w:val="both"/>
        <w:ind w:left="580" w:right="20" w:hanging="289"/>
        <w:spacing w:after="0" w:line="241" w:lineRule="auto"/>
        <w:tabs>
          <w:tab w:leader="none" w:pos="5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ind w:left="580" w:hanging="289"/>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shipment of the drug.</w:t>
      </w:r>
    </w:p>
    <w:p>
      <w:pPr>
        <w:spacing w:after="0" w:line="20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testing and approval process requires substantial time, effort and financial resources, and the Company cannot be certain that any approvals for its prescription drug product candidates will be granted on a timely basis, if at all.</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An independent institutional review board, at each of the clinical centers proposing to conduct the clinical trial, must review and approve the plan for any clinical trial before it commences at that center. An independent institutional review board considers, among other things, whether the risks to individuals participating in the trials are minimized and are reasonable in relation to anticipated benefits. The independent institutional review board also approves the consent form signed by the trial participants and must monitor the study until completed. The FDA, the independent institutional review board,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42"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Company may need to rely upon in order to receive timely approval or to be competitive.</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55"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320" w:top="706" w:right="319" w:bottom="1440" w:gutter="0" w:footer="0" w:header="0"/>
        </w:sectPr>
      </w:pPr>
    </w:p>
    <w:bookmarkStart w:id="57" w:name="page58"/>
    <w:bookmarkEnd w:id="57"/>
    <w:p>
      <w:pPr>
        <w:jc w:val="both"/>
        <w:ind w:right="20"/>
        <w:spacing w:after="0" w:line="263" w:lineRule="auto"/>
        <w:rPr>
          <w:sz w:val="20"/>
          <w:szCs w:val="20"/>
          <w:color w:val="auto"/>
        </w:rPr>
      </w:pPr>
      <w:r>
        <w:rPr>
          <w:rFonts w:ascii="Arial" w:cs="Arial" w:eastAsia="Arial" w:hAnsi="Arial"/>
          <w:sz w:val="17"/>
          <w:szCs w:val="17"/>
          <w:color w:val="auto"/>
        </w:rPr>
        <w:t>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5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Controlled Substances</w:t>
      </w:r>
    </w:p>
    <w:p>
      <w:pPr>
        <w:spacing w:after="0" w:line="19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3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DEA inspects all manufacturing facilities to review security, recordkeeping, reporting and handling prior to issuing a controlled substance registration.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47"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5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Individual U.S. states also establish and maintain separate controlled substance laws and regulations, including licensing, recordkeeping, security, distribution, and dispensing requirements. State authorities, including boards of pharmacy, regulate use of controlled substances in each state. Failure to maintain compliance with applicable requirements, particularly as manifested in the loss or diversion of controlled substances, can result in enforcement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320" w:top="710" w:right="319" w:bottom="1440" w:gutter="0" w:footer="0" w:header="0"/>
        </w:sectPr>
      </w:pPr>
    </w:p>
    <w:bookmarkStart w:id="58" w:name="page59"/>
    <w:bookmarkEnd w:id="58"/>
    <w:p>
      <w:pPr>
        <w:jc w:val="both"/>
        <w:spacing w:after="0" w:line="330" w:lineRule="auto"/>
        <w:rPr>
          <w:sz w:val="20"/>
          <w:szCs w:val="20"/>
          <w:color w:val="auto"/>
        </w:rPr>
      </w:pPr>
      <w:r>
        <w:rPr>
          <w:rFonts w:ascii="Arial" w:cs="Arial" w:eastAsia="Arial" w:hAnsi="Arial"/>
          <w:sz w:val="16"/>
          <w:szCs w:val="16"/>
          <w:color w:val="auto"/>
        </w:rPr>
        <w:t>action that could have a material adverse effect on the Company’s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 Cooperation Treaty</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PCT facilitates filing for patent recognition in multiple jurisdictions simultaneously using a single uniform patent application. 193 countries, including Canada and the United States have ratified the PCT.</w:t>
      </w:r>
    </w:p>
    <w:p>
      <w:pPr>
        <w:spacing w:after="0" w:line="15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5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Within 12 months of filing a provisional patent application at the United States Patent and Trademark Office,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35"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Ireland</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 xml:space="preserve">In Ireland, psilocin is a controlled substance under the </w:t>
      </w:r>
      <w:r>
        <w:rPr>
          <w:rFonts w:ascii="Arial" w:cs="Arial" w:eastAsia="Arial" w:hAnsi="Arial"/>
          <w:sz w:val="18"/>
          <w:szCs w:val="18"/>
          <w:i w:val="1"/>
          <w:iCs w:val="1"/>
          <w:color w:val="auto"/>
        </w:rPr>
        <w:t>Misuse of Drugs Act, 1977, 1984 and 2015</w:t>
      </w:r>
      <w:r>
        <w:rPr>
          <w:rFonts w:ascii="Arial" w:cs="Arial" w:eastAsia="Arial" w:hAnsi="Arial"/>
          <w:sz w:val="18"/>
          <w:szCs w:val="18"/>
          <w:color w:val="auto"/>
        </w:rPr>
        <w:t xml:space="preserve"> (the “</w:t>
      </w:r>
      <w:r>
        <w:rPr>
          <w:rFonts w:ascii="Arial" w:cs="Arial" w:eastAsia="Arial" w:hAnsi="Arial"/>
          <w:sz w:val="18"/>
          <w:szCs w:val="18"/>
          <w:b w:val="1"/>
          <w:bCs w:val="1"/>
          <w:color w:val="auto"/>
        </w:rPr>
        <w:t>Ireland MDA</w:t>
      </w:r>
      <w:r>
        <w:rPr>
          <w:rFonts w:ascii="Arial" w:cs="Arial" w:eastAsia="Arial" w:hAnsi="Arial"/>
          <w:sz w:val="18"/>
          <w:szCs w:val="18"/>
          <w:color w:val="auto"/>
        </w:rPr>
        <w:t xml:space="preserve">”), the </w:t>
      </w:r>
      <w:r>
        <w:rPr>
          <w:rFonts w:ascii="Arial" w:cs="Arial" w:eastAsia="Arial" w:hAnsi="Arial"/>
          <w:sz w:val="18"/>
          <w:szCs w:val="18"/>
          <w:i w:val="1"/>
          <w:iCs w:val="1"/>
          <w:color w:val="auto"/>
        </w:rPr>
        <w:t>Misuse of Drugs Regulations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2017 </w:t>
      </w:r>
      <w:r>
        <w:rPr>
          <w:rFonts w:ascii="Arial" w:cs="Arial" w:eastAsia="Arial" w:hAnsi="Arial"/>
          <w:sz w:val="18"/>
          <w:szCs w:val="18"/>
          <w:color w:val="auto"/>
        </w:rPr>
        <w:t>(the “</w:t>
      </w:r>
      <w:r>
        <w:rPr>
          <w:rFonts w:ascii="Arial" w:cs="Arial" w:eastAsia="Arial" w:hAnsi="Arial"/>
          <w:sz w:val="18"/>
          <w:szCs w:val="18"/>
          <w:b w:val="1"/>
          <w:bCs w:val="1"/>
          <w:color w:val="auto"/>
        </w:rPr>
        <w:t>Ireland MDR</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Criminal Justice (Psychoactive Substances) Act 2010</w:t>
      </w:r>
      <w:r>
        <w:rPr>
          <w:rFonts w:ascii="Arial" w:cs="Arial" w:eastAsia="Arial" w:hAnsi="Arial"/>
          <w:sz w:val="18"/>
          <w:szCs w:val="18"/>
          <w:color w:val="auto"/>
        </w:rPr>
        <w:t>. These are the primary legislative instruments which govern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9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187"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93"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Company does not currently engage in any activities in Ireland that are regulated by such laws. If the Company were to engage in such activities, it would need to obtain the appropriate licences and authorization to do so.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60"/>
          </w:cols>
          <w:pgMar w:left="320" w:top="710" w:right="31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Company intends to constantly review its Irish operations to ensure compliance with all applicable laws as the operations evolve.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Applicable Laws</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Quarterly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selected information is derived from the Company’s annual and quarterly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710"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1"/>
        </w:trPr>
        <w:tc>
          <w:tcPr>
            <w:tcW w:w="1960" w:type="dxa"/>
            <w:vAlign w:val="bottom"/>
          </w:tcPr>
          <w:p>
            <w:pPr>
              <w:spacing w:after="0"/>
              <w:rPr>
                <w:sz w:val="16"/>
                <w:szCs w:val="16"/>
                <w:color w:val="auto"/>
              </w:rPr>
            </w:pPr>
          </w:p>
        </w:tc>
        <w:tc>
          <w:tcPr>
            <w:tcW w:w="1300" w:type="dxa"/>
            <w:vAlign w:val="bottom"/>
            <w:tcBorders>
              <w:right w:val="single" w:sz="8" w:color="DBDBDB"/>
            </w:tcBorders>
            <w:shd w:val="clear" w:color="auto" w:fill="DBDBDB"/>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Date of</w:t>
            </w:r>
          </w:p>
        </w:tc>
        <w:tc>
          <w:tcPr>
            <w:tcW w:w="0" w:type="dxa"/>
            <w:vAlign w:val="bottom"/>
          </w:tcPr>
          <w:p>
            <w:pPr>
              <w:spacing w:after="0"/>
              <w:rPr>
                <w:sz w:val="1"/>
                <w:szCs w:val="1"/>
                <w:color w:val="auto"/>
              </w:rPr>
            </w:pPr>
          </w:p>
        </w:tc>
      </w:tr>
      <w:tr>
        <w:trPr>
          <w:trHeight w:val="171"/>
        </w:trPr>
        <w:tc>
          <w:tcPr>
            <w:tcW w:w="1960" w:type="dxa"/>
            <w:vAlign w:val="bottom"/>
          </w:tcPr>
          <w:p>
            <w:pPr>
              <w:ind w:left="60"/>
              <w:spacing w:after="0"/>
              <w:rPr>
                <w:sz w:val="20"/>
                <w:szCs w:val="20"/>
                <w:color w:val="auto"/>
              </w:rPr>
            </w:pPr>
            <w:r>
              <w:rPr>
                <w:rFonts w:ascii="Arial" w:cs="Arial" w:eastAsia="Arial" w:hAnsi="Arial"/>
                <w:sz w:val="14"/>
                <w:szCs w:val="14"/>
                <w:i w:val="1"/>
                <w:iCs w:val="1"/>
                <w:color w:val="auto"/>
                <w:w w:val="95"/>
              </w:rPr>
              <w:t>(Canadian dollars in thousands,</w:t>
            </w:r>
          </w:p>
        </w:tc>
        <w:tc>
          <w:tcPr>
            <w:tcW w:w="1300" w:type="dxa"/>
            <w:vAlign w:val="bottom"/>
            <w:tcBorders>
              <w:right w:val="single" w:sz="8" w:color="DBDBDB"/>
            </w:tcBorders>
            <w:shd w:val="clear" w:color="auto" w:fill="DBDBDB"/>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Incorporation</w:t>
            </w:r>
          </w:p>
        </w:tc>
        <w:tc>
          <w:tcPr>
            <w:tcW w:w="0" w:type="dxa"/>
            <w:vAlign w:val="bottom"/>
          </w:tcPr>
          <w:p>
            <w:pPr>
              <w:spacing w:after="0"/>
              <w:rPr>
                <w:sz w:val="1"/>
                <w:szCs w:val="1"/>
                <w:color w:val="auto"/>
              </w:rPr>
            </w:pPr>
          </w:p>
        </w:tc>
      </w:tr>
      <w:tr>
        <w:trPr>
          <w:trHeight w:val="171"/>
        </w:trPr>
        <w:tc>
          <w:tcPr>
            <w:tcW w:w="1960" w:type="dxa"/>
            <w:vAlign w:val="bottom"/>
          </w:tcPr>
          <w:p>
            <w:pPr>
              <w:ind w:left="60"/>
              <w:spacing w:after="0"/>
              <w:rPr>
                <w:sz w:val="20"/>
                <w:szCs w:val="20"/>
                <w:color w:val="auto"/>
              </w:rPr>
            </w:pPr>
            <w:r>
              <w:rPr>
                <w:rFonts w:ascii="Arial" w:cs="Arial" w:eastAsia="Arial" w:hAnsi="Arial"/>
                <w:sz w:val="14"/>
                <w:szCs w:val="14"/>
                <w:i w:val="1"/>
                <w:iCs w:val="1"/>
                <w:color w:val="auto"/>
              </w:rPr>
              <w:t>except per share and share</w:t>
            </w:r>
          </w:p>
        </w:tc>
        <w:tc>
          <w:tcPr>
            <w:tcW w:w="1300" w:type="dxa"/>
            <w:vAlign w:val="bottom"/>
            <w:tcBorders>
              <w:right w:val="single" w:sz="8" w:color="DBDBDB"/>
            </w:tcBorders>
            <w:shd w:val="clear" w:color="auto" w:fill="DBDBDB"/>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(October 22, 2019) to</w:t>
            </w:r>
          </w:p>
        </w:tc>
        <w:tc>
          <w:tcPr>
            <w:tcW w:w="0" w:type="dxa"/>
            <w:vAlign w:val="bottom"/>
          </w:tcPr>
          <w:p>
            <w:pPr>
              <w:spacing w:after="0"/>
              <w:rPr>
                <w:sz w:val="1"/>
                <w:szCs w:val="1"/>
                <w:color w:val="auto"/>
              </w:rPr>
            </w:pPr>
          </w:p>
        </w:tc>
      </w:tr>
      <w:tr>
        <w:trPr>
          <w:trHeight w:val="201"/>
        </w:trPr>
        <w:tc>
          <w:tcPr>
            <w:tcW w:w="1960" w:type="dxa"/>
            <w:vAlign w:val="bottom"/>
          </w:tcPr>
          <w:p>
            <w:pPr>
              <w:ind w:left="60"/>
              <w:spacing w:after="0"/>
              <w:rPr>
                <w:sz w:val="20"/>
                <w:szCs w:val="20"/>
                <w:color w:val="auto"/>
              </w:rPr>
            </w:pPr>
            <w:r>
              <w:rPr>
                <w:rFonts w:ascii="Arial" w:cs="Arial" w:eastAsia="Arial" w:hAnsi="Arial"/>
                <w:sz w:val="14"/>
                <w:szCs w:val="14"/>
                <w:i w:val="1"/>
                <w:iCs w:val="1"/>
                <w:color w:val="auto"/>
              </w:rPr>
              <w:t>figures)</w:t>
            </w:r>
          </w:p>
        </w:tc>
        <w:tc>
          <w:tcPr>
            <w:tcW w:w="1300" w:type="dxa"/>
            <w:vAlign w:val="bottom"/>
            <w:tcBorders>
              <w:bottom w:val="single" w:sz="8" w:color="DBDBDB"/>
              <w:right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auto"/>
                <w:w w:val="93"/>
              </w:rPr>
              <w:t>September 30, 2021</w:t>
            </w:r>
          </w:p>
        </w:tc>
        <w:tc>
          <w:tcPr>
            <w:tcW w:w="1100" w:type="dxa"/>
            <w:vAlign w:val="bottom"/>
          </w:tcPr>
          <w:p>
            <w:pPr>
              <w:jc w:val="right"/>
              <w:ind w:right="11"/>
              <w:spacing w:after="0"/>
              <w:rPr>
                <w:sz w:val="20"/>
                <w:szCs w:val="20"/>
                <w:color w:val="auto"/>
              </w:rPr>
            </w:pPr>
            <w:r>
              <w:rPr>
                <w:rFonts w:ascii="Arial" w:cs="Arial" w:eastAsia="Arial" w:hAnsi="Arial"/>
                <w:sz w:val="14"/>
                <w:szCs w:val="14"/>
                <w:b w:val="1"/>
                <w:bCs w:val="1"/>
                <w:color w:val="auto"/>
              </w:rPr>
              <w:t>June 30, 2021</w:t>
            </w:r>
          </w:p>
        </w:tc>
        <w:tc>
          <w:tcPr>
            <w:tcW w:w="1060" w:type="dxa"/>
            <w:vAlign w:val="bottom"/>
          </w:tcPr>
          <w:p>
            <w:pPr>
              <w:jc w:val="right"/>
              <w:ind w:right="11"/>
              <w:spacing w:after="0"/>
              <w:rPr>
                <w:sz w:val="20"/>
                <w:szCs w:val="20"/>
                <w:color w:val="auto"/>
              </w:rPr>
            </w:pPr>
            <w:r>
              <w:rPr>
                <w:rFonts w:ascii="Arial" w:cs="Arial" w:eastAsia="Arial" w:hAnsi="Arial"/>
                <w:sz w:val="14"/>
                <w:szCs w:val="14"/>
                <w:b w:val="1"/>
                <w:bCs w:val="1"/>
                <w:color w:val="auto"/>
                <w:w w:val="96"/>
              </w:rPr>
              <w:t>March 31, 2021</w:t>
            </w:r>
          </w:p>
        </w:tc>
        <w:tc>
          <w:tcPr>
            <w:tcW w:w="1240" w:type="dxa"/>
            <w:vAlign w:val="bottom"/>
          </w:tcPr>
          <w:p>
            <w:pPr>
              <w:jc w:val="right"/>
              <w:ind w:right="11"/>
              <w:spacing w:after="0"/>
              <w:rPr>
                <w:sz w:val="20"/>
                <w:szCs w:val="20"/>
                <w:color w:val="auto"/>
              </w:rPr>
            </w:pPr>
            <w:r>
              <w:rPr>
                <w:rFonts w:ascii="Arial" w:cs="Arial" w:eastAsia="Arial" w:hAnsi="Arial"/>
                <w:sz w:val="14"/>
                <w:szCs w:val="14"/>
                <w:b w:val="1"/>
                <w:bCs w:val="1"/>
                <w:color w:val="auto"/>
                <w:w w:val="90"/>
              </w:rPr>
              <w:t>December 31, 2020</w:t>
            </w:r>
          </w:p>
        </w:tc>
        <w:tc>
          <w:tcPr>
            <w:tcW w:w="1320" w:type="dxa"/>
            <w:vAlign w:val="bottom"/>
          </w:tcPr>
          <w:p>
            <w:pPr>
              <w:jc w:val="right"/>
              <w:ind w:right="31"/>
              <w:spacing w:after="0"/>
              <w:rPr>
                <w:sz w:val="20"/>
                <w:szCs w:val="20"/>
                <w:color w:val="auto"/>
              </w:rPr>
            </w:pPr>
            <w:r>
              <w:rPr>
                <w:rFonts w:ascii="Arial" w:cs="Arial" w:eastAsia="Arial" w:hAnsi="Arial"/>
                <w:sz w:val="14"/>
                <w:szCs w:val="14"/>
                <w:b w:val="1"/>
                <w:bCs w:val="1"/>
                <w:color w:val="auto"/>
                <w:w w:val="91"/>
              </w:rPr>
              <w:t>September 30, 2020</w:t>
            </w:r>
          </w:p>
        </w:tc>
        <w:tc>
          <w:tcPr>
            <w:tcW w:w="1020" w:type="dxa"/>
            <w:vAlign w:val="bottom"/>
          </w:tcPr>
          <w:p>
            <w:pPr>
              <w:jc w:val="right"/>
              <w:ind w:right="91"/>
              <w:spacing w:after="0"/>
              <w:rPr>
                <w:sz w:val="20"/>
                <w:szCs w:val="20"/>
                <w:color w:val="auto"/>
              </w:rPr>
            </w:pPr>
            <w:r>
              <w:rPr>
                <w:rFonts w:ascii="Arial" w:cs="Arial" w:eastAsia="Arial" w:hAnsi="Arial"/>
                <w:sz w:val="14"/>
                <w:szCs w:val="14"/>
                <w:b w:val="1"/>
                <w:bCs w:val="1"/>
                <w:color w:val="auto"/>
                <w:w w:val="92"/>
              </w:rPr>
              <w:t>June 30, 2020</w:t>
            </w:r>
          </w:p>
        </w:tc>
        <w:tc>
          <w:tcPr>
            <w:tcW w:w="960" w:type="dxa"/>
            <w:vAlign w:val="bottom"/>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91"/>
        </w:trPr>
        <w:tc>
          <w:tcPr>
            <w:tcW w:w="196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Revenues ($)</w:t>
            </w:r>
          </w:p>
        </w:tc>
        <w:tc>
          <w:tcPr>
            <w:tcW w:w="1300" w:type="dxa"/>
            <w:vAlign w:val="bottom"/>
            <w:tcBorders>
              <w:top w:val="single" w:sz="8" w:color="auto"/>
              <w:right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864</w:t>
            </w: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Operating Expenses ($)</w:t>
            </w:r>
          </w:p>
        </w:tc>
        <w:tc>
          <w:tcPr>
            <w:tcW w:w="1300" w:type="dxa"/>
            <w:vAlign w:val="bottom"/>
            <w:tcBorders>
              <w:right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b w:val="1"/>
                <w:bCs w:val="1"/>
                <w:color w:val="auto"/>
              </w:rPr>
              <w:t>17,106</w:t>
            </w: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13,939</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12,363</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11,378</w:t>
            </w:r>
          </w:p>
        </w:tc>
        <w:tc>
          <w:tcPr>
            <w:tcW w:w="1320" w:type="dxa"/>
            <w:vAlign w:val="bottom"/>
          </w:tcPr>
          <w:p>
            <w:pPr>
              <w:jc w:val="right"/>
              <w:ind w:right="31"/>
              <w:spacing w:after="0"/>
              <w:rPr>
                <w:sz w:val="20"/>
                <w:szCs w:val="20"/>
                <w:color w:val="auto"/>
              </w:rPr>
            </w:pPr>
            <w:r>
              <w:rPr>
                <w:rFonts w:ascii="Arial" w:cs="Arial" w:eastAsia="Arial" w:hAnsi="Arial"/>
                <w:sz w:val="14"/>
                <w:szCs w:val="14"/>
                <w:color w:val="auto"/>
              </w:rPr>
              <w:t>2,561</w:t>
            </w: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4,420</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577</w:t>
            </w:r>
          </w:p>
        </w:tc>
        <w:tc>
          <w:tcPr>
            <w:tcW w:w="1280" w:type="dxa"/>
            <w:vAlign w:val="bottom"/>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Net loss ($)</w:t>
            </w:r>
          </w:p>
        </w:tc>
        <w:tc>
          <w:tcPr>
            <w:tcW w:w="13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(17,607)</w:t>
            </w:r>
          </w:p>
        </w:tc>
        <w:tc>
          <w:tcPr>
            <w:tcW w:w="1100" w:type="dxa"/>
            <w:vAlign w:val="bottom"/>
          </w:tcPr>
          <w:p>
            <w:pPr>
              <w:jc w:val="right"/>
              <w:spacing w:after="0"/>
              <w:rPr>
                <w:sz w:val="20"/>
                <w:szCs w:val="20"/>
                <w:color w:val="auto"/>
              </w:rPr>
            </w:pPr>
            <w:r>
              <w:rPr>
                <w:rFonts w:ascii="Arial" w:cs="Arial" w:eastAsia="Arial" w:hAnsi="Arial"/>
                <w:sz w:val="14"/>
                <w:szCs w:val="14"/>
                <w:color w:val="auto"/>
              </w:rPr>
              <w:t>(14,717)</w:t>
            </w:r>
          </w:p>
        </w:tc>
        <w:tc>
          <w:tcPr>
            <w:tcW w:w="1060" w:type="dxa"/>
            <w:vAlign w:val="bottom"/>
          </w:tcPr>
          <w:p>
            <w:pPr>
              <w:jc w:val="right"/>
              <w:spacing w:after="0"/>
              <w:rPr>
                <w:sz w:val="20"/>
                <w:szCs w:val="20"/>
                <w:color w:val="auto"/>
              </w:rPr>
            </w:pPr>
            <w:r>
              <w:rPr>
                <w:rFonts w:ascii="Arial" w:cs="Arial" w:eastAsia="Arial" w:hAnsi="Arial"/>
                <w:sz w:val="14"/>
                <w:szCs w:val="14"/>
                <w:color w:val="auto"/>
              </w:rPr>
              <w:t>(13,777)</w:t>
            </w:r>
          </w:p>
        </w:tc>
        <w:tc>
          <w:tcPr>
            <w:tcW w:w="1240" w:type="dxa"/>
            <w:vAlign w:val="bottom"/>
          </w:tcPr>
          <w:p>
            <w:pPr>
              <w:jc w:val="right"/>
              <w:spacing w:after="0"/>
              <w:rPr>
                <w:sz w:val="20"/>
                <w:szCs w:val="20"/>
                <w:color w:val="auto"/>
              </w:rPr>
            </w:pPr>
            <w:r>
              <w:rPr>
                <w:rFonts w:ascii="Arial" w:cs="Arial" w:eastAsia="Arial" w:hAnsi="Arial"/>
                <w:sz w:val="14"/>
                <w:szCs w:val="14"/>
                <w:color w:val="auto"/>
              </w:rPr>
              <w:t>(11,419)</w:t>
            </w:r>
          </w:p>
        </w:tc>
        <w:tc>
          <w:tcPr>
            <w:tcW w:w="1320" w:type="dxa"/>
            <w:vAlign w:val="bottom"/>
          </w:tcPr>
          <w:p>
            <w:pPr>
              <w:jc w:val="right"/>
              <w:spacing w:after="0"/>
              <w:rPr>
                <w:sz w:val="20"/>
                <w:szCs w:val="20"/>
                <w:color w:val="auto"/>
              </w:rPr>
            </w:pPr>
            <w:r>
              <w:rPr>
                <w:rFonts w:ascii="Arial" w:cs="Arial" w:eastAsia="Arial" w:hAnsi="Arial"/>
                <w:sz w:val="14"/>
                <w:szCs w:val="14"/>
                <w:color w:val="auto"/>
              </w:rPr>
              <w:t>(2,660)</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(4,364)</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(573)</w:t>
            </w:r>
          </w:p>
        </w:tc>
        <w:tc>
          <w:tcPr>
            <w:tcW w:w="1280" w:type="dxa"/>
            <w:vAlign w:val="bottom"/>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457"/>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Weighted Average Shares -</w:t>
            </w:r>
          </w:p>
        </w:tc>
        <w:tc>
          <w:tcPr>
            <w:tcW w:w="1300" w:type="dxa"/>
            <w:vAlign w:val="bottom"/>
            <w:tcBorders>
              <w:right w:val="single" w:sz="8" w:color="DBDBDB"/>
            </w:tcBorders>
            <w:vMerge w:val="restart"/>
            <w:shd w:val="clear" w:color="auto" w:fill="DBDBDB"/>
          </w:tcPr>
          <w:p>
            <w:pPr>
              <w:jc w:val="right"/>
              <w:ind w:right="11"/>
              <w:spacing w:after="0"/>
              <w:rPr>
                <w:sz w:val="20"/>
                <w:szCs w:val="20"/>
                <w:color w:val="auto"/>
              </w:rPr>
            </w:pPr>
            <w:r>
              <w:rPr>
                <w:rFonts w:ascii="Arial" w:cs="Arial" w:eastAsia="Arial" w:hAnsi="Arial"/>
                <w:sz w:val="14"/>
                <w:szCs w:val="14"/>
                <w:b w:val="1"/>
                <w:bCs w:val="1"/>
                <w:color w:val="auto"/>
              </w:rPr>
              <w:t>165,783,294</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Basic</w:t>
            </w:r>
          </w:p>
        </w:tc>
        <w:tc>
          <w:tcPr>
            <w:tcW w:w="1300" w:type="dxa"/>
            <w:vAlign w:val="bottom"/>
            <w:tcBorders>
              <w:right w:val="single" w:sz="8" w:color="DBDBDB"/>
            </w:tcBorders>
            <w:vMerge w:val="continue"/>
            <w:shd w:val="clear" w:color="auto" w:fill="DBDBDB"/>
          </w:tcPr>
          <w:p>
            <w:pPr>
              <w:spacing w:after="0"/>
              <w:rPr>
                <w:sz w:val="15"/>
                <w:szCs w:val="15"/>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157,711,518</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150,494,164</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110,223,000</w:t>
            </w:r>
          </w:p>
        </w:tc>
        <w:tc>
          <w:tcPr>
            <w:tcW w:w="1320" w:type="dxa"/>
            <w:vAlign w:val="bottom"/>
          </w:tcPr>
          <w:p>
            <w:pPr>
              <w:jc w:val="right"/>
              <w:ind w:right="31"/>
              <w:spacing w:after="0"/>
              <w:rPr>
                <w:sz w:val="20"/>
                <w:szCs w:val="20"/>
                <w:color w:val="auto"/>
              </w:rPr>
            </w:pPr>
            <w:r>
              <w:rPr>
                <w:rFonts w:ascii="Arial" w:cs="Arial" w:eastAsia="Arial" w:hAnsi="Arial"/>
                <w:sz w:val="14"/>
                <w:szCs w:val="14"/>
                <w:color w:val="auto"/>
              </w:rPr>
              <w:t>69,150,124</w:t>
            </w: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60,703,392</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49,976,788</w:t>
            </w:r>
          </w:p>
        </w:tc>
        <w:tc>
          <w:tcPr>
            <w:tcW w:w="1280" w:type="dxa"/>
            <w:vAlign w:val="bottom"/>
          </w:tcPr>
          <w:p>
            <w:pPr>
              <w:jc w:val="right"/>
              <w:spacing w:after="0"/>
              <w:rPr>
                <w:sz w:val="20"/>
                <w:szCs w:val="20"/>
                <w:color w:val="auto"/>
              </w:rPr>
            </w:pPr>
            <w:r>
              <w:rPr>
                <w:rFonts w:ascii="Arial" w:cs="Arial" w:eastAsia="Arial" w:hAnsi="Arial"/>
                <w:sz w:val="14"/>
                <w:szCs w:val="14"/>
                <w:color w:val="auto"/>
              </w:rPr>
              <w:t>47,523,000</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Loss per share ($'s)</w:t>
            </w:r>
          </w:p>
        </w:tc>
        <w:tc>
          <w:tcPr>
            <w:tcW w:w="13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(0.11)</w:t>
            </w:r>
          </w:p>
        </w:tc>
        <w:tc>
          <w:tcPr>
            <w:tcW w:w="1100" w:type="dxa"/>
            <w:vAlign w:val="bottom"/>
          </w:tcPr>
          <w:p>
            <w:pPr>
              <w:jc w:val="right"/>
              <w:spacing w:after="0"/>
              <w:rPr>
                <w:sz w:val="20"/>
                <w:szCs w:val="20"/>
                <w:color w:val="auto"/>
              </w:rPr>
            </w:pPr>
            <w:r>
              <w:rPr>
                <w:rFonts w:ascii="Arial" w:cs="Arial" w:eastAsia="Arial" w:hAnsi="Arial"/>
                <w:sz w:val="14"/>
                <w:szCs w:val="14"/>
                <w:color w:val="auto"/>
              </w:rPr>
              <w:t>(0.09)</w:t>
            </w:r>
          </w:p>
        </w:tc>
        <w:tc>
          <w:tcPr>
            <w:tcW w:w="1060" w:type="dxa"/>
            <w:vAlign w:val="bottom"/>
          </w:tcPr>
          <w:p>
            <w:pPr>
              <w:jc w:val="right"/>
              <w:spacing w:after="0"/>
              <w:rPr>
                <w:sz w:val="20"/>
                <w:szCs w:val="20"/>
                <w:color w:val="auto"/>
              </w:rPr>
            </w:pPr>
            <w:r>
              <w:rPr>
                <w:rFonts w:ascii="Arial" w:cs="Arial" w:eastAsia="Arial" w:hAnsi="Arial"/>
                <w:sz w:val="14"/>
                <w:szCs w:val="14"/>
                <w:color w:val="auto"/>
              </w:rPr>
              <w:t>(0.09)</w:t>
            </w:r>
          </w:p>
        </w:tc>
        <w:tc>
          <w:tcPr>
            <w:tcW w:w="1240" w:type="dxa"/>
            <w:vAlign w:val="bottom"/>
          </w:tcPr>
          <w:p>
            <w:pPr>
              <w:jc w:val="right"/>
              <w:spacing w:after="0"/>
              <w:rPr>
                <w:sz w:val="20"/>
                <w:szCs w:val="20"/>
                <w:color w:val="auto"/>
              </w:rPr>
            </w:pPr>
            <w:r>
              <w:rPr>
                <w:rFonts w:ascii="Arial" w:cs="Arial" w:eastAsia="Arial" w:hAnsi="Arial"/>
                <w:sz w:val="14"/>
                <w:szCs w:val="14"/>
                <w:color w:val="auto"/>
              </w:rPr>
              <w:t>(0.10)</w:t>
            </w:r>
          </w:p>
        </w:tc>
        <w:tc>
          <w:tcPr>
            <w:tcW w:w="1320" w:type="dxa"/>
            <w:vAlign w:val="bottom"/>
          </w:tcPr>
          <w:p>
            <w:pPr>
              <w:jc w:val="right"/>
              <w:spacing w:after="0"/>
              <w:rPr>
                <w:sz w:val="20"/>
                <w:szCs w:val="20"/>
                <w:color w:val="auto"/>
              </w:rPr>
            </w:pPr>
            <w:r>
              <w:rPr>
                <w:rFonts w:ascii="Arial" w:cs="Arial" w:eastAsia="Arial" w:hAnsi="Arial"/>
                <w:sz w:val="14"/>
                <w:szCs w:val="14"/>
                <w:color w:val="auto"/>
              </w:rPr>
              <w:t>(0.04)</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(0.07)</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(0.01)</w:t>
            </w:r>
          </w:p>
        </w:tc>
        <w:tc>
          <w:tcPr>
            <w:tcW w:w="12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457"/>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Weighted Average Shares -</w:t>
            </w:r>
          </w:p>
        </w:tc>
        <w:tc>
          <w:tcPr>
            <w:tcW w:w="1300" w:type="dxa"/>
            <w:vAlign w:val="bottom"/>
            <w:tcBorders>
              <w:right w:val="single" w:sz="8" w:color="DBDBDB"/>
            </w:tcBorders>
            <w:vMerge w:val="restart"/>
            <w:shd w:val="clear" w:color="auto" w:fill="DBDBDB"/>
          </w:tcPr>
          <w:p>
            <w:pPr>
              <w:jc w:val="right"/>
              <w:ind w:right="11"/>
              <w:spacing w:after="0"/>
              <w:rPr>
                <w:sz w:val="20"/>
                <w:szCs w:val="20"/>
                <w:color w:val="auto"/>
              </w:rPr>
            </w:pPr>
            <w:r>
              <w:rPr>
                <w:rFonts w:ascii="Arial" w:cs="Arial" w:eastAsia="Arial" w:hAnsi="Arial"/>
                <w:sz w:val="14"/>
                <w:szCs w:val="14"/>
                <w:b w:val="1"/>
                <w:bCs w:val="1"/>
                <w:color w:val="auto"/>
              </w:rPr>
              <w:t>165,783,294</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Diluted</w:t>
            </w:r>
          </w:p>
        </w:tc>
        <w:tc>
          <w:tcPr>
            <w:tcW w:w="1300" w:type="dxa"/>
            <w:vAlign w:val="bottom"/>
            <w:tcBorders>
              <w:right w:val="single" w:sz="8" w:color="DBDBDB"/>
            </w:tcBorders>
            <w:vMerge w:val="continue"/>
            <w:shd w:val="clear" w:color="auto" w:fill="DBDBDB"/>
          </w:tcPr>
          <w:p>
            <w:pPr>
              <w:spacing w:after="0"/>
              <w:rPr>
                <w:sz w:val="15"/>
                <w:szCs w:val="15"/>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157,711,518</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150,494,164</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110,223,000</w:t>
            </w:r>
          </w:p>
        </w:tc>
        <w:tc>
          <w:tcPr>
            <w:tcW w:w="1320" w:type="dxa"/>
            <w:vAlign w:val="bottom"/>
          </w:tcPr>
          <w:p>
            <w:pPr>
              <w:jc w:val="right"/>
              <w:ind w:right="31"/>
              <w:spacing w:after="0"/>
              <w:rPr>
                <w:sz w:val="20"/>
                <w:szCs w:val="20"/>
                <w:color w:val="auto"/>
              </w:rPr>
            </w:pPr>
            <w:r>
              <w:rPr>
                <w:rFonts w:ascii="Arial" w:cs="Arial" w:eastAsia="Arial" w:hAnsi="Arial"/>
                <w:sz w:val="14"/>
                <w:szCs w:val="14"/>
                <w:color w:val="auto"/>
              </w:rPr>
              <w:t>69,150,124</w:t>
            </w: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60,703,392</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49,976,788</w:t>
            </w:r>
          </w:p>
        </w:tc>
        <w:tc>
          <w:tcPr>
            <w:tcW w:w="1280" w:type="dxa"/>
            <w:vAlign w:val="bottom"/>
          </w:tcPr>
          <w:p>
            <w:pPr>
              <w:jc w:val="right"/>
              <w:spacing w:after="0"/>
              <w:rPr>
                <w:sz w:val="20"/>
                <w:szCs w:val="20"/>
                <w:color w:val="auto"/>
              </w:rPr>
            </w:pPr>
            <w:r>
              <w:rPr>
                <w:rFonts w:ascii="Arial" w:cs="Arial" w:eastAsia="Arial" w:hAnsi="Arial"/>
                <w:sz w:val="14"/>
                <w:szCs w:val="14"/>
                <w:color w:val="auto"/>
              </w:rPr>
              <w:t>47,523,000</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Loss per share ($'s)</w:t>
            </w:r>
          </w:p>
        </w:tc>
        <w:tc>
          <w:tcPr>
            <w:tcW w:w="13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(0.11)</w:t>
            </w:r>
          </w:p>
        </w:tc>
        <w:tc>
          <w:tcPr>
            <w:tcW w:w="1100" w:type="dxa"/>
            <w:vAlign w:val="bottom"/>
          </w:tcPr>
          <w:p>
            <w:pPr>
              <w:jc w:val="right"/>
              <w:spacing w:after="0"/>
              <w:rPr>
                <w:sz w:val="20"/>
                <w:szCs w:val="20"/>
                <w:color w:val="auto"/>
              </w:rPr>
            </w:pPr>
            <w:r>
              <w:rPr>
                <w:rFonts w:ascii="Arial" w:cs="Arial" w:eastAsia="Arial" w:hAnsi="Arial"/>
                <w:sz w:val="14"/>
                <w:szCs w:val="14"/>
                <w:color w:val="auto"/>
              </w:rPr>
              <w:t>(0.09)</w:t>
            </w:r>
          </w:p>
        </w:tc>
        <w:tc>
          <w:tcPr>
            <w:tcW w:w="1060" w:type="dxa"/>
            <w:vAlign w:val="bottom"/>
          </w:tcPr>
          <w:p>
            <w:pPr>
              <w:jc w:val="right"/>
              <w:spacing w:after="0"/>
              <w:rPr>
                <w:sz w:val="20"/>
                <w:szCs w:val="20"/>
                <w:color w:val="auto"/>
              </w:rPr>
            </w:pPr>
            <w:r>
              <w:rPr>
                <w:rFonts w:ascii="Arial" w:cs="Arial" w:eastAsia="Arial" w:hAnsi="Arial"/>
                <w:sz w:val="14"/>
                <w:szCs w:val="14"/>
                <w:color w:val="auto"/>
              </w:rPr>
              <w:t>(0.09)</w:t>
            </w:r>
          </w:p>
        </w:tc>
        <w:tc>
          <w:tcPr>
            <w:tcW w:w="1240" w:type="dxa"/>
            <w:vAlign w:val="bottom"/>
          </w:tcPr>
          <w:p>
            <w:pPr>
              <w:jc w:val="right"/>
              <w:spacing w:after="0"/>
              <w:rPr>
                <w:sz w:val="20"/>
                <w:szCs w:val="20"/>
                <w:color w:val="auto"/>
              </w:rPr>
            </w:pPr>
            <w:r>
              <w:rPr>
                <w:rFonts w:ascii="Arial" w:cs="Arial" w:eastAsia="Arial" w:hAnsi="Arial"/>
                <w:sz w:val="14"/>
                <w:szCs w:val="14"/>
                <w:color w:val="auto"/>
              </w:rPr>
              <w:t>(0.10)</w:t>
            </w:r>
          </w:p>
        </w:tc>
        <w:tc>
          <w:tcPr>
            <w:tcW w:w="1320" w:type="dxa"/>
            <w:vAlign w:val="bottom"/>
          </w:tcPr>
          <w:p>
            <w:pPr>
              <w:jc w:val="right"/>
              <w:spacing w:after="0"/>
              <w:rPr>
                <w:sz w:val="20"/>
                <w:szCs w:val="20"/>
                <w:color w:val="auto"/>
              </w:rPr>
            </w:pPr>
            <w:r>
              <w:rPr>
                <w:rFonts w:ascii="Arial" w:cs="Arial" w:eastAsia="Arial" w:hAnsi="Arial"/>
                <w:sz w:val="14"/>
                <w:szCs w:val="14"/>
                <w:color w:val="auto"/>
              </w:rPr>
              <w:t>(0.04)</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(0.07)</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(0.01)</w:t>
            </w:r>
          </w:p>
        </w:tc>
        <w:tc>
          <w:tcPr>
            <w:tcW w:w="12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465"/>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Cash and cash equivalents</w:t>
            </w:r>
          </w:p>
        </w:tc>
        <w:tc>
          <w:tcPr>
            <w:tcW w:w="1300" w:type="dxa"/>
            <w:vAlign w:val="bottom"/>
            <w:tcBorders>
              <w:right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b w:val="1"/>
                <w:bCs w:val="1"/>
                <w:color w:val="auto"/>
              </w:rPr>
              <w:t>75,179</w:t>
            </w: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55,075</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64,026</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40,028</w:t>
            </w:r>
          </w:p>
        </w:tc>
        <w:tc>
          <w:tcPr>
            <w:tcW w:w="1320" w:type="dxa"/>
            <w:vAlign w:val="bottom"/>
          </w:tcPr>
          <w:p>
            <w:pPr>
              <w:jc w:val="right"/>
              <w:ind w:right="31"/>
              <w:spacing w:after="0"/>
              <w:rPr>
                <w:sz w:val="20"/>
                <w:szCs w:val="20"/>
                <w:color w:val="auto"/>
              </w:rPr>
            </w:pPr>
            <w:r>
              <w:rPr>
                <w:rFonts w:ascii="Arial" w:cs="Arial" w:eastAsia="Arial" w:hAnsi="Arial"/>
                <w:sz w:val="14"/>
                <w:szCs w:val="14"/>
                <w:color w:val="auto"/>
              </w:rPr>
              <w:t>3,868</w:t>
            </w: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7,679</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1,545</w:t>
            </w:r>
          </w:p>
        </w:tc>
        <w:tc>
          <w:tcPr>
            <w:tcW w:w="128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Total Assets ($)</w:t>
            </w:r>
          </w:p>
        </w:tc>
        <w:tc>
          <w:tcPr>
            <w:tcW w:w="1300" w:type="dxa"/>
            <w:vAlign w:val="bottom"/>
            <w:tcBorders>
              <w:right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b w:val="1"/>
                <w:bCs w:val="1"/>
                <w:color w:val="auto"/>
              </w:rPr>
              <w:t>105,465</w:t>
            </w: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82,837</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92,112</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61,254</w:t>
            </w:r>
          </w:p>
        </w:tc>
        <w:tc>
          <w:tcPr>
            <w:tcW w:w="1320" w:type="dxa"/>
            <w:vAlign w:val="bottom"/>
          </w:tcPr>
          <w:p>
            <w:pPr>
              <w:jc w:val="right"/>
              <w:ind w:right="31"/>
              <w:spacing w:after="0"/>
              <w:rPr>
                <w:sz w:val="20"/>
                <w:szCs w:val="20"/>
                <w:color w:val="auto"/>
              </w:rPr>
            </w:pPr>
            <w:r>
              <w:rPr>
                <w:rFonts w:ascii="Arial" w:cs="Arial" w:eastAsia="Arial" w:hAnsi="Arial"/>
                <w:sz w:val="14"/>
                <w:szCs w:val="14"/>
                <w:color w:val="auto"/>
              </w:rPr>
              <w:t>5,789</w:t>
            </w: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8,891</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1,711</w:t>
            </w:r>
          </w:p>
        </w:tc>
        <w:tc>
          <w:tcPr>
            <w:tcW w:w="128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12"/>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w w:val="99"/>
              </w:rPr>
              <w:t>Total Non-Current Liabilities</w:t>
            </w:r>
          </w:p>
        </w:tc>
        <w:tc>
          <w:tcPr>
            <w:tcW w:w="1300" w:type="dxa"/>
            <w:vAlign w:val="bottom"/>
            <w:tcBorders>
              <w:right w:val="single" w:sz="8" w:color="DBDBDB"/>
            </w:tcBorders>
            <w:vMerge w:val="restart"/>
            <w:shd w:val="clear" w:color="auto" w:fill="DBDBDB"/>
          </w:tcPr>
          <w:p>
            <w:pPr>
              <w:jc w:val="right"/>
              <w:ind w:right="11"/>
              <w:spacing w:after="0"/>
              <w:rPr>
                <w:sz w:val="20"/>
                <w:szCs w:val="20"/>
                <w:color w:val="auto"/>
              </w:rPr>
            </w:pPr>
            <w:r>
              <w:rPr>
                <w:rFonts w:ascii="Arial" w:cs="Arial" w:eastAsia="Arial" w:hAnsi="Arial"/>
                <w:sz w:val="14"/>
                <w:szCs w:val="14"/>
                <w:b w:val="1"/>
                <w:bCs w:val="1"/>
                <w:color w:val="auto"/>
              </w:rPr>
              <w:t>363</w:t>
            </w: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DBDBDB"/>
              <w:right w:val="single" w:sz="8" w:color="DBDBDB"/>
            </w:tcBorders>
            <w:vMerge w:val="continue"/>
            <w:shd w:val="clear" w:color="auto" w:fill="DBDBDB"/>
          </w:tcPr>
          <w:p>
            <w:pPr>
              <w:spacing w:after="0"/>
              <w:rPr>
                <w:sz w:val="15"/>
                <w:szCs w:val="15"/>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770</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1,094</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3,442</w:t>
            </w:r>
          </w:p>
        </w:tc>
        <w:tc>
          <w:tcPr>
            <w:tcW w:w="13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dividends on the Common Shares and does not anticipate declaring any dividends in the near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540" w:type="dxa"/>
            <w:vAlign w:val="bottom"/>
            <w:gridSpan w:val="2"/>
          </w:tcPr>
          <w:p>
            <w:pPr>
              <w:jc w:val="right"/>
              <w:ind w:right="407"/>
              <w:spacing w:after="0"/>
              <w:rPr>
                <w:sz w:val="20"/>
                <w:szCs w:val="20"/>
                <w:color w:val="auto"/>
              </w:rPr>
            </w:pPr>
            <w:r>
              <w:rPr>
                <w:rFonts w:ascii="Arial" w:cs="Arial" w:eastAsia="Arial" w:hAnsi="Arial"/>
                <w:sz w:val="16"/>
                <w:szCs w:val="16"/>
                <w:b w:val="1"/>
                <w:bCs w:val="1"/>
                <w:color w:val="auto"/>
              </w:rPr>
              <w:t>Three months ended September 30,</w:t>
            </w:r>
          </w:p>
        </w:tc>
        <w:tc>
          <w:tcPr>
            <w:tcW w:w="3200" w:type="dxa"/>
            <w:vAlign w:val="bottom"/>
            <w:gridSpan w:val="2"/>
          </w:tcPr>
          <w:p>
            <w:pPr>
              <w:jc w:val="right"/>
              <w:ind w:right="327"/>
              <w:spacing w:after="0"/>
              <w:rPr>
                <w:sz w:val="20"/>
                <w:szCs w:val="20"/>
                <w:color w:val="auto"/>
              </w:rPr>
            </w:pPr>
            <w:r>
              <w:rPr>
                <w:rFonts w:ascii="Arial" w:cs="Arial" w:eastAsia="Arial" w:hAnsi="Arial"/>
                <w:sz w:val="16"/>
                <w:szCs w:val="16"/>
                <w:b w:val="1"/>
                <w:bCs w:val="1"/>
                <w:color w:val="auto"/>
              </w:rPr>
              <w:t>Six months ended September 30,</w:t>
            </w:r>
          </w:p>
        </w:tc>
      </w:tr>
      <w:tr>
        <w:trPr>
          <w:trHeight w:val="25"/>
        </w:trPr>
        <w:tc>
          <w:tcPr>
            <w:tcW w:w="45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5"/>
        </w:trPr>
        <w:tc>
          <w:tcPr>
            <w:tcW w:w="4500" w:type="dxa"/>
            <w:vAlign w:val="bottom"/>
          </w:tcPr>
          <w:p>
            <w:pPr>
              <w:spacing w:after="0"/>
              <w:rPr>
                <w:sz w:val="16"/>
                <w:szCs w:val="16"/>
                <w:color w:val="auto"/>
              </w:rPr>
            </w:pPr>
          </w:p>
        </w:tc>
        <w:tc>
          <w:tcPr>
            <w:tcW w:w="2080" w:type="dxa"/>
            <w:vAlign w:val="bottom"/>
          </w:tcPr>
          <w:p>
            <w:pPr>
              <w:jc w:val="right"/>
              <w:ind w:right="386"/>
              <w:spacing w:after="0"/>
              <w:rPr>
                <w:sz w:val="20"/>
                <w:szCs w:val="20"/>
                <w:color w:val="auto"/>
              </w:rPr>
            </w:pPr>
            <w:r>
              <w:rPr>
                <w:rFonts w:ascii="Arial" w:cs="Arial" w:eastAsia="Arial" w:hAnsi="Arial"/>
                <w:sz w:val="15"/>
                <w:szCs w:val="15"/>
                <w:b w:val="1"/>
                <w:bCs w:val="1"/>
                <w:color w:val="auto"/>
              </w:rPr>
              <w:t>2021</w:t>
            </w:r>
          </w:p>
        </w:tc>
        <w:tc>
          <w:tcPr>
            <w:tcW w:w="1460" w:type="dxa"/>
            <w:vAlign w:val="bottom"/>
          </w:tcPr>
          <w:p>
            <w:pPr>
              <w:jc w:val="right"/>
              <w:ind w:right="167"/>
              <w:spacing w:after="0"/>
              <w:rPr>
                <w:sz w:val="20"/>
                <w:szCs w:val="20"/>
                <w:color w:val="auto"/>
              </w:rPr>
            </w:pPr>
            <w:r>
              <w:rPr>
                <w:rFonts w:ascii="Arial" w:cs="Arial" w:eastAsia="Arial" w:hAnsi="Arial"/>
                <w:sz w:val="15"/>
                <w:szCs w:val="15"/>
                <w:b w:val="1"/>
                <w:bCs w:val="1"/>
                <w:color w:val="auto"/>
              </w:rPr>
              <w:t>2020</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2021</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2020</w:t>
            </w:r>
          </w:p>
        </w:tc>
      </w:tr>
      <w:tr>
        <w:trPr>
          <w:trHeight w:val="29"/>
        </w:trPr>
        <w:tc>
          <w:tcPr>
            <w:tcW w:w="45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54"/>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REVENUE</w:t>
            </w:r>
          </w:p>
        </w:tc>
        <w:tc>
          <w:tcPr>
            <w:tcW w:w="2080" w:type="dxa"/>
            <w:vAlign w:val="bottom"/>
          </w:tcPr>
          <w:p>
            <w:pPr>
              <w:jc w:val="right"/>
              <w:ind w:right="38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864</w:t>
            </w:r>
          </w:p>
        </w:tc>
      </w:tr>
      <w:tr>
        <w:trPr>
          <w:trHeight w:val="232"/>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COST OF GOODS SOLD</w:t>
            </w:r>
          </w:p>
        </w:tc>
        <w:tc>
          <w:tcPr>
            <w:tcW w:w="2080" w:type="dxa"/>
            <w:vAlign w:val="bottom"/>
          </w:tcPr>
          <w:p>
            <w:pPr>
              <w:jc w:val="right"/>
              <w:ind w:right="38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664</w:t>
            </w:r>
          </w:p>
        </w:tc>
      </w:tr>
      <w:tr>
        <w:trPr>
          <w:trHeight w:val="29"/>
        </w:trPr>
        <w:tc>
          <w:tcPr>
            <w:tcW w:w="45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5"/>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GROSS PROFIT</w:t>
            </w:r>
          </w:p>
        </w:tc>
        <w:tc>
          <w:tcPr>
            <w:tcW w:w="2080" w:type="dxa"/>
            <w:vAlign w:val="bottom"/>
          </w:tcPr>
          <w:p>
            <w:pPr>
              <w:jc w:val="right"/>
              <w:ind w:right="38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9"/>
        </w:trPr>
        <w:tc>
          <w:tcPr>
            <w:tcW w:w="45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EXPENSES</w:t>
            </w:r>
          </w:p>
        </w:tc>
        <w:tc>
          <w:tcPr>
            <w:tcW w:w="2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2"/>
        </w:trPr>
        <w:tc>
          <w:tcPr>
            <w:tcW w:w="450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2080" w:type="dxa"/>
            <w:vAlign w:val="bottom"/>
          </w:tcPr>
          <w:p>
            <w:pPr>
              <w:jc w:val="right"/>
              <w:ind w:right="386"/>
              <w:spacing w:after="0"/>
              <w:rPr>
                <w:sz w:val="20"/>
                <w:szCs w:val="20"/>
                <w:color w:val="auto"/>
              </w:rPr>
            </w:pPr>
            <w:r>
              <w:rPr>
                <w:rFonts w:ascii="Arial" w:cs="Arial" w:eastAsia="Arial" w:hAnsi="Arial"/>
                <w:sz w:val="15"/>
                <w:szCs w:val="15"/>
                <w:b w:val="1"/>
                <w:bCs w:val="1"/>
                <w:color w:val="auto"/>
              </w:rPr>
              <w:t>5,457</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786</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10,230</w:t>
            </w:r>
          </w:p>
        </w:tc>
        <w:tc>
          <w:tcPr>
            <w:tcW w:w="1280" w:type="dxa"/>
            <w:vAlign w:val="bottom"/>
          </w:tcPr>
          <w:p>
            <w:pPr>
              <w:jc w:val="right"/>
              <w:spacing w:after="0"/>
              <w:rPr>
                <w:sz w:val="20"/>
                <w:szCs w:val="20"/>
                <w:color w:val="auto"/>
              </w:rPr>
            </w:pPr>
            <w:r>
              <w:rPr>
                <w:rFonts w:ascii="Arial" w:cs="Arial" w:eastAsia="Arial" w:hAnsi="Arial"/>
                <w:sz w:val="15"/>
                <w:szCs w:val="15"/>
                <w:color w:val="auto"/>
              </w:rPr>
              <w:t>3,274</w:t>
            </w:r>
          </w:p>
        </w:tc>
      </w:tr>
      <w:tr>
        <w:trPr>
          <w:trHeight w:val="232"/>
        </w:trPr>
        <w:tc>
          <w:tcPr>
            <w:tcW w:w="4500" w:type="dxa"/>
            <w:vAlign w:val="bottom"/>
          </w:tcPr>
          <w:p>
            <w:pPr>
              <w:ind w:left="200"/>
              <w:spacing w:after="0"/>
              <w:rPr>
                <w:sz w:val="20"/>
                <w:szCs w:val="20"/>
                <w:color w:val="auto"/>
              </w:rPr>
            </w:pPr>
            <w:r>
              <w:rPr>
                <w:rFonts w:ascii="Arial" w:cs="Arial" w:eastAsia="Arial" w:hAnsi="Arial"/>
                <w:sz w:val="15"/>
                <w:szCs w:val="15"/>
                <w:color w:val="auto"/>
              </w:rPr>
              <w:t>General and administrative costs</w:t>
            </w:r>
          </w:p>
        </w:tc>
        <w:tc>
          <w:tcPr>
            <w:tcW w:w="2080" w:type="dxa"/>
            <w:vAlign w:val="bottom"/>
          </w:tcPr>
          <w:p>
            <w:pPr>
              <w:jc w:val="right"/>
              <w:ind w:right="386"/>
              <w:spacing w:after="0"/>
              <w:rPr>
                <w:sz w:val="20"/>
                <w:szCs w:val="20"/>
                <w:color w:val="auto"/>
              </w:rPr>
            </w:pPr>
            <w:r>
              <w:rPr>
                <w:rFonts w:ascii="Arial" w:cs="Arial" w:eastAsia="Arial" w:hAnsi="Arial"/>
                <w:sz w:val="15"/>
                <w:szCs w:val="15"/>
                <w:b w:val="1"/>
                <w:bCs w:val="1"/>
                <w:color w:val="auto"/>
              </w:rPr>
              <w:t>7,831</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1,340</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14,021</w:t>
            </w:r>
          </w:p>
        </w:tc>
        <w:tc>
          <w:tcPr>
            <w:tcW w:w="1280" w:type="dxa"/>
            <w:vAlign w:val="bottom"/>
          </w:tcPr>
          <w:p>
            <w:pPr>
              <w:jc w:val="right"/>
              <w:spacing w:after="0"/>
              <w:rPr>
                <w:sz w:val="20"/>
                <w:szCs w:val="20"/>
                <w:color w:val="auto"/>
              </w:rPr>
            </w:pPr>
            <w:r>
              <w:rPr>
                <w:rFonts w:ascii="Arial" w:cs="Arial" w:eastAsia="Arial" w:hAnsi="Arial"/>
                <w:sz w:val="15"/>
                <w:szCs w:val="15"/>
                <w:color w:val="auto"/>
              </w:rPr>
              <w:t>2,567</w:t>
            </w:r>
          </w:p>
        </w:tc>
      </w:tr>
      <w:tr>
        <w:trPr>
          <w:trHeight w:val="232"/>
        </w:trPr>
        <w:tc>
          <w:tcPr>
            <w:tcW w:w="4500" w:type="dxa"/>
            <w:vAlign w:val="bottom"/>
          </w:tcPr>
          <w:p>
            <w:pPr>
              <w:ind w:left="200"/>
              <w:spacing w:after="0"/>
              <w:rPr>
                <w:sz w:val="20"/>
                <w:szCs w:val="20"/>
                <w:color w:val="auto"/>
              </w:rPr>
            </w:pPr>
            <w:r>
              <w:rPr>
                <w:rFonts w:ascii="Arial" w:cs="Arial" w:eastAsia="Arial" w:hAnsi="Arial"/>
                <w:sz w:val="15"/>
                <w:szCs w:val="15"/>
                <w:color w:val="auto"/>
              </w:rPr>
              <w:t>Research</w:t>
            </w:r>
          </w:p>
        </w:tc>
        <w:tc>
          <w:tcPr>
            <w:tcW w:w="2080" w:type="dxa"/>
            <w:vAlign w:val="bottom"/>
          </w:tcPr>
          <w:p>
            <w:pPr>
              <w:jc w:val="right"/>
              <w:ind w:right="386"/>
              <w:spacing w:after="0"/>
              <w:rPr>
                <w:sz w:val="20"/>
                <w:szCs w:val="20"/>
                <w:color w:val="auto"/>
              </w:rPr>
            </w:pPr>
            <w:r>
              <w:rPr>
                <w:rFonts w:ascii="Arial" w:cs="Arial" w:eastAsia="Arial" w:hAnsi="Arial"/>
                <w:sz w:val="15"/>
                <w:szCs w:val="15"/>
                <w:b w:val="1"/>
                <w:bCs w:val="1"/>
                <w:color w:val="auto"/>
              </w:rPr>
              <w:t>3,818</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435</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6,794</w:t>
            </w:r>
          </w:p>
        </w:tc>
        <w:tc>
          <w:tcPr>
            <w:tcW w:w="1280" w:type="dxa"/>
            <w:vAlign w:val="bottom"/>
          </w:tcPr>
          <w:p>
            <w:pPr>
              <w:jc w:val="right"/>
              <w:spacing w:after="0"/>
              <w:rPr>
                <w:sz w:val="20"/>
                <w:szCs w:val="20"/>
                <w:color w:val="auto"/>
              </w:rPr>
            </w:pPr>
            <w:r>
              <w:rPr>
                <w:rFonts w:ascii="Arial" w:cs="Arial" w:eastAsia="Arial" w:hAnsi="Arial"/>
                <w:sz w:val="15"/>
                <w:szCs w:val="15"/>
                <w:color w:val="auto"/>
              </w:rPr>
              <w:t>1,140</w:t>
            </w:r>
          </w:p>
        </w:tc>
      </w:tr>
      <w:tr>
        <w:trPr>
          <w:trHeight w:val="115"/>
        </w:trPr>
        <w:tc>
          <w:tcPr>
            <w:tcW w:w="45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r>
        <w:trPr>
          <w:trHeight w:val="195"/>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TOTAL EXPENSES</w:t>
            </w:r>
          </w:p>
        </w:tc>
        <w:tc>
          <w:tcPr>
            <w:tcW w:w="2080" w:type="dxa"/>
            <w:vAlign w:val="bottom"/>
          </w:tcPr>
          <w:p>
            <w:pPr>
              <w:jc w:val="right"/>
              <w:ind w:right="386"/>
              <w:spacing w:after="0"/>
              <w:rPr>
                <w:sz w:val="20"/>
                <w:szCs w:val="20"/>
                <w:color w:val="auto"/>
              </w:rPr>
            </w:pPr>
            <w:r>
              <w:rPr>
                <w:rFonts w:ascii="Arial" w:cs="Arial" w:eastAsia="Arial" w:hAnsi="Arial"/>
                <w:sz w:val="15"/>
                <w:szCs w:val="15"/>
                <w:b w:val="1"/>
                <w:bCs w:val="1"/>
                <w:color w:val="auto"/>
              </w:rPr>
              <w:t>17,106</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2,561</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31,045</w:t>
            </w:r>
          </w:p>
        </w:tc>
        <w:tc>
          <w:tcPr>
            <w:tcW w:w="1280" w:type="dxa"/>
            <w:vAlign w:val="bottom"/>
          </w:tcPr>
          <w:p>
            <w:pPr>
              <w:jc w:val="right"/>
              <w:spacing w:after="0"/>
              <w:rPr>
                <w:sz w:val="20"/>
                <w:szCs w:val="20"/>
                <w:color w:val="auto"/>
              </w:rPr>
            </w:pPr>
            <w:r>
              <w:rPr>
                <w:rFonts w:ascii="Arial" w:cs="Arial" w:eastAsia="Arial" w:hAnsi="Arial"/>
                <w:sz w:val="15"/>
                <w:szCs w:val="15"/>
                <w:color w:val="auto"/>
              </w:rPr>
              <w:t>6,981</w:t>
            </w:r>
          </w:p>
        </w:tc>
      </w:tr>
      <w:tr>
        <w:trPr>
          <w:trHeight w:val="29"/>
        </w:trPr>
        <w:tc>
          <w:tcPr>
            <w:tcW w:w="45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OTHER INCOME (EXPENSES)</w:t>
            </w:r>
          </w:p>
        </w:tc>
        <w:tc>
          <w:tcPr>
            <w:tcW w:w="2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2"/>
        </w:trPr>
        <w:tc>
          <w:tcPr>
            <w:tcW w:w="450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2080" w:type="dxa"/>
            <w:vAlign w:val="bottom"/>
          </w:tcPr>
          <w:p>
            <w:pPr>
              <w:jc w:val="right"/>
              <w:ind w:right="386"/>
              <w:spacing w:after="0"/>
              <w:rPr>
                <w:sz w:val="20"/>
                <w:szCs w:val="20"/>
                <w:color w:val="auto"/>
              </w:rPr>
            </w:pPr>
            <w:r>
              <w:rPr>
                <w:rFonts w:ascii="Arial" w:cs="Arial" w:eastAsia="Arial" w:hAnsi="Arial"/>
                <w:sz w:val="15"/>
                <w:szCs w:val="15"/>
                <w:b w:val="1"/>
                <w:bCs w:val="1"/>
                <w:color w:val="auto"/>
              </w:rPr>
              <w:t>51</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95</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4500" w:type="dxa"/>
            <w:vAlign w:val="bottom"/>
          </w:tcPr>
          <w:p>
            <w:pPr>
              <w:ind w:left="200"/>
              <w:spacing w:after="0"/>
              <w:rPr>
                <w:sz w:val="20"/>
                <w:szCs w:val="20"/>
                <w:color w:val="auto"/>
              </w:rPr>
            </w:pPr>
            <w:r>
              <w:rPr>
                <w:rFonts w:ascii="Arial" w:cs="Arial" w:eastAsia="Arial" w:hAnsi="Arial"/>
                <w:sz w:val="15"/>
                <w:szCs w:val="15"/>
                <w:color w:val="auto"/>
              </w:rPr>
              <w:t>Accretion on convertible debt</w:t>
            </w:r>
          </w:p>
        </w:tc>
        <w:tc>
          <w:tcPr>
            <w:tcW w:w="2080" w:type="dxa"/>
            <w:vAlign w:val="bottom"/>
          </w:tcPr>
          <w:p>
            <w:pPr>
              <w:jc w:val="right"/>
              <w:ind w:right="38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32"/>
        </w:trPr>
        <w:tc>
          <w:tcPr>
            <w:tcW w:w="4500" w:type="dxa"/>
            <w:vAlign w:val="bottom"/>
          </w:tcPr>
          <w:p>
            <w:pPr>
              <w:ind w:left="260"/>
              <w:spacing w:after="0"/>
              <w:rPr>
                <w:sz w:val="20"/>
                <w:szCs w:val="20"/>
                <w:color w:val="auto"/>
              </w:rPr>
            </w:pPr>
            <w:r>
              <w:rPr>
                <w:rFonts w:ascii="Arial" w:cs="Arial" w:eastAsia="Arial" w:hAnsi="Arial"/>
                <w:sz w:val="15"/>
                <w:szCs w:val="15"/>
                <w:color w:val="auto"/>
              </w:rPr>
              <w:t>Foreign currency translation gain (loss)</w:t>
            </w:r>
          </w:p>
        </w:tc>
        <w:tc>
          <w:tcPr>
            <w:tcW w:w="2080" w:type="dxa"/>
            <w:vAlign w:val="bottom"/>
          </w:tcPr>
          <w:p>
            <w:pPr>
              <w:jc w:val="right"/>
              <w:ind w:right="386"/>
              <w:spacing w:after="0"/>
              <w:rPr>
                <w:sz w:val="20"/>
                <w:szCs w:val="20"/>
                <w:color w:val="auto"/>
              </w:rPr>
            </w:pPr>
            <w:r>
              <w:rPr>
                <w:rFonts w:ascii="Arial" w:cs="Arial" w:eastAsia="Arial" w:hAnsi="Arial"/>
                <w:sz w:val="15"/>
                <w:szCs w:val="15"/>
                <w:b w:val="1"/>
                <w:bCs w:val="1"/>
                <w:color w:val="auto"/>
              </w:rPr>
              <w:t>155</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(99)</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106</w:t>
            </w:r>
          </w:p>
        </w:tc>
        <w:tc>
          <w:tcPr>
            <w:tcW w:w="1280" w:type="dxa"/>
            <w:vAlign w:val="bottom"/>
          </w:tcPr>
          <w:p>
            <w:pPr>
              <w:jc w:val="right"/>
              <w:spacing w:after="0"/>
              <w:rPr>
                <w:sz w:val="20"/>
                <w:szCs w:val="20"/>
                <w:color w:val="auto"/>
              </w:rPr>
            </w:pPr>
            <w:r>
              <w:rPr>
                <w:rFonts w:ascii="Arial" w:cs="Arial" w:eastAsia="Arial" w:hAnsi="Arial"/>
                <w:sz w:val="15"/>
                <w:szCs w:val="15"/>
                <w:color w:val="auto"/>
              </w:rPr>
              <w:t>(232)</w:t>
            </w:r>
          </w:p>
        </w:tc>
      </w:tr>
      <w:tr>
        <w:trPr>
          <w:trHeight w:val="232"/>
        </w:trPr>
        <w:tc>
          <w:tcPr>
            <w:tcW w:w="4500" w:type="dxa"/>
            <w:vAlign w:val="bottom"/>
          </w:tcPr>
          <w:p>
            <w:pPr>
              <w:ind w:left="260"/>
              <w:spacing w:after="0"/>
              <w:rPr>
                <w:sz w:val="20"/>
                <w:szCs w:val="20"/>
                <w:color w:val="auto"/>
              </w:rPr>
            </w:pPr>
            <w:r>
              <w:rPr>
                <w:rFonts w:ascii="Arial" w:cs="Arial" w:eastAsia="Arial" w:hAnsi="Arial"/>
                <w:sz w:val="15"/>
                <w:szCs w:val="15"/>
                <w:color w:val="auto"/>
              </w:rPr>
              <w:t>Contingent consideration accretion</w:t>
            </w:r>
          </w:p>
        </w:tc>
        <w:tc>
          <w:tcPr>
            <w:tcW w:w="2080" w:type="dxa"/>
            <w:vAlign w:val="bottom"/>
          </w:tcPr>
          <w:p>
            <w:pPr>
              <w:jc w:val="right"/>
              <w:ind w:right="386"/>
              <w:spacing w:after="0"/>
              <w:rPr>
                <w:sz w:val="20"/>
                <w:szCs w:val="20"/>
                <w:color w:val="auto"/>
              </w:rPr>
            </w:pPr>
            <w:r>
              <w:rPr>
                <w:rFonts w:ascii="Arial" w:cs="Arial" w:eastAsia="Arial" w:hAnsi="Arial"/>
                <w:sz w:val="15"/>
                <w:szCs w:val="15"/>
                <w:b w:val="1"/>
                <w:bCs w:val="1"/>
                <w:color w:val="auto"/>
              </w:rPr>
              <w:t>(70)</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(231)</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4500" w:type="dxa"/>
            <w:vAlign w:val="bottom"/>
          </w:tcPr>
          <w:p>
            <w:pPr>
              <w:ind w:left="240"/>
              <w:spacing w:after="0"/>
              <w:rPr>
                <w:sz w:val="20"/>
                <w:szCs w:val="20"/>
                <w:color w:val="auto"/>
              </w:rPr>
            </w:pPr>
            <w:r>
              <w:rPr>
                <w:rFonts w:ascii="Arial" w:cs="Arial" w:eastAsia="Arial" w:hAnsi="Arial"/>
                <w:sz w:val="15"/>
                <w:szCs w:val="15"/>
                <w:color w:val="auto"/>
              </w:rPr>
              <w:t>Change in fair value of contingent consideration</w:t>
            </w:r>
          </w:p>
        </w:tc>
        <w:tc>
          <w:tcPr>
            <w:tcW w:w="2080" w:type="dxa"/>
            <w:vAlign w:val="bottom"/>
          </w:tcPr>
          <w:p>
            <w:pPr>
              <w:jc w:val="right"/>
              <w:ind w:right="386"/>
              <w:spacing w:after="0"/>
              <w:rPr>
                <w:sz w:val="20"/>
                <w:szCs w:val="20"/>
                <w:color w:val="auto"/>
              </w:rPr>
            </w:pPr>
            <w:r>
              <w:rPr>
                <w:rFonts w:ascii="Arial" w:cs="Arial" w:eastAsia="Arial" w:hAnsi="Arial"/>
                <w:sz w:val="15"/>
                <w:szCs w:val="15"/>
                <w:b w:val="1"/>
                <w:bCs w:val="1"/>
                <w:color w:val="auto"/>
              </w:rPr>
              <w:t>(637)</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(1,249)</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15"/>
        </w:trPr>
        <w:tc>
          <w:tcPr>
            <w:tcW w:w="45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r>
        <w:trPr>
          <w:trHeight w:val="195"/>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TOTAL OTHER EXPENSES</w:t>
            </w:r>
          </w:p>
        </w:tc>
        <w:tc>
          <w:tcPr>
            <w:tcW w:w="2080" w:type="dxa"/>
            <w:vAlign w:val="bottom"/>
          </w:tcPr>
          <w:p>
            <w:pPr>
              <w:jc w:val="right"/>
              <w:ind w:right="386"/>
              <w:spacing w:after="0"/>
              <w:rPr>
                <w:sz w:val="20"/>
                <w:szCs w:val="20"/>
                <w:color w:val="auto"/>
              </w:rPr>
            </w:pPr>
            <w:r>
              <w:rPr>
                <w:rFonts w:ascii="Arial" w:cs="Arial" w:eastAsia="Arial" w:hAnsi="Arial"/>
                <w:sz w:val="15"/>
                <w:szCs w:val="15"/>
                <w:b w:val="1"/>
                <w:bCs w:val="1"/>
                <w:color w:val="auto"/>
              </w:rPr>
              <w:t>(501)</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(99)</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(1,279)</w:t>
            </w:r>
          </w:p>
        </w:tc>
        <w:tc>
          <w:tcPr>
            <w:tcW w:w="1280" w:type="dxa"/>
            <w:vAlign w:val="bottom"/>
          </w:tcPr>
          <w:p>
            <w:pPr>
              <w:jc w:val="right"/>
              <w:spacing w:after="0"/>
              <w:rPr>
                <w:sz w:val="20"/>
                <w:szCs w:val="20"/>
                <w:color w:val="auto"/>
              </w:rPr>
            </w:pPr>
            <w:r>
              <w:rPr>
                <w:rFonts w:ascii="Arial" w:cs="Arial" w:eastAsia="Arial" w:hAnsi="Arial"/>
                <w:sz w:val="15"/>
                <w:szCs w:val="15"/>
                <w:color w:val="auto"/>
              </w:rPr>
              <w:t>(242)</w:t>
            </w:r>
          </w:p>
        </w:tc>
      </w:tr>
      <w:tr>
        <w:trPr>
          <w:trHeight w:val="29"/>
        </w:trPr>
        <w:tc>
          <w:tcPr>
            <w:tcW w:w="45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7"/>
        </w:trPr>
        <w:tc>
          <w:tcPr>
            <w:tcW w:w="450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230"/>
        </w:trPr>
        <w:tc>
          <w:tcPr>
            <w:tcW w:w="450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2080" w:type="dxa"/>
            <w:vAlign w:val="bottom"/>
            <w:tcBorders>
              <w:bottom w:val="single" w:sz="8" w:color="D9D9D9"/>
            </w:tcBorders>
            <w:shd w:val="clear" w:color="auto" w:fill="D9D9D9"/>
          </w:tcPr>
          <w:p>
            <w:pPr>
              <w:jc w:val="right"/>
              <w:ind w:right="386"/>
              <w:spacing w:after="0"/>
              <w:rPr>
                <w:sz w:val="20"/>
                <w:szCs w:val="20"/>
                <w:color w:val="auto"/>
              </w:rPr>
            </w:pPr>
            <w:r>
              <w:rPr>
                <w:rFonts w:ascii="Arial" w:cs="Arial" w:eastAsia="Arial" w:hAnsi="Arial"/>
                <w:sz w:val="15"/>
                <w:szCs w:val="15"/>
                <w:b w:val="1"/>
                <w:bCs w:val="1"/>
                <w:color w:val="auto"/>
              </w:rPr>
              <w:t>(17,607)</w:t>
            </w:r>
          </w:p>
        </w:tc>
        <w:tc>
          <w:tcPr>
            <w:tcW w:w="1460" w:type="dxa"/>
            <w:vAlign w:val="bottom"/>
            <w:tcBorders>
              <w:bottom w:val="single" w:sz="8" w:color="D9D9D9"/>
            </w:tcBorders>
            <w:shd w:val="clear" w:color="auto" w:fill="D9D9D9"/>
          </w:tcPr>
          <w:p>
            <w:pPr>
              <w:jc w:val="right"/>
              <w:ind w:right="167"/>
              <w:spacing w:after="0"/>
              <w:rPr>
                <w:sz w:val="20"/>
                <w:szCs w:val="20"/>
                <w:color w:val="auto"/>
              </w:rPr>
            </w:pPr>
            <w:r>
              <w:rPr>
                <w:rFonts w:ascii="Arial" w:cs="Arial" w:eastAsia="Arial" w:hAnsi="Arial"/>
                <w:sz w:val="15"/>
                <w:szCs w:val="15"/>
                <w:color w:val="auto"/>
              </w:rPr>
              <w:t>(2,660)</w:t>
            </w:r>
          </w:p>
        </w:tc>
        <w:tc>
          <w:tcPr>
            <w:tcW w:w="1920" w:type="dxa"/>
            <w:vAlign w:val="bottom"/>
            <w:tcBorders>
              <w:bottom w:val="single" w:sz="8" w:color="D9D9D9"/>
            </w:tcBorders>
            <w:shd w:val="clear" w:color="auto" w:fill="D9D9D9"/>
          </w:tcPr>
          <w:p>
            <w:pPr>
              <w:jc w:val="right"/>
              <w:ind w:right="406"/>
              <w:spacing w:after="0"/>
              <w:rPr>
                <w:sz w:val="20"/>
                <w:szCs w:val="20"/>
                <w:color w:val="auto"/>
              </w:rPr>
            </w:pPr>
            <w:r>
              <w:rPr>
                <w:rFonts w:ascii="Arial" w:cs="Arial" w:eastAsia="Arial" w:hAnsi="Arial"/>
                <w:sz w:val="15"/>
                <w:szCs w:val="15"/>
                <w:b w:val="1"/>
                <w:bCs w:val="1"/>
                <w:color w:val="auto"/>
              </w:rPr>
              <w:t>(32,324)</w:t>
            </w:r>
          </w:p>
        </w:tc>
        <w:tc>
          <w:tcPr>
            <w:tcW w:w="12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5"/>
                <w:szCs w:val="15"/>
                <w:color w:val="auto"/>
              </w:rPr>
              <w:t>(7,023)</w:t>
            </w:r>
          </w:p>
        </w:tc>
      </w:tr>
      <w:tr>
        <w:trPr>
          <w:trHeight w:val="404"/>
        </w:trPr>
        <w:tc>
          <w:tcPr>
            <w:tcW w:w="450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Basic loss per share for the period attributable to common</w:t>
            </w:r>
          </w:p>
        </w:tc>
        <w:tc>
          <w:tcPr>
            <w:tcW w:w="20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195"/>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shareholders</w:t>
            </w:r>
          </w:p>
        </w:tc>
        <w:tc>
          <w:tcPr>
            <w:tcW w:w="2080" w:type="dxa"/>
            <w:vAlign w:val="bottom"/>
          </w:tcPr>
          <w:p>
            <w:pPr>
              <w:jc w:val="right"/>
              <w:ind w:right="386"/>
              <w:spacing w:after="0"/>
              <w:rPr>
                <w:sz w:val="20"/>
                <w:szCs w:val="20"/>
                <w:color w:val="auto"/>
              </w:rPr>
            </w:pPr>
            <w:r>
              <w:rPr>
                <w:rFonts w:ascii="Arial" w:cs="Arial" w:eastAsia="Arial" w:hAnsi="Arial"/>
                <w:sz w:val="15"/>
                <w:szCs w:val="15"/>
                <w:b w:val="1"/>
                <w:bCs w:val="1"/>
                <w:color w:val="auto"/>
              </w:rPr>
              <w:t>(0.11)</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(0.04)</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(0.20)</w:t>
            </w:r>
          </w:p>
        </w:tc>
        <w:tc>
          <w:tcPr>
            <w:tcW w:w="1280" w:type="dxa"/>
            <w:vAlign w:val="bottom"/>
          </w:tcPr>
          <w:p>
            <w:pPr>
              <w:jc w:val="right"/>
              <w:spacing w:after="0"/>
              <w:rPr>
                <w:sz w:val="20"/>
                <w:szCs w:val="20"/>
                <w:color w:val="auto"/>
              </w:rPr>
            </w:pPr>
            <w:r>
              <w:rPr>
                <w:rFonts w:ascii="Arial" w:cs="Arial" w:eastAsia="Arial" w:hAnsi="Arial"/>
                <w:sz w:val="15"/>
                <w:szCs w:val="15"/>
                <w:color w:val="auto"/>
              </w:rPr>
              <w:t>(0.10)</w:t>
            </w:r>
          </w:p>
        </w:tc>
      </w:tr>
      <w:tr>
        <w:trPr>
          <w:trHeight w:val="29"/>
        </w:trPr>
        <w:tc>
          <w:tcPr>
            <w:tcW w:w="45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Weighted average number of common shares outstanding -</w:t>
            </w:r>
          </w:p>
        </w:tc>
        <w:tc>
          <w:tcPr>
            <w:tcW w:w="20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5"/>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basic</w:t>
            </w:r>
          </w:p>
        </w:tc>
        <w:tc>
          <w:tcPr>
            <w:tcW w:w="2080" w:type="dxa"/>
            <w:vAlign w:val="bottom"/>
          </w:tcPr>
          <w:p>
            <w:pPr>
              <w:jc w:val="right"/>
              <w:ind w:right="386"/>
              <w:spacing w:after="0"/>
              <w:rPr>
                <w:sz w:val="20"/>
                <w:szCs w:val="20"/>
                <w:color w:val="auto"/>
              </w:rPr>
            </w:pPr>
            <w:r>
              <w:rPr>
                <w:rFonts w:ascii="Arial" w:cs="Arial" w:eastAsia="Arial" w:hAnsi="Arial"/>
                <w:sz w:val="15"/>
                <w:szCs w:val="15"/>
                <w:b w:val="1"/>
                <w:bCs w:val="1"/>
                <w:color w:val="auto"/>
              </w:rPr>
              <w:t>165,783,294</w:t>
            </w:r>
          </w:p>
        </w:tc>
        <w:tc>
          <w:tcPr>
            <w:tcW w:w="1460" w:type="dxa"/>
            <w:vAlign w:val="bottom"/>
          </w:tcPr>
          <w:p>
            <w:pPr>
              <w:jc w:val="right"/>
              <w:ind w:right="167"/>
              <w:spacing w:after="0"/>
              <w:rPr>
                <w:sz w:val="20"/>
                <w:szCs w:val="20"/>
                <w:color w:val="auto"/>
              </w:rPr>
            </w:pPr>
            <w:r>
              <w:rPr>
                <w:rFonts w:ascii="Arial" w:cs="Arial" w:eastAsia="Arial" w:hAnsi="Arial"/>
                <w:sz w:val="15"/>
                <w:szCs w:val="15"/>
                <w:color w:val="auto"/>
              </w:rPr>
              <w:t>69,150,254</w:t>
            </w:r>
          </w:p>
        </w:tc>
        <w:tc>
          <w:tcPr>
            <w:tcW w:w="1920" w:type="dxa"/>
            <w:vAlign w:val="bottom"/>
          </w:tcPr>
          <w:p>
            <w:pPr>
              <w:jc w:val="right"/>
              <w:ind w:right="406"/>
              <w:spacing w:after="0"/>
              <w:rPr>
                <w:sz w:val="20"/>
                <w:szCs w:val="20"/>
                <w:color w:val="auto"/>
              </w:rPr>
            </w:pPr>
            <w:r>
              <w:rPr>
                <w:rFonts w:ascii="Arial" w:cs="Arial" w:eastAsia="Arial" w:hAnsi="Arial"/>
                <w:sz w:val="15"/>
                <w:szCs w:val="15"/>
                <w:b w:val="1"/>
                <w:bCs w:val="1"/>
                <w:color w:val="auto"/>
              </w:rPr>
              <w:t>161,750,053</w:t>
            </w:r>
          </w:p>
        </w:tc>
        <w:tc>
          <w:tcPr>
            <w:tcW w:w="1280" w:type="dxa"/>
            <w:vAlign w:val="bottom"/>
          </w:tcPr>
          <w:p>
            <w:pPr>
              <w:jc w:val="right"/>
              <w:spacing w:after="0"/>
              <w:rPr>
                <w:sz w:val="20"/>
                <w:szCs w:val="20"/>
                <w:color w:val="auto"/>
              </w:rPr>
            </w:pPr>
            <w:r>
              <w:rPr>
                <w:rFonts w:ascii="Arial" w:cs="Arial" w:eastAsia="Arial" w:hAnsi="Arial"/>
                <w:sz w:val="15"/>
                <w:szCs w:val="15"/>
                <w:color w:val="auto"/>
              </w:rPr>
              <w:t>69,150,254</w:t>
            </w:r>
          </w:p>
        </w:tc>
      </w:tr>
      <w:tr>
        <w:trPr>
          <w:trHeight w:val="29"/>
        </w:trPr>
        <w:tc>
          <w:tcPr>
            <w:tcW w:w="45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8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For the three-month period ended September 30, 2021, Cybin incurred a net loss $17,607 compared to a net loss of $2,660 during the same period in prior year. The significant items that occurred in the quarter include: the public</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751" w:right="339" w:bottom="1440" w:gutter="0" w:footer="0" w:header="0"/>
        </w:sectPr>
      </w:pPr>
    </w:p>
    <w:bookmarkStart w:id="61" w:name="page62"/>
    <w:bookmarkEnd w:id="61"/>
    <w:p>
      <w:pPr>
        <w:jc w:val="both"/>
        <w:spacing w:after="0" w:line="267" w:lineRule="auto"/>
        <w:rPr>
          <w:sz w:val="20"/>
          <w:szCs w:val="20"/>
          <w:color w:val="auto"/>
        </w:rPr>
      </w:pPr>
      <w:r>
        <w:rPr>
          <w:rFonts w:ascii="Arial" w:cs="Arial" w:eastAsia="Arial" w:hAnsi="Arial"/>
          <w:sz w:val="18"/>
          <w:szCs w:val="18"/>
          <w:color w:val="auto"/>
        </w:rPr>
        <w:t>offering for aggregate gross proceeds of $34,502; the listing on the NYSE American; the filing of an additional patent application; and the progression of the Company's various research projects.</w:t>
      </w:r>
    </w:p>
    <w:p>
      <w:pPr>
        <w:spacing w:after="0" w:line="17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For the six-month period ended September 30, 2021, Cybin incurred a net loss $32,324 compared to a net loss of $7,023 during the same period in prior year. In additional to the items incurred during the three-month period ended September 30, 2021, other significant items that occurred in the period include: the agreement between the Company and Catalyst Global LLC dated April 20, 2021, to provide investor relations services; the Psilocybin Zydis Feasibility study with Catalent; and the approval from the IRB to commence the study of the Company’s sublingual psilocybin formulation, subject to final confirmation of study material specifications by the MOH.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For the three-month period ended September 30, 2021, operating expenses totaled $17,106. The operating expenses include a non-cash component of $5,457 (2020 - $786) related to share-based compensation.</w:t>
      </w:r>
    </w:p>
    <w:p>
      <w:pPr>
        <w:spacing w:after="0" w:line="15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For the six-month period ended September 30, 2021, operating expenses totaled $31,045. The operating expenses include a non-cash component of $10,230 (2020 - $3,274) related to share-based compensation.</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For both the three and six-month periods ended September 30, 2021, the remaining operating expenses were incurred to support raising capital, research &amp; development and the overall development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0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During the three-month period ended September 30, 2021, Cybin issued warrants and options incurring share-based payment expense of $5,457 compared to $786 during the same period in prior year mainly as a result of the growth of the Company.</w:t>
      </w:r>
    </w:p>
    <w:p>
      <w:pPr>
        <w:spacing w:after="0" w:line="15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During the six-month period ended September 30, 2021, Cybin issued warrants and options incurring share-based payment expense of $10,230 compared to $3,274 during the same period in prior year mainly as a result of the growth of the Company.</w:t>
      </w:r>
    </w:p>
    <w:p>
      <w:pPr>
        <w:spacing w:after="0" w:line="17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share-based compensation expense was recorded based on the fair value using a Black Scholes Model. On exercise of these warrants and options the equity reserve balances will move to share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administration costs</w:t>
      </w:r>
    </w:p>
    <w:p>
      <w:pPr>
        <w:spacing w:after="0" w:line="20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For the three-month period ended September 30, 2021, general and administrative expenses were $7,831 compared to $1,340 during the same period in prior year. General and administrative expense for the three-month period are comprised of marketing related expenses of $3,450 (2020 - $367), payroll related expenses of $2,349 (2020 - $387), professional and consulting fees of $725 (2020 – $339), office and administration expenses of $1,071 (2020 - $102) and listing fees of $236 (2020 – $145).</w:t>
      </w:r>
    </w:p>
    <w:p>
      <w:pPr>
        <w:spacing w:after="0" w:line="168"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For the six-month period ended September 30, 2021, general and administrative expenses were $14,021 compared to $2,567 during the same period in prior year. General and administrative expense for the six-month period are comprised of marketing related expenses of $6,409 (2020 - $536), payroll related expenses of $3,573 (2020 - $859), professional and consulting fees of $1,793 (2020 – $894), office and administration expenses of $1,909 (2020 - $133) and listing fees of $337 (2020 – $145).</w:t>
      </w:r>
    </w:p>
    <w:p>
      <w:pPr>
        <w:spacing w:after="0" w:line="193"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For both the three and six-month periods ended September 30, 2021, the overall increase in general and administrative expenses relates to the overall growth of the Company as it continues to develop the business and promote awareness of the psychedelic industry. The Company has incurred some additional marketing expenses it considers a one time event as it continues to raise awareness of the Company and its industry. Marketing includes education, communications, and investor relations. The Company expects these expenses to decrease during calendar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320" w:top="710"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Research</w:t>
      </w:r>
    </w:p>
    <w:p>
      <w:pPr>
        <w:spacing w:after="0" w:line="22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For the three-month period ended September 30, 2021, the Company’s research expenses totaled $3,818 compared to $435 during the same period in prior year.</w:t>
      </w:r>
    </w:p>
    <w:p>
      <w:pPr>
        <w:spacing w:after="0" w:line="15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For the six-month period ended September 30, 2021, the Company’s research expenses totaled $6,794 compared to $1,140 during the same period in prior year.</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The research expenses relate to the advancement of the initial research and preliminary testing of future products. The increase in the research expense is also explained by growth in the scientific team and as well as product development and onboarding laboratories in preparation for testing. Cybin’s research and development team has completed 74 in-vitro and in-vivo evaluations of Cybin’s expanding portfolio of psychedelic compounds being designed for potential therapeutic applications for several mental health conditions. To date, more than 50 novel compounds have been evaluated through collaborations with experienced contract research organizations for pharmacokinetic/pharmacodynamic profile, metabolic stability, receptor binding, and safety in order to identify preferred candidates for further development.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gain (loss)</w:t>
      </w:r>
    </w:p>
    <w:p>
      <w:pPr>
        <w:spacing w:after="0" w:line="201"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For the three-month period ended September 30, 2021, the Company incurred a foreign currency translation gain from operations and revaluation of balance sheet assets held in U.S. dollars of $155. The U.S. dollar increased $0.0347 from $1.2394 on June 30, 2021 to $1.2741 on September 30, 2021.</w:t>
      </w:r>
    </w:p>
    <w:p>
      <w:pPr>
        <w:spacing w:after="0" w:line="106"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For the six-month period ended September 30, 2021, the Company incurred a foreign currency translation gain from operations and revaluation of balance sheet assets held in U.S. dollars of $106. The U.S. dollar increased $0.0166 from $1.2575 on March 31, 2021 to $1.2741 on September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liability accretion</w:t>
      </w:r>
    </w:p>
    <w:p>
      <w:pPr>
        <w:spacing w:after="0" w:line="20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For the three-month period ended September 30, 2021, the Company recorded an accretion expense of $70, and for the six-month period ended September 30, 2021, the Company recorded an accretion expense of $231, related to commitments to the former shareholders of Adelia based on milestone achievements (see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contingent consideration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three-month period ended September 30, 2021, the Company recorded a change in fair value of $637 related to the achievement of certain milestones in connection with the Adelia Transaction (see “Acquisitions”). The amount recorded represents the difference between the fair value of the contingent consideration determined as at June 30, 2021 and the fair value on September 30, 2021.</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six-month period ended September 30, 2021, the Company recorded a change in fair value of $1,249 related to the achievement of certain milestones in connection with the Adelia Transaction (see “Acquisitions”). The amount recorded represents the difference between the fair value of the contingent consideration determined as at June 30, 2021 and the fair value on September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w:t>
      </w:r>
    </w:p>
    <w:p>
      <w:pPr>
        <w:spacing w:after="0" w:line="188"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a pandemic. Since the outbreak of COVID-19, the Company has focused its efforts on safeguarding the health and well-being of its employees, consultants and community members. To help slow the spread of COVID-19, the Company’s employees have been working remotely, where possible, and abiding by local and national guidance put in place in Canada, the United States, and the UK related to social distancing and restrictions on travel outside of the home. The Company has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320" w:top="706"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and will continue to abide by the protocols within Canada, the United States, and the UK regarding the performance of work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the Company</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and six-month periods ended September 30, 2021, the Company has not experienced any material negative effect on its financial position as a result of COVID-19. Certain operating expenses of the Company, such as those relating to travel and office expenses, have been less than they would have been without the restrictions relating to COVID-19.</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duration and the eventual impact of the COVID-19 pandemic remains unknown. In particular, it is not possible to reliably estimate the length and severity of these developments and the impact on the financial results and condition of the Company. To date, a number of businesses have suspended or scaled back their operations and development as cases of COVID-19 have been confirmed, for precautionary purposes or as governments have declared a state of emergency or taken other actions. In the event that the operations or development of the Company are suspended or scaled back, or if the Company’s supply chains are disrupted, such events may have a material adverse effect on the Company. The Company may also experience delays in operation of its clinical trials due to slower administrative processes and response times, delayed patient recruitments, and delayed governmental approvals of import and export requests caused by the COVID-19 pandemic and the related restrictions. The breadth of the impact of the COVID-19 pandemic on investors, businesses, the global economy and financial and commodity markets may also have a material adverse effect on the Company.</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raised capital pursuant to the February 2021 Prospectus and July 2021 Prospectus to continue to support its strategic plan.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71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Liquidity, Capital Resources and Cash Flows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Arial" w:cs="Arial" w:eastAsia="Arial" w:hAnsi="Arial"/>
                <w:sz w:val="15"/>
                <w:szCs w:val="15"/>
                <w:b w:val="1"/>
                <w:bCs w:val="1"/>
                <w:color w:val="auto"/>
              </w:rPr>
              <w:t>Six Months ended</w:t>
            </w: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3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
        </w:trPr>
        <w:tc>
          <w:tcPr>
            <w:tcW w:w="3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1200" w:type="dxa"/>
            <w:vAlign w:val="bottom"/>
            <w:tcBorders>
              <w:bottom w:val="single" w:sz="8" w:color="929292"/>
            </w:tcBorders>
          </w:tcPr>
          <w:p>
            <w:pPr>
              <w:spacing w:after="0"/>
              <w:rPr>
                <w:sz w:val="2"/>
                <w:szCs w:val="2"/>
                <w:color w:val="auto"/>
              </w:rPr>
            </w:pPr>
          </w:p>
        </w:tc>
        <w:tc>
          <w:tcPr>
            <w:tcW w:w="420" w:type="dxa"/>
            <w:vAlign w:val="bottom"/>
            <w:tcBorders>
              <w:bottom w:val="single" w:sz="8" w:color="929292"/>
            </w:tcBorders>
          </w:tcPr>
          <w:p>
            <w:pPr>
              <w:spacing w:after="0"/>
              <w:rPr>
                <w:sz w:val="2"/>
                <w:szCs w:val="2"/>
                <w:color w:val="auto"/>
              </w:rPr>
            </w:pPr>
          </w:p>
        </w:tc>
        <w:tc>
          <w:tcPr>
            <w:tcW w:w="160" w:type="dxa"/>
            <w:vAlign w:val="bottom"/>
            <w:tcBorders>
              <w:bottom w:val="single" w:sz="8" w:color="929292"/>
            </w:tcBorders>
          </w:tcPr>
          <w:p>
            <w:pPr>
              <w:spacing w:after="0"/>
              <w:rPr>
                <w:sz w:val="2"/>
                <w:szCs w:val="2"/>
                <w:color w:val="auto"/>
              </w:rPr>
            </w:pPr>
          </w:p>
        </w:tc>
        <w:tc>
          <w:tcPr>
            <w:tcW w:w="118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200" w:type="dxa"/>
            <w:vAlign w:val="bottom"/>
            <w:tcBorders>
              <w:bottom w:val="single" w:sz="8" w:color="929292"/>
            </w:tcBorders>
          </w:tcPr>
          <w:p>
            <w:pPr>
              <w:spacing w:after="0"/>
              <w:rPr>
                <w:sz w:val="2"/>
                <w:szCs w:val="2"/>
                <w:color w:val="auto"/>
              </w:rPr>
            </w:pPr>
          </w:p>
        </w:tc>
        <w:tc>
          <w:tcPr>
            <w:tcW w:w="460" w:type="dxa"/>
            <w:vAlign w:val="bottom"/>
            <w:tcBorders>
              <w:bottom w:val="single" w:sz="8" w:color="929292"/>
            </w:tcBorders>
          </w:tcPr>
          <w:p>
            <w:pPr>
              <w:spacing w:after="0"/>
              <w:rPr>
                <w:sz w:val="2"/>
                <w:szCs w:val="2"/>
                <w:color w:val="auto"/>
              </w:rPr>
            </w:pPr>
          </w:p>
        </w:tc>
        <w:tc>
          <w:tcPr>
            <w:tcW w:w="12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r>
      <w:tr>
        <w:trPr>
          <w:trHeight w:val="195"/>
        </w:trPr>
        <w:tc>
          <w:tcPr>
            <w:tcW w:w="3360" w:type="dxa"/>
            <w:vAlign w:val="bottom"/>
          </w:tcPr>
          <w:p>
            <w:pPr>
              <w:ind w:left="20"/>
              <w:spacing w:after="0"/>
              <w:rPr>
                <w:sz w:val="20"/>
                <w:szCs w:val="20"/>
                <w:color w:val="auto"/>
              </w:rPr>
            </w:pPr>
            <w:r>
              <w:rPr>
                <w:rFonts w:ascii="Arial" w:cs="Arial" w:eastAsia="Arial" w:hAnsi="Arial"/>
                <w:sz w:val="15"/>
                <w:szCs w:val="15"/>
                <w:i w:val="1"/>
                <w:iCs w:val="1"/>
                <w:color w:val="auto"/>
              </w:rPr>
              <w:t>(Canadian dollars in thousands)</w:t>
            </w:r>
          </w:p>
        </w:tc>
        <w:tc>
          <w:tcPr>
            <w:tcW w:w="1660" w:type="dxa"/>
            <w:vAlign w:val="bottom"/>
            <w:gridSpan w:val="2"/>
          </w:tcPr>
          <w:p>
            <w:pPr>
              <w:jc w:val="right"/>
              <w:ind w:right="164"/>
              <w:spacing w:after="0"/>
              <w:rPr>
                <w:sz w:val="20"/>
                <w:szCs w:val="20"/>
                <w:color w:val="auto"/>
              </w:rPr>
            </w:pPr>
            <w:r>
              <w:rPr>
                <w:rFonts w:ascii="Arial" w:cs="Arial" w:eastAsia="Arial" w:hAnsi="Arial"/>
                <w:sz w:val="15"/>
                <w:szCs w:val="15"/>
                <w:b w:val="1"/>
                <w:bCs w:val="1"/>
                <w:color w:val="auto"/>
              </w:rPr>
              <w:t>2021</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2020</w:t>
            </w:r>
          </w:p>
        </w:tc>
        <w:tc>
          <w:tcPr>
            <w:tcW w:w="1200" w:type="dxa"/>
            <w:vAlign w:val="bottom"/>
          </w:tcPr>
          <w:p>
            <w:pPr>
              <w:jc w:val="right"/>
              <w:ind w:right="667"/>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jc w:val="right"/>
              <w:ind w:right="187"/>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6"/>
                <w:szCs w:val="16"/>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b w:val="1"/>
                <w:bCs w:val="1"/>
                <w:color w:val="auto"/>
              </w:rPr>
              <w:t>2021</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2020</w:t>
            </w:r>
          </w:p>
        </w:tc>
        <w:tc>
          <w:tcPr>
            <w:tcW w:w="1200" w:type="dxa"/>
            <w:vAlign w:val="bottom"/>
          </w:tcPr>
          <w:p>
            <w:pPr>
              <w:jc w:val="right"/>
              <w:ind w:right="667"/>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jc w:val="right"/>
              <w:ind w:right="207"/>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
        </w:trPr>
        <w:tc>
          <w:tcPr>
            <w:tcW w:w="3360" w:type="dxa"/>
            <w:vAlign w:val="bottom"/>
            <w:tcBorders>
              <w:bottom w:val="single" w:sz="8" w:color="B6B6B6"/>
            </w:tcBorders>
          </w:tcPr>
          <w:p>
            <w:pPr>
              <w:spacing w:after="0"/>
              <w:rPr>
                <w:sz w:val="2"/>
                <w:szCs w:val="2"/>
                <w:color w:val="auto"/>
              </w:rPr>
            </w:pPr>
          </w:p>
        </w:tc>
        <w:tc>
          <w:tcPr>
            <w:tcW w:w="500" w:type="dxa"/>
            <w:vAlign w:val="bottom"/>
            <w:tcBorders>
              <w:bottom w:val="single" w:sz="8" w:color="B6B6B6"/>
            </w:tcBorders>
          </w:tcPr>
          <w:p>
            <w:pPr>
              <w:spacing w:after="0"/>
              <w:rPr>
                <w:sz w:val="2"/>
                <w:szCs w:val="2"/>
                <w:color w:val="auto"/>
              </w:rPr>
            </w:pPr>
          </w:p>
        </w:tc>
        <w:tc>
          <w:tcPr>
            <w:tcW w:w="1160" w:type="dxa"/>
            <w:vAlign w:val="bottom"/>
            <w:tcBorders>
              <w:bottom w:val="single" w:sz="8" w:color="B6B6B6"/>
            </w:tcBorders>
          </w:tcPr>
          <w:p>
            <w:pPr>
              <w:spacing w:after="0"/>
              <w:rPr>
                <w:sz w:val="2"/>
                <w:szCs w:val="2"/>
                <w:color w:val="auto"/>
              </w:rPr>
            </w:pPr>
          </w:p>
        </w:tc>
        <w:tc>
          <w:tcPr>
            <w:tcW w:w="740" w:type="dxa"/>
            <w:vAlign w:val="bottom"/>
            <w:tcBorders>
              <w:bottom w:val="single" w:sz="8" w:color="B6B6B6"/>
            </w:tcBorders>
          </w:tcPr>
          <w:p>
            <w:pPr>
              <w:spacing w:after="0"/>
              <w:rPr>
                <w:sz w:val="2"/>
                <w:szCs w:val="2"/>
                <w:color w:val="auto"/>
              </w:rPr>
            </w:pPr>
          </w:p>
        </w:tc>
        <w:tc>
          <w:tcPr>
            <w:tcW w:w="1200" w:type="dxa"/>
            <w:vAlign w:val="bottom"/>
            <w:tcBorders>
              <w:bottom w:val="single" w:sz="8" w:color="B6B6B6"/>
            </w:tcBorders>
          </w:tcPr>
          <w:p>
            <w:pPr>
              <w:spacing w:after="0"/>
              <w:rPr>
                <w:sz w:val="2"/>
                <w:szCs w:val="2"/>
                <w:color w:val="auto"/>
              </w:rPr>
            </w:pPr>
          </w:p>
        </w:tc>
        <w:tc>
          <w:tcPr>
            <w:tcW w:w="420" w:type="dxa"/>
            <w:vAlign w:val="bottom"/>
            <w:tcBorders>
              <w:bottom w:val="single" w:sz="8" w:color="B6B6B6"/>
            </w:tcBorders>
          </w:tcPr>
          <w:p>
            <w:pPr>
              <w:spacing w:after="0"/>
              <w:rPr>
                <w:sz w:val="2"/>
                <w:szCs w:val="2"/>
                <w:color w:val="auto"/>
              </w:rPr>
            </w:pPr>
          </w:p>
        </w:tc>
        <w:tc>
          <w:tcPr>
            <w:tcW w:w="160" w:type="dxa"/>
            <w:vAlign w:val="bottom"/>
            <w:tcBorders>
              <w:bottom w:val="single" w:sz="8" w:color="B6B6B6"/>
            </w:tcBorders>
          </w:tcPr>
          <w:p>
            <w:pPr>
              <w:spacing w:after="0"/>
              <w:rPr>
                <w:sz w:val="2"/>
                <w:szCs w:val="2"/>
                <w:color w:val="auto"/>
              </w:rPr>
            </w:pPr>
          </w:p>
        </w:tc>
        <w:tc>
          <w:tcPr>
            <w:tcW w:w="1180" w:type="dxa"/>
            <w:vAlign w:val="bottom"/>
            <w:tcBorders>
              <w:bottom w:val="single" w:sz="8" w:color="B6B6B6"/>
            </w:tcBorders>
          </w:tcPr>
          <w:p>
            <w:pPr>
              <w:spacing w:after="0"/>
              <w:rPr>
                <w:sz w:val="2"/>
                <w:szCs w:val="2"/>
                <w:color w:val="auto"/>
              </w:rPr>
            </w:pPr>
          </w:p>
        </w:tc>
        <w:tc>
          <w:tcPr>
            <w:tcW w:w="720" w:type="dxa"/>
            <w:vAlign w:val="bottom"/>
            <w:tcBorders>
              <w:bottom w:val="single" w:sz="8" w:color="B6B6B6"/>
            </w:tcBorders>
          </w:tcPr>
          <w:p>
            <w:pPr>
              <w:spacing w:after="0"/>
              <w:rPr>
                <w:sz w:val="2"/>
                <w:szCs w:val="2"/>
                <w:color w:val="auto"/>
              </w:rPr>
            </w:pPr>
          </w:p>
        </w:tc>
        <w:tc>
          <w:tcPr>
            <w:tcW w:w="1200" w:type="dxa"/>
            <w:vAlign w:val="bottom"/>
            <w:tcBorders>
              <w:bottom w:val="single" w:sz="8" w:color="B6B6B6"/>
            </w:tcBorders>
          </w:tcPr>
          <w:p>
            <w:pPr>
              <w:spacing w:after="0"/>
              <w:rPr>
                <w:sz w:val="2"/>
                <w:szCs w:val="2"/>
                <w:color w:val="auto"/>
              </w:rPr>
            </w:pPr>
          </w:p>
        </w:tc>
        <w:tc>
          <w:tcPr>
            <w:tcW w:w="460" w:type="dxa"/>
            <w:vAlign w:val="bottom"/>
            <w:tcBorders>
              <w:bottom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20" w:type="dxa"/>
            <w:vAlign w:val="bottom"/>
            <w:tcBorders>
              <w:bottom w:val="single" w:sz="8" w:color="B6B6B6"/>
            </w:tcBorders>
          </w:tcPr>
          <w:p>
            <w:pPr>
              <w:spacing w:after="0"/>
              <w:rPr>
                <w:sz w:val="2"/>
                <w:szCs w:val="2"/>
                <w:color w:val="auto"/>
              </w:rPr>
            </w:pPr>
          </w:p>
        </w:tc>
      </w:tr>
      <w:tr>
        <w:trPr>
          <w:trHeight w:val="195"/>
        </w:trPr>
        <w:tc>
          <w:tcPr>
            <w:tcW w:w="3360" w:type="dxa"/>
            <w:vAlign w:val="bottom"/>
          </w:tcPr>
          <w:p>
            <w:pPr>
              <w:ind w:left="20"/>
              <w:spacing w:after="0"/>
              <w:rPr>
                <w:sz w:val="20"/>
                <w:szCs w:val="20"/>
                <w:color w:val="auto"/>
              </w:rPr>
            </w:pPr>
            <w:r>
              <w:rPr>
                <w:rFonts w:ascii="Arial" w:cs="Arial" w:eastAsia="Arial" w:hAnsi="Arial"/>
                <w:sz w:val="15"/>
                <w:szCs w:val="15"/>
                <w:color w:val="auto"/>
              </w:rPr>
              <w:t>Net cash used in operating activities</w:t>
            </w:r>
          </w:p>
        </w:tc>
        <w:tc>
          <w:tcPr>
            <w:tcW w:w="1660" w:type="dxa"/>
            <w:vAlign w:val="bottom"/>
            <w:gridSpan w:val="2"/>
          </w:tcPr>
          <w:p>
            <w:pPr>
              <w:jc w:val="right"/>
              <w:ind w:right="164"/>
              <w:spacing w:after="0"/>
              <w:rPr>
                <w:sz w:val="20"/>
                <w:szCs w:val="20"/>
                <w:color w:val="auto"/>
              </w:rPr>
            </w:pPr>
            <w:r>
              <w:rPr>
                <w:rFonts w:ascii="Arial" w:cs="Arial" w:eastAsia="Arial" w:hAnsi="Arial"/>
                <w:sz w:val="15"/>
                <w:szCs w:val="15"/>
                <w:b w:val="1"/>
                <w:bCs w:val="1"/>
                <w:color w:val="auto"/>
              </w:rPr>
              <w:t>(13,792)</w:t>
            </w:r>
          </w:p>
        </w:tc>
        <w:tc>
          <w:tcPr>
            <w:tcW w:w="740" w:type="dxa"/>
            <w:vAlign w:val="bottom"/>
          </w:tcPr>
          <w:p>
            <w:pPr>
              <w:jc w:val="right"/>
              <w:spacing w:after="0"/>
              <w:rPr>
                <w:sz w:val="20"/>
                <w:szCs w:val="20"/>
                <w:color w:val="auto"/>
              </w:rPr>
            </w:pPr>
            <w:r>
              <w:rPr>
                <w:rFonts w:ascii="Arial" w:cs="Arial" w:eastAsia="Arial" w:hAnsi="Arial"/>
                <w:sz w:val="15"/>
                <w:szCs w:val="15"/>
                <w:color w:val="auto"/>
              </w:rPr>
              <w:t>(2,364)</w:t>
            </w:r>
          </w:p>
        </w:tc>
        <w:tc>
          <w:tcPr>
            <w:tcW w:w="1200" w:type="dxa"/>
            <w:vAlign w:val="bottom"/>
            <w:shd w:val="clear" w:color="auto" w:fill="DBDBDB"/>
          </w:tcPr>
          <w:p>
            <w:pPr>
              <w:jc w:val="right"/>
              <w:ind w:right="327"/>
              <w:spacing w:after="0"/>
              <w:rPr>
                <w:sz w:val="20"/>
                <w:szCs w:val="20"/>
                <w:color w:val="auto"/>
              </w:rPr>
            </w:pPr>
            <w:r>
              <w:rPr>
                <w:rFonts w:ascii="Arial" w:cs="Arial" w:eastAsia="Arial" w:hAnsi="Arial"/>
                <w:sz w:val="15"/>
                <w:szCs w:val="15"/>
                <w:color w:val="auto"/>
              </w:rPr>
              <w:t>(11,428)</w:t>
            </w:r>
          </w:p>
        </w:tc>
        <w:tc>
          <w:tcPr>
            <w:tcW w:w="58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483 %</w:t>
            </w:r>
          </w:p>
        </w:tc>
        <w:tc>
          <w:tcPr>
            <w:tcW w:w="1180" w:type="dxa"/>
            <w:vAlign w:val="bottom"/>
          </w:tcPr>
          <w:p>
            <w:pPr>
              <w:jc w:val="right"/>
              <w:ind w:right="186"/>
              <w:spacing w:after="0"/>
              <w:rPr>
                <w:sz w:val="20"/>
                <w:szCs w:val="20"/>
                <w:color w:val="auto"/>
              </w:rPr>
            </w:pPr>
            <w:r>
              <w:rPr>
                <w:rFonts w:ascii="Arial" w:cs="Arial" w:eastAsia="Arial" w:hAnsi="Arial"/>
                <w:sz w:val="15"/>
                <w:szCs w:val="15"/>
                <w:b w:val="1"/>
                <w:bCs w:val="1"/>
                <w:color w:val="auto"/>
              </w:rPr>
              <w:t>(22,672)</w:t>
            </w:r>
          </w:p>
        </w:tc>
        <w:tc>
          <w:tcPr>
            <w:tcW w:w="720" w:type="dxa"/>
            <w:vAlign w:val="bottom"/>
          </w:tcPr>
          <w:p>
            <w:pPr>
              <w:jc w:val="right"/>
              <w:spacing w:after="0"/>
              <w:rPr>
                <w:sz w:val="20"/>
                <w:szCs w:val="20"/>
                <w:color w:val="auto"/>
              </w:rPr>
            </w:pPr>
            <w:r>
              <w:rPr>
                <w:rFonts w:ascii="Arial" w:cs="Arial" w:eastAsia="Arial" w:hAnsi="Arial"/>
                <w:sz w:val="15"/>
                <w:szCs w:val="15"/>
                <w:color w:val="auto"/>
              </w:rPr>
              <w:t>(3,968)</w:t>
            </w:r>
          </w:p>
        </w:tc>
        <w:tc>
          <w:tcPr>
            <w:tcW w:w="1200" w:type="dxa"/>
            <w:vAlign w:val="bottom"/>
            <w:shd w:val="clear" w:color="auto" w:fill="DBDBDB"/>
          </w:tcPr>
          <w:p>
            <w:pPr>
              <w:jc w:val="right"/>
              <w:ind w:right="327"/>
              <w:spacing w:after="0"/>
              <w:rPr>
                <w:sz w:val="20"/>
                <w:szCs w:val="20"/>
                <w:color w:val="auto"/>
              </w:rPr>
            </w:pPr>
            <w:r>
              <w:rPr>
                <w:rFonts w:ascii="Arial" w:cs="Arial" w:eastAsia="Arial" w:hAnsi="Arial"/>
                <w:sz w:val="15"/>
                <w:szCs w:val="15"/>
                <w:color w:val="auto"/>
              </w:rPr>
              <w:t>(18,704)</w:t>
            </w:r>
          </w:p>
        </w:tc>
        <w:tc>
          <w:tcPr>
            <w:tcW w:w="600" w:type="dxa"/>
            <w:vAlign w:val="bottom"/>
            <w:gridSpan w:val="3"/>
            <w:shd w:val="clear" w:color="auto" w:fill="DBDBDB"/>
          </w:tcPr>
          <w:p>
            <w:pPr>
              <w:jc w:val="right"/>
              <w:ind w:right="20"/>
              <w:spacing w:after="0"/>
              <w:rPr>
                <w:sz w:val="20"/>
                <w:szCs w:val="20"/>
                <w:color w:val="auto"/>
              </w:rPr>
            </w:pPr>
            <w:r>
              <w:rPr>
                <w:rFonts w:ascii="Arial" w:cs="Arial" w:eastAsia="Arial" w:hAnsi="Arial"/>
                <w:sz w:val="15"/>
                <w:szCs w:val="15"/>
                <w:color w:val="auto"/>
              </w:rPr>
              <w:t>471 %</w:t>
            </w:r>
          </w:p>
        </w:tc>
      </w:tr>
      <w:tr>
        <w:trPr>
          <w:trHeight w:val="232"/>
        </w:trPr>
        <w:tc>
          <w:tcPr>
            <w:tcW w:w="336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1660" w:type="dxa"/>
            <w:vAlign w:val="bottom"/>
            <w:gridSpan w:val="2"/>
          </w:tcPr>
          <w:p>
            <w:pPr>
              <w:jc w:val="right"/>
              <w:ind w:right="164"/>
              <w:spacing w:after="0"/>
              <w:rPr>
                <w:sz w:val="20"/>
                <w:szCs w:val="20"/>
                <w:color w:val="auto"/>
              </w:rPr>
            </w:pPr>
            <w:r>
              <w:rPr>
                <w:rFonts w:ascii="Arial" w:cs="Arial" w:eastAsia="Arial" w:hAnsi="Arial"/>
                <w:sz w:val="15"/>
                <w:szCs w:val="15"/>
                <w:b w:val="1"/>
                <w:bCs w:val="1"/>
                <w:color w:val="auto"/>
              </w:rPr>
              <w:t>(88)</w:t>
            </w:r>
          </w:p>
        </w:tc>
        <w:tc>
          <w:tcPr>
            <w:tcW w:w="740" w:type="dxa"/>
            <w:vAlign w:val="bottom"/>
          </w:tcPr>
          <w:p>
            <w:pPr>
              <w:jc w:val="right"/>
              <w:spacing w:after="0"/>
              <w:rPr>
                <w:sz w:val="20"/>
                <w:szCs w:val="20"/>
                <w:color w:val="auto"/>
              </w:rPr>
            </w:pPr>
            <w:r>
              <w:rPr>
                <w:rFonts w:ascii="Arial" w:cs="Arial" w:eastAsia="Arial" w:hAnsi="Arial"/>
                <w:sz w:val="15"/>
                <w:szCs w:val="15"/>
                <w:color w:val="auto"/>
              </w:rPr>
              <w:t>(670)</w:t>
            </w:r>
          </w:p>
        </w:tc>
        <w:tc>
          <w:tcPr>
            <w:tcW w:w="1200" w:type="dxa"/>
            <w:vAlign w:val="bottom"/>
            <w:shd w:val="clear" w:color="auto" w:fill="DBDBDB"/>
          </w:tcPr>
          <w:p>
            <w:pPr>
              <w:jc w:val="right"/>
              <w:ind w:right="367"/>
              <w:spacing w:after="0"/>
              <w:rPr>
                <w:sz w:val="20"/>
                <w:szCs w:val="20"/>
                <w:color w:val="auto"/>
              </w:rPr>
            </w:pPr>
            <w:r>
              <w:rPr>
                <w:rFonts w:ascii="Arial" w:cs="Arial" w:eastAsia="Arial" w:hAnsi="Arial"/>
                <w:sz w:val="15"/>
                <w:szCs w:val="15"/>
                <w:color w:val="auto"/>
              </w:rPr>
              <w:t>582</w:t>
            </w:r>
          </w:p>
        </w:tc>
        <w:tc>
          <w:tcPr>
            <w:tcW w:w="58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87 %</w:t>
            </w:r>
          </w:p>
        </w:tc>
        <w:tc>
          <w:tcPr>
            <w:tcW w:w="1180" w:type="dxa"/>
            <w:vAlign w:val="bottom"/>
          </w:tcPr>
          <w:p>
            <w:pPr>
              <w:jc w:val="right"/>
              <w:ind w:right="186"/>
              <w:spacing w:after="0"/>
              <w:rPr>
                <w:sz w:val="20"/>
                <w:szCs w:val="20"/>
                <w:color w:val="auto"/>
              </w:rPr>
            </w:pPr>
            <w:r>
              <w:rPr>
                <w:rFonts w:ascii="Arial" w:cs="Arial" w:eastAsia="Arial" w:hAnsi="Arial"/>
                <w:sz w:val="15"/>
                <w:szCs w:val="15"/>
                <w:b w:val="1"/>
                <w:bCs w:val="1"/>
                <w:color w:val="auto"/>
              </w:rPr>
              <w:t>(483)</w:t>
            </w:r>
          </w:p>
        </w:tc>
        <w:tc>
          <w:tcPr>
            <w:tcW w:w="720" w:type="dxa"/>
            <w:vAlign w:val="bottom"/>
          </w:tcPr>
          <w:p>
            <w:pPr>
              <w:jc w:val="right"/>
              <w:spacing w:after="0"/>
              <w:rPr>
                <w:sz w:val="20"/>
                <w:szCs w:val="20"/>
                <w:color w:val="auto"/>
              </w:rPr>
            </w:pPr>
            <w:r>
              <w:rPr>
                <w:rFonts w:ascii="Arial" w:cs="Arial" w:eastAsia="Arial" w:hAnsi="Arial"/>
                <w:sz w:val="15"/>
                <w:szCs w:val="15"/>
                <w:color w:val="auto"/>
              </w:rPr>
              <w:t>(670)</w:t>
            </w:r>
          </w:p>
        </w:tc>
        <w:tc>
          <w:tcPr>
            <w:tcW w:w="1200" w:type="dxa"/>
            <w:vAlign w:val="bottom"/>
            <w:shd w:val="clear" w:color="auto" w:fill="DBDBDB"/>
          </w:tcPr>
          <w:p>
            <w:pPr>
              <w:jc w:val="right"/>
              <w:ind w:right="367"/>
              <w:spacing w:after="0"/>
              <w:rPr>
                <w:sz w:val="20"/>
                <w:szCs w:val="20"/>
                <w:color w:val="auto"/>
              </w:rPr>
            </w:pPr>
            <w:r>
              <w:rPr>
                <w:rFonts w:ascii="Arial" w:cs="Arial" w:eastAsia="Arial" w:hAnsi="Arial"/>
                <w:sz w:val="15"/>
                <w:szCs w:val="15"/>
                <w:color w:val="auto"/>
              </w:rPr>
              <w:t>187</w:t>
            </w:r>
          </w:p>
        </w:tc>
        <w:tc>
          <w:tcPr>
            <w:tcW w:w="600" w:type="dxa"/>
            <w:vAlign w:val="bottom"/>
            <w:gridSpan w:val="3"/>
            <w:shd w:val="clear" w:color="auto" w:fill="DBDBDB"/>
          </w:tcPr>
          <w:p>
            <w:pPr>
              <w:jc w:val="right"/>
              <w:ind w:right="20"/>
              <w:spacing w:after="0"/>
              <w:rPr>
                <w:sz w:val="20"/>
                <w:szCs w:val="20"/>
                <w:color w:val="auto"/>
              </w:rPr>
            </w:pPr>
            <w:r>
              <w:rPr>
                <w:rFonts w:ascii="Arial" w:cs="Arial" w:eastAsia="Arial" w:hAnsi="Arial"/>
                <w:sz w:val="15"/>
                <w:szCs w:val="15"/>
                <w:color w:val="auto"/>
              </w:rPr>
              <w:t>28 %</w:t>
            </w:r>
          </w:p>
        </w:tc>
      </w:tr>
      <w:tr>
        <w:trPr>
          <w:trHeight w:val="262"/>
        </w:trPr>
        <w:tc>
          <w:tcPr>
            <w:tcW w:w="3360" w:type="dxa"/>
            <w:vAlign w:val="bottom"/>
          </w:tcPr>
          <w:p>
            <w:pPr>
              <w:ind w:left="20"/>
              <w:spacing w:after="0"/>
              <w:rPr>
                <w:sz w:val="20"/>
                <w:szCs w:val="20"/>
                <w:color w:val="auto"/>
              </w:rPr>
            </w:pPr>
            <w:r>
              <w:rPr>
                <w:rFonts w:ascii="Arial" w:cs="Arial" w:eastAsia="Arial" w:hAnsi="Arial"/>
                <w:sz w:val="15"/>
                <w:szCs w:val="15"/>
                <w:color w:val="auto"/>
              </w:rPr>
              <w:t>Net cash from (used in) financing activities</w:t>
            </w:r>
          </w:p>
        </w:tc>
        <w:tc>
          <w:tcPr>
            <w:tcW w:w="1660" w:type="dxa"/>
            <w:vAlign w:val="bottom"/>
            <w:gridSpan w:val="2"/>
          </w:tcPr>
          <w:p>
            <w:pPr>
              <w:jc w:val="right"/>
              <w:ind w:right="204"/>
              <w:spacing w:after="0"/>
              <w:rPr>
                <w:sz w:val="20"/>
                <w:szCs w:val="20"/>
                <w:color w:val="auto"/>
              </w:rPr>
            </w:pPr>
            <w:r>
              <w:rPr>
                <w:rFonts w:ascii="Arial" w:cs="Arial" w:eastAsia="Arial" w:hAnsi="Arial"/>
                <w:sz w:val="15"/>
                <w:szCs w:val="15"/>
                <w:b w:val="1"/>
                <w:bCs w:val="1"/>
                <w:color w:val="auto"/>
              </w:rPr>
              <w:t>33,981</w:t>
            </w:r>
          </w:p>
        </w:tc>
        <w:tc>
          <w:tcPr>
            <w:tcW w:w="740" w:type="dxa"/>
            <w:vAlign w:val="bottom"/>
          </w:tcPr>
          <w:p>
            <w:pPr>
              <w:jc w:val="right"/>
              <w:spacing w:after="0"/>
              <w:rPr>
                <w:sz w:val="20"/>
                <w:szCs w:val="20"/>
                <w:color w:val="auto"/>
              </w:rPr>
            </w:pPr>
            <w:r>
              <w:rPr>
                <w:rFonts w:ascii="Arial" w:cs="Arial" w:eastAsia="Arial" w:hAnsi="Arial"/>
                <w:sz w:val="15"/>
                <w:szCs w:val="15"/>
                <w:color w:val="auto"/>
              </w:rPr>
              <w:t>(797)</w:t>
            </w:r>
          </w:p>
        </w:tc>
        <w:tc>
          <w:tcPr>
            <w:tcW w:w="1200" w:type="dxa"/>
            <w:vAlign w:val="bottom"/>
            <w:tcBorders>
              <w:bottom w:val="single" w:sz="8" w:color="DBDBDB"/>
            </w:tcBorders>
            <w:shd w:val="clear" w:color="auto" w:fill="DBDBDB"/>
          </w:tcPr>
          <w:p>
            <w:pPr>
              <w:jc w:val="right"/>
              <w:ind w:right="367"/>
              <w:spacing w:after="0"/>
              <w:rPr>
                <w:sz w:val="20"/>
                <w:szCs w:val="20"/>
                <w:color w:val="auto"/>
              </w:rPr>
            </w:pPr>
            <w:r>
              <w:rPr>
                <w:rFonts w:ascii="Arial" w:cs="Arial" w:eastAsia="Arial" w:hAnsi="Arial"/>
                <w:sz w:val="15"/>
                <w:szCs w:val="15"/>
                <w:color w:val="auto"/>
              </w:rPr>
              <w:t>34,778</w:t>
            </w:r>
          </w:p>
        </w:tc>
        <w:tc>
          <w:tcPr>
            <w:tcW w:w="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4364</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1180" w:type="dxa"/>
            <w:vAlign w:val="bottom"/>
          </w:tcPr>
          <w:p>
            <w:pPr>
              <w:jc w:val="right"/>
              <w:ind w:right="226"/>
              <w:spacing w:after="0"/>
              <w:rPr>
                <w:sz w:val="20"/>
                <w:szCs w:val="20"/>
                <w:color w:val="auto"/>
              </w:rPr>
            </w:pPr>
            <w:r>
              <w:rPr>
                <w:rFonts w:ascii="Arial" w:cs="Arial" w:eastAsia="Arial" w:hAnsi="Arial"/>
                <w:sz w:val="15"/>
                <w:szCs w:val="15"/>
                <w:b w:val="1"/>
                <w:bCs w:val="1"/>
                <w:color w:val="auto"/>
              </w:rPr>
              <w:t>34,310</w:t>
            </w:r>
          </w:p>
        </w:tc>
        <w:tc>
          <w:tcPr>
            <w:tcW w:w="720" w:type="dxa"/>
            <w:vAlign w:val="bottom"/>
          </w:tcPr>
          <w:p>
            <w:pPr>
              <w:jc w:val="right"/>
              <w:spacing w:after="0"/>
              <w:rPr>
                <w:sz w:val="20"/>
                <w:szCs w:val="20"/>
                <w:color w:val="auto"/>
              </w:rPr>
            </w:pPr>
            <w:r>
              <w:rPr>
                <w:rFonts w:ascii="Arial" w:cs="Arial" w:eastAsia="Arial" w:hAnsi="Arial"/>
                <w:sz w:val="15"/>
                <w:szCs w:val="15"/>
                <w:color w:val="auto"/>
              </w:rPr>
              <w:t>6,961</w:t>
            </w:r>
          </w:p>
        </w:tc>
        <w:tc>
          <w:tcPr>
            <w:tcW w:w="1200" w:type="dxa"/>
            <w:vAlign w:val="bottom"/>
            <w:tcBorders>
              <w:bottom w:val="single" w:sz="8" w:color="DBDBDB"/>
            </w:tcBorders>
            <w:shd w:val="clear" w:color="auto" w:fill="DBDBDB"/>
          </w:tcPr>
          <w:p>
            <w:pPr>
              <w:jc w:val="right"/>
              <w:ind w:right="367"/>
              <w:spacing w:after="0"/>
              <w:rPr>
                <w:sz w:val="20"/>
                <w:szCs w:val="20"/>
                <w:color w:val="auto"/>
              </w:rPr>
            </w:pPr>
            <w:r>
              <w:rPr>
                <w:rFonts w:ascii="Arial" w:cs="Arial" w:eastAsia="Arial" w:hAnsi="Arial"/>
                <w:sz w:val="15"/>
                <w:szCs w:val="15"/>
                <w:color w:val="auto"/>
              </w:rPr>
              <w:t>27,349</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393</w:t>
            </w:r>
          </w:p>
        </w:tc>
        <w:tc>
          <w:tcPr>
            <w:tcW w:w="140" w:type="dxa"/>
            <w:vAlign w:val="bottom"/>
            <w:tcBorders>
              <w:bottom w:val="single" w:sz="8" w:color="DBDBDB"/>
            </w:tcBorders>
            <w:gridSpan w:val="2"/>
            <w:shd w:val="clear" w:color="auto" w:fill="DBDBDB"/>
          </w:tcPr>
          <w:p>
            <w:pPr>
              <w:jc w:val="right"/>
              <w:ind w:right="20"/>
              <w:spacing w:after="0"/>
              <w:rPr>
                <w:sz w:val="20"/>
                <w:szCs w:val="20"/>
                <w:color w:val="auto"/>
              </w:rPr>
            </w:pPr>
            <w:r>
              <w:rPr>
                <w:rFonts w:ascii="Arial" w:cs="Arial" w:eastAsia="Arial" w:hAnsi="Arial"/>
                <w:sz w:val="15"/>
                <w:szCs w:val="15"/>
                <w:color w:val="auto"/>
                <w:w w:val="74"/>
              </w:rPr>
              <w:t>%</w:t>
            </w:r>
          </w:p>
        </w:tc>
      </w:tr>
      <w:tr>
        <w:trPr>
          <w:trHeight w:val="195"/>
        </w:trPr>
        <w:tc>
          <w:tcPr>
            <w:tcW w:w="3360" w:type="dxa"/>
            <w:vAlign w:val="bottom"/>
            <w:tcBorders>
              <w:top w:val="single" w:sz="8" w:color="929292"/>
            </w:tcBorders>
          </w:tcPr>
          <w:p>
            <w:pPr>
              <w:ind w:left="20"/>
              <w:spacing w:after="0"/>
              <w:rPr>
                <w:sz w:val="20"/>
                <w:szCs w:val="20"/>
                <w:color w:val="auto"/>
              </w:rPr>
            </w:pPr>
            <w:r>
              <w:rPr>
                <w:rFonts w:ascii="Arial" w:cs="Arial" w:eastAsia="Arial" w:hAnsi="Arial"/>
                <w:sz w:val="15"/>
                <w:szCs w:val="15"/>
                <w:color w:val="auto"/>
              </w:rPr>
              <w:t>Increase (decrease) in cash</w:t>
            </w:r>
          </w:p>
        </w:tc>
        <w:tc>
          <w:tcPr>
            <w:tcW w:w="1660" w:type="dxa"/>
            <w:vAlign w:val="bottom"/>
            <w:tcBorders>
              <w:top w:val="single" w:sz="8" w:color="929292"/>
            </w:tcBorders>
            <w:gridSpan w:val="2"/>
          </w:tcPr>
          <w:p>
            <w:pPr>
              <w:jc w:val="right"/>
              <w:ind w:right="204"/>
              <w:spacing w:after="0"/>
              <w:rPr>
                <w:sz w:val="20"/>
                <w:szCs w:val="20"/>
                <w:color w:val="auto"/>
              </w:rPr>
            </w:pPr>
            <w:r>
              <w:rPr>
                <w:rFonts w:ascii="Arial" w:cs="Arial" w:eastAsia="Arial" w:hAnsi="Arial"/>
                <w:sz w:val="15"/>
                <w:szCs w:val="15"/>
                <w:b w:val="1"/>
                <w:bCs w:val="1"/>
                <w:color w:val="auto"/>
              </w:rPr>
              <w:t>20,101</w:t>
            </w:r>
          </w:p>
        </w:tc>
        <w:tc>
          <w:tcPr>
            <w:tcW w:w="74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(3,831)</w:t>
            </w:r>
          </w:p>
        </w:tc>
        <w:tc>
          <w:tcPr>
            <w:tcW w:w="1200" w:type="dxa"/>
            <w:vAlign w:val="bottom"/>
            <w:tcBorders>
              <w:top w:val="single" w:sz="8" w:color="929292"/>
            </w:tcBorders>
            <w:shd w:val="clear" w:color="auto" w:fill="DBDBDB"/>
          </w:tcPr>
          <w:p>
            <w:pPr>
              <w:jc w:val="right"/>
              <w:ind w:right="367"/>
              <w:spacing w:after="0"/>
              <w:rPr>
                <w:sz w:val="20"/>
                <w:szCs w:val="20"/>
                <w:color w:val="auto"/>
              </w:rPr>
            </w:pPr>
            <w:r>
              <w:rPr>
                <w:rFonts w:ascii="Arial" w:cs="Arial" w:eastAsia="Arial" w:hAnsi="Arial"/>
                <w:sz w:val="15"/>
                <w:szCs w:val="15"/>
                <w:color w:val="auto"/>
              </w:rPr>
              <w:t>23,932</w:t>
            </w:r>
          </w:p>
        </w:tc>
        <w:tc>
          <w:tcPr>
            <w:tcW w:w="420" w:type="dxa"/>
            <w:vAlign w:val="bottom"/>
            <w:tcBorders>
              <w:top w:val="single" w:sz="8" w:color="929292"/>
            </w:tcBorders>
            <w:shd w:val="clear" w:color="auto" w:fill="DBDBDB"/>
          </w:tcPr>
          <w:p>
            <w:pPr>
              <w:jc w:val="right"/>
              <w:spacing w:after="0"/>
              <w:rPr>
                <w:sz w:val="20"/>
                <w:szCs w:val="20"/>
                <w:color w:val="auto"/>
              </w:rPr>
            </w:pPr>
            <w:r>
              <w:rPr>
                <w:rFonts w:ascii="Arial" w:cs="Arial" w:eastAsia="Arial" w:hAnsi="Arial"/>
                <w:sz w:val="15"/>
                <w:szCs w:val="15"/>
                <w:color w:val="auto"/>
              </w:rPr>
              <w:t>625</w:t>
            </w:r>
          </w:p>
        </w:tc>
        <w:tc>
          <w:tcPr>
            <w:tcW w:w="160" w:type="dxa"/>
            <w:vAlign w:val="bottom"/>
            <w:tcBorders>
              <w:top w:val="single" w:sz="8" w:color="929292"/>
            </w:tcBorders>
            <w:shd w:val="clear" w:color="auto" w:fill="DBDBDB"/>
          </w:tcPr>
          <w:p>
            <w:pPr>
              <w:jc w:val="right"/>
              <w:spacing w:after="0"/>
              <w:rPr>
                <w:sz w:val="20"/>
                <w:szCs w:val="20"/>
                <w:color w:val="auto"/>
              </w:rPr>
            </w:pPr>
            <w:r>
              <w:rPr>
                <w:rFonts w:ascii="Arial" w:cs="Arial" w:eastAsia="Arial" w:hAnsi="Arial"/>
                <w:sz w:val="15"/>
                <w:szCs w:val="15"/>
                <w:color w:val="auto"/>
                <w:highlight w:val="lightGray"/>
                <w:w w:val="89"/>
              </w:rPr>
              <w:t>%</w:t>
            </w:r>
          </w:p>
        </w:tc>
        <w:tc>
          <w:tcPr>
            <w:tcW w:w="1180" w:type="dxa"/>
            <w:vAlign w:val="bottom"/>
            <w:tcBorders>
              <w:top w:val="single" w:sz="8" w:color="929292"/>
            </w:tcBorders>
          </w:tcPr>
          <w:p>
            <w:pPr>
              <w:jc w:val="right"/>
              <w:ind w:right="226"/>
              <w:spacing w:after="0"/>
              <w:rPr>
                <w:sz w:val="20"/>
                <w:szCs w:val="20"/>
                <w:color w:val="auto"/>
              </w:rPr>
            </w:pPr>
            <w:r>
              <w:rPr>
                <w:rFonts w:ascii="Arial" w:cs="Arial" w:eastAsia="Arial" w:hAnsi="Arial"/>
                <w:sz w:val="15"/>
                <w:szCs w:val="15"/>
                <w:b w:val="1"/>
                <w:bCs w:val="1"/>
                <w:color w:val="auto"/>
              </w:rPr>
              <w:t>11,155</w:t>
            </w:r>
          </w:p>
        </w:tc>
        <w:tc>
          <w:tcPr>
            <w:tcW w:w="72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2,323</w:t>
            </w:r>
          </w:p>
        </w:tc>
        <w:tc>
          <w:tcPr>
            <w:tcW w:w="1200" w:type="dxa"/>
            <w:vAlign w:val="bottom"/>
            <w:tcBorders>
              <w:top w:val="single" w:sz="8" w:color="929292"/>
            </w:tcBorders>
            <w:shd w:val="clear" w:color="auto" w:fill="DBDBDB"/>
          </w:tcPr>
          <w:p>
            <w:pPr>
              <w:jc w:val="right"/>
              <w:ind w:right="367"/>
              <w:spacing w:after="0"/>
              <w:rPr>
                <w:sz w:val="20"/>
                <w:szCs w:val="20"/>
                <w:color w:val="auto"/>
              </w:rPr>
            </w:pPr>
            <w:r>
              <w:rPr>
                <w:rFonts w:ascii="Arial" w:cs="Arial" w:eastAsia="Arial" w:hAnsi="Arial"/>
                <w:sz w:val="15"/>
                <w:szCs w:val="15"/>
                <w:color w:val="auto"/>
              </w:rPr>
              <w:t>8,832</w:t>
            </w:r>
          </w:p>
        </w:tc>
        <w:tc>
          <w:tcPr>
            <w:tcW w:w="460" w:type="dxa"/>
            <w:vAlign w:val="bottom"/>
            <w:tcBorders>
              <w:top w:val="single" w:sz="8" w:color="929292"/>
            </w:tcBorders>
            <w:shd w:val="clear" w:color="auto" w:fill="DBDBDB"/>
          </w:tcPr>
          <w:p>
            <w:pPr>
              <w:jc w:val="right"/>
              <w:spacing w:after="0"/>
              <w:rPr>
                <w:sz w:val="20"/>
                <w:szCs w:val="20"/>
                <w:color w:val="auto"/>
              </w:rPr>
            </w:pPr>
            <w:r>
              <w:rPr>
                <w:rFonts w:ascii="Arial" w:cs="Arial" w:eastAsia="Arial" w:hAnsi="Arial"/>
                <w:sz w:val="15"/>
                <w:szCs w:val="15"/>
                <w:color w:val="auto"/>
              </w:rPr>
              <w:t>380</w:t>
            </w:r>
          </w:p>
        </w:tc>
        <w:tc>
          <w:tcPr>
            <w:tcW w:w="140" w:type="dxa"/>
            <w:vAlign w:val="bottom"/>
            <w:tcBorders>
              <w:top w:val="single" w:sz="8" w:color="929292"/>
            </w:tcBorders>
            <w:gridSpan w:val="2"/>
            <w:shd w:val="clear" w:color="auto" w:fill="DBDBDB"/>
          </w:tcPr>
          <w:p>
            <w:pPr>
              <w:jc w:val="right"/>
              <w:ind w:right="20"/>
              <w:spacing w:after="0"/>
              <w:rPr>
                <w:sz w:val="20"/>
                <w:szCs w:val="20"/>
                <w:color w:val="auto"/>
              </w:rPr>
            </w:pPr>
            <w:r>
              <w:rPr>
                <w:rFonts w:ascii="Arial" w:cs="Arial" w:eastAsia="Arial" w:hAnsi="Arial"/>
                <w:sz w:val="15"/>
                <w:szCs w:val="15"/>
                <w:color w:val="auto"/>
                <w:highlight w:val="lightGray"/>
                <w:w w:val="74"/>
              </w:rPr>
              <w:t>%</w:t>
            </w:r>
          </w:p>
        </w:tc>
      </w:tr>
      <w:tr>
        <w:trPr>
          <w:trHeight w:val="232"/>
        </w:trPr>
        <w:tc>
          <w:tcPr>
            <w:tcW w:w="3360" w:type="dxa"/>
            <w:vAlign w:val="bottom"/>
          </w:tcPr>
          <w:p>
            <w:pPr>
              <w:ind w:left="20"/>
              <w:spacing w:after="0"/>
              <w:rPr>
                <w:sz w:val="20"/>
                <w:szCs w:val="20"/>
                <w:color w:val="auto"/>
              </w:rPr>
            </w:pPr>
            <w:r>
              <w:rPr>
                <w:rFonts w:ascii="Arial" w:cs="Arial" w:eastAsia="Arial" w:hAnsi="Arial"/>
                <w:sz w:val="15"/>
                <w:szCs w:val="15"/>
                <w:color w:val="auto"/>
              </w:rPr>
              <w:t>Net foreign exchange difference</w:t>
            </w:r>
          </w:p>
        </w:tc>
        <w:tc>
          <w:tcPr>
            <w:tcW w:w="1660" w:type="dxa"/>
            <w:vAlign w:val="bottom"/>
            <w:gridSpan w:val="2"/>
          </w:tcPr>
          <w:p>
            <w:pPr>
              <w:jc w:val="right"/>
              <w:ind w:right="204"/>
              <w:spacing w:after="0"/>
              <w:rPr>
                <w:sz w:val="20"/>
                <w:szCs w:val="20"/>
                <w:color w:val="auto"/>
              </w:rPr>
            </w:pPr>
            <w:r>
              <w:rPr>
                <w:rFonts w:ascii="Arial" w:cs="Arial" w:eastAsia="Arial" w:hAnsi="Arial"/>
                <w:sz w:val="15"/>
                <w:szCs w:val="15"/>
                <w:b w:val="1"/>
                <w:bCs w:val="1"/>
                <w:color w:val="auto"/>
              </w:rPr>
              <w:t>3</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ind w:right="367"/>
              <w:spacing w:after="0"/>
              <w:rPr>
                <w:sz w:val="20"/>
                <w:szCs w:val="20"/>
                <w:color w:val="auto"/>
              </w:rPr>
            </w:pPr>
            <w:r>
              <w:rPr>
                <w:rFonts w:ascii="Arial" w:cs="Arial" w:eastAsia="Arial" w:hAnsi="Arial"/>
                <w:sz w:val="15"/>
                <w:szCs w:val="15"/>
                <w:color w:val="auto"/>
              </w:rPr>
              <w:t>3</w:t>
            </w:r>
          </w:p>
        </w:tc>
        <w:tc>
          <w:tcPr>
            <w:tcW w:w="58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1180" w:type="dxa"/>
            <w:vAlign w:val="bottom"/>
          </w:tcPr>
          <w:p>
            <w:pPr>
              <w:jc w:val="right"/>
              <w:ind w:right="186"/>
              <w:spacing w:after="0"/>
              <w:rPr>
                <w:sz w:val="20"/>
                <w:szCs w:val="20"/>
                <w:color w:val="auto"/>
              </w:rPr>
            </w:pPr>
            <w:r>
              <w:rPr>
                <w:rFonts w:ascii="Arial" w:cs="Arial" w:eastAsia="Arial" w:hAnsi="Arial"/>
                <w:sz w:val="15"/>
                <w:szCs w:val="15"/>
                <w:b w:val="1"/>
                <w:bCs w:val="1"/>
                <w:color w:val="auto"/>
              </w:rPr>
              <w:t>(2)</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ind w:right="327"/>
              <w:spacing w:after="0"/>
              <w:rPr>
                <w:sz w:val="20"/>
                <w:szCs w:val="20"/>
                <w:color w:val="auto"/>
              </w:rPr>
            </w:pPr>
            <w:r>
              <w:rPr>
                <w:rFonts w:ascii="Arial" w:cs="Arial" w:eastAsia="Arial" w:hAnsi="Arial"/>
                <w:sz w:val="15"/>
                <w:szCs w:val="15"/>
                <w:color w:val="auto"/>
              </w:rPr>
              <w:t>(2)</w:t>
            </w:r>
          </w:p>
        </w:tc>
        <w:tc>
          <w:tcPr>
            <w:tcW w:w="600" w:type="dxa"/>
            <w:vAlign w:val="bottom"/>
            <w:gridSpan w:val="3"/>
            <w:shd w:val="clear" w:color="auto" w:fill="DBDBDB"/>
          </w:tcPr>
          <w:p>
            <w:pPr>
              <w:jc w:val="right"/>
              <w:ind w:right="20"/>
              <w:spacing w:after="0"/>
              <w:rPr>
                <w:sz w:val="20"/>
                <w:szCs w:val="20"/>
                <w:color w:val="auto"/>
              </w:rPr>
            </w:pPr>
            <w:r>
              <w:rPr>
                <w:rFonts w:ascii="Arial" w:cs="Arial" w:eastAsia="Arial" w:hAnsi="Arial"/>
                <w:sz w:val="15"/>
                <w:szCs w:val="15"/>
                <w:color w:val="auto"/>
              </w:rPr>
              <w:t>N/A</w:t>
            </w:r>
          </w:p>
        </w:tc>
      </w:tr>
      <w:tr>
        <w:trPr>
          <w:trHeight w:val="262"/>
        </w:trPr>
        <w:tc>
          <w:tcPr>
            <w:tcW w:w="3360" w:type="dxa"/>
            <w:vAlign w:val="bottom"/>
          </w:tcPr>
          <w:p>
            <w:pPr>
              <w:ind w:left="20"/>
              <w:spacing w:after="0"/>
              <w:rPr>
                <w:sz w:val="20"/>
                <w:szCs w:val="20"/>
                <w:color w:val="auto"/>
              </w:rPr>
            </w:pPr>
            <w:r>
              <w:rPr>
                <w:rFonts w:ascii="Arial" w:cs="Arial" w:eastAsia="Arial" w:hAnsi="Arial"/>
                <w:sz w:val="15"/>
                <w:szCs w:val="15"/>
                <w:color w:val="auto"/>
              </w:rPr>
              <w:t>Cash and cash equivalents, beginning of period</w:t>
            </w:r>
          </w:p>
        </w:tc>
        <w:tc>
          <w:tcPr>
            <w:tcW w:w="1660" w:type="dxa"/>
            <w:vAlign w:val="bottom"/>
            <w:gridSpan w:val="2"/>
          </w:tcPr>
          <w:p>
            <w:pPr>
              <w:jc w:val="right"/>
              <w:ind w:right="204"/>
              <w:spacing w:after="0"/>
              <w:rPr>
                <w:sz w:val="20"/>
                <w:szCs w:val="20"/>
                <w:color w:val="auto"/>
              </w:rPr>
            </w:pPr>
            <w:r>
              <w:rPr>
                <w:rFonts w:ascii="Arial" w:cs="Arial" w:eastAsia="Arial" w:hAnsi="Arial"/>
                <w:sz w:val="15"/>
                <w:szCs w:val="15"/>
                <w:b w:val="1"/>
                <w:bCs w:val="1"/>
                <w:color w:val="auto"/>
              </w:rPr>
              <w:t>55,075</w:t>
            </w:r>
          </w:p>
        </w:tc>
        <w:tc>
          <w:tcPr>
            <w:tcW w:w="740" w:type="dxa"/>
            <w:vAlign w:val="bottom"/>
          </w:tcPr>
          <w:p>
            <w:pPr>
              <w:jc w:val="right"/>
              <w:spacing w:after="0"/>
              <w:rPr>
                <w:sz w:val="20"/>
                <w:szCs w:val="20"/>
                <w:color w:val="auto"/>
              </w:rPr>
            </w:pPr>
            <w:r>
              <w:rPr>
                <w:rFonts w:ascii="Arial" w:cs="Arial" w:eastAsia="Arial" w:hAnsi="Arial"/>
                <w:sz w:val="15"/>
                <w:szCs w:val="15"/>
                <w:color w:val="auto"/>
              </w:rPr>
              <w:t>7,699</w:t>
            </w:r>
          </w:p>
        </w:tc>
        <w:tc>
          <w:tcPr>
            <w:tcW w:w="1200" w:type="dxa"/>
            <w:vAlign w:val="bottom"/>
            <w:tcBorders>
              <w:bottom w:val="single" w:sz="8" w:color="DBDBDB"/>
            </w:tcBorders>
            <w:shd w:val="clear" w:color="auto" w:fill="DBDBDB"/>
          </w:tcPr>
          <w:p>
            <w:pPr>
              <w:jc w:val="right"/>
              <w:ind w:right="367"/>
              <w:spacing w:after="0"/>
              <w:rPr>
                <w:sz w:val="20"/>
                <w:szCs w:val="20"/>
                <w:color w:val="auto"/>
              </w:rPr>
            </w:pPr>
            <w:r>
              <w:rPr>
                <w:rFonts w:ascii="Arial" w:cs="Arial" w:eastAsia="Arial" w:hAnsi="Arial"/>
                <w:sz w:val="15"/>
                <w:szCs w:val="15"/>
                <w:color w:val="auto"/>
              </w:rPr>
              <w:t>47,376</w:t>
            </w:r>
          </w:p>
        </w:tc>
        <w:tc>
          <w:tcPr>
            <w:tcW w:w="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615</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1180" w:type="dxa"/>
            <w:vAlign w:val="bottom"/>
          </w:tcPr>
          <w:p>
            <w:pPr>
              <w:jc w:val="right"/>
              <w:ind w:right="226"/>
              <w:spacing w:after="0"/>
              <w:rPr>
                <w:sz w:val="20"/>
                <w:szCs w:val="20"/>
                <w:color w:val="auto"/>
              </w:rPr>
            </w:pPr>
            <w:r>
              <w:rPr>
                <w:rFonts w:ascii="Arial" w:cs="Arial" w:eastAsia="Arial" w:hAnsi="Arial"/>
                <w:sz w:val="15"/>
                <w:szCs w:val="15"/>
                <w:b w:val="1"/>
                <w:bCs w:val="1"/>
                <w:color w:val="auto"/>
              </w:rPr>
              <w:t>64,026</w:t>
            </w:r>
          </w:p>
        </w:tc>
        <w:tc>
          <w:tcPr>
            <w:tcW w:w="720" w:type="dxa"/>
            <w:vAlign w:val="bottom"/>
          </w:tcPr>
          <w:p>
            <w:pPr>
              <w:jc w:val="right"/>
              <w:spacing w:after="0"/>
              <w:rPr>
                <w:sz w:val="20"/>
                <w:szCs w:val="20"/>
                <w:color w:val="auto"/>
              </w:rPr>
            </w:pPr>
            <w:r>
              <w:rPr>
                <w:rFonts w:ascii="Arial" w:cs="Arial" w:eastAsia="Arial" w:hAnsi="Arial"/>
                <w:sz w:val="15"/>
                <w:szCs w:val="15"/>
                <w:color w:val="auto"/>
              </w:rPr>
              <w:t>1,545</w:t>
            </w:r>
          </w:p>
        </w:tc>
        <w:tc>
          <w:tcPr>
            <w:tcW w:w="1200" w:type="dxa"/>
            <w:vAlign w:val="bottom"/>
            <w:tcBorders>
              <w:bottom w:val="single" w:sz="8" w:color="DBDBDB"/>
            </w:tcBorders>
            <w:shd w:val="clear" w:color="auto" w:fill="DBDBDB"/>
          </w:tcPr>
          <w:p>
            <w:pPr>
              <w:jc w:val="right"/>
              <w:ind w:right="367"/>
              <w:spacing w:after="0"/>
              <w:rPr>
                <w:sz w:val="20"/>
                <w:szCs w:val="20"/>
                <w:color w:val="auto"/>
              </w:rPr>
            </w:pPr>
            <w:r>
              <w:rPr>
                <w:rFonts w:ascii="Arial" w:cs="Arial" w:eastAsia="Arial" w:hAnsi="Arial"/>
                <w:sz w:val="15"/>
                <w:szCs w:val="15"/>
                <w:color w:val="auto"/>
              </w:rPr>
              <w:t>62,481</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4044</w:t>
            </w:r>
          </w:p>
        </w:tc>
        <w:tc>
          <w:tcPr>
            <w:tcW w:w="140" w:type="dxa"/>
            <w:vAlign w:val="bottom"/>
            <w:tcBorders>
              <w:bottom w:val="single" w:sz="8" w:color="DBDBDB"/>
            </w:tcBorders>
            <w:gridSpan w:val="2"/>
            <w:shd w:val="clear" w:color="auto" w:fill="DBDBDB"/>
          </w:tcPr>
          <w:p>
            <w:pPr>
              <w:jc w:val="right"/>
              <w:ind w:right="20"/>
              <w:spacing w:after="0"/>
              <w:rPr>
                <w:sz w:val="20"/>
                <w:szCs w:val="20"/>
                <w:color w:val="auto"/>
              </w:rPr>
            </w:pPr>
            <w:r>
              <w:rPr>
                <w:rFonts w:ascii="Arial" w:cs="Arial" w:eastAsia="Arial" w:hAnsi="Arial"/>
                <w:sz w:val="15"/>
                <w:szCs w:val="15"/>
                <w:color w:val="auto"/>
                <w:w w:val="74"/>
              </w:rPr>
              <w:t>%</w:t>
            </w:r>
          </w:p>
        </w:tc>
      </w:tr>
      <w:tr>
        <w:trPr>
          <w:trHeight w:val="225"/>
        </w:trPr>
        <w:tc>
          <w:tcPr>
            <w:tcW w:w="3360" w:type="dxa"/>
            <w:vAlign w:val="bottom"/>
            <w:tcBorders>
              <w:top w:val="single" w:sz="8" w:color="929292"/>
            </w:tcBorders>
          </w:tcPr>
          <w:p>
            <w:pPr>
              <w:ind w:left="20"/>
              <w:spacing w:after="0"/>
              <w:rPr>
                <w:sz w:val="20"/>
                <w:szCs w:val="20"/>
                <w:color w:val="auto"/>
              </w:rPr>
            </w:pPr>
            <w:r>
              <w:rPr>
                <w:rFonts w:ascii="Arial" w:cs="Arial" w:eastAsia="Arial" w:hAnsi="Arial"/>
                <w:sz w:val="15"/>
                <w:szCs w:val="15"/>
                <w:color w:val="auto"/>
              </w:rPr>
              <w:t>Cash and cash equivalents, end of period</w:t>
            </w:r>
          </w:p>
        </w:tc>
        <w:tc>
          <w:tcPr>
            <w:tcW w:w="1660" w:type="dxa"/>
            <w:vAlign w:val="bottom"/>
            <w:tcBorders>
              <w:top w:val="single" w:sz="8" w:color="929292"/>
            </w:tcBorders>
            <w:gridSpan w:val="2"/>
          </w:tcPr>
          <w:p>
            <w:pPr>
              <w:jc w:val="right"/>
              <w:ind w:right="204"/>
              <w:spacing w:after="0"/>
              <w:rPr>
                <w:sz w:val="20"/>
                <w:szCs w:val="20"/>
                <w:color w:val="auto"/>
              </w:rPr>
            </w:pPr>
            <w:r>
              <w:rPr>
                <w:rFonts w:ascii="Arial" w:cs="Arial" w:eastAsia="Arial" w:hAnsi="Arial"/>
                <w:sz w:val="15"/>
                <w:szCs w:val="15"/>
                <w:b w:val="1"/>
                <w:bCs w:val="1"/>
                <w:color w:val="auto"/>
              </w:rPr>
              <w:t>75,179</w:t>
            </w:r>
          </w:p>
        </w:tc>
        <w:tc>
          <w:tcPr>
            <w:tcW w:w="74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3,868</w:t>
            </w:r>
          </w:p>
        </w:tc>
        <w:tc>
          <w:tcPr>
            <w:tcW w:w="1200" w:type="dxa"/>
            <w:vAlign w:val="bottom"/>
            <w:tcBorders>
              <w:top w:val="single" w:sz="8" w:color="929292"/>
              <w:bottom w:val="single" w:sz="8" w:color="DBDBDB"/>
            </w:tcBorders>
            <w:shd w:val="clear" w:color="auto" w:fill="DBDBDB"/>
          </w:tcPr>
          <w:p>
            <w:pPr>
              <w:jc w:val="right"/>
              <w:ind w:right="367"/>
              <w:spacing w:after="0"/>
              <w:rPr>
                <w:sz w:val="20"/>
                <w:szCs w:val="20"/>
                <w:color w:val="auto"/>
              </w:rPr>
            </w:pPr>
            <w:r>
              <w:rPr>
                <w:rFonts w:ascii="Arial" w:cs="Arial" w:eastAsia="Arial" w:hAnsi="Arial"/>
                <w:sz w:val="15"/>
                <w:szCs w:val="15"/>
                <w:color w:val="auto"/>
              </w:rPr>
              <w:t>71,311</w:t>
            </w:r>
          </w:p>
        </w:tc>
        <w:tc>
          <w:tcPr>
            <w:tcW w:w="42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1844</w:t>
            </w:r>
          </w:p>
        </w:tc>
        <w:tc>
          <w:tcPr>
            <w:tcW w:w="16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highlight w:val="lightGray"/>
                <w:w w:val="89"/>
              </w:rPr>
              <w:t>%</w:t>
            </w:r>
          </w:p>
        </w:tc>
        <w:tc>
          <w:tcPr>
            <w:tcW w:w="1180" w:type="dxa"/>
            <w:vAlign w:val="bottom"/>
            <w:tcBorders>
              <w:top w:val="single" w:sz="8" w:color="929292"/>
            </w:tcBorders>
          </w:tcPr>
          <w:p>
            <w:pPr>
              <w:jc w:val="right"/>
              <w:ind w:right="226"/>
              <w:spacing w:after="0"/>
              <w:rPr>
                <w:sz w:val="20"/>
                <w:szCs w:val="20"/>
                <w:color w:val="auto"/>
              </w:rPr>
            </w:pPr>
            <w:r>
              <w:rPr>
                <w:rFonts w:ascii="Arial" w:cs="Arial" w:eastAsia="Arial" w:hAnsi="Arial"/>
                <w:sz w:val="15"/>
                <w:szCs w:val="15"/>
                <w:b w:val="1"/>
                <w:bCs w:val="1"/>
                <w:color w:val="auto"/>
              </w:rPr>
              <w:t>75,179</w:t>
            </w:r>
          </w:p>
        </w:tc>
        <w:tc>
          <w:tcPr>
            <w:tcW w:w="72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3,868</w:t>
            </w:r>
          </w:p>
        </w:tc>
        <w:tc>
          <w:tcPr>
            <w:tcW w:w="1200" w:type="dxa"/>
            <w:vAlign w:val="bottom"/>
            <w:tcBorders>
              <w:top w:val="single" w:sz="8" w:color="929292"/>
              <w:bottom w:val="single" w:sz="8" w:color="DBDBDB"/>
            </w:tcBorders>
            <w:shd w:val="clear" w:color="auto" w:fill="DBDBDB"/>
          </w:tcPr>
          <w:p>
            <w:pPr>
              <w:jc w:val="right"/>
              <w:ind w:right="367"/>
              <w:spacing w:after="0"/>
              <w:rPr>
                <w:sz w:val="20"/>
                <w:szCs w:val="20"/>
                <w:color w:val="auto"/>
              </w:rPr>
            </w:pPr>
            <w:r>
              <w:rPr>
                <w:rFonts w:ascii="Arial" w:cs="Arial" w:eastAsia="Arial" w:hAnsi="Arial"/>
                <w:sz w:val="15"/>
                <w:szCs w:val="15"/>
                <w:color w:val="auto"/>
              </w:rPr>
              <w:t>71,311</w:t>
            </w:r>
          </w:p>
        </w:tc>
        <w:tc>
          <w:tcPr>
            <w:tcW w:w="46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1844</w:t>
            </w:r>
          </w:p>
        </w:tc>
        <w:tc>
          <w:tcPr>
            <w:tcW w:w="140" w:type="dxa"/>
            <w:vAlign w:val="bottom"/>
            <w:tcBorders>
              <w:top w:val="single" w:sz="8" w:color="929292"/>
              <w:bottom w:val="single" w:sz="8" w:color="DBDBDB"/>
            </w:tcBorders>
            <w:gridSpan w:val="2"/>
            <w:shd w:val="clear" w:color="auto" w:fill="DBDBDB"/>
          </w:tcPr>
          <w:p>
            <w:pPr>
              <w:jc w:val="right"/>
              <w:ind w:right="20"/>
              <w:spacing w:after="0"/>
              <w:rPr>
                <w:sz w:val="20"/>
                <w:szCs w:val="20"/>
                <w:color w:val="auto"/>
              </w:rPr>
            </w:pPr>
            <w:r>
              <w:rPr>
                <w:rFonts w:ascii="Arial" w:cs="Arial" w:eastAsia="Arial" w:hAnsi="Arial"/>
                <w:sz w:val="15"/>
                <w:szCs w:val="15"/>
                <w:color w:val="auto"/>
                <w:highlight w:val="lightGray"/>
                <w:w w:val="74"/>
              </w:rPr>
              <w:t>%</w:t>
            </w:r>
          </w:p>
        </w:tc>
      </w:tr>
      <w:tr>
        <w:trPr>
          <w:trHeight w:val="419"/>
        </w:trPr>
        <w:tc>
          <w:tcPr>
            <w:tcW w:w="33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gridSpan w:val="3"/>
          </w:tcPr>
          <w:p>
            <w:pPr>
              <w:jc w:val="right"/>
              <w:ind w:right="27"/>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gridSpan w:val="3"/>
          </w:tcPr>
          <w:p>
            <w:pPr>
              <w:jc w:val="right"/>
              <w:ind w:right="7"/>
              <w:spacing w:after="0"/>
              <w:rPr>
                <w:sz w:val="20"/>
                <w:szCs w:val="20"/>
                <w:color w:val="auto"/>
              </w:rPr>
            </w:pPr>
            <w:r>
              <w:rPr>
                <w:rFonts w:ascii="Arial" w:cs="Arial" w:eastAsia="Arial" w:hAnsi="Arial"/>
                <w:sz w:val="16"/>
                <w:szCs w:val="16"/>
                <w:b w:val="1"/>
                <w:bCs w:val="1"/>
                <w:color w:val="auto"/>
              </w:rPr>
              <w:t>Six Months ended September 30</w:t>
            </w: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5"/>
        </w:trPr>
        <w:tc>
          <w:tcPr>
            <w:tcW w:w="3360" w:type="dxa"/>
            <w:vAlign w:val="bottom"/>
            <w:tcBorders>
              <w:bottom w:val="single" w:sz="8" w:color="auto"/>
            </w:tcBorders>
          </w:tcPr>
          <w:p>
            <w:pPr>
              <w:spacing w:after="0"/>
              <w:rPr>
                <w:sz w:val="2"/>
                <w:szCs w:val="2"/>
                <w:color w:val="auto"/>
              </w:rPr>
            </w:pPr>
          </w:p>
        </w:tc>
        <w:tc>
          <w:tcPr>
            <w:tcW w:w="7860" w:type="dxa"/>
            <w:vAlign w:val="bottom"/>
            <w:tcBorders>
              <w:bottom w:val="single" w:sz="8" w:color="auto"/>
            </w:tcBorders>
            <w:gridSpan w:val="11"/>
          </w:tcPr>
          <w:p>
            <w:pPr>
              <w:spacing w:after="0"/>
              <w:rPr>
                <w:sz w:val="2"/>
                <w:szCs w:val="2"/>
                <w:color w:val="auto"/>
              </w:rPr>
            </w:pPr>
          </w:p>
        </w:tc>
        <w:tc>
          <w:tcPr>
            <w:tcW w:w="20" w:type="dxa"/>
            <w:vAlign w:val="bottom"/>
          </w:tcPr>
          <w:p>
            <w:pPr>
              <w:spacing w:after="0"/>
              <w:rPr>
                <w:sz w:val="2"/>
                <w:szCs w:val="2"/>
                <w:color w:val="auto"/>
              </w:rPr>
            </w:pPr>
          </w:p>
        </w:tc>
      </w:tr>
      <w:tr>
        <w:trPr>
          <w:trHeight w:val="211"/>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7880" w:type="dxa"/>
            <w:vAlign w:val="bottom"/>
            <w:gridSpan w:val="12"/>
          </w:tcPr>
          <w:p>
            <w:pPr>
              <w:ind w:left="260"/>
              <w:spacing w:after="0"/>
              <w:rPr>
                <w:sz w:val="20"/>
                <w:szCs w:val="20"/>
                <w:color w:val="auto"/>
              </w:rPr>
            </w:pPr>
            <w:r>
              <w:rPr>
                <w:rFonts w:ascii="Arial" w:cs="Arial" w:eastAsia="Arial" w:hAnsi="Arial"/>
                <w:sz w:val="16"/>
                <w:szCs w:val="16"/>
                <w:color w:val="auto"/>
              </w:rPr>
              <w:t>Primarily relates to cash used for operating expenses including research and development expenses,</w:t>
            </w:r>
          </w:p>
        </w:tc>
      </w:tr>
      <w:tr>
        <w:trPr>
          <w:trHeight w:val="196"/>
        </w:trPr>
        <w:tc>
          <w:tcPr>
            <w:tcW w:w="3360" w:type="dxa"/>
            <w:vAlign w:val="bottom"/>
          </w:tcPr>
          <w:p>
            <w:pPr>
              <w:spacing w:after="0"/>
              <w:rPr>
                <w:sz w:val="17"/>
                <w:szCs w:val="17"/>
                <w:color w:val="auto"/>
              </w:rPr>
            </w:pPr>
          </w:p>
        </w:tc>
        <w:tc>
          <w:tcPr>
            <w:tcW w:w="7880" w:type="dxa"/>
            <w:vAlign w:val="bottom"/>
            <w:gridSpan w:val="12"/>
          </w:tcPr>
          <w:p>
            <w:pPr>
              <w:ind w:left="260"/>
              <w:spacing w:after="0"/>
              <w:rPr>
                <w:sz w:val="20"/>
                <w:szCs w:val="20"/>
                <w:color w:val="auto"/>
              </w:rPr>
            </w:pPr>
            <w:r>
              <w:rPr>
                <w:rFonts w:ascii="Arial" w:cs="Arial" w:eastAsia="Arial" w:hAnsi="Arial"/>
                <w:sz w:val="16"/>
                <w:szCs w:val="16"/>
                <w:color w:val="auto"/>
              </w:rPr>
              <w:t>salaries, and other general and administration expenses. Cash flows from operating activities exclude</w:t>
            </w:r>
          </w:p>
        </w:tc>
      </w:tr>
      <w:tr>
        <w:trPr>
          <w:trHeight w:val="196"/>
        </w:trPr>
        <w:tc>
          <w:tcPr>
            <w:tcW w:w="3360" w:type="dxa"/>
            <w:vAlign w:val="bottom"/>
          </w:tcPr>
          <w:p>
            <w:pPr>
              <w:spacing w:after="0"/>
              <w:rPr>
                <w:sz w:val="17"/>
                <w:szCs w:val="17"/>
                <w:color w:val="auto"/>
              </w:rPr>
            </w:pPr>
          </w:p>
        </w:tc>
        <w:tc>
          <w:tcPr>
            <w:tcW w:w="7880" w:type="dxa"/>
            <w:vAlign w:val="bottom"/>
            <w:gridSpan w:val="12"/>
          </w:tcPr>
          <w:p>
            <w:pPr>
              <w:ind w:left="260"/>
              <w:spacing w:after="0"/>
              <w:rPr>
                <w:sz w:val="20"/>
                <w:szCs w:val="20"/>
                <w:color w:val="auto"/>
              </w:rPr>
            </w:pPr>
            <w:r>
              <w:rPr>
                <w:rFonts w:ascii="Arial" w:cs="Arial" w:eastAsia="Arial" w:hAnsi="Arial"/>
                <w:sz w:val="16"/>
                <w:szCs w:val="16"/>
                <w:color w:val="auto"/>
              </w:rPr>
              <w:t>expenses not affecting cash, such as share based compensation expense, depreciation, unrealized</w:t>
            </w:r>
          </w:p>
        </w:tc>
      </w:tr>
      <w:tr>
        <w:trPr>
          <w:trHeight w:val="196"/>
        </w:trPr>
        <w:tc>
          <w:tcPr>
            <w:tcW w:w="3360" w:type="dxa"/>
            <w:vAlign w:val="bottom"/>
          </w:tcPr>
          <w:p>
            <w:pPr>
              <w:spacing w:after="0"/>
              <w:rPr>
                <w:sz w:val="17"/>
                <w:szCs w:val="17"/>
                <w:color w:val="auto"/>
              </w:rPr>
            </w:pPr>
          </w:p>
        </w:tc>
        <w:tc>
          <w:tcPr>
            <w:tcW w:w="7280" w:type="dxa"/>
            <w:vAlign w:val="bottom"/>
            <w:gridSpan w:val="9"/>
          </w:tcPr>
          <w:p>
            <w:pPr>
              <w:ind w:left="260"/>
              <w:spacing w:after="0"/>
              <w:rPr>
                <w:sz w:val="20"/>
                <w:szCs w:val="20"/>
                <w:color w:val="auto"/>
              </w:rPr>
            </w:pPr>
            <w:r>
              <w:rPr>
                <w:rFonts w:ascii="Arial" w:cs="Arial" w:eastAsia="Arial" w:hAnsi="Arial"/>
                <w:sz w:val="16"/>
                <w:szCs w:val="16"/>
                <w:color w:val="auto"/>
              </w:rPr>
              <w:t>foreign exchange gains or losses, and net changes in non-cash balances relating to operations.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-519430</wp:posOffset>
            </wp:positionV>
            <wp:extent cx="7122160" cy="3098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2160" cy="3098800"/>
                    </a:xfrm>
                    <a:prstGeom prst="rect">
                      <a:avLst/>
                    </a:prstGeom>
                    <a:noFill/>
                  </pic:spPr>
                </pic:pic>
              </a:graphicData>
            </a:graphic>
          </wp:anchor>
        </w:drawing>
      </w:r>
    </w:p>
    <w:p>
      <w:pPr>
        <w:spacing w:after="0" w:line="29" w:lineRule="exact"/>
        <w:rPr>
          <w:sz w:val="20"/>
          <w:szCs w:val="20"/>
          <w:color w:val="auto"/>
        </w:rPr>
      </w:pPr>
    </w:p>
    <w:p>
      <w:pPr>
        <w:jc w:val="both"/>
        <w:ind w:left="3620" w:right="60"/>
        <w:spacing w:after="0" w:line="255" w:lineRule="auto"/>
        <w:rPr>
          <w:sz w:val="20"/>
          <w:szCs w:val="20"/>
          <w:color w:val="auto"/>
        </w:rPr>
      </w:pPr>
      <w:r>
        <w:rPr>
          <w:rFonts w:ascii="Arial" w:cs="Arial" w:eastAsia="Arial" w:hAnsi="Arial"/>
          <w:sz w:val="16"/>
          <w:szCs w:val="16"/>
          <w:color w:val="auto"/>
        </w:rPr>
        <w:t>For the three-month period ended September 30, For the six-month period ended September 30, 2021, cash used in operating activities was $13,792 2021, cash used in operating activities was $22,672 driven by a net loss for the period of $17,607, an driven by a net loss for the period of $32,324, an increase in working capital of $2,201 and non-cash increase in working capital of $1,979 and non-cash unrealized foreign exchange gain of $190 partially unrealized foreign exchange gain of $159 partially offset by the following non-cash items: share-based offset by the following non-cash items: share-based compensation of $5,457, change in fair value of compensation of $10,230, change in fair value of contingent consideration of $637, contingent contingent consideration of $1,249, contingent consideration accretion of $70 and depreciation of consideration accretion of $231 and depreciation of</w:t>
      </w:r>
    </w:p>
    <w:p>
      <w:pPr>
        <w:spacing w:after="0" w:line="2" w:lineRule="exact"/>
        <w:rPr>
          <w:sz w:val="20"/>
          <w:szCs w:val="20"/>
          <w:color w:val="auto"/>
        </w:rPr>
      </w:pPr>
    </w:p>
    <w:p>
      <w:pPr>
        <w:ind w:left="3620"/>
        <w:spacing w:after="0"/>
        <w:tabs>
          <w:tab w:leader="none" w:pos="740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$80.</w:t>
      </w:r>
    </w:p>
    <w:p>
      <w:pPr>
        <w:sectPr>
          <w:pgSz w:w="11900" w:h="16838" w:orient="portrait"/>
          <w:cols w:equalWidth="0" w:num="1">
            <w:col w:w="11260"/>
          </w:cols>
          <w:pgMar w:left="320" w:top="905" w:right="319" w:bottom="1440" w:gutter="0" w:footer="0" w:header="0"/>
        </w:sectPr>
      </w:pPr>
    </w:p>
    <w:p>
      <w:pPr>
        <w:spacing w:after="0" w:line="53" w:lineRule="exact"/>
        <w:rPr>
          <w:sz w:val="20"/>
          <w:szCs w:val="20"/>
          <w:color w:val="auto"/>
        </w:rPr>
      </w:pPr>
    </w:p>
    <w:p>
      <w:pPr>
        <w:ind w:left="20"/>
        <w:spacing w:after="0"/>
        <w:tabs>
          <w:tab w:leader="none" w:pos="3600" w:val="left"/>
        </w:tabs>
        <w:rPr>
          <w:sz w:val="20"/>
          <w:szCs w:val="20"/>
          <w:color w:val="auto"/>
        </w:rPr>
      </w:pPr>
      <w:r>
        <w:rPr>
          <w:rFonts w:ascii="Arial" w:cs="Arial" w:eastAsia="Arial" w:hAnsi="Arial"/>
          <w:sz w:val="16"/>
          <w:szCs w:val="16"/>
          <w:b w:val="1"/>
          <w:bCs w:val="1"/>
          <w:color w:val="auto"/>
        </w:rPr>
        <w:t>Net cash used in investing activities</w:t>
      </w:r>
      <w:r>
        <w:rPr>
          <w:sz w:val="20"/>
          <w:szCs w:val="20"/>
          <w:color w:val="auto"/>
        </w:rPr>
        <w:tab/>
      </w:r>
      <w:r>
        <w:rPr>
          <w:rFonts w:ascii="Arial" w:cs="Arial" w:eastAsia="Arial" w:hAnsi="Arial"/>
          <w:sz w:val="16"/>
          <w:szCs w:val="16"/>
          <w:color w:val="auto"/>
        </w:rPr>
        <w:t>For the three-month period ended September 30,</w:t>
      </w:r>
    </w:p>
    <w:p>
      <w:pPr>
        <w:spacing w:after="0" w:line="32"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2021, cash flows were mainly driven by:</w:t>
      </w:r>
    </w:p>
    <w:p>
      <w:pPr>
        <w:spacing w:after="0" w:line="1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 purchase of intangible assets of $67, and</w:t>
      </w:r>
    </w:p>
    <w:p>
      <w:pPr>
        <w:spacing w:after="0" w:line="1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 purchase of equipment of $21.</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460"/>
        <w:spacing w:after="0" w:line="247" w:lineRule="auto"/>
        <w:rPr>
          <w:sz w:val="20"/>
          <w:szCs w:val="20"/>
          <w:color w:val="auto"/>
        </w:rPr>
      </w:pPr>
      <w:r>
        <w:rPr>
          <w:rFonts w:ascii="Arial" w:cs="Arial" w:eastAsia="Arial" w:hAnsi="Arial"/>
          <w:sz w:val="16"/>
          <w:szCs w:val="16"/>
          <w:color w:val="auto"/>
        </w:rPr>
        <w:t>For the six-month period ended September 30, 2021, cash flows were mainly driven by:</w:t>
      </w:r>
    </w:p>
    <w:p>
      <w:pPr>
        <w:ind w:left="300" w:right="520" w:hanging="147"/>
        <w:spacing w:after="0" w:line="231" w:lineRule="auto"/>
        <w:tabs>
          <w:tab w:leader="none" w:pos="271"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investment in RxLive Limited (“</w:t>
      </w:r>
      <w:r>
        <w:rPr>
          <w:rFonts w:ascii="Arial" w:cs="Arial" w:eastAsia="Arial" w:hAnsi="Arial"/>
          <w:sz w:val="16"/>
          <w:szCs w:val="16"/>
          <w:b w:val="1"/>
          <w:bCs w:val="1"/>
          <w:color w:val="auto"/>
        </w:rPr>
        <w:t>RxLive</w:t>
      </w:r>
      <w:r>
        <w:rPr>
          <w:rFonts w:ascii="Arial" w:cs="Arial" w:eastAsia="Arial" w:hAnsi="Arial"/>
          <w:sz w:val="16"/>
          <w:szCs w:val="16"/>
          <w:color w:val="auto"/>
        </w:rPr>
        <w:t>”) of $250,</w:t>
      </w:r>
    </w:p>
    <w:p>
      <w:pPr>
        <w:ind w:left="280" w:hanging="127"/>
        <w:spacing w:after="0"/>
        <w:tabs>
          <w:tab w:leader="none" w:pos="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purchase of intangible assets of $163, and</w:t>
      </w:r>
    </w:p>
    <w:p>
      <w:pPr>
        <w:spacing w:after="0" w:line="11" w:lineRule="exact"/>
        <w:rPr>
          <w:rFonts w:ascii="Arial" w:cs="Arial" w:eastAsia="Arial" w:hAnsi="Arial"/>
          <w:sz w:val="16"/>
          <w:szCs w:val="16"/>
          <w:color w:val="auto"/>
        </w:rPr>
      </w:pPr>
    </w:p>
    <w:p>
      <w:pPr>
        <w:ind w:left="280" w:hanging="127"/>
        <w:spacing w:after="0"/>
        <w:tabs>
          <w:tab w:leader="none" w:pos="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purchase of equipment of $70.</w:t>
      </w:r>
    </w:p>
    <w:p>
      <w:pPr>
        <w:spacing w:after="0" w:line="53" w:lineRule="exact"/>
        <w:rPr>
          <w:sz w:val="20"/>
          <w:szCs w:val="20"/>
          <w:color w:val="auto"/>
        </w:rPr>
      </w:pPr>
    </w:p>
    <w:p>
      <w:pPr>
        <w:sectPr>
          <w:pgSz w:w="11900" w:h="16838" w:orient="portrait"/>
          <w:cols w:equalWidth="0" w:num="2">
            <w:col w:w="7180" w:space="240"/>
            <w:col w:w="3840"/>
          </w:cols>
          <w:pgMar w:left="320" w:top="905" w:right="319" w:bottom="1440" w:gutter="0" w:footer="0" w:header="0"/>
          <w:type w:val="continuous"/>
        </w:sectPr>
      </w:pPr>
    </w:p>
    <w:p>
      <w:pPr>
        <w:jc w:val="both"/>
        <w:ind w:left="3620" w:right="60" w:hanging="3607"/>
        <w:spacing w:after="0" w:line="260" w:lineRule="auto"/>
        <w:tabs>
          <w:tab w:leader="none" w:pos="3600" w:val="left"/>
        </w:tabs>
        <w:rPr>
          <w:sz w:val="20"/>
          <w:szCs w:val="20"/>
          <w:color w:val="auto"/>
        </w:rPr>
      </w:pPr>
      <w:r>
        <w:rPr>
          <w:rFonts w:ascii="Arial" w:cs="Arial" w:eastAsia="Arial" w:hAnsi="Arial"/>
          <w:sz w:val="16"/>
          <w:szCs w:val="16"/>
          <w:b w:val="1"/>
          <w:bCs w:val="1"/>
          <w:color w:val="auto"/>
        </w:rPr>
        <w:t>Net cash from (used in) financing activities</w:t>
      </w:r>
      <w:r>
        <w:rPr>
          <w:sz w:val="20"/>
          <w:szCs w:val="20"/>
          <w:color w:val="auto"/>
        </w:rPr>
        <w:tab/>
      </w:r>
      <w:r>
        <w:rPr>
          <w:rFonts w:ascii="Arial" w:cs="Arial" w:eastAsia="Arial" w:hAnsi="Arial"/>
          <w:sz w:val="16"/>
          <w:szCs w:val="16"/>
          <w:color w:val="auto"/>
        </w:rPr>
        <w:t>For the three and six-month periods ended September 30, 2021, cash generated from financing activities were mainly related to the net proceeds of $31,508 received as a result of the issuance of common shares completed in August. In addition, the Company received $2,473 during the three-month period and $2,802 during the six-month period, related to the exercise of warrants and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712216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2160" cy="7620"/>
                    </a:xfrm>
                    <a:prstGeom prst="rect">
                      <a:avLst/>
                    </a:prstGeom>
                    <a:noFill/>
                  </pic:spPr>
                </pic:pic>
              </a:graphicData>
            </a:graphic>
          </wp:anchor>
        </w:drawing>
      </w:r>
    </w:p>
    <w:p>
      <w:pPr>
        <w:spacing w:after="0" w:line="2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August 3, 2021, the Company closed its overnight marketed offering of 10,147,600 Common Shares at a price of $3.40 per Common Share (the “</w:t>
      </w:r>
      <w:r>
        <w:rPr>
          <w:rFonts w:ascii="Arial" w:cs="Arial" w:eastAsia="Arial" w:hAnsi="Arial"/>
          <w:sz w:val="18"/>
          <w:szCs w:val="18"/>
          <w:b w:val="1"/>
          <w:bCs w:val="1"/>
          <w:color w:val="auto"/>
        </w:rPr>
        <w:t>Issue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 for aggregate gross proceeds of $34,502 (the “</w:t>
      </w:r>
      <w:r>
        <w:rPr>
          <w:rFonts w:ascii="Arial" w:cs="Arial" w:eastAsia="Arial" w:hAnsi="Arial"/>
          <w:sz w:val="18"/>
          <w:szCs w:val="18"/>
          <w:b w:val="1"/>
          <w:bCs w:val="1"/>
          <w:color w:val="auto"/>
        </w:rPr>
        <w:t>Public Offering</w:t>
      </w:r>
      <w:r>
        <w:rPr>
          <w:rFonts w:ascii="Arial" w:cs="Arial" w:eastAsia="Arial" w:hAnsi="Arial"/>
          <w:sz w:val="18"/>
          <w:szCs w:val="18"/>
          <w:color w:val="auto"/>
        </w:rPr>
        <w:t>”) pursuant to the July 2021 Prospectus. The Public Offering was conducted by</w:t>
      </w:r>
      <w:r>
        <w:rPr>
          <w:rFonts w:ascii="Arial" w:cs="Arial" w:eastAsia="Arial" w:hAnsi="Arial"/>
          <w:sz w:val="18"/>
          <w:szCs w:val="18"/>
          <w:b w:val="1"/>
          <w:bCs w:val="1"/>
          <w:color w:val="auto"/>
        </w:rPr>
        <w:t xml:space="preserve"> </w:t>
      </w:r>
      <w:r>
        <w:rPr>
          <w:rFonts w:ascii="Arial" w:cs="Arial" w:eastAsia="Arial" w:hAnsi="Arial"/>
          <w:sz w:val="18"/>
          <w:szCs w:val="18"/>
          <w:color w:val="auto"/>
        </w:rPr>
        <w:t>Cantor Fitzgerald Canada Corporation and Canaccord Genuity Corp., as joint bookrunners, co-led the syndicate of underwriters for the Public Offering, which included H.C. Wainwright &amp; Co., LLC, Roth Canada, ULC, and Stifel Nicolaus Canada Inc. (collectively, the “</w:t>
      </w:r>
      <w:r>
        <w:rPr>
          <w:rFonts w:ascii="Arial" w:cs="Arial" w:eastAsia="Arial" w:hAnsi="Arial"/>
          <w:sz w:val="18"/>
          <w:szCs w:val="18"/>
          <w:b w:val="1"/>
          <w:bCs w:val="1"/>
          <w:color w:val="auto"/>
        </w:rPr>
        <w:t>Underwriters</w:t>
      </w:r>
      <w:r>
        <w:rPr>
          <w:rFonts w:ascii="Arial" w:cs="Arial" w:eastAsia="Arial" w:hAnsi="Arial"/>
          <w:sz w:val="18"/>
          <w:szCs w:val="18"/>
          <w:color w:val="auto"/>
        </w:rPr>
        <w:t>”). In consideration for their services, the Company paid to the Underwriters a cash commission equal to $2,240 and issued 658,860 compensation warrants of the Company (the “</w:t>
      </w:r>
      <w:r>
        <w:rPr>
          <w:rFonts w:ascii="Arial" w:cs="Arial" w:eastAsia="Arial" w:hAnsi="Arial"/>
          <w:sz w:val="18"/>
          <w:szCs w:val="18"/>
          <w:b w:val="1"/>
          <w:bCs w:val="1"/>
          <w:color w:val="auto"/>
        </w:rPr>
        <w:t>Compensation Warrants</w:t>
      </w:r>
      <w:r>
        <w:rPr>
          <w:rFonts w:ascii="Arial" w:cs="Arial" w:eastAsia="Arial" w:hAnsi="Arial"/>
          <w:sz w:val="18"/>
          <w:szCs w:val="18"/>
          <w:color w:val="auto"/>
        </w:rPr>
        <w:t>”), with each Compensation Warrant being exercisable to acquire one Common Share at the Issue Price for a period of 24 months from the closing date of the Public Offering.</w:t>
      </w:r>
    </w:p>
    <w:p>
      <w:pPr>
        <w:spacing w:after="0" w:line="17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60"/>
          </w:cols>
          <w:pgMar w:left="320" w:top="905" w:right="319" w:bottom="1440" w:gutter="0" w:footer="0" w:header="0"/>
          <w:type w:val="continuous"/>
        </w:sectPr>
      </w:pPr>
    </w:p>
    <w:bookmarkStart w:id="65" w:name="page66"/>
    <w:bookmarkEnd w:id="65"/>
    <w:p>
      <w:pPr>
        <w:jc w:val="both"/>
        <w:ind w:right="20"/>
        <w:spacing w:after="0" w:line="267" w:lineRule="auto"/>
        <w:rPr>
          <w:sz w:val="20"/>
          <w:szCs w:val="20"/>
          <w:color w:val="auto"/>
        </w:rPr>
      </w:pPr>
      <w:r>
        <w:rPr>
          <w:rFonts w:ascii="Arial" w:cs="Arial" w:eastAsia="Arial" w:hAnsi="Arial"/>
          <w:sz w:val="18"/>
          <w:szCs w:val="18"/>
          <w:color w:val="auto"/>
        </w:rPr>
        <w:t>cash flows, which are subject to prevailing economic conditions, regulatory and financial, business and other factors, some of which are beyond the Company’s control.</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at September 30, 2021, the Company had working capital of $73,744. The Company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9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Company intends to continue its rapid growth and expand its operations in the next twelve to twenty-four months. This growth, along with the expectation of operating at a loss for at minimum the next 12 months, will diminish the Company’s working capital. As such, further financings may be required to develop the Company’s facility and products,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58"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Company’s current expenditure obligations include commitments for those projects described in the section entitled “</w:t>
      </w:r>
      <w:r>
        <w:rPr>
          <w:rFonts w:ascii="Arial" w:cs="Arial" w:eastAsia="Arial" w:hAnsi="Arial"/>
          <w:sz w:val="17"/>
          <w:szCs w:val="17"/>
          <w:i w:val="1"/>
          <w:iCs w:val="1"/>
          <w:color w:val="auto"/>
        </w:rPr>
        <w:t>Major Objectives</w:t>
      </w:r>
      <w:r>
        <w:rPr>
          <w:rFonts w:ascii="Arial" w:cs="Arial" w:eastAsia="Arial" w:hAnsi="Arial"/>
          <w:sz w:val="17"/>
          <w:szCs w:val="17"/>
          <w:color w:val="auto"/>
        </w:rPr>
        <w:t>” in this MD&amp;A. The Company expects to continue funding these projects with available cash and cash equivalents, and 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5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Company constantly monitors and manages its capital resources to assess the liquidity necessary to fund operations and capacity expansion. As at September 30, 2021, the Company had a cash and cash equivalent balance of $75,179 and current liabilities of $5,708, of which $3,079 represent non-cash liabilities. In addition, Cybin has agreed to participate in a private placement of subscription receipts of 1301376 B.C. Ltd. in an amount of up to $500. The Company’s current resources are sufficient to settle its current liabilities.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raise the capital necessary to become a fully operational enterprise.</w:t>
      </w:r>
    </w:p>
    <w:p>
      <w:pPr>
        <w:spacing w:after="0" w:line="197"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56"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As the Company has not yet achieved profitability, there are uncertainties regarding its ability to continue as a going concern.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“Risk Factors”.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320" w:top="710" w:right="319" w:bottom="1440" w:gutter="0" w:footer="0" w:header="0"/>
        </w:sectPr>
      </w:pPr>
    </w:p>
    <w:bookmarkStart w:id="66" w:name="page67"/>
    <w:bookmarkEnd w:id="66"/>
    <w:p>
      <w:pPr>
        <w:jc w:val="both"/>
        <w:spacing w:after="0" w:line="279" w:lineRule="auto"/>
        <w:rPr>
          <w:sz w:val="20"/>
          <w:szCs w:val="20"/>
          <w:color w:val="auto"/>
        </w:rPr>
      </w:pPr>
      <w:r>
        <w:rPr>
          <w:rFonts w:ascii="Arial" w:cs="Arial" w:eastAsia="Arial" w:hAnsi="Arial"/>
          <w:sz w:val="16"/>
          <w:szCs w:val="16"/>
          <w:color w:val="auto"/>
        </w:rPr>
        <w:t>The Company raised capital pursuant to the February 2021 Prospectus and the July 2021 Prospectus to continue to support its strategic plan.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connection with the investment in RxLive, Cybin has agreed to participate in a private placement of subscription receipts of 1301376 B.C. Ltd. in an amount of up to $500.</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at September 30, 2021, the Company had also entered into agreements for various studies which may require the Company to spend up to an additional US$5,537. The Company expects to pay this amount within the next 18 months, however the timing and certainty of the payments are contingent on availability of materials and successful completion of certain milestones. The Company has the right to cancel the preclinical studies at its discretion, in which case a cancellation fee may apply, however the Company is not liable to pay the full amount of the study.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out the outstanding share capital of the Company as at September 30, 2021 and as of the date of this MD&amp;A:</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4280" w:type="dxa"/>
            <w:vAlign w:val="bottom"/>
            <w:tcBorders>
              <w:top w:val="single" w:sz="8" w:color="auto"/>
              <w:left w:val="single" w:sz="8" w:color="auto"/>
              <w:bottom w:val="single" w:sz="8" w:color="DBDBDB"/>
              <w:right w:val="single" w:sz="8" w:color="auto"/>
            </w:tcBorders>
            <w:shd w:val="clear" w:color="auto" w:fill="DBDBDB"/>
          </w:tcPr>
          <w:p>
            <w:pPr>
              <w:ind w:left="1540"/>
              <w:spacing w:after="0"/>
              <w:rPr>
                <w:sz w:val="20"/>
                <w:szCs w:val="20"/>
                <w:color w:val="auto"/>
              </w:rPr>
            </w:pPr>
            <w:r>
              <w:rPr>
                <w:rFonts w:ascii="Arial" w:cs="Arial" w:eastAsia="Arial" w:hAnsi="Arial"/>
                <w:sz w:val="16"/>
                <w:szCs w:val="16"/>
                <w:b w:val="1"/>
                <w:bCs w:val="1"/>
                <w:color w:val="auto"/>
              </w:rPr>
              <w:t>Class of Security</w:t>
            </w:r>
          </w:p>
        </w:tc>
        <w:tc>
          <w:tcPr>
            <w:tcW w:w="3220" w:type="dxa"/>
            <w:vAlign w:val="bottom"/>
            <w:tcBorders>
              <w:top w:val="single" w:sz="8" w:color="auto"/>
              <w:bottom w:val="single" w:sz="8" w:color="DBDBDB"/>
              <w:right w:val="single" w:sz="8" w:color="auto"/>
            </w:tcBorders>
            <w:shd w:val="clear" w:color="auto" w:fill="DBDBDB"/>
          </w:tcPr>
          <w:p>
            <w:pPr>
              <w:jc w:val="right"/>
              <w:ind w:right="678"/>
              <w:spacing w:after="0"/>
              <w:rPr>
                <w:sz w:val="20"/>
                <w:szCs w:val="20"/>
                <w:color w:val="auto"/>
              </w:rPr>
            </w:pPr>
            <w:r>
              <w:rPr>
                <w:rFonts w:ascii="Arial" w:cs="Arial" w:eastAsia="Arial" w:hAnsi="Arial"/>
                <w:sz w:val="16"/>
                <w:szCs w:val="16"/>
                <w:b w:val="1"/>
                <w:bCs w:val="1"/>
                <w:color w:val="auto"/>
              </w:rPr>
              <w:t>As of September 30, 2021</w:t>
            </w:r>
          </w:p>
        </w:tc>
        <w:tc>
          <w:tcPr>
            <w:tcW w:w="3660" w:type="dxa"/>
            <w:vAlign w:val="bottom"/>
            <w:tcBorders>
              <w:top w:val="single" w:sz="8" w:color="auto"/>
              <w:bottom w:val="single" w:sz="8" w:color="DBDBDB"/>
              <w:right w:val="single" w:sz="8" w:color="auto"/>
            </w:tcBorders>
            <w:shd w:val="clear" w:color="auto" w:fill="DBDBDB"/>
          </w:tcPr>
          <w:p>
            <w:pPr>
              <w:jc w:val="right"/>
              <w:ind w:right="778"/>
              <w:spacing w:after="0"/>
              <w:rPr>
                <w:sz w:val="20"/>
                <w:szCs w:val="20"/>
                <w:color w:val="auto"/>
              </w:rPr>
            </w:pPr>
            <w:r>
              <w:rPr>
                <w:rFonts w:ascii="Arial" w:cs="Arial" w:eastAsia="Arial" w:hAnsi="Arial"/>
                <w:sz w:val="16"/>
                <w:szCs w:val="16"/>
                <w:b w:val="1"/>
                <w:bCs w:val="1"/>
                <w:color w:val="auto"/>
              </w:rPr>
              <w:t>As of the date of this MD&amp;A</w:t>
            </w:r>
          </w:p>
        </w:tc>
      </w:tr>
      <w:tr>
        <w:trPr>
          <w:trHeight w:val="211"/>
        </w:trPr>
        <w:tc>
          <w:tcPr>
            <w:tcW w:w="42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Common Shares</w:t>
            </w:r>
          </w:p>
        </w:tc>
        <w:tc>
          <w:tcPr>
            <w:tcW w:w="322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6"/>
                <w:szCs w:val="16"/>
                <w:color w:val="auto"/>
              </w:rPr>
              <w:t>160,359,758</w:t>
            </w:r>
          </w:p>
        </w:tc>
        <w:tc>
          <w:tcPr>
            <w:tcW w:w="36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160,858,258</w:t>
            </w:r>
          </w:p>
        </w:tc>
      </w:tr>
      <w:tr>
        <w:trPr>
          <w:trHeight w:val="25"/>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Stock options</w:t>
            </w:r>
          </w:p>
        </w:tc>
        <w:tc>
          <w:tcPr>
            <w:tcW w:w="32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27,707,702</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27,212,702</w:t>
            </w:r>
          </w:p>
        </w:tc>
      </w:tr>
      <w:tr>
        <w:trPr>
          <w:trHeight w:val="25"/>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Underwriters Warrants</w:t>
            </w:r>
          </w:p>
        </w:tc>
        <w:tc>
          <w:tcPr>
            <w:tcW w:w="32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868,740</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868,740</w:t>
            </w:r>
          </w:p>
        </w:tc>
      </w:tr>
      <w:tr>
        <w:trPr>
          <w:trHeight w:val="25"/>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Common Share purchase warrants</w:t>
            </w:r>
          </w:p>
        </w:tc>
        <w:tc>
          <w:tcPr>
            <w:tcW w:w="32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27,424,921</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27,401,421</w:t>
            </w:r>
          </w:p>
        </w:tc>
      </w:tr>
      <w:tr>
        <w:trPr>
          <w:trHeight w:val="25"/>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74"/>
        </w:trPr>
        <w:tc>
          <w:tcPr>
            <w:tcW w:w="4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 xml:space="preserve">Class B Shares (as defined below) </w:t>
            </w:r>
            <w:r>
              <w:rPr>
                <w:rFonts w:ascii="Arial" w:cs="Arial" w:eastAsia="Arial" w:hAnsi="Arial"/>
                <w:sz w:val="21"/>
                <w:szCs w:val="21"/>
                <w:color w:val="auto"/>
                <w:vertAlign w:val="superscript"/>
              </w:rPr>
              <w:t>(1)</w:t>
            </w:r>
          </w:p>
        </w:tc>
        <w:tc>
          <w:tcPr>
            <w:tcW w:w="32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1,006,201.6</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1,006,201.6</w:t>
            </w:r>
          </w:p>
        </w:tc>
      </w:tr>
      <w:tr>
        <w:trPr>
          <w:trHeight w:val="159"/>
        </w:trPr>
        <w:tc>
          <w:tcPr>
            <w:tcW w:w="4280" w:type="dxa"/>
            <w:vAlign w:val="bottom"/>
            <w:tcBorders>
              <w:left w:val="single" w:sz="8" w:color="auto"/>
              <w:bottom w:val="single" w:sz="8" w:color="auto"/>
              <w:right w:val="single" w:sz="8" w:color="auto"/>
            </w:tcBorders>
          </w:tcPr>
          <w:p>
            <w:pPr>
              <w:spacing w:after="0"/>
              <w:rPr>
                <w:sz w:val="13"/>
                <w:szCs w:val="13"/>
                <w:color w:val="auto"/>
              </w:rPr>
            </w:pPr>
          </w:p>
        </w:tc>
        <w:tc>
          <w:tcPr>
            <w:tcW w:w="3220" w:type="dxa"/>
            <w:vAlign w:val="bottom"/>
            <w:tcBorders>
              <w:bottom w:val="single" w:sz="8" w:color="auto"/>
              <w:right w:val="single" w:sz="8" w:color="auto"/>
            </w:tcBorders>
          </w:tcPr>
          <w:p>
            <w:pPr>
              <w:spacing w:after="0"/>
              <w:rPr>
                <w:sz w:val="13"/>
                <w:szCs w:val="13"/>
                <w:color w:val="auto"/>
              </w:rPr>
            </w:pPr>
          </w:p>
        </w:tc>
        <w:tc>
          <w:tcPr>
            <w:tcW w:w="3660" w:type="dxa"/>
            <w:vAlign w:val="bottom"/>
            <w:tcBorders>
              <w:bottom w:val="single" w:sz="8" w:color="auto"/>
              <w:right w:val="single" w:sz="8" w:color="auto"/>
            </w:tcBorders>
          </w:tcPr>
          <w:p>
            <w:pPr>
              <w:spacing w:after="0"/>
              <w:rPr>
                <w:sz w:val="13"/>
                <w:szCs w:val="13"/>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Note:</w:t>
      </w:r>
    </w:p>
    <w:p>
      <w:pPr>
        <w:spacing w:after="0" w:line="48" w:lineRule="exact"/>
        <w:rPr>
          <w:sz w:val="20"/>
          <w:szCs w:val="20"/>
          <w:color w:val="auto"/>
        </w:rPr>
      </w:pPr>
    </w:p>
    <w:p>
      <w:pPr>
        <w:ind w:left="580" w:firstLine="5"/>
        <w:spacing w:after="0" w:line="275" w:lineRule="auto"/>
        <w:tabs>
          <w:tab w:leader="none" w:pos="8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Class B Shares are exchangeable for Common Shares, on the basis of 10 Common Shares for each Class B Share, at the option of the holder thereof, subject to customary adjustments.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authorized capital of the Company consists of an unlimited number of Common Shares without par value and an unlimited number of preferred shares.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160,359,758 Common Shares were outstanding and no preferred shares are issued and outstanding. As of the date of this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MD&amp;A, 160,858,258 Common Shares are outstanding (see “Subsequent Events”).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As of September 30, 2021, options to purchase up to 27,707,702 Common Shares were outstanding under Cybin’s equity incentive plan. As of the date of this MD&amp;A, options to purchase up to 27,212,702 Common Shares are outstanding.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Underwriter’s Warrants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September 30, 2021 and as of the date of this MD&amp;A, underwriter’s warrants to purchase up to 868,740 units of the Company at an exercise price of $2.25 per unit are outstanding, with each unit consisting of one Common Share and one Common Share purchase warrants, with each Common Share purchase warrant being exercisable to acquire one Common Share at an exercise price of $3.25 per Common Share for a period of 36 months.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71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Common Share Purchase Warrants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2021, warrants to purchase up to 27,424,921 Common Shares were outstanding, exercisable at weighted average exercise price of $1.16 per Common Share. As of the date of this MD&amp;A, warrants to purchase up to 27,401,421 Common Shares were outstanding, exercisable at a weighted average exercise price of $1.16 per Common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Shares</w:t>
      </w:r>
    </w:p>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Adelia Transaction (see “Acquisitions”), Cybin U.S. (a subsidiary of the Company) has issued 919,996.1 Class B Shares. The Class B Shares are exchangeable at the holder’s option for Common Shares on the basis of 10 Common Shares for 1 Class B Share, subject to customary adjustments. As of September 30, 2021 and as of the date of this MD&amp;A, 1,006,201.6 Class B Shares were outstanding.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December 4, 2020, Cybin entered into a contribution agreement, as amended on September 24, 2021, (the “</w:t>
      </w:r>
      <w:r>
        <w:rPr>
          <w:rFonts w:ascii="Arial" w:cs="Arial" w:eastAsia="Arial" w:hAnsi="Arial"/>
          <w:sz w:val="17"/>
          <w:szCs w:val="17"/>
          <w:b w:val="1"/>
          <w:bCs w:val="1"/>
          <w:color w:val="auto"/>
        </w:rPr>
        <w:t>Contribution Agreement</w:t>
      </w:r>
      <w:r>
        <w:rPr>
          <w:rFonts w:ascii="Arial" w:cs="Arial" w:eastAsia="Arial" w:hAnsi="Arial"/>
          <w:sz w:val="17"/>
          <w:szCs w:val="17"/>
          <w:color w:val="auto"/>
        </w:rPr>
        <w:t>”) with Cybin Corp., Cybin U.S. (the “</w:t>
      </w:r>
      <w:r>
        <w:rPr>
          <w:rFonts w:ascii="Arial" w:cs="Arial" w:eastAsia="Arial" w:hAnsi="Arial"/>
          <w:sz w:val="17"/>
          <w:szCs w:val="17"/>
          <w:b w:val="1"/>
          <w:bCs w:val="1"/>
          <w:color w:val="auto"/>
        </w:rPr>
        <w:t>Acquiror</w:t>
      </w:r>
      <w:r>
        <w:rPr>
          <w:rFonts w:ascii="Arial" w:cs="Arial" w:eastAsia="Arial" w:hAnsi="Arial"/>
          <w:sz w:val="17"/>
          <w:szCs w:val="17"/>
          <w:color w:val="auto"/>
        </w:rPr>
        <w:t>”), a newly formed fully-controlled subsidiary of Cybin created for the purposes of the acquisition (the “</w:t>
      </w:r>
      <w:r>
        <w:rPr>
          <w:rFonts w:ascii="Arial" w:cs="Arial" w:eastAsia="Arial" w:hAnsi="Arial"/>
          <w:sz w:val="17"/>
          <w:szCs w:val="17"/>
          <w:b w:val="1"/>
          <w:bCs w:val="1"/>
          <w:color w:val="auto"/>
        </w:rPr>
        <w:t>Adelia</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w:t>
      </w:r>
      <w:r>
        <w:rPr>
          <w:rFonts w:ascii="Arial" w:cs="Arial" w:eastAsia="Arial" w:hAnsi="Arial"/>
          <w:sz w:val="17"/>
          <w:szCs w:val="17"/>
          <w:color w:val="auto"/>
        </w:rPr>
        <w:t>”), and all of the shareholders of Adelia Therapeutics Inc. (the “</w:t>
      </w:r>
      <w:r>
        <w:rPr>
          <w:rFonts w:ascii="Arial" w:cs="Arial" w:eastAsia="Arial" w:hAnsi="Arial"/>
          <w:sz w:val="17"/>
          <w:szCs w:val="17"/>
          <w:b w:val="1"/>
          <w:bCs w:val="1"/>
          <w:color w:val="auto"/>
        </w:rPr>
        <w:t>Adelia Shareholders</w:t>
      </w:r>
      <w:r>
        <w:rPr>
          <w:rFonts w:ascii="Arial" w:cs="Arial" w:eastAsia="Arial" w:hAnsi="Arial"/>
          <w:sz w:val="17"/>
          <w:szCs w:val="17"/>
          <w:color w:val="auto"/>
        </w:rPr>
        <w:t>”) whereby the Acquiror has agreed to purchase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Adelia Shareholders all of the issued and outstanding common shares of Adelia (the “</w:t>
      </w:r>
      <w:r>
        <w:rPr>
          <w:rFonts w:ascii="Arial" w:cs="Arial" w:eastAsia="Arial" w:hAnsi="Arial"/>
          <w:sz w:val="17"/>
          <w:szCs w:val="17"/>
          <w:b w:val="1"/>
          <w:bCs w:val="1"/>
          <w:color w:val="auto"/>
        </w:rPr>
        <w:t>Adelia Shares</w:t>
      </w:r>
      <w:r>
        <w:rPr>
          <w:rFonts w:ascii="Arial" w:cs="Arial" w:eastAsia="Arial" w:hAnsi="Arial"/>
          <w:sz w:val="17"/>
          <w:szCs w:val="17"/>
          <w:color w:val="auto"/>
        </w:rPr>
        <w:t>”) in exchange for non-voting Class B common shares in the capital of the Acquiror (the “</w:t>
      </w:r>
      <w:r>
        <w:rPr>
          <w:rFonts w:ascii="Arial" w:cs="Arial" w:eastAsia="Arial" w:hAnsi="Arial"/>
          <w:sz w:val="17"/>
          <w:szCs w:val="17"/>
          <w:b w:val="1"/>
          <w:bCs w:val="1"/>
          <w:color w:val="auto"/>
        </w:rPr>
        <w:t>Class B Shares</w:t>
      </w:r>
      <w:r>
        <w:rPr>
          <w:rFonts w:ascii="Arial" w:cs="Arial" w:eastAsia="Arial" w:hAnsi="Arial"/>
          <w:sz w:val="17"/>
          <w:szCs w:val="17"/>
          <w:color w:val="auto"/>
        </w:rPr>
        <w:t>”). The Adelia Transaction closed on December 14, 2020 (the “</w:t>
      </w:r>
      <w:r>
        <w:rPr>
          <w:rFonts w:ascii="Arial" w:cs="Arial" w:eastAsia="Arial" w:hAnsi="Arial"/>
          <w:sz w:val="17"/>
          <w:szCs w:val="17"/>
          <w:b w:val="1"/>
          <w:bCs w:val="1"/>
          <w:color w:val="auto"/>
        </w:rPr>
        <w:t>Closing</w:t>
      </w:r>
      <w:r>
        <w:rPr>
          <w:rFonts w:ascii="Arial" w:cs="Arial" w:eastAsia="Arial" w:hAnsi="Arial"/>
          <w:sz w:val="17"/>
          <w:szCs w:val="17"/>
          <w:color w:val="auto"/>
        </w:rPr>
        <w:t>”).</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jc w:val="both"/>
        <w:spacing w:after="0" w:line="241" w:lineRule="auto"/>
        <w:rPr>
          <w:sz w:val="20"/>
          <w:szCs w:val="20"/>
          <w:color w:val="auto"/>
        </w:rPr>
      </w:pPr>
      <w:r>
        <w:rPr>
          <w:rFonts w:ascii="Arial" w:cs="Arial" w:eastAsia="Arial" w:hAnsi="Arial"/>
          <w:sz w:val="18"/>
          <w:szCs w:val="18"/>
          <w:color w:val="auto"/>
        </w:rPr>
        <w:t>The Class B Shares issued by the Acquiror to the Adelia Shareholders are exchangeable for Common Shares on a 10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are exchangeable prior to the first anniversary of the Closing and not more than: (i) 33 1/3% of the Class B Shares will be exchangeable prior to the second anniversary of Closing; (ii) 66 2/3% of the Class B Shares will be exchangeable prior to the third anniversary of Closing; and (iii) thereafter, 100% of the Class B Shares will be exchangeable ((i), (ii) and (iii), collectively, the “Hold Periods”). The Class B Shares issued to the Adelia Shareholders upon the Closing are exchangeable for a total of 8,688,330 Common Shares, resulting in an effective issue price of $1.24 per Cybin Share.</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the occurrence of certain milestones as set out in the Contribution Agreement (each a “</w:t>
      </w:r>
      <w:r>
        <w:rPr>
          <w:rFonts w:ascii="Arial" w:cs="Arial" w:eastAsia="Arial" w:hAnsi="Arial"/>
          <w:sz w:val="17"/>
          <w:szCs w:val="17"/>
          <w:b w:val="1"/>
          <w:bCs w:val="1"/>
          <w:color w:val="auto"/>
        </w:rPr>
        <w:t>Milestone</w:t>
      </w:r>
      <w:r>
        <w:rPr>
          <w:rFonts w:ascii="Arial" w:cs="Arial" w:eastAsia="Arial" w:hAnsi="Arial"/>
          <w:sz w:val="17"/>
          <w:szCs w:val="17"/>
          <w:color w:val="auto"/>
        </w:rPr>
        <w:t>”), the Acquiror will issue to the Adelia Shareholders in accordance with their pro rata percentage, within five business days following the relevant date at which there is agreement as to the achievement of the Milestone (the “</w:t>
      </w:r>
      <w:r>
        <w:rPr>
          <w:rFonts w:ascii="Arial" w:cs="Arial" w:eastAsia="Arial" w:hAnsi="Arial"/>
          <w:sz w:val="17"/>
          <w:szCs w:val="17"/>
          <w:b w:val="1"/>
          <w:bCs w:val="1"/>
          <w:color w:val="auto"/>
        </w:rPr>
        <w:t>Milestone Determination Date</w:t>
      </w:r>
      <w:r>
        <w:rPr>
          <w:rFonts w:ascii="Arial" w:cs="Arial" w:eastAsia="Arial" w:hAnsi="Arial"/>
          <w:sz w:val="17"/>
          <w:szCs w:val="17"/>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$0.75; (ii) the 10 day volume weighted average trading price of the Common Shares on the Exchange (or, in the event that the Common Shares are no longer traded on the Exchange, such other nationally recognized exchange as the 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assuming all Milestones are met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710" w:right="339" w:bottom="1440" w:gutter="0" w:footer="0" w:header="0"/>
        </w:sectPr>
      </w:pPr>
    </w:p>
    <w:bookmarkStart w:id="68" w:name="page69"/>
    <w:bookmarkEnd w:id="68"/>
    <w:p>
      <w:pPr>
        <w:jc w:val="both"/>
        <w:ind w:right="20"/>
        <w:spacing w:after="0" w:line="261" w:lineRule="auto"/>
        <w:rPr>
          <w:sz w:val="20"/>
          <w:szCs w:val="20"/>
          <w:color w:val="auto"/>
        </w:rPr>
      </w:pPr>
      <w:r>
        <w:rPr>
          <w:rFonts w:ascii="Arial" w:cs="Arial" w:eastAsia="Arial" w:hAnsi="Arial"/>
          <w:sz w:val="17"/>
          <w:szCs w:val="17"/>
          <w:color w:val="auto"/>
        </w:rPr>
        <w:t>prior to the applicable deadlines. As of the date of this MD&amp;A, 86,205.5 Class B Shares had been issued on the achievement of Milestones. Pursuant to the Contribution Agreement, Cybin, the Acquiror and the Adelia Shareholders also entered into a support agreement dated December 14, 2020 (the “</w:t>
      </w:r>
      <w:r>
        <w:rPr>
          <w:rFonts w:ascii="Arial" w:cs="Arial" w:eastAsia="Arial" w:hAnsi="Arial"/>
          <w:sz w:val="17"/>
          <w:szCs w:val="17"/>
          <w:b w:val="1"/>
          <w:bCs w:val="1"/>
          <w:color w:val="auto"/>
        </w:rPr>
        <w:t>Support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which for the purpose of Canadian securities law, is deemed a “security” as it is a document evidencing an interest in or to a security (i.e.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183"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On January 11, 2021, the Company announced the achievement of the first Milestone for the period commencing November 15, 2020, as contemplated by the terms of the Contribution Agreement. The achievement includes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$686,306.31 due to them upon meeting certain Milestones.</w:t>
      </w:r>
    </w:p>
    <w:p>
      <w:pPr>
        <w:spacing w:after="0" w:line="15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June 24, 2021 Adelia completed the remaining requirements of the second Milestone as listed in the Contribution Agreement. Accordingly, 15,777.10 Class B Shares were issued to the Adelia Shareholders, amounting to $458. The Class B Shares are exchangeable for a total of 157,771 Common Shares, representing an effective issue price of $2.90 per Common Share.</w:t>
      </w:r>
    </w:p>
    <w:p>
      <w:pPr>
        <w:spacing w:after="0" w:line="18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August 17, 2021, an additional 18,788.6 Class B Shares were issues to the Adelia Shareholders due to the achievement of certain requirements of the third and fourth milestones, amounting to $633. The Class B Shares are exchangeable for a total of 187,886 Common Shares, representing an effective issue price of $3.37 per Common Share.</w:t>
      </w:r>
    </w:p>
    <w:p>
      <w:pPr>
        <w:spacing w:after="0" w:line="19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August 31, 2021, the remaining requirements of the third milestone were achieved. Accordingly, 9,392.6 Class B Shares were issued to the Adelia Shareholders, amounting to $317. The Class B Shares are exchangeable for a total of 93,926 Common Shares, representing an effective issue price of $3.38 per Common Share.</w:t>
      </w:r>
    </w:p>
    <w:p>
      <w:pPr>
        <w:spacing w:after="0" w:line="18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Pursuant to the Contribution Agreement certain members of Adelia entered into advisory and/or executive employment arrangements with Cybin upon the Closing and, in such capacity, received, in the aggregate, a grant of options to purchase up to 2,244,100 to acquire Common Shares, pursuant to Cybin’s equity incentive plan, exercisable for a period of five (5) years and subject to vesting, at an exercise price of $1.74 per Cybin Share. An additional 555,900 options to acquire Common Shares were issued to eligible participants at the direction of the Adelia Shareholders following the Closing.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at September 30, 2021 and the date of this MD&amp;A, other than these contractual obligations and commitments disclosed in note 11 of the Interim Financial Statements, the Company does not have any off-balance sheet arrangements that have or are reasonably likely to have a current or future effect on the results of operations or financial condition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between related parties</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For the three and six-month periods ended September 30, 2021, the key management personnel of the Company were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the Chief Executive Officer, Chief Financial Officer, Chief</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320" w:top="710" w:right="319" w:bottom="1440" w:gutter="0" w:footer="0" w:header="0"/>
        </w:sectPr>
      </w:pPr>
    </w:p>
    <w:bookmarkStart w:id="69" w:name="page70"/>
    <w:bookmarkEnd w:id="69"/>
    <w:p>
      <w:pPr>
        <w:jc w:val="both"/>
        <w:spacing w:after="0" w:line="267" w:lineRule="auto"/>
        <w:rPr>
          <w:sz w:val="20"/>
          <w:szCs w:val="20"/>
          <w:color w:val="auto"/>
        </w:rPr>
      </w:pPr>
      <w:r>
        <w:rPr>
          <w:rFonts w:ascii="Arial" w:cs="Arial" w:eastAsia="Arial" w:hAnsi="Arial"/>
          <w:sz w:val="18"/>
          <w:szCs w:val="18"/>
          <w:color w:val="auto"/>
        </w:rPr>
        <w:t>Operating Officer, Chief Business Officer, Chief Compliance, Ethics &amp; Administrative Officer, Chief Legal Officer, Chief Innovation Officer, and Chief Scientific Officers.</w:t>
      </w:r>
    </w:p>
    <w:p>
      <w:pPr>
        <w:spacing w:after="0" w:line="151"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Compensation for key management personnel of the Company for the three and six-month periods ended September 30, 2021consisted of consulting fees, short term benefits and other compensation of $4,736 and $8,011, respectively (three and six-month periods ended September 30, 2020 - $491 and $2,929).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The preparation of the Company’s consolidated financial statements requires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3 of the of the Company’s 2021 annual consolidated financial statements found on SEDAR at </w:t>
      </w:r>
      <w:r>
        <w:rPr>
          <w:rFonts w:ascii="Arial" w:cs="Arial" w:eastAsia="Arial" w:hAnsi="Arial"/>
          <w:sz w:val="16"/>
          <w:szCs w:val="16"/>
          <w:i w:val="1"/>
          <w:iCs w:val="1"/>
          <w:u w:val="single" w:color="auto"/>
          <w:color w:val="0563C1"/>
        </w:rPr>
        <w:t>www.sedar.com</w:t>
      </w:r>
      <w:r>
        <w:rPr>
          <w:rFonts w:ascii="Arial" w:cs="Arial" w:eastAsia="Arial" w:hAnsi="Arial"/>
          <w:sz w:val="16"/>
          <w:szCs w:val="16"/>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and interpretations not yet adopted</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The Company’s significant accounting policies are set out in note 2 of the of the Company’s 2021 annual consolidated financial statements found on SEDAR at </w:t>
      </w:r>
      <w:r>
        <w:rPr>
          <w:rFonts w:ascii="Arial" w:cs="Arial" w:eastAsia="Arial" w:hAnsi="Arial"/>
          <w:sz w:val="18"/>
          <w:szCs w:val="18"/>
          <w:i w:val="1"/>
          <w:iCs w:val="1"/>
          <w:u w:val="single" w:color="auto"/>
          <w:color w:val="0563C1"/>
        </w:rPr>
        <w:t>www.sedar.com</w:t>
      </w:r>
      <w:r>
        <w:rPr>
          <w:rFonts w:ascii="Arial" w:cs="Arial" w:eastAsia="Arial" w:hAnsi="Arial"/>
          <w:sz w:val="18"/>
          <w:szCs w:val="18"/>
          <w:color w:val="auto"/>
        </w:rPr>
        <w:t>.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Company’s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Management maintains appropriate information systems, procedures and controls to provide reasonable assurance that information that is publicly disclosed is complete, reliable and timely. The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and Chief Financial Officer (the “</w:t>
      </w:r>
      <w:r>
        <w:rPr>
          <w:rFonts w:ascii="Arial" w:cs="Arial" w:eastAsia="Arial" w:hAnsi="Arial"/>
          <w:sz w:val="18"/>
          <w:szCs w:val="18"/>
          <w:b w:val="1"/>
          <w:bCs w:val="1"/>
          <w:color w:val="auto"/>
        </w:rPr>
        <w:t>CFO</w:t>
      </w:r>
      <w:r>
        <w:rPr>
          <w:rFonts w:ascii="Arial" w:cs="Arial" w:eastAsia="Arial" w:hAnsi="Arial"/>
          <w:sz w:val="18"/>
          <w:szCs w:val="18"/>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187" w:lineRule="exact"/>
        <w:rPr>
          <w:sz w:val="20"/>
          <w:szCs w:val="20"/>
          <w:color w:val="auto"/>
        </w:rPr>
      </w:pPr>
    </w:p>
    <w:p>
      <w:pPr>
        <w:ind w:left="580" w:hanging="289"/>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maintenance of records in reasonable detail, that accurately and fairly reflect the transactions and dispositions of assets;</w:t>
      </w:r>
    </w:p>
    <w:p>
      <w:pPr>
        <w:spacing w:after="0" w:line="16" w:lineRule="exact"/>
        <w:rPr>
          <w:rFonts w:ascii="Arial" w:cs="Arial" w:eastAsia="Arial" w:hAnsi="Arial"/>
          <w:sz w:val="18"/>
          <w:szCs w:val="18"/>
          <w:color w:val="auto"/>
        </w:rPr>
      </w:pPr>
    </w:p>
    <w:p>
      <w:pPr>
        <w:ind w:left="580" w:hanging="289"/>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reasonable assurance that transactions are recorded as necessary to permit preparation of financial statements in accordance with applicable IFRS;</w:t>
      </w:r>
    </w:p>
    <w:p>
      <w:pPr>
        <w:spacing w:after="0" w:line="23" w:lineRule="exact"/>
        <w:rPr>
          <w:rFonts w:ascii="Arial" w:cs="Arial" w:eastAsia="Arial" w:hAnsi="Arial"/>
          <w:sz w:val="16"/>
          <w:szCs w:val="16"/>
          <w:color w:val="auto"/>
        </w:rPr>
      </w:pPr>
    </w:p>
    <w:p>
      <w:pPr>
        <w:ind w:left="580" w:hanging="289"/>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receipts and expenditures are only being made in accordance with authorizations of management or the Board; and</w:t>
      </w:r>
    </w:p>
    <w:p>
      <w:pPr>
        <w:ind w:left="580" w:hanging="289"/>
        <w:spacing w:after="0" w:line="248" w:lineRule="auto"/>
        <w:tabs>
          <w:tab w:leader="none" w:pos="5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9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During the period ended September 30, 2021, the Company did not make any significant changes to its internal controls over financial reporting that would have materially affected, or reasonably likely to materially affect, its internal controls over financial reporting.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71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Limitations of Disclosure Controls and Procedures and Internal Control over Financial Reporting</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On October 1, 2021, the Company announced the appointment of Dr. Amir Inamdar as Chief Medical Officer for European Operations and Dr. Geoff Varty as the Head of Research and Development.</w:t>
      </w:r>
    </w:p>
    <w:p>
      <w:pPr>
        <w:spacing w:after="0" w:line="17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During the period from October 1, 2021 to November 12, 2021, holders of options and warrants exercised securities resulting in the issuance of 498,500 Common Shares for gross proceeds of approximately $291.</w:t>
      </w:r>
    </w:p>
    <w:p>
      <w:pPr>
        <w:spacing w:after="0" w:line="11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October 7, 2021, Adelia completed a portion of certain milestones for Year 2 Q1 (i)-(iii), as contemplated by the terms of the contribution agreement. Accordingly, Class B Shares having an aggregate value of $707 became due to be issued to the Adelia Shareholders, at a price per share to be determined in accordance with the terms of the contribution agreement and applicable securities laws.</w:t>
      </w:r>
    </w:p>
    <w:p>
      <w:pPr>
        <w:spacing w:after="0" w:line="19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On November 4, 2021, the Company announced that it has been granted a Schedule I manufacturing license from the DEA. The DEA license is for the Company’s research lab in the Boston area. The license will allow the Company to further become a hub for innovation and drug discovery. Previously, the Company conducted much of its research and development work through globally licensed research organizations in the U.S., Canada, and the UK, and through certain in-house capabilities. With the DEA license, the Company expects to be able to expand its internal R&amp;D capabilities to support innovative drug discovery and delivery involving Schedule I compounds.</w:t>
      </w:r>
    </w:p>
    <w:p>
      <w:pPr>
        <w:spacing w:after="0" w:line="19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On November 8, 2021, the Company announced positive CYB003 pre-clinical findings that demonstrate multiple potential advantages for its novel deuterated psilocybin analog over oral psilocybin for the potential treatment of mental health, including less patient variability, faster onset of action, shorter duration of effect and improved brain penetration. As a result of the positive CYB003 pre-clinical data, the Company will be prioritizing the development of this molecule, while leveraging the work that has been done to date on both the Psilocybin Program and the CYB003 Deuterated Psilocybin Analog Program.</w:t>
      </w:r>
    </w:p>
    <w:p>
      <w:pPr>
        <w:spacing w:after="0" w:line="19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On November 10, 2021, the Company approved the amendment of the terms of 1,150,000 Common Share purchase warrants such that the expiry date was extended from June 15, 2025 to November 15, 2025, subject to approval of the Neo Exchange Inc.</w:t>
      </w:r>
    </w:p>
    <w:p>
      <w:pPr>
        <w:spacing w:after="0" w:line="17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Subsequent to quarter end, the Company made the decision to not proceed with the Natures Journey business segment, including the Product Line, in order to prioritize its progression of its research and development of psychedelic pharmaceutical products and that it no longer anticipates to conduct any business activities in Jamaica. The Company intends to complete future clinical trials in the U.S. and the UK.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184"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In addition to the risks described herein, reference is made to the section entitled “Risk Factors” in the AIF, which is incorporated herein by reference. The risks described herein are not the only risks faced by the Company and securityholders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320" w:top="930" w:right="319" w:bottom="1440" w:gutter="0" w:footer="0" w:header="0"/>
        </w:sectPr>
      </w:pPr>
    </w:p>
    <w:bookmarkStart w:id="71" w:name="page72"/>
    <w:bookmarkEnd w:id="71"/>
    <w:p>
      <w:pPr>
        <w:jc w:val="both"/>
        <w:ind w:right="20"/>
        <w:spacing w:after="0" w:line="226" w:lineRule="auto"/>
        <w:rPr>
          <w:sz w:val="20"/>
          <w:szCs w:val="20"/>
          <w:color w:val="auto"/>
        </w:rPr>
      </w:pPr>
      <w:r>
        <w:rPr>
          <w:rFonts w:ascii="Arial" w:cs="Arial" w:eastAsia="Arial" w:hAnsi="Arial"/>
          <w:sz w:val="18"/>
          <w:szCs w:val="18"/>
          <w:color w:val="auto"/>
        </w:rPr>
        <w:t>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 may prove to be inaccurate</w:t>
      </w:r>
    </w:p>
    <w:p>
      <w:pPr>
        <w:spacing w:after="0" w:line="18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 Additional information on the risks, assumptions and uncertainties can be found in this MD&amp;A under the heading “Cautionary Note Regarding Forward-Looking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Dilution</w:t>
      </w:r>
    </w:p>
    <w:p>
      <w:pPr>
        <w:spacing w:after="0" w:line="20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need for Additional Financing</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continued development of the Company will require additional financing. The Company’s activities do have scope for flexibility in terms of the amount and timing of expenditures, and expenditures may be adjusted accordingly. However, further operations will require additional capital and will depend on the Company’s ability to obtain financing through debt, equity or other means. The Company’s ability to meet its obligations and maintain operations may be contingent upon successful completion of additional financing arrangements. There is no assurance that the Company will be successful in obtaining the required financing in the future or that such financing will be available on terms acceptable to the Company. In addition, any future financing may also be dilutive to existing shareholders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operating cash flow and going concern</w:t>
      </w:r>
    </w:p>
    <w:p>
      <w:pPr>
        <w:spacing w:after="0" w:line="221"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Company has negative cash flow from operating activities and has historically incurred net losses. There is no assurance that sufficient revenues will be generated in the near future.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or through loan financing. There is no assurance that additional capital or other types of financing will be available if needed or that these financings will be on terms at least as favourable to the Company as those previously obtained, or at all. The Company’s ability to successfully raise additional capital and maintain liquidity may by impaired by factors outside of its control, such as a shift in consumer attitudes towards certain therapeutic methods or a downturn in the economy.</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Any inclusion in the Company’s financial statements of a going concern opinion may negatively impact the Company's ability to raise future financing and achieve future revenue. The threat of the Company's ability to continue as a going concern will be removed only when, in the opinion of the Company's auditor, the Company's revenues have reached a level that is able to sustain its business operations. If the Company is unable to obtain additional financing from outside sources and eventually generate enough revenues, the Company may be forced to sell a portion or all of the Company's assets, or curtail or discontinue the Company's operations. If any of these events happen, you could lose all or part of your investment. The Company’s financial statements do not include any adjustments to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60"/>
          </w:cols>
          <w:pgMar w:left="320" w:top="893" w:right="31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Company’s recorded assets or liabilities that might be necessary if the Company becomes unable to continue as a going concern.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Discretion over the Use of Proceeds</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results and the effectiveness of the application of the net proceeds are uncertain. If the net proceeds are not applied effectively, the Company's business, prospects, financial position, financial condition or results of operations may suffer.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Growth</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Common Shares are Subject to Market Price Volatility</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market price of the Common Shares may be adversely affected by a variety of factors relating to the Company’s business, including fluctuations in the Company’s operating and financial results, the results of any public announcements made by the Company and the Company’s failure to meet analysts’ expectations. In addition, from time to time, the stock market experiences significant price and volume volatility that may affect the market price of the Common Shares for reasons unrelated to the Company’s performance. Additionally, the value of the Common Shares is subject to market value fluctuations based upon factors that influence the Company’s operations, such as legislative or regulatory developments, competition, technological change, global capital market activity and changes in interest and currency rates. There can be no assurance that the market price of the Common Shares will not experience significant fluctuations in the future, including fluctuations that are unrelated to the Company’s performance.</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value of Common Shares will be affected by the general creditworthiness of the Company. The AIF discusses, among other things, known material trends and events, and risks or uncertainties that are reasonably expected to have a material effect on the Company’s business, financial condition or results of operations.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market value of the Common Shares may also be affected by the Company’s financial results and political, economic, financial and other factors that can affect the capital markets generally, the stock exchanges on which the Common Shares are traded and the market segment of which the Company is a part.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History of Payment of Cash Dividends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never declared or paid cash dividends on the Common Shares. The Company intends to retain future earnings to finance the operation, development and expansion of the business. The Company does not anticipate paying cash dividends on the Common Shares in the foreseeable future. Payment of future cash dividends, if any, will be at the discretion of the Board and will depend on the Company’s financial condition, results of operations, contractual restrictions, capital requirements, business prospects and other factors that the board considers relevant.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Research and Development Milestones</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There is no assurance that the Company’s anticipated milestones will be achieved within the time periods specified, or at all. The failure to achieve these milestones could negatively impact the Company’s ability to raise additional funds required for operations and research and development activities, and could, in turn, impact the financial viability of the Company. There is also no assurance that the Company’s research and development activities will continue to result in commercially viable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71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Risks Related to the Company’s Business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Coronavirus “COVID-19”</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outbreak of the novel strain of coronavirus, specifically identified as “COVID-19”, has resulted in governments worldwide enacting emergency measures to combat the spread of the virus. These measures, including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and its operating subsidiaries in future periods. However, depending on the length and severity of the pandemic, COVID-19 could impact the Company’s operations, could cause delays relating to approval from Health Canada, the FDA and equivalent organizations in other countries, could postpone research activities, and could impair the Company’s ability to raise funds depending on COVID-19s effect on capital markets.</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rapid development of the COVID-19 pandemic and the measures being taken by governments and private parties to respond to it are extremely fluid. While the Company has continuously sought to assess the potential impact of the pandemic on its operations, any assessment is subject to extreme uncertainty as to probability, severity and duration. The Company has attempted to assess the impact of the pandemic by identifying risks in the following principle areas:</w:t>
      </w:r>
    </w:p>
    <w:p>
      <w:pPr>
        <w:spacing w:after="0" w:line="164" w:lineRule="exact"/>
        <w:rPr>
          <w:sz w:val="20"/>
          <w:szCs w:val="20"/>
          <w:color w:val="auto"/>
        </w:rPr>
      </w:pPr>
    </w:p>
    <w:p>
      <w:pPr>
        <w:jc w:val="both"/>
        <w:ind w:left="580" w:hanging="289"/>
        <w:spacing w:after="0" w:line="261" w:lineRule="auto"/>
        <w:tabs>
          <w:tab w:leader="none" w:pos="569"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Mandatory Closure. </w:t>
      </w:r>
      <w:r>
        <w:rPr>
          <w:rFonts w:ascii="Arial" w:cs="Arial" w:eastAsia="Arial" w:hAnsi="Arial"/>
          <w:sz w:val="17"/>
          <w:szCs w:val="17"/>
          <w:color w:val="auto"/>
        </w:rPr>
        <w:t>In response to the pandemic, many provinces, states and localities have implemented mandatory shut-downs of business to</w:t>
      </w:r>
      <w:r>
        <w:rPr>
          <w:rFonts w:ascii="Arial" w:cs="Arial" w:eastAsia="Arial" w:hAnsi="Arial"/>
          <w:sz w:val="17"/>
          <w:szCs w:val="17"/>
          <w:b w:val="1"/>
          <w:bCs w:val="1"/>
          <w:color w:val="auto"/>
        </w:rPr>
        <w:t xml:space="preserve"> </w:t>
      </w:r>
      <w:r>
        <w:rPr>
          <w:rFonts w:ascii="Arial" w:cs="Arial" w:eastAsia="Arial" w:hAnsi="Arial"/>
          <w:sz w:val="17"/>
          <w:szCs w:val="17"/>
          <w:color w:val="auto"/>
        </w:rPr>
        <w:t>prevent the spread of COVID-19. In the locations where the Company operates or conducts research activity, these activities have been deemed an "essential service", and thus not subject to the mandatory closures applicable to nonessential businesses. The Company's ability to generate revenue and meet its milestones could be materially impacted by any shut down of operations or services.</w:t>
      </w:r>
    </w:p>
    <w:p>
      <w:pPr>
        <w:spacing w:after="0" w:line="1" w:lineRule="exact"/>
        <w:rPr>
          <w:rFonts w:ascii="Arial" w:cs="Arial" w:eastAsia="Arial" w:hAnsi="Arial"/>
          <w:sz w:val="17"/>
          <w:szCs w:val="17"/>
          <w:color w:val="auto"/>
        </w:rPr>
      </w:pPr>
    </w:p>
    <w:p>
      <w:pPr>
        <w:jc w:val="both"/>
        <w:ind w:left="580" w:hanging="289"/>
        <w:spacing w:after="0" w:line="271" w:lineRule="auto"/>
        <w:tabs>
          <w:tab w:leader="none" w:pos="569"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Research and Development Disruptions</w:t>
      </w:r>
      <w:r>
        <w:rPr>
          <w:rFonts w:ascii="Arial" w:cs="Arial" w:eastAsia="Arial" w:hAnsi="Arial"/>
          <w:sz w:val="16"/>
          <w:szCs w:val="16"/>
          <w:color w:val="auto"/>
        </w:rPr>
        <w:t>. The Company relies on a third parties for its research and development activities. If these third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are unable to continue operating due to mandatory closures or other effects of the pandemic, it may negatively impact the Company's ability to meet its milestones and may significantly delay development. At this time, the Company has not experienced any significant disruptions.</w:t>
      </w:r>
    </w:p>
    <w:p>
      <w:pPr>
        <w:jc w:val="both"/>
        <w:ind w:left="580" w:hanging="289"/>
        <w:spacing w:after="0" w:line="278" w:lineRule="auto"/>
        <w:tabs>
          <w:tab w:leader="none" w:pos="569"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Staffing Disruption</w:t>
      </w:r>
      <w:r>
        <w:rPr>
          <w:rFonts w:ascii="Arial" w:cs="Arial" w:eastAsia="Arial" w:hAnsi="Arial"/>
          <w:sz w:val="16"/>
          <w:szCs w:val="16"/>
          <w:color w:val="auto"/>
        </w:rPr>
        <w:t>. The Company is, for the time being, implementing among its staff where feasible "social distancing" measures recommended</w:t>
      </w:r>
      <w:r>
        <w:rPr>
          <w:rFonts w:ascii="Arial" w:cs="Arial" w:eastAsia="Arial" w:hAnsi="Arial"/>
          <w:sz w:val="16"/>
          <w:szCs w:val="16"/>
          <w:b w:val="1"/>
          <w:bCs w:val="1"/>
          <w:color w:val="auto"/>
        </w:rPr>
        <w:t xml:space="preserve"> </w:t>
      </w:r>
      <w:r>
        <w:rPr>
          <w:rFonts w:ascii="Arial" w:cs="Arial" w:eastAsia="Arial" w:hAnsi="Arial"/>
          <w:sz w:val="16"/>
          <w:szCs w:val="16"/>
          <w:color w:val="auto"/>
        </w:rPr>
        <w:t>by local authorities. The Company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Company may find it difficult to ensure that its operations remain staffed due to employees falling ill with COVID-19, becoming subject to quarantine, or deciding not to come to come to work on their own volition to avoid infection.</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actively addressing the risk to business continuity represented by each of the above factors through the implementation of a broad range of measures throughout its structure and is re-assessing its response to the COVID-19 pandemic on an ongoing basis. The above risks individually or collectively may have a material impact on the Company's ability to generate revenue.</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has sufficient cash on hand raised via equity financings to fund its operations for the next 12-months and meet its working capital requirements. It is anticipated that the long-term goals of the Company will require additional capital contributions via debt or equity financings. In the event that the impact of COVID-19 worsens and negatively affects capital markets generally, there is a risk that the Company may not be able to secure funding for these long-term objectives.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Operating History</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706" w:right="339" w:bottom="1440" w:gutter="0" w:footer="0" w:header="0"/>
        </w:sectPr>
      </w:pPr>
    </w:p>
    <w:bookmarkStart w:id="74" w:name="page75"/>
    <w:bookmarkEnd w:id="74"/>
    <w:p>
      <w:pPr>
        <w:jc w:val="both"/>
        <w:spacing w:after="0" w:line="267" w:lineRule="auto"/>
        <w:rPr>
          <w:sz w:val="20"/>
          <w:szCs w:val="20"/>
          <w:color w:val="auto"/>
        </w:rPr>
      </w:pPr>
      <w:r>
        <w:rPr>
          <w:rFonts w:ascii="Arial" w:cs="Arial" w:eastAsia="Arial" w:hAnsi="Arial"/>
          <w:sz w:val="18"/>
          <w:szCs w:val="18"/>
          <w:color w:val="auto"/>
        </w:rPr>
        <w:t>financial condition, liquidity and results of operations of the Company and, more specifically, could result in regulatory penalties, market criticism or the imposition of cease trade orders in respect of the Common Shares.</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Achieving Publicly Announced Milestones</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“Safety and Efficacy of Products”, “Completion of Clinical Trials”, and “Nature of Regulatory Approvals” as discussed under this heading “Risk Factors” for further disclosure of risks and events that may affect the timing of certain events the Company may announce.</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Speculative Nature of Investment Risk</w:t>
      </w:r>
    </w:p>
    <w:p>
      <w:pPr>
        <w:spacing w:after="0" w:line="197"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Stage of the Industry and Product Development</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MOH, the FDA,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710" w:right="339" w:bottom="1440" w:gutter="0" w:footer="0" w:header="0"/>
        </w:sectPr>
      </w:pPr>
    </w:p>
    <w:bookmarkStart w:id="75" w:name="page76"/>
    <w:bookmarkEnd w:id="75"/>
    <w:p>
      <w:pPr>
        <w:jc w:val="both"/>
        <w:ind w:right="20"/>
        <w:spacing w:after="0" w:line="269" w:lineRule="auto"/>
        <w:rPr>
          <w:sz w:val="20"/>
          <w:szCs w:val="20"/>
          <w:color w:val="auto"/>
        </w:rPr>
      </w:pPr>
      <w:r>
        <w:rPr>
          <w:rFonts w:ascii="Arial" w:cs="Arial" w:eastAsia="Arial" w:hAnsi="Arial"/>
          <w:sz w:val="17"/>
          <w:szCs w:val="17"/>
          <w:color w:val="auto"/>
        </w:rPr>
        <w:t>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MOH or FDA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1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13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Company’s business relies on its ability to access, develop, and sell psilocybin. Psilocybin is a controlled substance in many jurisdictions, including in Canada under Schedule III of the </w:t>
      </w:r>
      <w:r>
        <w:rPr>
          <w:rFonts w:ascii="Arial" w:cs="Arial" w:eastAsia="Arial" w:hAnsi="Arial"/>
          <w:sz w:val="16"/>
          <w:szCs w:val="16"/>
          <w:i w:val="1"/>
          <w:iCs w:val="1"/>
          <w:color w:val="auto"/>
        </w:rPr>
        <w:t>Controlled Drugs and Substances Act</w:t>
      </w:r>
      <w:r>
        <w:rPr>
          <w:rFonts w:ascii="Arial" w:cs="Arial" w:eastAsia="Arial" w:hAnsi="Arial"/>
          <w:sz w:val="16"/>
          <w:szCs w:val="16"/>
          <w:color w:val="auto"/>
        </w:rPr>
        <w:t xml:space="preserve"> and in the United States. The Company may face difficulty accessing psilocybin and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has not been confirmed and requires further study and scientific rigour.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 and Uncertainties</w:t>
      </w:r>
    </w:p>
    <w:p>
      <w:pPr>
        <w:spacing w:after="0" w:line="19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 xml:space="preserve">In Canada, certain psychedelic drugs, including psilocybin, are classified as Schedule III drugs under the CDSA and as such, medical and recreational use is illegal under Canadian federal laws. In the United States, certain psychedelic drugs, including psilocybin, are classified as Schedule I drugs under the CSA and the </w:t>
      </w:r>
      <w:r>
        <w:rPr>
          <w:rFonts w:ascii="Arial" w:cs="Arial" w:eastAsia="Arial" w:hAnsi="Arial"/>
          <w:sz w:val="16"/>
          <w:szCs w:val="16"/>
          <w:i w:val="1"/>
          <w:iCs w:val="1"/>
          <w:color w:val="auto"/>
        </w:rPr>
        <w:t>Controlled Substances Import and Export Act</w:t>
      </w:r>
      <w:r>
        <w:rPr>
          <w:rFonts w:ascii="Arial" w:cs="Arial" w:eastAsia="Arial" w:hAnsi="Arial"/>
          <w:sz w:val="16"/>
          <w:szCs w:val="16"/>
          <w:color w:val="auto"/>
        </w:rPr>
        <w:t xml:space="preserve"> and as such, medical and recreational use is illegal under the U.S. federal laws. 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320" w:top="710" w:right="31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The loss of the necessary licences and permits for Schedule III drugs could have an adverse effect on the Company’s operations.</w:t>
      </w:r>
    </w:p>
    <w:p>
      <w:pPr>
        <w:spacing w:after="0" w:line="197"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5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success of the Company’s business is dependent on the reform of controlled substances laws pertaining to psilocybin. If controlled substances laws are not favourably reformed in Canada, the United States, the UK, and other global jurisdictions, the commercial opportunity that the Company is pursuing may be highly limited.</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makes no medical, treatment or health benefit claims about the Company’s proposed products. The FDA, Health Canada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Plans for Growth</w:t>
      </w:r>
    </w:p>
    <w:p>
      <w:pPr>
        <w:spacing w:after="0" w:line="19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Company intends to grow rapidly and significantly expand its operations within the next 12 to 24 months. This growth will place a significant strain on the Company’s management systems and resources. The Company will not be able to implement its business strategy in a rapidly evolving market, without an effective planning and management process. In particular, the Company may be required to manage multiple relationships with various strategic industry participants and other third parties, which relationships could be strained in the event of rapid growth. Similarly, a large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Products</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5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Marketing and Sales Capabilities</w:t>
      </w:r>
    </w:p>
    <w:p>
      <w:pPr>
        <w:spacing w:after="0" w:line="19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320" w:top="710" w:right="319" w:bottom="1440" w:gutter="0" w:footer="0" w:header="0"/>
        </w:sectPr>
      </w:pPr>
    </w:p>
    <w:bookmarkStart w:id="77" w:name="page78"/>
    <w:bookmarkEnd w:id="77"/>
    <w:p>
      <w:pPr>
        <w:jc w:val="both"/>
        <w:ind w:right="20"/>
        <w:spacing w:after="0" w:line="291" w:lineRule="auto"/>
        <w:rPr>
          <w:sz w:val="20"/>
          <w:szCs w:val="20"/>
          <w:color w:val="auto"/>
        </w:rPr>
      </w:pPr>
      <w:r>
        <w:rPr>
          <w:rFonts w:ascii="Arial" w:cs="Arial" w:eastAsia="Arial" w:hAnsi="Arial"/>
          <w:sz w:val="16"/>
          <w:szCs w:val="16"/>
          <w:color w:val="auto"/>
        </w:rPr>
        <w:t>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of Commercial Success</w:t>
      </w:r>
    </w:p>
    <w:p>
      <w:pPr>
        <w:spacing w:after="0" w:line="19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Profits or Significant Revenues</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Third Parties for Clinical Development Activities</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Third Party Relationships</w:t>
      </w:r>
    </w:p>
    <w:p>
      <w:pPr>
        <w:spacing w:after="0" w:line="197"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17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60"/>
          </w:cols>
          <w:pgMar w:left="320" w:top="710" w:right="319" w:bottom="1440" w:gutter="0" w:footer="0" w:header="0"/>
        </w:sectPr>
      </w:pPr>
    </w:p>
    <w:bookmarkStart w:id="78" w:name="page79"/>
    <w:bookmarkEnd w:id="78"/>
    <w:p>
      <w:pPr>
        <w:jc w:val="both"/>
        <w:spacing w:after="0" w:line="254" w:lineRule="auto"/>
        <w:rPr>
          <w:sz w:val="20"/>
          <w:szCs w:val="20"/>
          <w:color w:val="auto"/>
        </w:rPr>
      </w:pPr>
      <w:r>
        <w:rPr>
          <w:rFonts w:ascii="Arial" w:cs="Arial" w:eastAsia="Arial" w:hAnsi="Arial"/>
          <w:sz w:val="18"/>
          <w:szCs w:val="18"/>
          <w:color w:val="auto"/>
        </w:rPr>
        <w:t>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Contract Manufacturers</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Company has limited manufacturing experience and relies on contract manufacturing organizations (“</w:t>
      </w:r>
      <w:r>
        <w:rPr>
          <w:rFonts w:ascii="Arial" w:cs="Arial" w:eastAsia="Arial" w:hAnsi="Arial"/>
          <w:sz w:val="17"/>
          <w:szCs w:val="17"/>
          <w:b w:val="1"/>
          <w:bCs w:val="1"/>
          <w:color w:val="auto"/>
        </w:rPr>
        <w:t>CMOs</w:t>
      </w:r>
      <w:r>
        <w:rPr>
          <w:rFonts w:ascii="Arial" w:cs="Arial" w:eastAsia="Arial" w:hAnsi="Arial"/>
          <w:sz w:val="17"/>
          <w:szCs w:val="17"/>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Health Canada and the FDA, in Canada and the U.S., respectively,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and Efficacy of Products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or other regulatory authorities, resulting in the Company being unable to derive any commercial revenue from them after investing significant amounts of capital in their development.</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60"/>
          </w:cols>
          <w:pgMar w:left="320" w:top="710" w:right="31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Clinical Testing and Commercializing Products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6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170"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commencement and completion of clinical trials for the Company’s prescription drug product candidates may be delayed for a number of reasons, including but not limited, to:</w:t>
      </w:r>
    </w:p>
    <w:p>
      <w:pPr>
        <w:spacing w:after="0" w:line="151" w:lineRule="exact"/>
        <w:rPr>
          <w:sz w:val="20"/>
          <w:szCs w:val="20"/>
          <w:color w:val="auto"/>
        </w:rPr>
      </w:pPr>
    </w:p>
    <w:p>
      <w:pPr>
        <w:ind w:left="1160" w:hanging="28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by regulatory authorities to grant permission to proceed or placing clinical trials on hold;</w:t>
      </w:r>
    </w:p>
    <w:p>
      <w:pPr>
        <w:spacing w:after="0" w:line="16" w:lineRule="exact"/>
        <w:rPr>
          <w:rFonts w:ascii="Arial" w:cs="Arial" w:eastAsia="Arial" w:hAnsi="Arial"/>
          <w:sz w:val="18"/>
          <w:szCs w:val="18"/>
          <w:color w:val="auto"/>
        </w:rPr>
      </w:pPr>
    </w:p>
    <w:p>
      <w:pPr>
        <w:ind w:left="1180" w:right="20" w:hanging="302"/>
        <w:spacing w:after="0" w:line="241" w:lineRule="auto"/>
        <w:tabs>
          <w:tab w:leader="none" w:pos="11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suspension or termination of clinical trials by regulators for many reasons, including concerns about patient safety or failure of the Company’s CMOs to comply with cGMP requirements;</w:t>
      </w:r>
    </w:p>
    <w:p>
      <w:pPr>
        <w:ind w:left="1180" w:right="20" w:hanging="302"/>
        <w:spacing w:after="0" w:line="241" w:lineRule="auto"/>
        <w:tabs>
          <w:tab w:leader="none" w:pos="11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changes to the Company’s manufacturing process that may be necessary or desired, delays or failure to obtain clinical supply from CMOs of the Company’s products necessary to conduct clinical trials;</w:t>
      </w:r>
    </w:p>
    <w:p>
      <w:pPr>
        <w:ind w:left="1180" w:right="20" w:hanging="302"/>
        <w:spacing w:after="0" w:line="241" w:lineRule="auto"/>
        <w:tabs>
          <w:tab w:leader="none" w:pos="11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prescription drug product candidates demonstrating a lack of safety or efficacy during clinical trials, reports of clinical testing on similar technologies and products raising safety or efficacy concerns;</w:t>
      </w:r>
    </w:p>
    <w:p>
      <w:pPr>
        <w:jc w:val="both"/>
        <w:ind w:left="1180" w:hanging="302"/>
        <w:spacing w:after="0" w:line="241" w:lineRule="auto"/>
        <w:tabs>
          <w:tab w:leader="none" w:pos="11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ind w:left="1160" w:hanging="28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of the Company’s contract research organizations to satisfy their contractual duties or meet expected deadlines;</w:t>
      </w:r>
    </w:p>
    <w:p>
      <w:pPr>
        <w:ind w:left="1160" w:hanging="28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inspections of clinical trial sites by regulatory authorities;</w:t>
      </w:r>
    </w:p>
    <w:p>
      <w:pPr>
        <w:ind w:left="1180" w:right="20" w:hanging="302"/>
        <w:spacing w:after="0" w:line="241" w:lineRule="auto"/>
        <w:tabs>
          <w:tab w:leader="none" w:pos="11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ind w:left="1180" w:right="20" w:hanging="302"/>
        <w:spacing w:after="0" w:line="241" w:lineRule="auto"/>
        <w:tabs>
          <w:tab w:leader="none" w:pos="11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ind w:left="1160" w:hanging="28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to reach agreement on acceptable terms with prospective clinical trial sites.</w:t>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60"/>
          </w:cols>
          <w:pgMar w:left="320" w:top="710" w:right="319" w:bottom="1440" w:gutter="0" w:footer="0" w:header="0"/>
        </w:sectPr>
      </w:pPr>
    </w:p>
    <w:bookmarkStart w:id="80" w:name="page81"/>
    <w:bookmarkEnd w:id="80"/>
    <w:p>
      <w:pPr>
        <w:jc w:val="both"/>
        <w:spacing w:after="0" w:line="246" w:lineRule="auto"/>
        <w:rPr>
          <w:sz w:val="20"/>
          <w:szCs w:val="20"/>
          <w:color w:val="auto"/>
        </w:rPr>
      </w:pPr>
      <w:r>
        <w:rPr>
          <w:rFonts w:ascii="Arial" w:cs="Arial" w:eastAsia="Arial" w:hAnsi="Arial"/>
          <w:sz w:val="18"/>
          <w:szCs w:val="18"/>
          <w:color w:val="auto"/>
        </w:rPr>
        <w:t>Prior to commencing clinical trials in Canada, the United States, the UK, or other jurisdictions, for any prescription drug product candidates developed by the Company, it may be required to have an allowed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17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Clinical Trials</w:t>
      </w:r>
    </w:p>
    <w:p>
      <w:pPr>
        <w:spacing w:after="0" w:line="19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Grade Product Manufacturing</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Regulatory Approvals</w:t>
      </w:r>
    </w:p>
    <w:p>
      <w:pPr>
        <w:spacing w:after="0" w:line="197"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The Company’s development and commercialization activities and prescription drug product candidates are significantly regulated by a number of governmental entities, including Health Canada and the FDA.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60"/>
          </w:cols>
          <w:pgMar w:left="320" w:top="710" w:right="319" w:bottom="1440" w:gutter="0" w:footer="0" w:header="0"/>
        </w:sectPr>
      </w:pPr>
    </w:p>
    <w:bookmarkStart w:id="81" w:name="page82"/>
    <w:bookmarkEnd w:id="81"/>
    <w:p>
      <w:pPr>
        <w:jc w:val="both"/>
        <w:ind w:right="20"/>
        <w:spacing w:after="0" w:line="283" w:lineRule="auto"/>
        <w:rPr>
          <w:sz w:val="20"/>
          <w:szCs w:val="20"/>
          <w:color w:val="auto"/>
        </w:rPr>
      </w:pPr>
      <w:r>
        <w:rPr>
          <w:rFonts w:ascii="Arial" w:cs="Arial" w:eastAsia="Arial" w:hAnsi="Arial"/>
          <w:sz w:val="16"/>
          <w:szCs w:val="16"/>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42"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MOH, the FDA or other regulatory authorities may impose a risk evaluation and mitigation strategy, thereby imposing certain restrictions on the sale and marketability of such products.</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 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Unfavourable Publicity or Consumer Perception</w:t>
      </w:r>
    </w:p>
    <w:p>
      <w:pPr>
        <w:spacing w:after="0" w:line="19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55"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psilocybin industry is highly dependent upon consumer perception regarding the medical benefits, safety, efficacy and quality of the psilocybin distributed for medical purposes to such consumers. There can be no assurance that future scientific research or findings on the medical benefits, viability, safety, efficacy and dosing of psilocybin or isolated constituents, regulatory proceedings, litigation, media attention or other research findings or publicity will be favourable to the industry or the Company or any particular product, or consistent with earlier publicity.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320" w:top="710" w:right="31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Social Media</w:t>
      </w:r>
    </w:p>
    <w:p>
      <w:pPr>
        <w:spacing w:after="0" w:line="19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There has been a recent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Biotechnology and Pharmaceutical Market Competition</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68" w:lineRule="exact"/>
        <w:rPr>
          <w:sz w:val="20"/>
          <w:szCs w:val="20"/>
          <w:color w:val="auto"/>
        </w:rPr>
      </w:pPr>
    </w:p>
    <w:p>
      <w:pPr>
        <w:ind w:left="1180" w:right="20" w:hanging="302"/>
        <w:spacing w:after="0" w:line="250" w:lineRule="auto"/>
        <w:tabs>
          <w:tab w:leader="none" w:pos="11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efficacy and safety profile of its prescription drug product candidates relative to marketed products and other prescription drug product candidates in development;</w:t>
      </w:r>
    </w:p>
    <w:p>
      <w:pPr>
        <w:ind w:left="1160" w:hanging="282"/>
        <w:spacing w:after="0"/>
        <w:tabs>
          <w:tab w:leader="none" w:pos="11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Company’s ability to develop and maintain a competitive position in the product categories and technologies on which it focuses;</w:t>
      </w:r>
    </w:p>
    <w:p>
      <w:pPr>
        <w:spacing w:after="0" w:line="12" w:lineRule="exact"/>
        <w:rPr>
          <w:rFonts w:ascii="Arial" w:cs="Arial" w:eastAsia="Arial" w:hAnsi="Arial"/>
          <w:sz w:val="17"/>
          <w:szCs w:val="17"/>
          <w:color w:val="auto"/>
        </w:rPr>
      </w:pPr>
    </w:p>
    <w:p>
      <w:pPr>
        <w:ind w:left="1160" w:hanging="282"/>
        <w:spacing w:after="0"/>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time it takes for the Company’s prescription drug product candidates to complete clinical development and receive marketing approval;</w:t>
      </w:r>
    </w:p>
    <w:p>
      <w:pPr>
        <w:spacing w:after="0" w:line="23" w:lineRule="exact"/>
        <w:rPr>
          <w:rFonts w:ascii="Arial" w:cs="Arial" w:eastAsia="Arial" w:hAnsi="Arial"/>
          <w:sz w:val="16"/>
          <w:szCs w:val="16"/>
          <w:color w:val="auto"/>
        </w:rPr>
      </w:pPr>
    </w:p>
    <w:p>
      <w:pPr>
        <w:ind w:left="1160" w:hanging="282"/>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Company’s ability to obtain required regulatory approvals;</w:t>
      </w:r>
    </w:p>
    <w:p>
      <w:pPr>
        <w:ind w:left="1160" w:hanging="282"/>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Company’s ability to commercialize any of its prescription drug product candidates that receive regulatory approval;</w:t>
      </w:r>
    </w:p>
    <w:p>
      <w:pPr>
        <w:ind w:left="1160" w:hanging="282"/>
        <w:spacing w:after="0"/>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Company’s ability to establish, maintain and protect intellectual property rights related to its prescription drug product candidates; and</w:t>
      </w:r>
    </w:p>
    <w:p>
      <w:pPr>
        <w:spacing w:after="0" w:line="23" w:lineRule="exact"/>
        <w:rPr>
          <w:rFonts w:ascii="Arial" w:cs="Arial" w:eastAsia="Arial" w:hAnsi="Arial"/>
          <w:sz w:val="16"/>
          <w:szCs w:val="16"/>
          <w:color w:val="auto"/>
        </w:rPr>
      </w:pPr>
    </w:p>
    <w:p>
      <w:pPr>
        <w:ind w:left="1180" w:hanging="302"/>
        <w:spacing w:after="0" w:line="248" w:lineRule="auto"/>
        <w:tabs>
          <w:tab w:leader="none" w:pos="11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acceptance of any of the Company’s prescription drug product candidates that receive regulatory approval by physicians and other healthcare providers and payers.</w:t>
      </w:r>
    </w:p>
    <w:p>
      <w:pPr>
        <w:spacing w:after="0" w:line="19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inspired compounds.</w:t>
      </w:r>
    </w:p>
    <w:p>
      <w:pPr>
        <w:spacing w:after="0" w:line="143"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51"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60"/>
          </w:cols>
          <w:pgMar w:left="320" w:top="710" w:right="31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financed competitors could materially and adversely affect the business,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Key Executives and Scientists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The Company also enters into agreements with physicians and institutions who will recruit patients into the Company’s clinical trials on its behalf in the ordinary course of its business.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The loss of the services of any of the Company’s executive officers or other key personnel could potentially harm its business, operating results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Misconduct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and the FDA regulations, provide accurate information to Health Canada and the FDA,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Expansion and Growth</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70"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60"/>
          </w:cols>
          <w:pgMar w:left="320" w:top="710" w:right="31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Negative Results of External Clinical Trials or Studies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9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15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16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Enforcing Contracts</w:t>
      </w:r>
    </w:p>
    <w:p>
      <w:pPr>
        <w:spacing w:after="0" w:line="197"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127"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Recalls</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lose a significant amount of sales and may not be able to replace those sales at an acceptable margin or at all. In addition, a product recall may require significant management attention.</w:t>
      </w:r>
    </w:p>
    <w:p>
      <w:pPr>
        <w:spacing w:after="0" w:line="17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60"/>
          </w:cols>
          <w:pgMar w:left="320" w:top="710" w:right="31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Distribution and Supply Chain Interruption</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is susceptible to risks relating to distributor and supply chain interruptions. Distribution in Canada and other jurisdictions will be largely accomplished through independent contractors, therefore, an interruption (e.g., a labour strike) for any length of time affecting such independent contractors may have a significant impact on the Company’s ability to sell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Difficulty to Forecast</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Promoting the Brand</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Viability</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 Further, the Company’s business involves the growing of an agricultural product and is subject to the risks inherent in the agricultural business, such as insects, plant diseases and similar agricultural risks.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of Quality Control Systems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Key Inputs</w:t>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Examples of potential risks include, but are not limited to, the risk that crops may become diseased or victim to insects or other pests and contamination, or subject to extreme weather conditions such as excess rainfall, freezing temperature, or drought, all of which could result in low crop yields, decreased availability of mushrooms, and higher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710" w:right="339" w:bottom="1440" w:gutter="0" w:footer="0" w:header="0"/>
        </w:sectPr>
      </w:pPr>
    </w:p>
    <w:bookmarkStart w:id="86" w:name="page87"/>
    <w:bookmarkEnd w:id="86"/>
    <w:p>
      <w:pPr>
        <w:jc w:val="both"/>
        <w:ind w:right="20"/>
        <w:spacing w:after="0" w:line="267" w:lineRule="auto"/>
        <w:rPr>
          <w:sz w:val="20"/>
          <w:szCs w:val="20"/>
          <w:color w:val="auto"/>
        </w:rPr>
      </w:pPr>
      <w:r>
        <w:rPr>
          <w:rFonts w:ascii="Arial" w:cs="Arial" w:eastAsia="Arial" w:hAnsi="Arial"/>
          <w:sz w:val="18"/>
          <w:szCs w:val="18"/>
          <w:color w:val="auto"/>
        </w:rPr>
        <w:t>acquisition prices. Any inability to secure required supplies and services or to do so on appropriate terms could have a materially adverse impact on the business, financial condition and operating results of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Arising from Fraudulent or Illegal Activity</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Risk and Insurance Coverage</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Operating as Public Company</w:t>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Growth</w:t>
      </w:r>
    </w:p>
    <w:p>
      <w:pPr>
        <w:spacing w:after="0" w:line="197"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60"/>
          </w:cols>
          <w:pgMar w:left="320" w:top="710" w:right="31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170"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168"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directors of the Company are required to act honestly, in good faith and in the best interests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Operations</w:t>
      </w:r>
    </w:p>
    <w:p>
      <w:pPr>
        <w:spacing w:after="0" w:line="19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addition to operations carried out in Canada, the Company intends to carry out international operations through an office in Ireland. As a result, the Company may be subject to political, economic and other uncertainties, including, but not limited to, cancellation or modification of contract rights, foreign exchange restrictions, currency fluctuations, export quotas, royalty and tax increases and other risks arising out of foreign governmental sovereignty over the areas in which the Company’s operations are conducted, as well as risks of loss due to civil strife, acts of war, guerrilla activities and insurrections.</w:t>
      </w:r>
    </w:p>
    <w:p>
      <w:pPr>
        <w:spacing w:after="0" w:line="13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2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and Privacy Risk</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60"/>
          </w:cols>
          <w:pgMar w:left="320" w:top="710" w:right="319" w:bottom="1440" w:gutter="0" w:footer="0" w:header="0"/>
        </w:sectPr>
      </w:pPr>
    </w:p>
    <w:bookmarkStart w:id="88" w:name="page89"/>
    <w:bookmarkEnd w:id="88"/>
    <w:p>
      <w:pPr>
        <w:jc w:val="both"/>
        <w:ind w:right="20"/>
        <w:spacing w:after="0" w:line="267" w:lineRule="auto"/>
        <w:rPr>
          <w:sz w:val="20"/>
          <w:szCs w:val="20"/>
          <w:color w:val="auto"/>
        </w:rPr>
      </w:pPr>
      <w:r>
        <w:rPr>
          <w:rFonts w:ascii="Arial" w:cs="Arial" w:eastAsia="Arial" w:hAnsi="Arial"/>
          <w:sz w:val="18"/>
          <w:szCs w:val="18"/>
          <w:color w:val="auto"/>
        </w:rPr>
        <w:t>expenses. The failure of information systems or a component of information systems could, depending on the nature of any such failure, adversely impact the Company’s reputation and results of operations.</w:t>
      </w:r>
    </w:p>
    <w:p>
      <w:pPr>
        <w:spacing w:after="0" w:line="151"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151"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Arial" w:cs="Arial" w:eastAsia="Arial" w:hAnsi="Arial"/>
          <w:sz w:val="17"/>
          <w:szCs w:val="17"/>
          <w:i w:val="1"/>
          <w:iCs w:val="1"/>
          <w:color w:val="auto"/>
        </w:rPr>
        <w:t>Personal Information Protection and Electronics Documents Act</w:t>
      </w:r>
      <w:r>
        <w:rPr>
          <w:rFonts w:ascii="Arial" w:cs="Arial" w:eastAsia="Arial" w:hAnsi="Arial"/>
          <w:sz w:val="17"/>
          <w:szCs w:val="17"/>
          <w:color w:val="auto"/>
        </w:rPr>
        <w:t xml:space="preserve"> (Canada) (“</w:t>
      </w:r>
      <w:r>
        <w:rPr>
          <w:rFonts w:ascii="Arial" w:cs="Arial" w:eastAsia="Arial" w:hAnsi="Arial"/>
          <w:sz w:val="17"/>
          <w:szCs w:val="17"/>
          <w:b w:val="1"/>
          <w:bCs w:val="1"/>
          <w:color w:val="auto"/>
        </w:rPr>
        <w:t>PIPEDA</w:t>
      </w:r>
      <w:r>
        <w:rPr>
          <w:rFonts w:ascii="Arial" w:cs="Arial" w:eastAsia="Arial" w:hAnsi="Arial"/>
          <w:sz w:val="17"/>
          <w:szCs w:val="17"/>
          <w:color w:val="auto"/>
        </w:rPr>
        <w:t>”) and where applicable, provincial legislation governing personal health information, protect medical records and other personal health information by limited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 and Risks</w:t>
      </w:r>
    </w:p>
    <w:p>
      <w:pPr>
        <w:spacing w:after="0" w:line="197"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56"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Amendments to current laws, regulations and permits governing the production of cannabis oil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Protection</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Failure to register trademarks for the Company or its products could require the Company to rebrand its products resulting in a material adverse impact on its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97"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60"/>
          </w:cols>
          <w:pgMar w:left="320" w:top="710" w:right="319" w:bottom="1440" w:gutter="0" w:footer="0" w:header="0"/>
        </w:sectPr>
      </w:pPr>
    </w:p>
    <w:bookmarkStart w:id="89" w:name="page90"/>
    <w:bookmarkEnd w:id="89"/>
    <w:p>
      <w:pPr>
        <w:jc w:val="both"/>
        <w:spacing w:after="0" w:line="247" w:lineRule="auto"/>
        <w:rPr>
          <w:sz w:val="20"/>
          <w:szCs w:val="20"/>
          <w:color w:val="auto"/>
        </w:rPr>
      </w:pPr>
      <w:r>
        <w:rPr>
          <w:rFonts w:ascii="Arial" w:cs="Arial" w:eastAsia="Arial" w:hAnsi="Arial"/>
          <w:sz w:val="18"/>
          <w:szCs w:val="18"/>
          <w:color w:val="auto"/>
        </w:rPr>
        <w:t>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Law Reform</w:t>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 and Intellectual Property</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Corporation’s patents may be invalidated (although at this time the Company does not have any issued patents). The Company could also become involved in interference or impeachment proceedings in connection with one or more of its patents or patent applications to determine priority of invention.</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710" w:right="339" w:bottom="1440" w:gutter="0" w:footer="0" w:header="0"/>
        </w:sectPr>
      </w:pPr>
    </w:p>
    <w:bookmarkStart w:id="90" w:name="page91"/>
    <w:bookmarkEnd w:id="90"/>
    <w:p>
      <w:pPr>
        <w:jc w:val="both"/>
        <w:ind w:left="2"/>
        <w:spacing w:after="0" w:line="262" w:lineRule="auto"/>
        <w:rPr>
          <w:sz w:val="20"/>
          <w:szCs w:val="20"/>
          <w:color w:val="auto"/>
        </w:rPr>
      </w:pPr>
      <w:r>
        <w:rPr>
          <w:rFonts w:ascii="Arial" w:cs="Arial" w:eastAsia="Arial" w:hAnsi="Arial"/>
          <w:sz w:val="17"/>
          <w:szCs w:val="17"/>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Protection of Intellectual Property</w:t>
      </w:r>
    </w:p>
    <w:p>
      <w:pPr>
        <w:spacing w:after="0" w:line="197"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Third-Party Licences</w:t>
      </w:r>
    </w:p>
    <w:p>
      <w:pPr>
        <w:spacing w:after="0" w:line="197" w:lineRule="exact"/>
        <w:rPr>
          <w:sz w:val="20"/>
          <w:szCs w:val="20"/>
          <w:color w:val="auto"/>
        </w:rPr>
      </w:pPr>
    </w:p>
    <w:p>
      <w:pPr>
        <w:jc w:val="both"/>
        <w:ind w:left="2" w:right="20"/>
        <w:spacing w:after="0" w:line="262" w:lineRule="auto"/>
        <w:rPr>
          <w:sz w:val="20"/>
          <w:szCs w:val="20"/>
          <w:color w:val="auto"/>
        </w:rPr>
      </w:pPr>
      <w:r>
        <w:rPr>
          <w:rFonts w:ascii="Arial" w:cs="Arial" w:eastAsia="Arial" w:hAnsi="Arial"/>
          <w:sz w:val="17"/>
          <w:szCs w:val="17"/>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57"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Risks Related to the Common Shares</w:t>
      </w:r>
    </w:p>
    <w:p>
      <w:pPr>
        <w:spacing w:after="0" w:line="201"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Market for the Common Shares</w:t>
      </w:r>
    </w:p>
    <w:p>
      <w:pPr>
        <w:spacing w:after="0" w:line="197" w:lineRule="exact"/>
        <w:rPr>
          <w:sz w:val="20"/>
          <w:szCs w:val="20"/>
          <w:color w:val="auto"/>
        </w:rPr>
      </w:pPr>
    </w:p>
    <w:p>
      <w:pPr>
        <w:jc w:val="both"/>
        <w:ind w:left="2"/>
        <w:spacing w:after="0" w:line="273" w:lineRule="auto"/>
        <w:rPr>
          <w:sz w:val="20"/>
          <w:szCs w:val="20"/>
          <w:color w:val="auto"/>
        </w:rPr>
      </w:pPr>
      <w:r>
        <w:rPr>
          <w:rFonts w:ascii="Arial" w:cs="Arial" w:eastAsia="Arial" w:hAnsi="Arial"/>
          <w:sz w:val="16"/>
          <w:szCs w:val="16"/>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w:t>
      </w:r>
    </w:p>
    <w:p>
      <w:pPr>
        <w:spacing w:after="0" w:line="5" w:lineRule="exact"/>
        <w:rPr>
          <w:sz w:val="20"/>
          <w:szCs w:val="20"/>
          <w:color w:val="auto"/>
        </w:rPr>
      </w:pPr>
    </w:p>
    <w:p>
      <w:pPr>
        <w:jc w:val="both"/>
        <w:ind w:left="2" w:right="20" w:hanging="2"/>
        <w:spacing w:after="0" w:line="271" w:lineRule="auto"/>
        <w:tabs>
          <w:tab w:leader="none" w:pos="447" w:val="left"/>
        </w:tabs>
        <w:numPr>
          <w:ilvl w:val="0"/>
          <w:numId w:val="59"/>
        </w:numPr>
        <w:rPr>
          <w:rFonts w:ascii="Arial" w:cs="Arial" w:eastAsia="Arial" w:hAnsi="Arial"/>
          <w:sz w:val="16"/>
          <w:szCs w:val="16"/>
          <w:color w:val="auto"/>
        </w:rPr>
      </w:pPr>
      <w:r>
        <w:rPr>
          <w:rFonts w:ascii="Arial" w:cs="Arial" w:eastAsia="Arial" w:hAnsi="Arial"/>
          <w:sz w:val="16"/>
          <w:szCs w:val="16"/>
          <w:color w:val="auto"/>
        </w:rPr>
        <w:t>litigation involving the Company, its industry, or both; (ix) regulatory developments; (x) general economic conditions and trends; (xi) major catastrophic events; (xii) escrow releases, sales of large blocks of the Common Shares; (xiii) departures of key employees or members of management; or</w:t>
      </w:r>
    </w:p>
    <w:p>
      <w:pPr>
        <w:ind w:left="402" w:hanging="402"/>
        <w:spacing w:after="0"/>
        <w:tabs>
          <w:tab w:leader="none" w:pos="4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adverse impact on the Company from any of the other risks cited herein.</w:t>
      </w:r>
    </w:p>
    <w:p>
      <w:pPr>
        <w:spacing w:after="0" w:line="181"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Significant Sales of the Common Shares</w:t>
      </w:r>
    </w:p>
    <w:p>
      <w:pPr>
        <w:spacing w:after="0" w:line="197"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2"/>
          </w:cols>
          <w:pgMar w:left="318" w:top="710" w:right="319" w:bottom="1440" w:gutter="0" w:footer="0" w:header="0"/>
        </w:sectPr>
      </w:pPr>
    </w:p>
    <w:bookmarkStart w:id="91" w:name="page92"/>
    <w:bookmarkEnd w:id="91"/>
    <w:p>
      <w:pPr>
        <w:jc w:val="both"/>
        <w:ind w:right="20"/>
        <w:spacing w:after="0" w:line="254" w:lineRule="auto"/>
        <w:rPr>
          <w:sz w:val="20"/>
          <w:szCs w:val="20"/>
          <w:color w:val="auto"/>
        </w:rPr>
      </w:pPr>
      <w:r>
        <w:rPr>
          <w:rFonts w:ascii="Arial" w:cs="Arial" w:eastAsia="Arial" w:hAnsi="Arial"/>
          <w:sz w:val="18"/>
          <w:szCs w:val="18"/>
          <w:color w:val="auto"/>
        </w:rPr>
        <w:t>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Volatile Market Price for the Common Shares</w:t>
      </w:r>
    </w:p>
    <w:p>
      <w:pPr>
        <w:spacing w:after="0" w:line="19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70"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6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Issues</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There may be income tax consequences in relation to the Common Shares, which will vary according to circumstances. Independent advice from tax and legal advisers should be obtained.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Dividends</w:t>
      </w:r>
    </w:p>
    <w:p>
      <w:pPr>
        <w:spacing w:after="0" w:line="19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on the Company has been filed electronically through SEDAR and is available online at </w:t>
      </w:r>
      <w:r>
        <w:rPr>
          <w:rFonts w:ascii="Arial" w:cs="Arial" w:eastAsia="Arial" w:hAnsi="Arial"/>
          <w:sz w:val="18"/>
          <w:szCs w:val="18"/>
          <w:i w:val="1"/>
          <w:iCs w:val="1"/>
          <w:u w:val="single" w:color="auto"/>
          <w:color w:val="0563C1"/>
        </w:rPr>
        <w:t>www.sedar.com</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60"/>
          </w:cols>
          <w:pgMar w:left="320" w:top="710" w:right="31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FORM 52-109F2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INTERIM FILINGS</w:t>
      </w:r>
    </w:p>
    <w:p>
      <w:pPr>
        <w:jc w:val="center"/>
        <w:spacing w:after="0"/>
        <w:rPr>
          <w:sz w:val="20"/>
          <w:szCs w:val="20"/>
          <w:color w:val="auto"/>
        </w:rPr>
      </w:pPr>
      <w:r>
        <w:rPr>
          <w:rFonts w:ascii="Arial" w:cs="Arial" w:eastAsia="Arial" w:hAnsi="Arial"/>
          <w:sz w:val="16"/>
          <w:szCs w:val="16"/>
          <w:b w:val="1"/>
          <w:bCs w:val="1"/>
          <w:color w:val="auto"/>
        </w:rPr>
        <w:t>FULL CERTIFICATE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Greg Cavers, as Chief Financial Officer of Cybin Inc. (formerly, Clarmin Explorations Inc.), certify the following:</w:t>
      </w:r>
    </w:p>
    <w:p>
      <w:pPr>
        <w:spacing w:after="0" w:line="195" w:lineRule="exact"/>
        <w:rPr>
          <w:sz w:val="20"/>
          <w:szCs w:val="20"/>
          <w:color w:val="auto"/>
        </w:rPr>
      </w:pPr>
    </w:p>
    <w:p>
      <w:pPr>
        <w:ind w:left="580" w:hanging="289"/>
        <w:spacing w:after="0" w:line="269"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Review: </w:t>
      </w:r>
      <w:r>
        <w:rPr>
          <w:rFonts w:ascii="Arial" w:cs="Arial" w:eastAsia="Arial" w:hAnsi="Arial"/>
          <w:sz w:val="16"/>
          <w:szCs w:val="16"/>
          <w:color w:val="auto"/>
        </w:rPr>
        <w:t>I have reviewed the interim financial statements and interim MD&amp;A (together, the “interim filings”) of Cybin Inc. (formerly, Clarmin Explorations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“issuer”) for the interim period ended September 30, 2021.</w:t>
      </w:r>
    </w:p>
    <w:p>
      <w:pPr>
        <w:spacing w:after="0" w:line="174" w:lineRule="exact"/>
        <w:rPr>
          <w:rFonts w:ascii="Arial" w:cs="Arial" w:eastAsia="Arial" w:hAnsi="Arial"/>
          <w:sz w:val="16"/>
          <w:szCs w:val="16"/>
          <w:color w:val="auto"/>
        </w:rPr>
      </w:pPr>
    </w:p>
    <w:p>
      <w:pPr>
        <w:jc w:val="both"/>
        <w:ind w:left="580" w:hanging="289"/>
        <w:spacing w:after="0" w:line="254"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No misrepresentations</w:t>
      </w:r>
      <w:r>
        <w:rPr>
          <w:rFonts w:ascii="Arial" w:cs="Arial" w:eastAsia="Arial" w:hAnsi="Arial"/>
          <w:sz w:val="16"/>
          <w:szCs w:val="16"/>
          <w:color w:val="auto"/>
        </w:rPr>
        <w:t>: Based on my knowledge, having exercised reasonable diligence, the interim filings do not contain any untrue statement of a material fact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omit to state a material fact required to be stated or that is necessary to make a statement not misleading in light of the circumstances under which it was made, with respect to the period covered by the interim filings.</w:t>
      </w:r>
    </w:p>
    <w:p>
      <w:pPr>
        <w:spacing w:after="0" w:line="186" w:lineRule="exact"/>
        <w:rPr>
          <w:rFonts w:ascii="Arial" w:cs="Arial" w:eastAsia="Arial" w:hAnsi="Arial"/>
          <w:sz w:val="16"/>
          <w:szCs w:val="16"/>
          <w:color w:val="auto"/>
        </w:rPr>
      </w:pPr>
    </w:p>
    <w:p>
      <w:pPr>
        <w:jc w:val="both"/>
        <w:ind w:left="580" w:hanging="289"/>
        <w:spacing w:after="0" w:line="254"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presentation: </w:t>
      </w:r>
      <w:r>
        <w:rPr>
          <w:rFonts w:ascii="Arial" w:cs="Arial" w:eastAsia="Arial" w:hAnsi="Arial"/>
          <w:sz w:val="16"/>
          <w:szCs w:val="16"/>
          <w:color w:val="auto"/>
        </w:rPr>
        <w:t>Based on my knowledge, having exercised reasonable diligence, the interim financial statements together with the other financial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86" w:lineRule="exact"/>
        <w:rPr>
          <w:rFonts w:ascii="Arial" w:cs="Arial" w:eastAsia="Arial" w:hAnsi="Arial"/>
          <w:sz w:val="16"/>
          <w:szCs w:val="16"/>
          <w:color w:val="auto"/>
        </w:rPr>
      </w:pPr>
    </w:p>
    <w:p>
      <w:pPr>
        <w:jc w:val="both"/>
        <w:ind w:left="580" w:hanging="289"/>
        <w:spacing w:after="0" w:line="254"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Responsibility: </w:t>
      </w:r>
      <w:r>
        <w:rPr>
          <w:rFonts w:ascii="Arial" w:cs="Arial" w:eastAsia="Arial" w:hAnsi="Arial"/>
          <w:sz w:val="16"/>
          <w:szCs w:val="16"/>
          <w:color w:val="auto"/>
        </w:rPr>
        <w:t>The issuer’s other certifying officer(s) and I are responsible for establishing and maintaining disclosure controls and procedures (DC&amp;P)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control over financial reporting (ICFR), as those terms are defined in National Instrument 52-109 Certification of Disclosure in Issuers’ Annual and Interim Filings, for the issuer.</w:t>
      </w:r>
    </w:p>
    <w:p>
      <w:pPr>
        <w:spacing w:after="0" w:line="186" w:lineRule="exact"/>
        <w:rPr>
          <w:rFonts w:ascii="Arial" w:cs="Arial" w:eastAsia="Arial" w:hAnsi="Arial"/>
          <w:sz w:val="16"/>
          <w:szCs w:val="16"/>
          <w:color w:val="auto"/>
        </w:rPr>
      </w:pPr>
    </w:p>
    <w:p>
      <w:pPr>
        <w:ind w:left="580" w:hanging="289"/>
        <w:spacing w:after="0" w:line="269"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 </w:t>
      </w:r>
      <w:r>
        <w:rPr>
          <w:rFonts w:ascii="Arial" w:cs="Arial" w:eastAsia="Arial" w:hAnsi="Arial"/>
          <w:sz w:val="16"/>
          <w:szCs w:val="16"/>
          <w:color w:val="auto"/>
        </w:rPr>
        <w:t>Subject to the limitations, if any, described in paragraphs 5.2 and 5.3, the issuer’s other certifying officer(s) and I have, as at the end of the period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interim filings</w:t>
      </w:r>
    </w:p>
    <w:p>
      <w:pPr>
        <w:spacing w:after="0" w:line="174" w:lineRule="exact"/>
        <w:rPr>
          <w:rFonts w:ascii="Arial" w:cs="Arial" w:eastAsia="Arial" w:hAnsi="Arial"/>
          <w:sz w:val="16"/>
          <w:szCs w:val="16"/>
          <w:color w:val="auto"/>
        </w:rPr>
      </w:pPr>
    </w:p>
    <w:p>
      <w:pPr>
        <w:ind w:left="1180" w:hanging="302"/>
        <w:spacing w:after="0"/>
        <w:tabs>
          <w:tab w:leader="none" w:pos="11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DC&amp;P, or caused it to be designed under our supervision, to provide reasonable assurance that</w:t>
      </w:r>
    </w:p>
    <w:p>
      <w:pPr>
        <w:spacing w:after="0" w:line="219" w:lineRule="exact"/>
        <w:rPr>
          <w:rFonts w:ascii="Arial" w:cs="Arial" w:eastAsia="Arial" w:hAnsi="Arial"/>
          <w:sz w:val="16"/>
          <w:szCs w:val="16"/>
          <w:color w:val="auto"/>
        </w:rPr>
      </w:pPr>
    </w:p>
    <w:p>
      <w:pPr>
        <w:ind w:left="1760" w:hanging="294"/>
        <w:spacing w:after="0" w:line="269" w:lineRule="auto"/>
        <w:tabs>
          <w:tab w:leader="none" w:pos="1760" w:val="left"/>
        </w:tabs>
        <w:numPr>
          <w:ilvl w:val="2"/>
          <w:numId w:val="61"/>
        </w:numPr>
        <w:rPr>
          <w:rFonts w:ascii="Arial" w:cs="Arial" w:eastAsia="Arial" w:hAnsi="Arial"/>
          <w:sz w:val="16"/>
          <w:szCs w:val="16"/>
          <w:color w:val="auto"/>
        </w:rPr>
      </w:pPr>
      <w:r>
        <w:rPr>
          <w:rFonts w:ascii="Arial" w:cs="Arial" w:eastAsia="Arial" w:hAnsi="Arial"/>
          <w:sz w:val="16"/>
          <w:szCs w:val="16"/>
          <w:color w:val="auto"/>
        </w:rPr>
        <w:t>material information relating to the issuer is made known to us by others, particularly during the period in which the interim filings are being prepared; and</w:t>
      </w:r>
    </w:p>
    <w:p>
      <w:pPr>
        <w:spacing w:after="0" w:line="174" w:lineRule="exact"/>
        <w:rPr>
          <w:rFonts w:ascii="Arial" w:cs="Arial" w:eastAsia="Arial" w:hAnsi="Arial"/>
          <w:sz w:val="16"/>
          <w:szCs w:val="16"/>
          <w:color w:val="auto"/>
        </w:rPr>
      </w:pPr>
    </w:p>
    <w:p>
      <w:pPr>
        <w:ind w:left="1760" w:hanging="294"/>
        <w:spacing w:after="0" w:line="269" w:lineRule="auto"/>
        <w:tabs>
          <w:tab w:leader="none" w:pos="1760" w:val="left"/>
        </w:tabs>
        <w:numPr>
          <w:ilvl w:val="2"/>
          <w:numId w:val="61"/>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74" w:lineRule="exact"/>
        <w:rPr>
          <w:rFonts w:ascii="Arial" w:cs="Arial" w:eastAsia="Arial" w:hAnsi="Arial"/>
          <w:sz w:val="16"/>
          <w:szCs w:val="16"/>
          <w:color w:val="auto"/>
        </w:rPr>
      </w:pPr>
    </w:p>
    <w:p>
      <w:pPr>
        <w:ind w:left="1180" w:hanging="302"/>
        <w:spacing w:after="0" w:line="269" w:lineRule="auto"/>
        <w:tabs>
          <w:tab w:leader="none" w:pos="11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5" w:lineRule="exact"/>
        <w:rPr>
          <w:sz w:val="20"/>
          <w:szCs w:val="20"/>
          <w:color w:val="auto"/>
        </w:rPr>
      </w:pPr>
    </w:p>
    <w:p>
      <w:pPr>
        <w:ind w:left="580" w:hanging="293"/>
        <w:spacing w:after="0" w:line="269" w:lineRule="auto"/>
        <w:tabs>
          <w:tab w:leader="none" w:pos="5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 Control – 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Framework (2013) issued by The Committee of Sponsoring Organization of the Treadway Commission (COSO).</w:t>
      </w:r>
    </w:p>
    <w:p>
      <w:pPr>
        <w:spacing w:after="0" w:line="175" w:lineRule="exact"/>
        <w:rPr>
          <w:sz w:val="20"/>
          <w:szCs w:val="20"/>
          <w:color w:val="auto"/>
        </w:rPr>
      </w:pPr>
    </w:p>
    <w:p>
      <w:pPr>
        <w:ind w:left="300"/>
        <w:spacing w:after="0"/>
        <w:tabs>
          <w:tab w:leader="none" w:pos="6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b w:val="1"/>
          <w:bCs w:val="1"/>
          <w:i w:val="1"/>
          <w:iCs w:val="1"/>
          <w:color w:val="auto"/>
        </w:rPr>
        <w:t>N/A.</w:t>
      </w:r>
    </w:p>
    <w:p>
      <w:pPr>
        <w:spacing w:after="0" w:line="220" w:lineRule="exact"/>
        <w:rPr>
          <w:sz w:val="20"/>
          <w:szCs w:val="20"/>
          <w:color w:val="auto"/>
        </w:rPr>
      </w:pPr>
    </w:p>
    <w:p>
      <w:pPr>
        <w:ind w:left="300"/>
        <w:spacing w:after="0"/>
        <w:tabs>
          <w:tab w:leader="none" w:pos="64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b w:val="1"/>
          <w:bCs w:val="1"/>
          <w:i w:val="1"/>
          <w:iCs w:val="1"/>
          <w:color w:val="auto"/>
        </w:rPr>
        <w:t>N/A.</w:t>
      </w:r>
    </w:p>
    <w:p>
      <w:pPr>
        <w:spacing w:after="0" w:line="220" w:lineRule="exact"/>
        <w:rPr>
          <w:sz w:val="20"/>
          <w:szCs w:val="20"/>
          <w:color w:val="auto"/>
        </w:rPr>
      </w:pPr>
    </w:p>
    <w:p>
      <w:pPr>
        <w:ind w:left="580" w:hanging="289"/>
        <w:spacing w:after="0" w:line="269"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 beginning on July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and ended on September 30, 2021 that has materially affected, or is reasonably likely to materially affect, the issuer’s ICFR.</w:t>
      </w:r>
    </w:p>
    <w:p>
      <w:pPr>
        <w:sectPr>
          <w:pgSz w:w="11900" w:h="16838" w:orient="portrait"/>
          <w:cols w:equalWidth="0" w:num="1">
            <w:col w:w="11240"/>
          </w:cols>
          <w:pgMar w:left="320" w:top="1297"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auto"/>
        </w:rPr>
        <w:t>Date: November 15, 2021.</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195707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7070" cy="7620"/>
                    </a:xfrm>
                    <a:prstGeom prst="rect">
                      <a:avLst/>
                    </a:prstGeom>
                    <a:noFill/>
                  </pic:spPr>
                </pic:pic>
              </a:graphicData>
            </a:graphic>
          </wp:anchor>
        </w:drawing>
      </w:r>
    </w:p>
    <w:p>
      <w:pPr>
        <w:spacing w:after="0" w:line="41"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Greg Cavers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0139"/>
          </w:cols>
          <w:pgMar w:left="320" w:top="1301"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auto"/>
        </w:rPr>
        <w:t>FORM 52-109F2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INTERIM FILINGS</w:t>
      </w:r>
    </w:p>
    <w:p>
      <w:pPr>
        <w:jc w:val="center"/>
        <w:spacing w:after="0"/>
        <w:rPr>
          <w:sz w:val="20"/>
          <w:szCs w:val="20"/>
          <w:color w:val="auto"/>
        </w:rPr>
      </w:pPr>
      <w:r>
        <w:rPr>
          <w:rFonts w:ascii="Arial" w:cs="Arial" w:eastAsia="Arial" w:hAnsi="Arial"/>
          <w:sz w:val="16"/>
          <w:szCs w:val="16"/>
          <w:b w:val="1"/>
          <w:bCs w:val="1"/>
          <w:color w:val="auto"/>
        </w:rPr>
        <w:t>FULL CERTIFICATE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I, Douglas Drysdale, as Chief Executive Officer of Cybin Inc. (formerly, Clarmin Explorations Inc.), certify the following:</w:t>
      </w:r>
    </w:p>
    <w:p>
      <w:pPr>
        <w:spacing w:after="0" w:line="220" w:lineRule="exact"/>
        <w:rPr>
          <w:sz w:val="20"/>
          <w:szCs w:val="20"/>
          <w:color w:val="auto"/>
        </w:rPr>
      </w:pPr>
    </w:p>
    <w:p>
      <w:pPr>
        <w:ind w:left="580" w:hanging="289"/>
        <w:spacing w:after="0" w:line="269"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Review: </w:t>
      </w:r>
      <w:r>
        <w:rPr>
          <w:rFonts w:ascii="Arial" w:cs="Arial" w:eastAsia="Arial" w:hAnsi="Arial"/>
          <w:sz w:val="16"/>
          <w:szCs w:val="16"/>
          <w:color w:val="auto"/>
        </w:rPr>
        <w:t>I have reviewed the interim financial statements and interim MD&amp;A (together, the “interim filings”) of Cybin Inc. (formerly, Clarmin Explorations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“issuer”) for the interim period ended September 30, 2021.</w:t>
      </w:r>
    </w:p>
    <w:p>
      <w:pPr>
        <w:spacing w:after="0" w:line="174" w:lineRule="exact"/>
        <w:rPr>
          <w:rFonts w:ascii="Arial" w:cs="Arial" w:eastAsia="Arial" w:hAnsi="Arial"/>
          <w:sz w:val="16"/>
          <w:szCs w:val="16"/>
          <w:color w:val="auto"/>
        </w:rPr>
      </w:pPr>
    </w:p>
    <w:p>
      <w:pPr>
        <w:jc w:val="both"/>
        <w:ind w:left="580" w:hanging="289"/>
        <w:spacing w:after="0" w:line="254"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No misrepresentations</w:t>
      </w:r>
      <w:r>
        <w:rPr>
          <w:rFonts w:ascii="Arial" w:cs="Arial" w:eastAsia="Arial" w:hAnsi="Arial"/>
          <w:sz w:val="16"/>
          <w:szCs w:val="16"/>
          <w:color w:val="auto"/>
        </w:rPr>
        <w:t>: Based on my knowledge, having exercised reasonable diligence, the interim filings do not contain any untrue statement of a material fact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omit to state a material fact required to be stated or that is necessary to make a statement not misleading in light of the circumstances under which it was made, with respect to the period covered by the interim filings.</w:t>
      </w:r>
    </w:p>
    <w:p>
      <w:pPr>
        <w:spacing w:after="0" w:line="186" w:lineRule="exact"/>
        <w:rPr>
          <w:rFonts w:ascii="Arial" w:cs="Arial" w:eastAsia="Arial" w:hAnsi="Arial"/>
          <w:sz w:val="16"/>
          <w:szCs w:val="16"/>
          <w:color w:val="auto"/>
        </w:rPr>
      </w:pPr>
    </w:p>
    <w:p>
      <w:pPr>
        <w:jc w:val="both"/>
        <w:ind w:left="580" w:hanging="289"/>
        <w:spacing w:after="0" w:line="254"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presentation: </w:t>
      </w:r>
      <w:r>
        <w:rPr>
          <w:rFonts w:ascii="Arial" w:cs="Arial" w:eastAsia="Arial" w:hAnsi="Arial"/>
          <w:sz w:val="16"/>
          <w:szCs w:val="16"/>
          <w:color w:val="auto"/>
        </w:rPr>
        <w:t>Based on my knowledge, having exercised reasonable diligence, the interim financial statements together with the other financial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86" w:lineRule="exact"/>
        <w:rPr>
          <w:rFonts w:ascii="Arial" w:cs="Arial" w:eastAsia="Arial" w:hAnsi="Arial"/>
          <w:sz w:val="16"/>
          <w:szCs w:val="16"/>
          <w:color w:val="auto"/>
        </w:rPr>
      </w:pPr>
    </w:p>
    <w:p>
      <w:pPr>
        <w:jc w:val="both"/>
        <w:ind w:left="580" w:hanging="289"/>
        <w:spacing w:after="0" w:line="254"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Responsibility: </w:t>
      </w:r>
      <w:r>
        <w:rPr>
          <w:rFonts w:ascii="Arial" w:cs="Arial" w:eastAsia="Arial" w:hAnsi="Arial"/>
          <w:sz w:val="16"/>
          <w:szCs w:val="16"/>
          <w:color w:val="auto"/>
        </w:rPr>
        <w:t>The issuer’s other certifying officer(s) and I are responsible for establishing and maintaining disclosure controls and procedures (DC&amp;P)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control over financial reporting (ICFR), as those terms are defined in National Instrument 52-109 Certification of Disclosure in Issuers’ Annual and Interim Filings, for the issuer.</w:t>
      </w:r>
    </w:p>
    <w:p>
      <w:pPr>
        <w:spacing w:after="0" w:line="186" w:lineRule="exact"/>
        <w:rPr>
          <w:rFonts w:ascii="Arial" w:cs="Arial" w:eastAsia="Arial" w:hAnsi="Arial"/>
          <w:sz w:val="16"/>
          <w:szCs w:val="16"/>
          <w:color w:val="auto"/>
        </w:rPr>
      </w:pPr>
    </w:p>
    <w:p>
      <w:pPr>
        <w:ind w:left="580" w:hanging="289"/>
        <w:spacing w:after="0" w:line="269"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 </w:t>
      </w:r>
      <w:r>
        <w:rPr>
          <w:rFonts w:ascii="Arial" w:cs="Arial" w:eastAsia="Arial" w:hAnsi="Arial"/>
          <w:sz w:val="16"/>
          <w:szCs w:val="16"/>
          <w:color w:val="auto"/>
        </w:rPr>
        <w:t>Subject to the limitations, if any, described in paragraphs 5.2 and 5.3, the issuer’s other certifying officer(s) and I have, as at the end of the period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interim filings</w:t>
      </w:r>
    </w:p>
    <w:p>
      <w:pPr>
        <w:spacing w:after="0" w:line="174" w:lineRule="exact"/>
        <w:rPr>
          <w:rFonts w:ascii="Arial" w:cs="Arial" w:eastAsia="Arial" w:hAnsi="Arial"/>
          <w:sz w:val="16"/>
          <w:szCs w:val="16"/>
          <w:color w:val="auto"/>
        </w:rPr>
      </w:pPr>
    </w:p>
    <w:p>
      <w:pPr>
        <w:ind w:left="1180" w:hanging="302"/>
        <w:spacing w:after="0"/>
        <w:tabs>
          <w:tab w:leader="none" w:pos="11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DC&amp;P, or caused it to be designed under our supervision, to provide reasonable assurance that</w:t>
      </w:r>
    </w:p>
    <w:p>
      <w:pPr>
        <w:spacing w:after="0" w:line="219" w:lineRule="exact"/>
        <w:rPr>
          <w:rFonts w:ascii="Arial" w:cs="Arial" w:eastAsia="Arial" w:hAnsi="Arial"/>
          <w:sz w:val="16"/>
          <w:szCs w:val="16"/>
          <w:color w:val="auto"/>
        </w:rPr>
      </w:pPr>
    </w:p>
    <w:p>
      <w:pPr>
        <w:ind w:left="1760" w:hanging="294"/>
        <w:spacing w:after="0" w:line="269" w:lineRule="auto"/>
        <w:tabs>
          <w:tab w:leader="none" w:pos="1760" w:val="left"/>
        </w:tabs>
        <w:numPr>
          <w:ilvl w:val="2"/>
          <w:numId w:val="63"/>
        </w:numPr>
        <w:rPr>
          <w:rFonts w:ascii="Arial" w:cs="Arial" w:eastAsia="Arial" w:hAnsi="Arial"/>
          <w:sz w:val="16"/>
          <w:szCs w:val="16"/>
          <w:color w:val="auto"/>
        </w:rPr>
      </w:pPr>
      <w:r>
        <w:rPr>
          <w:rFonts w:ascii="Arial" w:cs="Arial" w:eastAsia="Arial" w:hAnsi="Arial"/>
          <w:sz w:val="16"/>
          <w:szCs w:val="16"/>
          <w:color w:val="auto"/>
        </w:rPr>
        <w:t>material information relating to the issuer is made known to us by others, particularly during the period in which the interim filings are being prepared; and</w:t>
      </w:r>
    </w:p>
    <w:p>
      <w:pPr>
        <w:spacing w:after="0" w:line="174" w:lineRule="exact"/>
        <w:rPr>
          <w:rFonts w:ascii="Arial" w:cs="Arial" w:eastAsia="Arial" w:hAnsi="Arial"/>
          <w:sz w:val="16"/>
          <w:szCs w:val="16"/>
          <w:color w:val="auto"/>
        </w:rPr>
      </w:pPr>
    </w:p>
    <w:p>
      <w:pPr>
        <w:ind w:left="1760" w:hanging="294"/>
        <w:spacing w:after="0" w:line="269" w:lineRule="auto"/>
        <w:tabs>
          <w:tab w:leader="none" w:pos="1760" w:val="left"/>
        </w:tabs>
        <w:numPr>
          <w:ilvl w:val="2"/>
          <w:numId w:val="63"/>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74" w:lineRule="exact"/>
        <w:rPr>
          <w:rFonts w:ascii="Arial" w:cs="Arial" w:eastAsia="Arial" w:hAnsi="Arial"/>
          <w:sz w:val="16"/>
          <w:szCs w:val="16"/>
          <w:color w:val="auto"/>
        </w:rPr>
      </w:pPr>
    </w:p>
    <w:p>
      <w:pPr>
        <w:ind w:left="1180" w:hanging="302"/>
        <w:spacing w:after="0" w:line="269" w:lineRule="auto"/>
        <w:tabs>
          <w:tab w:leader="none" w:pos="11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5" w:lineRule="exact"/>
        <w:rPr>
          <w:sz w:val="20"/>
          <w:szCs w:val="20"/>
          <w:color w:val="auto"/>
        </w:rPr>
      </w:pPr>
    </w:p>
    <w:p>
      <w:pPr>
        <w:ind w:left="580" w:hanging="293"/>
        <w:spacing w:after="0" w:line="269" w:lineRule="auto"/>
        <w:tabs>
          <w:tab w:leader="none" w:pos="5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 Control – 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Framework (2013) issued by The Committee of Sponsoring Organization of the Treadway Commission (COSO).</w:t>
      </w:r>
    </w:p>
    <w:p>
      <w:pPr>
        <w:spacing w:after="0" w:line="175" w:lineRule="exact"/>
        <w:rPr>
          <w:sz w:val="20"/>
          <w:szCs w:val="20"/>
          <w:color w:val="auto"/>
        </w:rPr>
      </w:pPr>
    </w:p>
    <w:p>
      <w:pPr>
        <w:ind w:left="300"/>
        <w:spacing w:after="0"/>
        <w:tabs>
          <w:tab w:leader="none" w:pos="6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b w:val="1"/>
          <w:bCs w:val="1"/>
          <w:i w:val="1"/>
          <w:iCs w:val="1"/>
          <w:color w:val="auto"/>
        </w:rPr>
        <w:t>N/A.</w:t>
      </w:r>
    </w:p>
    <w:p>
      <w:pPr>
        <w:spacing w:after="0" w:line="220" w:lineRule="exact"/>
        <w:rPr>
          <w:sz w:val="20"/>
          <w:szCs w:val="20"/>
          <w:color w:val="auto"/>
        </w:rPr>
      </w:pPr>
    </w:p>
    <w:p>
      <w:pPr>
        <w:ind w:left="300"/>
        <w:spacing w:after="0"/>
        <w:tabs>
          <w:tab w:leader="none" w:pos="64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b w:val="1"/>
          <w:bCs w:val="1"/>
          <w:i w:val="1"/>
          <w:iCs w:val="1"/>
          <w:color w:val="auto"/>
        </w:rPr>
        <w:t>N/A.</w:t>
      </w:r>
    </w:p>
    <w:p>
      <w:pPr>
        <w:spacing w:after="0" w:line="220" w:lineRule="exact"/>
        <w:rPr>
          <w:sz w:val="20"/>
          <w:szCs w:val="20"/>
          <w:color w:val="auto"/>
        </w:rPr>
      </w:pPr>
    </w:p>
    <w:p>
      <w:pPr>
        <w:ind w:left="580" w:hanging="289"/>
        <w:spacing w:after="0" w:line="269" w:lineRule="auto"/>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 beginning on July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and ended on September 30, 2021 that has materially affected, or is reasonably likely to materially affect, the issuer’s ICFR.</w:t>
      </w:r>
    </w:p>
    <w:p>
      <w:pPr>
        <w:sectPr>
          <w:pgSz w:w="11900" w:h="16838" w:orient="portrait"/>
          <w:cols w:equalWidth="0" w:num="1">
            <w:col w:w="11240"/>
          </w:cols>
          <w:pgMar w:left="320" w:top="1297" w:right="339" w:bottom="1440" w:gutter="0" w:footer="0" w:header="0"/>
        </w:sectPr>
      </w:pPr>
    </w:p>
    <w:bookmarkStart w:id="95" w:name="page96"/>
    <w:bookmarkEnd w:id="95"/>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15, 2021.</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195707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7070" cy="7620"/>
                    </a:xfrm>
                    <a:prstGeom prst="rect">
                      <a:avLst/>
                    </a:prstGeom>
                    <a:noFill/>
                  </pic:spPr>
                </pic:pic>
              </a:graphicData>
            </a:graphic>
          </wp:anchor>
        </w:drawing>
      </w:r>
    </w:p>
    <w:p>
      <w:pPr>
        <w:spacing w:after="0" w:line="4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Douglas Drysdale</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0139"/>
          </w:cols>
          <w:pgMar w:left="320" w:top="1440" w:right="1440"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1817370</wp:posOffset>
            </wp:positionH>
            <wp:positionV relativeFrom="page">
              <wp:posOffset>1122045</wp:posOffset>
            </wp:positionV>
            <wp:extent cx="1600200" cy="10096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600200" cy="100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
        <w:spacing w:after="0"/>
        <w:rPr>
          <w:sz w:val="20"/>
          <w:szCs w:val="20"/>
          <w:color w:val="auto"/>
        </w:rPr>
      </w:pPr>
      <w:r>
        <w:rPr>
          <w:rFonts w:ascii="Arial" w:cs="Arial" w:eastAsia="Arial" w:hAnsi="Arial"/>
          <w:sz w:val="23"/>
          <w:szCs w:val="23"/>
          <w:b w:val="1"/>
          <w:bCs w:val="1"/>
          <w:color w:val="auto"/>
        </w:rPr>
        <w:t>Cybin Inc. Reports its Second Quarter Financial Results and Recent Business Highlights</w:t>
      </w:r>
    </w:p>
    <w:p>
      <w:pPr>
        <w:spacing w:after="0" w:line="365" w:lineRule="exact"/>
        <w:rPr>
          <w:sz w:val="20"/>
          <w:szCs w:val="20"/>
          <w:color w:val="auto"/>
        </w:rPr>
      </w:pPr>
    </w:p>
    <w:p>
      <w:pPr>
        <w:jc w:val="center"/>
        <w:ind w:right="-1"/>
        <w:spacing w:after="0"/>
        <w:rPr>
          <w:sz w:val="20"/>
          <w:szCs w:val="20"/>
          <w:color w:val="auto"/>
        </w:rPr>
      </w:pPr>
      <w:r>
        <w:rPr>
          <w:rFonts w:ascii="Arial" w:cs="Arial" w:eastAsia="Arial" w:hAnsi="Arial"/>
          <w:sz w:val="18"/>
          <w:szCs w:val="18"/>
          <w:i w:val="1"/>
          <w:iCs w:val="1"/>
          <w:color w:val="auto"/>
        </w:rPr>
        <w:t>- Company to host conference call at 4:30pm EST today –</w:t>
      </w:r>
    </w:p>
    <w:p>
      <w:pPr>
        <w:spacing w:after="0" w:line="217" w:lineRule="exact"/>
        <w:rPr>
          <w:sz w:val="20"/>
          <w:szCs w:val="20"/>
          <w:color w:val="auto"/>
        </w:rPr>
      </w:pPr>
    </w:p>
    <w:p>
      <w:pPr>
        <w:jc w:val="both"/>
        <w:ind w:left="2" w:right="20"/>
        <w:spacing w:after="0" w:line="268"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November 15,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0563C1"/>
        </w:rPr>
        <w:t>NEO:CYBN</w:t>
      </w:r>
      <w:r>
        <w:rPr>
          <w:rFonts w:ascii="Arial" w:cs="Arial" w:eastAsia="Arial" w:hAnsi="Arial"/>
          <w:sz w:val="18"/>
          <w:szCs w:val="18"/>
          <w:color w:val="auto"/>
        </w:rPr>
        <w:t>) (</w:t>
      </w:r>
      <w:r>
        <w:rPr>
          <w:rFonts w:ascii="Arial" w:cs="Arial" w:eastAsia="Arial" w:hAnsi="Arial"/>
          <w:sz w:val="18"/>
          <w:szCs w:val="18"/>
          <w:u w:val="single" w:color="auto"/>
          <w:color w:val="0563C1"/>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progressing “Psychedelics to Therapeutics</w:t>
      </w:r>
      <w:r>
        <w:rPr>
          <w:rFonts w:ascii="Arial" w:cs="Arial" w:eastAsia="Arial" w:hAnsi="Arial"/>
          <w:sz w:val="23"/>
          <w:szCs w:val="23"/>
          <w:color w:val="auto"/>
          <w:vertAlign w:val="superscript"/>
        </w:rPr>
        <w:t>TM</w:t>
      </w:r>
      <w:r>
        <w:rPr>
          <w:rFonts w:ascii="Arial" w:cs="Arial" w:eastAsia="Arial" w:hAnsi="Arial"/>
          <w:sz w:val="18"/>
          <w:szCs w:val="18"/>
          <w:color w:val="auto"/>
        </w:rPr>
        <w:t>”, today reported unaudited financial results for its second quarter ended September 30, 2021.</w:t>
      </w:r>
    </w:p>
    <w:p>
      <w:pPr>
        <w:spacing w:after="0" w:line="206" w:lineRule="exact"/>
        <w:rPr>
          <w:sz w:val="20"/>
          <w:szCs w:val="20"/>
          <w:color w:val="auto"/>
        </w:rPr>
      </w:pPr>
    </w:p>
    <w:p>
      <w:pPr>
        <w:jc w:val="both"/>
        <w:ind w:left="2"/>
        <w:spacing w:after="0" w:line="272" w:lineRule="auto"/>
        <w:rPr>
          <w:sz w:val="20"/>
          <w:szCs w:val="20"/>
          <w:color w:val="auto"/>
        </w:rPr>
      </w:pPr>
      <w:r>
        <w:rPr>
          <w:rFonts w:ascii="Arial" w:cs="Arial" w:eastAsia="Arial" w:hAnsi="Arial"/>
          <w:sz w:val="18"/>
          <w:szCs w:val="18"/>
          <w:color w:val="auto"/>
        </w:rPr>
        <w:t xml:space="preserve">“The first half of the year has been a transformative period for Cybin that included significant and swift advancements in our research and development pipeline and overall business. Through CYB003, we believe that we have identified a potentially safer treatment option for patients with depression and addiction disorders that we expect to have strong intellectual property protection and a positive </w:t>
      </w:r>
      <w:r>
        <w:rPr>
          <w:rFonts w:ascii="Arial" w:cs="Arial" w:eastAsia="Arial" w:hAnsi="Arial"/>
          <w:sz w:val="18"/>
          <w:szCs w:val="18"/>
          <w:color w:val="202124"/>
        </w:rPr>
        <w:t>pharmacokinetic</w:t>
      </w:r>
      <w:r>
        <w:rPr>
          <w:rFonts w:ascii="Arial" w:cs="Arial" w:eastAsia="Arial" w:hAnsi="Arial"/>
          <w:sz w:val="18"/>
          <w:szCs w:val="18"/>
          <w:color w:val="auto"/>
        </w:rPr>
        <w:t xml:space="preserve"> profile for patients, providers and payers. We plan to move through the ongoing, remaining preclinical studies quickly and submit an investigational new drug application and clinical trial application in the second quarter of 2022</w:t>
      </w:r>
      <w:r>
        <w:rPr>
          <w:rFonts w:ascii="Arial" w:cs="Arial" w:eastAsia="Arial" w:hAnsi="Arial"/>
          <w:sz w:val="23"/>
          <w:szCs w:val="23"/>
          <w:color w:val="auto"/>
          <w:vertAlign w:val="superscript"/>
        </w:rPr>
        <w:t>1</w:t>
      </w:r>
      <w:r>
        <w:rPr>
          <w:rFonts w:ascii="Arial" w:cs="Arial" w:eastAsia="Arial" w:hAnsi="Arial"/>
          <w:sz w:val="18"/>
          <w:szCs w:val="18"/>
          <w:color w:val="auto"/>
        </w:rPr>
        <w:t>, in the U.S. and the U.K., respectively," said Doug Drysdale, Chief Executive Officer of Cybin.</w:t>
      </w:r>
    </w:p>
    <w:p>
      <w:pPr>
        <w:spacing w:after="0" w:line="191" w:lineRule="exact"/>
        <w:rPr>
          <w:sz w:val="20"/>
          <w:szCs w:val="20"/>
          <w:color w:val="auto"/>
        </w:rPr>
      </w:pPr>
    </w:p>
    <w:p>
      <w:pPr>
        <w:jc w:val="both"/>
        <w:ind w:left="2" w:right="20"/>
        <w:spacing w:after="0" w:line="285" w:lineRule="auto"/>
        <w:rPr>
          <w:sz w:val="20"/>
          <w:szCs w:val="20"/>
          <w:color w:val="auto"/>
        </w:rPr>
      </w:pPr>
      <w:r>
        <w:rPr>
          <w:rFonts w:ascii="Arial" w:cs="Arial" w:eastAsia="Arial" w:hAnsi="Arial"/>
          <w:sz w:val="18"/>
          <w:szCs w:val="18"/>
          <w:color w:val="auto"/>
        </w:rPr>
        <w:t>Drysdale continued, “In addition, we continue to evolve our value-driving, patient-centered approach to potential treatments for mental health and addiction through our commitment to advancing programs such as EMBARK, that aims to facilitate psilocybin-assisted psychotherapy for frontline workers impacted by the COVID-19 pandemic, as well as targeted research using the Kernel Flow neuroimaging technology that we expect will allow us to quantitively understand the psychedelic experience in the brain as it is happening. We believe these programs combined with our proprietary psychedelic new chemical entities have the potential to transform the treatment landscape for various psychiatric and neurological conditions.”</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Recent Business and Pipeline Highlights:</w:t>
      </w:r>
    </w:p>
    <w:p>
      <w:pPr>
        <w:spacing w:after="0" w:line="231" w:lineRule="exact"/>
        <w:rPr>
          <w:sz w:val="20"/>
          <w:szCs w:val="20"/>
          <w:color w:val="auto"/>
        </w:rPr>
      </w:pPr>
    </w:p>
    <w:p>
      <w:pPr>
        <w:ind w:left="302" w:right="20" w:hanging="302"/>
        <w:spacing w:after="0" w:line="280" w:lineRule="auto"/>
        <w:tabs>
          <w:tab w:leader="none" w:pos="29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Announced preclinical data for its novel deuterated psilocybin analog, CYB003, for the potential treatment of major depressive disorder and alcohol use disorder. The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5532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194" w:lineRule="exact"/>
        <w:rPr>
          <w:sz w:val="20"/>
          <w:szCs w:val="20"/>
          <w:color w:val="auto"/>
        </w:rPr>
      </w:pPr>
    </w:p>
    <w:p>
      <w:pPr>
        <w:ind w:left="82" w:hanging="82"/>
        <w:spacing w:after="0"/>
        <w:tabs>
          <w:tab w:leader="none" w:pos="82" w:val="left"/>
        </w:tabs>
        <w:numPr>
          <w:ilvl w:val="0"/>
          <w:numId w:val="66"/>
        </w:numPr>
        <w:rPr>
          <w:rFonts w:ascii="Arial" w:cs="Arial" w:eastAsia="Arial" w:hAnsi="Arial"/>
          <w:sz w:val="8"/>
          <w:szCs w:val="8"/>
          <w:color w:val="auto"/>
        </w:rPr>
      </w:pPr>
      <w:r>
        <w:rPr>
          <w:rFonts w:ascii="Arial" w:cs="Arial" w:eastAsia="Arial" w:hAnsi="Arial"/>
          <w:sz w:val="13"/>
          <w:szCs w:val="13"/>
          <w:color w:val="auto"/>
        </w:rPr>
        <w:t>Based on a calendar year-end.</w:t>
      </w:r>
    </w:p>
    <w:p>
      <w:pPr>
        <w:sectPr>
          <w:pgSz w:w="11900" w:h="16838" w:orient="portrait"/>
          <w:cols w:equalWidth="0" w:num="1">
            <w:col w:w="11262"/>
          </w:cols>
          <w:pgMar w:left="318" w:top="1440" w:right="319" w:bottom="1440" w:gutter="0" w:footer="0" w:header="0"/>
        </w:sectPr>
      </w:pPr>
    </w:p>
    <w:bookmarkStart w:id="97" w:name="page98"/>
    <w:bookmarkEnd w:id="97"/>
    <w:p>
      <w:pPr>
        <w:spacing w:after="0" w:line="91" w:lineRule="exact"/>
        <w:rPr>
          <w:sz w:val="20"/>
          <w:szCs w:val="20"/>
          <w:color w:val="auto"/>
        </w:rPr>
      </w:pPr>
    </w:p>
    <w:p>
      <w:pPr>
        <w:jc w:val="both"/>
        <w:ind w:left="302"/>
        <w:spacing w:after="0" w:line="274" w:lineRule="auto"/>
        <w:rPr>
          <w:sz w:val="20"/>
          <w:szCs w:val="20"/>
          <w:color w:val="auto"/>
        </w:rPr>
      </w:pPr>
      <w:r>
        <w:rPr>
          <w:rFonts w:ascii="Arial" w:cs="Arial" w:eastAsia="Arial" w:hAnsi="Arial"/>
          <w:sz w:val="18"/>
          <w:szCs w:val="18"/>
          <w:color w:val="auto"/>
        </w:rPr>
        <w:t>demonstrated that CYB003 may provide significant treatment benefits to address the challenges and limitations of oral psilocybin, including improved safety through less patient variability, reduced clinic times through faster onset of action and shorter duration of effect, and lower dosing through improved brain penetration, which may result in fewer side effects, ultimately offering an improved patient experience. Cybin expects to complete the ongoing preclinical studies of CYB003 in Q1 2022 and submit an investigational new drug application (“</w:t>
      </w:r>
      <w:r>
        <w:rPr>
          <w:rFonts w:ascii="Arial" w:cs="Arial" w:eastAsia="Arial" w:hAnsi="Arial"/>
          <w:sz w:val="18"/>
          <w:szCs w:val="18"/>
          <w:b w:val="1"/>
          <w:bCs w:val="1"/>
          <w:color w:val="auto"/>
        </w:rPr>
        <w:t>IND</w:t>
      </w:r>
      <w:r>
        <w:rPr>
          <w:rFonts w:ascii="Arial" w:cs="Arial" w:eastAsia="Arial" w:hAnsi="Arial"/>
          <w:sz w:val="18"/>
          <w:szCs w:val="18"/>
          <w:color w:val="auto"/>
        </w:rPr>
        <w:t>”) to the U.S. Food and Drug Administration (the “</w:t>
      </w:r>
      <w:r>
        <w:rPr>
          <w:rFonts w:ascii="Arial" w:cs="Arial" w:eastAsia="Arial" w:hAnsi="Arial"/>
          <w:sz w:val="18"/>
          <w:szCs w:val="18"/>
          <w:b w:val="1"/>
          <w:bCs w:val="1"/>
          <w:color w:val="auto"/>
        </w:rPr>
        <w:t>FDA</w:t>
      </w:r>
      <w:r>
        <w:rPr>
          <w:rFonts w:ascii="Arial" w:cs="Arial" w:eastAsia="Arial" w:hAnsi="Arial"/>
          <w:sz w:val="18"/>
          <w:szCs w:val="18"/>
          <w:color w:val="auto"/>
        </w:rPr>
        <w:t>”), and a clinical trial application with the U.K. Medicines and Healthcare Products Regulatory Agency in Q2 2022</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119" w:lineRule="exact"/>
        <w:rPr>
          <w:sz w:val="20"/>
          <w:szCs w:val="20"/>
          <w:color w:val="auto"/>
        </w:rPr>
      </w:pPr>
    </w:p>
    <w:p>
      <w:pPr>
        <w:ind w:left="302" w:hanging="302"/>
        <w:spacing w:after="0" w:line="280" w:lineRule="auto"/>
        <w:tabs>
          <w:tab w:leader="none" w:pos="291" w:val="left"/>
        </w:tabs>
        <w:numPr>
          <w:ilvl w:val="0"/>
          <w:numId w:val="67"/>
        </w:numPr>
        <w:rPr>
          <w:rFonts w:ascii="Arial" w:cs="Arial" w:eastAsia="Arial" w:hAnsi="Arial"/>
          <w:sz w:val="18"/>
          <w:szCs w:val="18"/>
          <w:color w:val="auto"/>
        </w:rPr>
      </w:pPr>
      <w:r>
        <w:rPr>
          <w:rFonts w:ascii="Arial" w:cs="Arial" w:eastAsia="Arial" w:hAnsi="Arial"/>
          <w:sz w:val="18"/>
          <w:szCs w:val="18"/>
          <w:color w:val="auto"/>
        </w:rPr>
        <w:t>Granted a Schedule I manufacturing license from the U.S. Drug Enforcement Agency for the Company’s Boston-area research lab that is expected to allow the Company to expand its internal research and development capabilities.</w:t>
      </w:r>
    </w:p>
    <w:p>
      <w:pPr>
        <w:spacing w:after="0" w:line="177" w:lineRule="exact"/>
        <w:rPr>
          <w:rFonts w:ascii="Arial" w:cs="Arial" w:eastAsia="Arial" w:hAnsi="Arial"/>
          <w:sz w:val="18"/>
          <w:szCs w:val="18"/>
          <w:color w:val="auto"/>
        </w:rPr>
      </w:pPr>
    </w:p>
    <w:p>
      <w:pPr>
        <w:ind w:left="302" w:hanging="302"/>
        <w:spacing w:after="0" w:line="280" w:lineRule="auto"/>
        <w:tabs>
          <w:tab w:leader="none" w:pos="291"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Received approval from the FDA for its IND application to proceed with a Company-sponsored feasibility study using the Kernel Flow quantitative neuroimaging technology to measure ketamine’s psychedelic effect on cerebral cortex hemodynamics.</w:t>
      </w:r>
    </w:p>
    <w:p>
      <w:pPr>
        <w:spacing w:after="0" w:line="189" w:lineRule="exact"/>
        <w:rPr>
          <w:rFonts w:ascii="Arial" w:cs="Arial" w:eastAsia="Arial" w:hAnsi="Arial"/>
          <w:sz w:val="18"/>
          <w:szCs w:val="18"/>
          <w:color w:val="auto"/>
        </w:rPr>
      </w:pPr>
    </w:p>
    <w:p>
      <w:pPr>
        <w:ind w:left="302" w:hanging="302"/>
        <w:spacing w:after="0" w:line="280" w:lineRule="auto"/>
        <w:tabs>
          <w:tab w:leader="none" w:pos="291" w:val="left"/>
        </w:tabs>
        <w:numPr>
          <w:ilvl w:val="0"/>
          <w:numId w:val="67"/>
        </w:numPr>
        <w:rPr>
          <w:rFonts w:ascii="Arial" w:cs="Arial" w:eastAsia="Arial" w:hAnsi="Arial"/>
          <w:sz w:val="18"/>
          <w:szCs w:val="18"/>
          <w:color w:val="auto"/>
        </w:rPr>
      </w:pPr>
      <w:r>
        <w:rPr>
          <w:rFonts w:ascii="Arial" w:cs="Arial" w:eastAsia="Arial" w:hAnsi="Arial"/>
          <w:sz w:val="18"/>
          <w:szCs w:val="18"/>
          <w:color w:val="auto"/>
        </w:rPr>
        <w:t>Launched the EMBARK Psychedelic Facilitator Training Program in collaboration with the University of Washington in preparation for the first clinical trial of psilocybin-assisted psychotherapy to address COVID-19 related distress in frontline healthcare professionals.</w:t>
      </w:r>
    </w:p>
    <w:p>
      <w:pPr>
        <w:spacing w:after="0" w:line="189" w:lineRule="exact"/>
        <w:rPr>
          <w:rFonts w:ascii="Arial" w:cs="Arial" w:eastAsia="Arial" w:hAnsi="Arial"/>
          <w:sz w:val="18"/>
          <w:szCs w:val="18"/>
          <w:color w:val="auto"/>
        </w:rPr>
      </w:pPr>
    </w:p>
    <w:p>
      <w:pPr>
        <w:ind w:left="302" w:hanging="302"/>
        <w:spacing w:after="0" w:line="280" w:lineRule="auto"/>
        <w:tabs>
          <w:tab w:leader="none" w:pos="291"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Welcomed Dr. Amir Inamdar as Chief Medical Officer for European Operations; Dr. Geoff Varty as Head of Research and Development; and Leah Gibson as Vice President of Investor Relations.</w:t>
      </w:r>
    </w:p>
    <w:p>
      <w:pPr>
        <w:spacing w:after="0" w:line="376" w:lineRule="exact"/>
        <w:rPr>
          <w:sz w:val="20"/>
          <w:szCs w:val="20"/>
          <w:color w:val="auto"/>
        </w:rPr>
      </w:pPr>
    </w:p>
    <w:p>
      <w:pPr>
        <w:ind w:left="102"/>
        <w:spacing w:after="0"/>
        <w:rPr>
          <w:sz w:val="20"/>
          <w:szCs w:val="20"/>
          <w:color w:val="auto"/>
        </w:rPr>
      </w:pPr>
      <w:r>
        <w:rPr>
          <w:rFonts w:ascii="Arial" w:cs="Arial" w:eastAsia="Arial" w:hAnsi="Arial"/>
          <w:sz w:val="18"/>
          <w:szCs w:val="18"/>
          <w:b w:val="1"/>
          <w:bCs w:val="1"/>
          <w:color w:val="auto"/>
        </w:rPr>
        <w:t>Second-Quarter Financial Highlights</w:t>
      </w:r>
    </w:p>
    <w:p>
      <w:pPr>
        <w:spacing w:after="0" w:line="243" w:lineRule="exact"/>
        <w:rPr>
          <w:sz w:val="20"/>
          <w:szCs w:val="20"/>
          <w:color w:val="auto"/>
        </w:rPr>
      </w:pPr>
    </w:p>
    <w:p>
      <w:pPr>
        <w:ind w:left="282" w:hanging="282"/>
        <w:spacing w:after="0"/>
        <w:tabs>
          <w:tab w:leader="none" w:pos="282"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Cash and cash equivalents totaled to C$75.2 million as of September 30, 2021.</w:t>
      </w:r>
    </w:p>
    <w:p>
      <w:pPr>
        <w:spacing w:after="0" w:line="221" w:lineRule="exact"/>
        <w:rPr>
          <w:rFonts w:ascii="Arial" w:cs="Arial" w:eastAsia="Arial" w:hAnsi="Arial"/>
          <w:sz w:val="18"/>
          <w:szCs w:val="18"/>
          <w:color w:val="auto"/>
        </w:rPr>
      </w:pPr>
    </w:p>
    <w:p>
      <w:pPr>
        <w:ind w:left="302" w:hanging="302"/>
        <w:spacing w:after="0" w:line="280" w:lineRule="auto"/>
        <w:tabs>
          <w:tab w:leader="none" w:pos="291"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Net loss was C$17.6 million for the quarter ended September 30, 2021 of which non-cash expenses totaled C$6.0 million and cash-based operating expenses totaled C$11.6 million.</w:t>
      </w:r>
    </w:p>
    <w:p>
      <w:pPr>
        <w:spacing w:after="0" w:line="36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Conference Call and Webcast Details</w:t>
      </w:r>
    </w:p>
    <w:p>
      <w:pPr>
        <w:sectPr>
          <w:pgSz w:w="11900" w:h="16838" w:orient="portrait"/>
          <w:cols w:equalWidth="0" w:num="1">
            <w:col w:w="11242"/>
          </w:cols>
          <w:pgMar w:left="318" w:top="1440" w:right="339" w:bottom="1440" w:gutter="0" w:footer="0" w:header="0"/>
        </w:sectPr>
      </w:pPr>
    </w:p>
    <w:p>
      <w:pPr>
        <w:spacing w:after="0" w:line="341" w:lineRule="exact"/>
        <w:rPr>
          <w:sz w:val="20"/>
          <w:szCs w:val="20"/>
          <w:color w:val="auto"/>
        </w:rPr>
      </w:pPr>
    </w:p>
    <w:p>
      <w:pPr>
        <w:ind w:left="2"/>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Monday, November 15, 2021</w:t>
      </w:r>
    </w:p>
    <w:p>
      <w:pPr>
        <w:spacing w:after="0" w:line="200" w:lineRule="exact"/>
        <w:rPr>
          <w:sz w:val="20"/>
          <w:szCs w:val="20"/>
          <w:color w:val="auto"/>
        </w:rPr>
      </w:pPr>
    </w:p>
    <w:p>
      <w:pPr>
        <w:sectPr>
          <w:pgSz w:w="11900" w:h="16838" w:orient="portrait"/>
          <w:cols w:equalWidth="0" w:num="2">
            <w:col w:w="522" w:space="400"/>
            <w:col w:w="10320"/>
          </w:cols>
          <w:pgMar w:left="318" w:top="1440" w:right="339" w:bottom="1440" w:gutter="0" w:footer="0" w:header="0"/>
          <w:type w:val="continuous"/>
        </w:sectPr>
      </w:pPr>
    </w:p>
    <w:p>
      <w:pPr>
        <w:spacing w:after="0" w:line="20" w:lineRule="exact"/>
        <w:rPr>
          <w:sz w:val="20"/>
          <w:szCs w:val="20"/>
          <w:color w:val="auto"/>
        </w:rPr>
      </w:pPr>
    </w:p>
    <w:p>
      <w:pPr>
        <w:ind w:left="2"/>
        <w:spacing w:after="0"/>
        <w:rPr>
          <w:sz w:val="20"/>
          <w:szCs w:val="20"/>
          <w:color w:val="auto"/>
        </w:rPr>
      </w:pPr>
      <w:r>
        <w:rPr>
          <w:rFonts w:ascii="Arial" w:cs="Arial" w:eastAsia="Arial" w:hAnsi="Arial"/>
          <w:sz w:val="17"/>
          <w:szCs w:val="17"/>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4:30 p.m. (EST)</w:t>
      </w:r>
    </w:p>
    <w:p>
      <w:pPr>
        <w:spacing w:after="0" w:line="200" w:lineRule="exact"/>
        <w:rPr>
          <w:sz w:val="20"/>
          <w:szCs w:val="20"/>
          <w:color w:val="auto"/>
        </w:rPr>
      </w:pPr>
    </w:p>
    <w:p>
      <w:pPr>
        <w:sectPr>
          <w:pgSz w:w="11900" w:h="16838" w:orient="portrait"/>
          <w:cols w:equalWidth="0" w:num="2">
            <w:col w:w="482" w:space="400"/>
            <w:col w:w="10360"/>
          </w:cols>
          <w:pgMar w:left="318" w:top="1440" w:right="339" w:bottom="1440" w:gutter="0" w:footer="0" w:header="0"/>
          <w:type w:val="continuous"/>
        </w:sectPr>
      </w:pPr>
    </w:p>
    <w:p>
      <w:pPr>
        <w:spacing w:after="0" w:line="20" w:lineRule="exact"/>
        <w:rPr>
          <w:sz w:val="20"/>
          <w:szCs w:val="20"/>
          <w:color w:val="auto"/>
        </w:rPr>
      </w:pPr>
    </w:p>
    <w:p>
      <w:pPr>
        <w:ind w:left="2"/>
        <w:spacing w:after="0"/>
        <w:tabs>
          <w:tab w:leader="none" w:pos="822" w:val="left"/>
        </w:tabs>
        <w:rPr>
          <w:sz w:val="20"/>
          <w:szCs w:val="20"/>
          <w:color w:val="auto"/>
        </w:rPr>
      </w:pPr>
      <w:r>
        <w:rPr>
          <w:rFonts w:ascii="Arial" w:cs="Arial" w:eastAsia="Arial" w:hAnsi="Arial"/>
          <w:sz w:val="18"/>
          <w:szCs w:val="18"/>
          <w:color w:val="auto"/>
        </w:rPr>
        <w:t>DIAL-IN</w:t>
      </w:r>
      <w:r>
        <w:rPr>
          <w:sz w:val="20"/>
          <w:szCs w:val="20"/>
          <w:color w:val="auto"/>
        </w:rPr>
        <w:tab/>
      </w:r>
      <w:r>
        <w:rPr>
          <w:rFonts w:ascii="Arial" w:cs="Arial" w:eastAsia="Arial" w:hAnsi="Arial"/>
          <w:sz w:val="17"/>
          <w:szCs w:val="17"/>
          <w:color w:val="auto"/>
        </w:rPr>
        <w:t>1-844-200-6205 (U.S. toll free) or 1-833-950-0062 (Canada toll free)</w:t>
      </w:r>
    </w:p>
    <w:p>
      <w:pPr>
        <w:spacing w:after="0" w:line="209" w:lineRule="exact"/>
        <w:rPr>
          <w:sz w:val="20"/>
          <w:szCs w:val="20"/>
          <w:color w:val="auto"/>
        </w:rPr>
      </w:pPr>
    </w:p>
    <w:p>
      <w:pPr>
        <w:ind w:left="2"/>
        <w:spacing w:after="0"/>
        <w:tabs>
          <w:tab w:leader="none" w:pos="902" w:val="left"/>
        </w:tabs>
        <w:rPr>
          <w:sz w:val="20"/>
          <w:szCs w:val="20"/>
          <w:color w:val="auto"/>
        </w:rPr>
      </w:pPr>
      <w:r>
        <w:rPr>
          <w:rFonts w:ascii="Arial" w:cs="Arial" w:eastAsia="Arial" w:hAnsi="Arial"/>
          <w:sz w:val="18"/>
          <w:szCs w:val="18"/>
          <w:color w:val="auto"/>
        </w:rPr>
        <w:t>CODE</w:t>
      </w:r>
      <w:r>
        <w:rPr>
          <w:sz w:val="20"/>
          <w:szCs w:val="20"/>
          <w:color w:val="auto"/>
        </w:rPr>
        <w:tab/>
      </w:r>
      <w:r>
        <w:rPr>
          <w:rFonts w:ascii="Arial" w:cs="Arial" w:eastAsia="Arial" w:hAnsi="Arial"/>
          <w:sz w:val="18"/>
          <w:szCs w:val="18"/>
          <w:color w:val="auto"/>
        </w:rPr>
        <w:t>727873</w:t>
      </w:r>
    </w:p>
    <w:p>
      <w:pPr>
        <w:sectPr>
          <w:pgSz w:w="11900" w:h="16838" w:orient="portrait"/>
          <w:cols w:equalWidth="0" w:num="1">
            <w:col w:w="11242"/>
          </w:cols>
          <w:pgMar w:left="318" w:top="1440" w:right="339" w:bottom="1440" w:gutter="0" w:footer="0" w:header="0"/>
          <w:type w:val="continuous"/>
        </w:sectPr>
      </w:pPr>
    </w:p>
    <w:p>
      <w:pPr>
        <w:spacing w:after="0" w:line="148" w:lineRule="exact"/>
        <w:rPr>
          <w:sz w:val="20"/>
          <w:szCs w:val="20"/>
          <w:color w:val="auto"/>
        </w:rPr>
      </w:pPr>
    </w:p>
    <w:p>
      <w:pPr>
        <w:ind w:left="2"/>
        <w:spacing w:after="0"/>
        <w:tabs>
          <w:tab w:leader="none" w:pos="1062" w:val="left"/>
        </w:tabs>
        <w:rPr>
          <w:sz w:val="20"/>
          <w:szCs w:val="20"/>
          <w:color w:val="auto"/>
        </w:rPr>
      </w:pPr>
      <w:r>
        <w:rPr>
          <w:rFonts w:ascii="Arial" w:cs="Arial" w:eastAsia="Arial" w:hAnsi="Arial"/>
          <w:sz w:val="17"/>
          <w:szCs w:val="17"/>
          <w:color w:val="auto"/>
        </w:rPr>
        <w:t>WEBCAST</w:t>
      </w:r>
      <w:r>
        <w:rPr>
          <w:sz w:val="20"/>
          <w:szCs w:val="20"/>
          <w:color w:val="auto"/>
        </w:rPr>
        <w:tab/>
      </w:r>
      <w:r>
        <w:rPr>
          <w:rFonts w:ascii="Arial" w:cs="Arial" w:eastAsia="Arial" w:hAnsi="Arial"/>
          <w:sz w:val="17"/>
          <w:szCs w:val="17"/>
          <w:u w:val="single" w:color="auto"/>
          <w:color w:val="0000FF"/>
        </w:rPr>
        <w:t>https://events.q4inc.com/attendee/747515026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15532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54" w:lineRule="exact"/>
        <w:rPr>
          <w:sz w:val="20"/>
          <w:szCs w:val="20"/>
          <w:color w:val="auto"/>
        </w:rPr>
      </w:pPr>
    </w:p>
    <w:p>
      <w:pPr>
        <w:ind w:left="82" w:hanging="82"/>
        <w:spacing w:after="0"/>
        <w:tabs>
          <w:tab w:leader="none" w:pos="82" w:val="left"/>
        </w:tabs>
        <w:numPr>
          <w:ilvl w:val="0"/>
          <w:numId w:val="69"/>
        </w:numPr>
        <w:rPr>
          <w:rFonts w:ascii="Arial" w:cs="Arial" w:eastAsia="Arial" w:hAnsi="Arial"/>
          <w:sz w:val="17"/>
          <w:szCs w:val="17"/>
          <w:color w:val="auto"/>
          <w:vertAlign w:val="superscript"/>
        </w:rPr>
      </w:pPr>
      <w:r>
        <w:rPr>
          <w:rFonts w:ascii="Arial" w:cs="Arial" w:eastAsia="Arial" w:hAnsi="Arial"/>
          <w:sz w:val="13"/>
          <w:szCs w:val="13"/>
          <w:color w:val="auto"/>
        </w:rPr>
        <w:t>Based on a calendar year-end.</w:t>
      </w:r>
    </w:p>
    <w:p>
      <w:pPr>
        <w:sectPr>
          <w:pgSz w:w="11900" w:h="16838" w:orient="portrait"/>
          <w:cols w:equalWidth="0" w:num="1">
            <w:col w:w="11242"/>
          </w:cols>
          <w:pgMar w:left="318" w:top="1440" w:right="339" w:bottom="1440" w:gutter="0" w:footer="0" w:header="0"/>
          <w:type w:val="continuous"/>
        </w:sectPr>
      </w:pPr>
    </w:p>
    <w:bookmarkStart w:id="98" w:name="page99"/>
    <w:bookmarkEnd w:id="98"/>
    <w:p>
      <w:pPr>
        <w:spacing w:after="0" w:line="103"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The live and archived webcast will also be available on the Company’s Investor Relations site under the </w:t>
      </w:r>
      <w:r>
        <w:rPr>
          <w:rFonts w:ascii="Arial" w:cs="Arial" w:eastAsia="Arial" w:hAnsi="Arial"/>
          <w:sz w:val="18"/>
          <w:szCs w:val="18"/>
          <w:u w:val="single" w:color="auto"/>
          <w:color w:val="0000FF"/>
        </w:rPr>
        <w:t>Events &amp; Presentations</w:t>
      </w:r>
      <w:r>
        <w:rPr>
          <w:rFonts w:ascii="Arial" w:cs="Arial" w:eastAsia="Arial" w:hAnsi="Arial"/>
          <w:sz w:val="18"/>
          <w:szCs w:val="18"/>
          <w:color w:val="auto"/>
        </w:rPr>
        <w:t xml:space="preserve"> page.</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Business Update</w:t>
      </w:r>
    </w:p>
    <w:p>
      <w:pPr>
        <w:spacing w:after="0" w:line="231" w:lineRule="exact"/>
        <w:rPr>
          <w:sz w:val="20"/>
          <w:szCs w:val="20"/>
          <w:color w:val="auto"/>
        </w:rPr>
      </w:pPr>
    </w:p>
    <w:p>
      <w:pPr>
        <w:jc w:val="both"/>
        <w:ind w:left="2" w:right="20"/>
        <w:spacing w:after="0" w:line="234" w:lineRule="auto"/>
        <w:rPr>
          <w:sz w:val="20"/>
          <w:szCs w:val="20"/>
          <w:color w:val="auto"/>
        </w:rPr>
      </w:pPr>
      <w:r>
        <w:rPr>
          <w:rFonts w:ascii="Arial" w:cs="Arial" w:eastAsia="Arial" w:hAnsi="Arial"/>
          <w:sz w:val="18"/>
          <w:szCs w:val="18"/>
          <w:color w:val="auto"/>
        </w:rPr>
        <w:t>Cybin has decided not to proceed with its nutraceutical product line in order to focus its efforts on the research and development of its psychedelic molecules. Further, the Company no longer anticipates conducting business activities in Jamaica, as the Company focuses on the new Deuterated Psilocybin Analog Program. The Company intends to complete future clinical trials in the U.S. and the U.K.</w:t>
      </w:r>
    </w:p>
    <w:p>
      <w:pPr>
        <w:spacing w:after="0" w:line="19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About Cybin</w:t>
      </w:r>
    </w:p>
    <w:p>
      <w:pPr>
        <w:spacing w:after="0" w:line="60" w:lineRule="exact"/>
        <w:rPr>
          <w:sz w:val="20"/>
          <w:szCs w:val="20"/>
          <w:color w:val="auto"/>
        </w:rPr>
      </w:pPr>
    </w:p>
    <w:p>
      <w:pPr>
        <w:jc w:val="both"/>
        <w:ind w:left="2" w:right="20"/>
        <w:spacing w:after="0" w:line="286"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280" w:lineRule="exact"/>
        <w:rPr>
          <w:sz w:val="20"/>
          <w:szCs w:val="20"/>
          <w:color w:val="auto"/>
        </w:rPr>
      </w:pPr>
    </w:p>
    <w:p>
      <w:pPr>
        <w:jc w:val="both"/>
        <w:ind w:left="2"/>
        <w:spacing w:after="0" w:line="269" w:lineRule="auto"/>
        <w:rPr>
          <w:sz w:val="20"/>
          <w:szCs w:val="20"/>
          <w:color w:val="auto"/>
        </w:rPr>
      </w:pPr>
      <w:r>
        <w:rPr>
          <w:rFonts w:ascii="Arial" w:cs="Arial" w:eastAsia="Arial" w:hAnsi="Arial"/>
          <w:sz w:val="18"/>
          <w:szCs w:val="18"/>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development of innovative drug delivery systems, statements regarding the potential benefits of the Company’s novel deuterated psilocybin analog, CYB003, statements regarding the Company’s completion of preclinical studies of CYB003 in Q1 2022</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and the submission of a new drug application and clinical trial application in Q2 2022</w:t>
      </w:r>
      <w:r>
        <w:rPr>
          <w:rFonts w:ascii="Arial" w:cs="Arial" w:eastAsia="Arial" w:hAnsi="Arial"/>
          <w:sz w:val="23"/>
          <w:szCs w:val="23"/>
          <w:color w:val="auto"/>
          <w:vertAlign w:val="superscript"/>
        </w:rPr>
        <w:t>4</w:t>
      </w:r>
      <w:r>
        <w:rPr>
          <w:rFonts w:ascii="Arial" w:cs="Arial" w:eastAsia="Arial" w:hAnsi="Arial"/>
          <w:sz w:val="18"/>
          <w:szCs w:val="18"/>
          <w:color w:val="auto"/>
        </w:rPr>
        <w:t>, statements regarding the Company’s EMBARK Psychedelic Facilitator Training Program, statements regarding the anticipated results of using Kernel Flow technology in the Company’s research, and statements regarding the expansions of the Company’s internal research and development capabilities under its Schedule I manufacturing license.</w:t>
      </w:r>
    </w:p>
    <w:p>
      <w:pPr>
        <w:spacing w:after="0" w:line="218" w:lineRule="exact"/>
        <w:rPr>
          <w:sz w:val="20"/>
          <w:szCs w:val="20"/>
          <w:color w:val="auto"/>
        </w:rPr>
      </w:pPr>
    </w:p>
    <w:p>
      <w:pPr>
        <w:ind w:left="2" w:right="120"/>
        <w:spacing w:after="0" w:line="280"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15532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155" w:lineRule="exact"/>
        <w:rPr>
          <w:sz w:val="20"/>
          <w:szCs w:val="20"/>
          <w:color w:val="auto"/>
        </w:rPr>
      </w:pPr>
    </w:p>
    <w:p>
      <w:pPr>
        <w:ind w:left="82" w:hanging="82"/>
        <w:spacing w:after="0"/>
        <w:tabs>
          <w:tab w:leader="none" w:pos="82" w:val="left"/>
        </w:tabs>
        <w:numPr>
          <w:ilvl w:val="0"/>
          <w:numId w:val="70"/>
        </w:numPr>
        <w:rPr>
          <w:rFonts w:ascii="Arial" w:cs="Arial" w:eastAsia="Arial" w:hAnsi="Arial"/>
          <w:sz w:val="17"/>
          <w:szCs w:val="17"/>
          <w:color w:val="auto"/>
          <w:vertAlign w:val="superscript"/>
        </w:rPr>
      </w:pPr>
      <w:r>
        <w:rPr>
          <w:rFonts w:ascii="Arial" w:cs="Arial" w:eastAsia="Arial" w:hAnsi="Arial"/>
          <w:sz w:val="13"/>
          <w:szCs w:val="13"/>
          <w:color w:val="auto"/>
        </w:rPr>
        <w:t>Based on a calendar year-end.</w:t>
      </w:r>
    </w:p>
    <w:p>
      <w:pPr>
        <w:ind w:left="2"/>
        <w:spacing w:after="0"/>
        <w:rPr>
          <w:rFonts w:ascii="Arial" w:cs="Arial" w:eastAsia="Arial" w:hAnsi="Arial"/>
          <w:sz w:val="17"/>
          <w:szCs w:val="17"/>
          <w:color w:val="auto"/>
          <w:vertAlign w:val="superscript"/>
        </w:rPr>
      </w:pPr>
      <w:r>
        <w:rPr>
          <w:rFonts w:ascii="Arial" w:cs="Arial" w:eastAsia="Arial" w:hAnsi="Arial"/>
          <w:sz w:val="16"/>
          <w:szCs w:val="16"/>
          <w:color w:val="auto"/>
          <w:vertAlign w:val="superscript"/>
        </w:rPr>
        <w:t>4</w:t>
      </w:r>
      <w:r>
        <w:rPr>
          <w:rFonts w:ascii="Arial" w:cs="Arial" w:eastAsia="Arial" w:hAnsi="Arial"/>
          <w:sz w:val="13"/>
          <w:szCs w:val="13"/>
          <w:color w:val="auto"/>
        </w:rPr>
        <w:t xml:space="preserve"> Based on a calendar year-end.</w:t>
      </w:r>
    </w:p>
    <w:p>
      <w:pPr>
        <w:sectPr>
          <w:pgSz w:w="11900" w:h="16838" w:orient="portrait"/>
          <w:cols w:equalWidth="0" w:num="1">
            <w:col w:w="11262"/>
          </w:cols>
          <w:pgMar w:left="318" w:top="1440" w:right="319" w:bottom="1440" w:gutter="0" w:footer="0" w:header="0"/>
        </w:sectPr>
      </w:pPr>
    </w:p>
    <w:bookmarkStart w:id="99" w:name="page100"/>
    <w:bookmarkEnd w:id="99"/>
    <w:p>
      <w:pPr>
        <w:jc w:val="both"/>
        <w:ind w:right="80"/>
        <w:spacing w:after="0" w:line="270" w:lineRule="auto"/>
        <w:rPr>
          <w:sz w:val="20"/>
          <w:szCs w:val="20"/>
          <w:color w:val="auto"/>
        </w:rPr>
      </w:pPr>
      <w:r>
        <w:rPr>
          <w:rFonts w:ascii="Arial" w:cs="Arial" w:eastAsia="Arial" w:hAnsi="Arial"/>
          <w:sz w:val="18"/>
          <w:szCs w:val="18"/>
          <w:color w:val="auto"/>
        </w:rPr>
        <w:t xml:space="preserve">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six month periods ended September 30, 2021, the Company’s annua l information form for the year ended March 31, 2021, and the Company's listing statement dated November 9, 2020, which are available under the Company's profile on </w:t>
      </w:r>
      <w:r>
        <w:rPr>
          <w:rFonts w:ascii="Arial" w:cs="Arial" w:eastAsia="Arial" w:hAnsi="Arial"/>
          <w:sz w:val="18"/>
          <w:szCs w:val="18"/>
          <w:u w:val="single" w:color="auto"/>
          <w:color w:val="0000FF"/>
        </w:rPr>
        <w:t>www.sedar.com</w:t>
      </w:r>
      <w:r>
        <w:rPr>
          <w:rFonts w:ascii="Arial" w:cs="Arial" w:eastAsia="Arial" w:hAnsi="Arial"/>
          <w:sz w:val="18"/>
          <w:szCs w:val="18"/>
          <w:color w:val="auto"/>
        </w:rPr>
        <w:t xml:space="preserve"> and with the U.S. Securities and Exchange Commission on EDGAR at </w:t>
      </w:r>
      <w:r>
        <w:rPr>
          <w:rFonts w:ascii="Arial" w:cs="Arial" w:eastAsia="Arial" w:hAnsi="Arial"/>
          <w:sz w:val="18"/>
          <w:szCs w:val="18"/>
          <w:u w:val="single" w:color="auto"/>
          <w:color w:val="0000FF"/>
        </w:rPr>
        <w:t>www.sec.gov</w:t>
      </w:r>
      <w:r>
        <w:rPr>
          <w:rFonts w:ascii="Arial" w:cs="Arial" w:eastAsia="Arial" w:hAnsi="Arial"/>
          <w:sz w:val="18"/>
          <w:szCs w:val="18"/>
          <w:color w:val="auto"/>
        </w:rPr>
        <w:t>. Although the forward- 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 looking statements of beliefs, opinions, projections, or other factors, should they change, except as required by law.</w:t>
      </w:r>
    </w:p>
    <w:p>
      <w:pPr>
        <w:spacing w:after="0" w:line="225" w:lineRule="exact"/>
        <w:rPr>
          <w:sz w:val="20"/>
          <w:szCs w:val="20"/>
          <w:color w:val="auto"/>
        </w:rPr>
      </w:pPr>
    </w:p>
    <w:p>
      <w:pPr>
        <w:jc w:val="both"/>
        <w:ind w:right="80"/>
        <w:spacing w:after="0" w:line="270"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or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1" w:lineRule="exact"/>
        <w:rPr>
          <w:sz w:val="20"/>
          <w:szCs w:val="20"/>
          <w:color w:val="auto"/>
        </w:rPr>
      </w:pPr>
    </w:p>
    <w:p>
      <w:pPr>
        <w:spacing w:after="0" w:line="315" w:lineRule="auto"/>
        <w:rPr>
          <w:sz w:val="20"/>
          <w:szCs w:val="20"/>
          <w:color w:val="auto"/>
        </w:rPr>
      </w:pPr>
      <w:r>
        <w:rPr>
          <w:rFonts w:ascii="Arial" w:cs="Arial" w:eastAsia="Arial" w:hAnsi="Arial"/>
          <w:sz w:val="18"/>
          <w:szCs w:val="18"/>
          <w:i w:val="1"/>
          <w:iCs w:val="1"/>
          <w:color w:val="auto"/>
        </w:rPr>
        <w:t>Neither the Neo Exchange Inc.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323"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Investor &amp; Media Contact: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Investor Relations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leah@cybin.com</w:t>
      </w:r>
    </w:p>
    <w:sectPr>
      <w:pgSz w:w="11900" w:h="16838" w:orient="portrait"/>
      <w:cols w:equalWidth="0" w:num="1">
        <w:col w:w="10139"/>
      </w:cols>
      <w:pgMar w:left="320" w:top="13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1"/>
    </w:lvl>
  </w:abstractNum>
  <w:abstractNum w:abstractNumId="1">
    <w:nsid w:val="5072367"/>
    <w:multiLevelType w:val="hybridMultilevel"/>
    <w:lvl w:ilvl="0">
      <w:lvlJc w:val="left"/>
      <w:lvlText w:val="%1."/>
      <w:numFmt w:val="decimal"/>
      <w:start w:val="2"/>
    </w:lvl>
  </w:abstractNum>
  <w:abstractNum w:abstractNumId="2">
    <w:nsid w:val="3804823E"/>
    <w:multiLevelType w:val="hybridMultilevel"/>
    <w:lvl w:ilvl="0">
      <w:lvlJc w:val="left"/>
      <w:lvlText w:val="1"/>
      <w:numFmt w:val="bullet"/>
      <w:start w:val="1"/>
    </w:lvl>
  </w:abstractNum>
  <w:abstractNum w:abstractNumId="3">
    <w:nsid w:val="77465F01"/>
    <w:multiLevelType w:val="hybridMultilevel"/>
    <w:lvl w:ilvl="0">
      <w:lvlJc w:val="left"/>
      <w:lvlText w:val="%1."/>
      <w:numFmt w:val="decimal"/>
      <w:start w:val="4"/>
    </w:lvl>
  </w:abstractNum>
  <w:abstractNum w:abstractNumId="4">
    <w:nsid w:val="7724C67E"/>
    <w:multiLevelType w:val="hybridMultilevel"/>
    <w:lvl w:ilvl="0">
      <w:lvlJc w:val="left"/>
      <w:lvlText w:val="%1."/>
      <w:numFmt w:val="decimal"/>
      <w:start w:val="7"/>
    </w:lvl>
  </w:abstractNum>
  <w:abstractNum w:abstractNumId="5">
    <w:nsid w:val="5C482A97"/>
    <w:multiLevelType w:val="hybridMultilevel"/>
    <w:lvl w:ilvl="0">
      <w:lvlJc w:val="left"/>
      <w:lvlText w:val="%1."/>
      <w:numFmt w:val="decimal"/>
      <w:start w:val="8"/>
    </w:lvl>
    <w:lvl w:ilvl="1">
      <w:lvlJc w:val="left"/>
      <w:lvlText w:val="%2)"/>
      <w:numFmt w:val="lowerLetter"/>
      <w:start w:val="1"/>
    </w:lvl>
  </w:abstractNum>
  <w:abstractNum w:abstractNumId="6">
    <w:nsid w:val="2463B9EA"/>
    <w:multiLevelType w:val="hybridMultilevel"/>
    <w:lvl w:ilvl="0">
      <w:lvlJc w:val="left"/>
      <w:lvlText w:val="%1)"/>
      <w:numFmt w:val="lowerLetter"/>
      <w:start w:val="2"/>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1)"/>
      <w:numFmt w:val="lowerLetter"/>
      <w:start w:val="4"/>
    </w:lvl>
  </w:abstractNum>
  <w:abstractNum w:abstractNumId="9">
    <w:nsid w:val="2D517796"/>
    <w:multiLevelType w:val="hybridMultilevel"/>
    <w:lvl w:ilvl="0">
      <w:lvlJc w:val="left"/>
      <w:lvlText w:val="%1."/>
      <w:numFmt w:val="decimal"/>
      <w:start w:val="9"/>
    </w:lvl>
  </w:abstractNum>
  <w:abstractNum w:abstractNumId="10">
    <w:nsid w:val="580BD78F"/>
    <w:multiLevelType w:val="hybridMultilevel"/>
    <w:lvl w:ilvl="0">
      <w:lvlJc w:val="left"/>
      <w:lvlText w:val="%1."/>
      <w:numFmt w:val="decimal"/>
      <w:start w:val="10"/>
    </w:lvl>
  </w:abstractNum>
  <w:abstractNum w:abstractNumId="11">
    <w:nsid w:val="153EA438"/>
    <w:multiLevelType w:val="hybridMultilevel"/>
    <w:lvl w:ilvl="0">
      <w:lvlJc w:val="left"/>
      <w:lvlText w:val="%1."/>
      <w:numFmt w:val="decimal"/>
      <w:start w:val="11"/>
    </w:lvl>
  </w:abstractNum>
  <w:abstractNum w:abstractNumId="12">
    <w:nsid w:val="3855585C"/>
    <w:multiLevelType w:val="hybridMultilevel"/>
    <w:lvl w:ilvl="0">
      <w:lvlJc w:val="left"/>
      <w:lvlText w:val="%1."/>
      <w:numFmt w:val="decimal"/>
      <w:start w:val="12"/>
    </w:lvl>
  </w:abstractNum>
  <w:abstractNum w:abstractNumId="13">
    <w:nsid w:val="70A64E2A"/>
    <w:multiLevelType w:val="hybridMultilevel"/>
    <w:lvl w:ilvl="0">
      <w:lvlJc w:val="left"/>
      <w:lvlText w:val="%1."/>
      <w:numFmt w:val="decimal"/>
      <w:start w:val="13"/>
    </w:lvl>
  </w:abstractNum>
  <w:abstractNum w:abstractNumId="14">
    <w:nsid w:val="6A2342EC"/>
    <w:multiLevelType w:val="hybridMultilevel"/>
    <w:lvl w:ilvl="0">
      <w:lvlJc w:val="left"/>
      <w:lvlText w:val="%1."/>
      <w:numFmt w:val="decimal"/>
      <w:start w:val="14"/>
    </w:lvl>
  </w:abstractNum>
  <w:abstractNum w:abstractNumId="15">
    <w:nsid w:val="2A487CB0"/>
    <w:multiLevelType w:val="hybridMultilevel"/>
    <w:lvl w:ilvl="0">
      <w:lvlJc w:val="left"/>
      <w:lvlText w:val="%1."/>
      <w:numFmt w:val="decimal"/>
      <w:start w:val="15"/>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1"/>
      <w:numFmt w:val="bullet"/>
      <w:start w:val="1"/>
    </w:lvl>
  </w:abstractNum>
  <w:abstractNum w:abstractNumId="24">
    <w:nsid w:val="38437FDB"/>
    <w:multiLevelType w:val="hybridMultilevel"/>
    <w:lvl w:ilvl="0">
      <w:lvlJc w:val="left"/>
      <w:lvlText w:val="3"/>
      <w:numFmt w:val="bullet"/>
      <w:start w:val="1"/>
    </w:lvl>
  </w:abstractNum>
  <w:abstractNum w:abstractNumId="25">
    <w:nsid w:val="7644A45C"/>
    <w:multiLevelType w:val="hybridMultilevel"/>
    <w:lvl w:ilvl="0">
      <w:lvlJc w:val="left"/>
      <w:lvlText w:val="%1."/>
      <w:numFmt w:val="lowerLetter"/>
      <w:start w:val="1"/>
    </w:lvl>
  </w:abstractNum>
  <w:abstractNum w:abstractNumId="26">
    <w:nsid w:val="32FFF902"/>
    <w:multiLevelType w:val="hybridMultilevel"/>
    <w:lvl w:ilvl="0">
      <w:lvlJc w:val="left"/>
      <w:lvlText w:val="6"/>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8"/>
      <w:numFmt w:val="bullet"/>
      <w:start w:val="1"/>
    </w:lvl>
  </w:abstractNum>
  <w:abstractNum w:abstractNumId="29">
    <w:nsid w:val="749ABB43"/>
    <w:multiLevelType w:val="hybridMultilevel"/>
    <w:lvl w:ilvl="0">
      <w:lvlJc w:val="left"/>
      <w:lvlText w:val="%1"/>
      <w:numFmt w:val="decimal"/>
      <w:start w:val="10"/>
    </w:lvl>
  </w:abstractNum>
  <w:abstractNum w:abstractNumId="30">
    <w:nsid w:val="3DC240FB"/>
    <w:multiLevelType w:val="hybridMultilevel"/>
    <w:lvl w:ilvl="0">
      <w:lvlJc w:val="left"/>
      <w:lvlText w:val="%1"/>
      <w:numFmt w:val="decimal"/>
      <w:start w:val="13"/>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6"/>
    </w:lvl>
  </w:abstractNum>
  <w:abstractNum w:abstractNumId="36">
    <w:nsid w:val="520EEDD1"/>
    <w:multiLevelType w:val="hybridMultilevel"/>
    <w:lvl w:ilvl="0">
      <w:lvlJc w:val="left"/>
      <w:lvlText w:val="(%1)"/>
      <w:numFmt w:val="decimal"/>
      <w:start w:val="10"/>
    </w:lvl>
  </w:abstractNum>
  <w:abstractNum w:abstractNumId="37">
    <w:nsid w:val="374A3FE6"/>
    <w:multiLevelType w:val="hybridMultilevel"/>
    <w:lvl w:ilvl="0">
      <w:lvlJc w:val="left"/>
      <w:lvlText w:val="(%1)"/>
      <w:numFmt w:val="decimal"/>
      <w:start w:val="16"/>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decimal"/>
      <w:start w:val="14"/>
    </w:lvl>
  </w:abstractNum>
  <w:abstractNum w:abstractNumId="41">
    <w:nsid w:val="275AC794"/>
    <w:multiLevelType w:val="hybridMultilevel"/>
    <w:lvl w:ilvl="0">
      <w:lvlJc w:val="left"/>
      <w:lvlText w:val="%1"/>
      <w:numFmt w:val="decimal"/>
      <w:start w:val="17"/>
    </w:lvl>
  </w:abstractNum>
  <w:abstractNum w:abstractNumId="42">
    <w:nsid w:val="39386575"/>
    <w:multiLevelType w:val="hybridMultilevel"/>
    <w:lvl w:ilvl="0">
      <w:lvlJc w:val="left"/>
      <w:lvlText w:val="%1)"/>
      <w:numFmt w:val="decimal"/>
      <w:start w:val="811"/>
    </w:lvl>
  </w:abstractNum>
  <w:abstractNum w:abstractNumId="43">
    <w:nsid w:val="1CF10FD8"/>
    <w:multiLevelType w:val="hybridMultilevel"/>
    <w:lvl w:ilvl="0">
      <w:lvlJc w:val="left"/>
      <w:lvlText w:val="%1"/>
      <w:numFmt w:val="decimal"/>
      <w:start w:val="18"/>
    </w:lvl>
  </w:abstractNum>
  <w:abstractNum w:abstractNumId="44">
    <w:nsid w:val="180115BE"/>
    <w:multiLevelType w:val="hybridMultilevel"/>
    <w:lvl w:ilvl="0">
      <w:lvlJc w:val="left"/>
      <w:lvlText w:val="%1"/>
      <w:numFmt w:val="decimal"/>
      <w:start w:val="19"/>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1"/>
      <w:numFmt w:val="decimal"/>
      <w:start w:val="20"/>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1"/>
      <w:numFmt w:val="decimal"/>
      <w:start w:val="22"/>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1)"/>
      <w:numFmt w:val="lowerRoman"/>
      <w:start w:val="8"/>
    </w:lvl>
  </w:abstractNum>
  <w:abstractNum w:abstractNumId="59">
    <w:nsid w:val="2F305DEF"/>
    <w:multiLevelType w:val="hybridMultilevel"/>
    <w:lvl w:ilvl="0">
      <w:lvlJc w:val="left"/>
      <w:lvlText w:val="(%1)"/>
      <w:numFmt w:val="lowerRoman"/>
      <w:start w:val="14"/>
    </w:lvl>
  </w:abstractNum>
  <w:abstractNum w:abstractNumId="60">
    <w:nsid w:val="25A70BF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1">
    <w:nsid w:val="1DBABF00"/>
    <w:multiLevelType w:val="hybridMultilevel"/>
    <w:lvl w:ilvl="0">
      <w:lvlJc w:val="left"/>
      <w:lvlText w:val="%1."/>
      <w:numFmt w:val="decimal"/>
      <w:start w:val="6"/>
    </w:lvl>
  </w:abstractNum>
  <w:abstractNum w:abstractNumId="62">
    <w:nsid w:val="4AD084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3">
    <w:nsid w:val="1F48EAA1"/>
    <w:multiLevelType w:val="hybridMultilevel"/>
    <w:lvl w:ilvl="0">
      <w:lvlJc w:val="left"/>
      <w:lvlText w:val="%1."/>
      <w:numFmt w:val="decimal"/>
      <w:start w:val="6"/>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1"/>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2"/>
      <w:numFmt w:val="bullet"/>
      <w:start w:val="1"/>
    </w:lvl>
  </w:abstractNum>
  <w:abstractNum w:abstractNumId="69">
    <w:nsid w:val="5F5E7FD0"/>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2021-11-15T07:33:37Z</dcterms:created>
  <dcterms:modified xsi:type="dcterms:W3CDTF">2021-11-15T07:33:37Z</dcterms:modified>
</cp:coreProperties>
</file>