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August,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lineRule="auto" w:line="276" w:before="100" w:after="10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76" w:before="100" w:after="100"/>
        <w:ind w:left="0" w:right="0" w:firstLine="720"/>
        <w:jc w:val="both"/>
        <w:rPr/>
      </w:pPr>
      <w:r>
        <w:rPr>
          <w:rFonts w:ascii="Times New Roman;serif" w:hAnsi="Times New Roman;serif"/>
          <w:b w:val="false"/>
          <w:color w:val="000000"/>
          <w:sz w:val="20"/>
        </w:rPr>
        <w:t>Exhibits 99.1 - 99.2 and 99.5 of this Form 6-K of Cybin Inc. (the "Company") are hereby incorporated by reference into the Registration Statement on Form F-10 (</w:t>
      </w:r>
      <w:hyperlink r:id="rId2">
        <w:r>
          <w:rPr>
            <w:rStyle w:val="InternetLink"/>
            <w:rFonts w:ascii="Times New Roman;serif" w:hAnsi="Times New Roman;serif"/>
            <w:b w:val="false"/>
            <w:color w:val="0000FF"/>
            <w:sz w:val="20"/>
            <w:u w:val="single"/>
          </w:rPr>
          <w:t>File No. 333-292294</w:t>
        </w:r>
      </w:hyperlink>
      <w:r>
        <w:rPr>
          <w:rFonts w:ascii="Times New Roman;serif" w:hAnsi="Times New Roman;serif"/>
          <w:b w:val="false"/>
          <w:color w:val="000000"/>
          <w:sz w:val="20"/>
        </w:rPr>
        <w:t>) of the Company, as amended or supplemented.</w:t>
      </w:r>
    </w:p>
    <w:p>
      <w:pPr>
        <w:pStyle w:val="TextBody"/>
        <w:bidi w:val="0"/>
        <w:spacing w:before="0" w:after="20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97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10"/>
        <w:gridCol w:w="210"/>
        <w:gridCol w:w="210"/>
        <w:gridCol w:w="855"/>
        <w:gridCol w:w="551"/>
        <w:gridCol w:w="558"/>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7486" w:type="dxa"/>
        <w:jc w:val="left"/>
        <w:tblInd w:w="0" w:type="dxa"/>
        <w:tblLayout w:type="fixed"/>
        <w:tblCellMar>
          <w:top w:w="28" w:type="dxa"/>
          <w:left w:w="28" w:type="dxa"/>
          <w:bottom w:w="28" w:type="dxa"/>
          <w:right w:w="28" w:type="dxa"/>
        </w:tblCellMar>
      </w:tblPr>
      <w:tblGrid>
        <w:gridCol w:w="174"/>
        <w:gridCol w:w="153"/>
        <w:gridCol w:w="154"/>
        <w:gridCol w:w="2052"/>
        <w:gridCol w:w="2052"/>
        <w:gridCol w:w="290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0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ybin-financialstatementsx.htm">
              <w:r>
                <w:rPr>
                  <w:rStyle w:val="InternetLink"/>
                  <w:rFonts w:ascii="Times New Roman;serif" w:hAnsi="Times New Roman;serif"/>
                  <w:b w:val="false"/>
                  <w:color w:val="0000FF"/>
                  <w:sz w:val="20"/>
                  <w:u w:val="single"/>
                </w:rPr>
                <w:t>Interim Consolidated Financial Statements for the three months ended June 30,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70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cybin-mdaxq1x27.htm">
              <w:r>
                <w:rPr>
                  <w:rStyle w:val="InternetLink"/>
                  <w:rFonts w:ascii="Times New Roman;serif" w:hAnsi="Times New Roman;serif"/>
                  <w:b w:val="false"/>
                  <w:color w:val="0000FF"/>
                  <w:sz w:val="20"/>
                  <w:u w:val="single"/>
                </w:rPr>
                <w:t>Management’s Discussion and Analysis for the three months ended June 30,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70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2027-cybinceocertificate.htm">
              <w:r>
                <w:rPr>
                  <w:rStyle w:val="InternetLink"/>
                  <w:rFonts w:ascii="Times New Roman;serif" w:hAnsi="Times New Roman;serif"/>
                  <w:b w:val="false"/>
                  <w:color w:val="0000FF"/>
                  <w:sz w:val="20"/>
                  <w:u w:val="single"/>
                </w:rPr>
                <w:t>Certification of Interim Filings by CEO dated August 14,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99.4</w:t>
            </w:r>
          </w:p>
        </w:tc>
        <w:tc>
          <w:tcPr>
            <w:tcW w:w="70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2027-cybincfocertificate.htm">
              <w:r>
                <w:rPr>
                  <w:rStyle w:val="InternetLink"/>
                  <w:rFonts w:ascii="Times New Roman;serif" w:hAnsi="Times New Roman;serif"/>
                  <w:b w:val="false"/>
                  <w:color w:val="0000FF"/>
                  <w:sz w:val="20"/>
                  <w:u w:val="single"/>
                </w:rPr>
                <w:t>Certification of Interim Filings by CFO dated August 14,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99.5</w:t>
            </w:r>
          </w:p>
        </w:tc>
        <w:tc>
          <w:tcPr>
            <w:tcW w:w="70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2027financialresultspres.htm">
              <w:r>
                <w:rPr>
                  <w:rStyle w:val="InternetLink"/>
                  <w:rFonts w:ascii="Times New Roman;serif" w:hAnsi="Times New Roman;serif"/>
                  <w:b w:val="false"/>
                  <w:color w:val="0000FF"/>
                  <w:sz w:val="20"/>
                  <w:u w:val="single"/>
                </w:rPr>
                <w:t>News Release dated August 14, 2026</w:t>
              </w:r>
            </w:hyperlink>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center"/>
        <w:rPr/>
      </w:pPr>
      <w:r>
        <w:rPr/>
      </w:r>
    </w:p>
    <w:p>
      <w:pPr>
        <w:pStyle w:val="TextBody"/>
        <w:bidi w:val="0"/>
        <w:spacing w:before="0" w:after="0"/>
        <w:jc w:val="center"/>
        <w:rPr/>
      </w:pPr>
      <w:r>
        <w:rPr/>
      </w:r>
    </w:p>
    <w:p>
      <w:pPr>
        <w:pStyle w:val="TextBody"/>
        <w:bidi w:val="0"/>
        <w:spacing w:before="0" w:after="2"/>
        <w:jc w:val="center"/>
        <w:rPr/>
      </w:pPr>
      <w:r>
        <w:rPr/>
        <w:drawing>
          <wp:inline distT="0" distB="0" distL="0" distR="0">
            <wp:extent cx="3657600" cy="2371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3657600" cy="23717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33" w:before="200" w:after="283"/>
        <w:jc w:val="center"/>
        <w:rPr>
          <w:rFonts w:ascii="sans-serif" w:hAnsi="sans-serif"/>
          <w:b/>
          <w:color w:val="000000"/>
          <w:sz w:val="48"/>
        </w:rPr>
      </w:pPr>
      <w:r>
        <w:rPr>
          <w:rFonts w:ascii="sans-serif" w:hAnsi="sans-serif"/>
          <w:b/>
          <w:color w:val="000000"/>
          <w:sz w:val="48"/>
        </w:rPr>
        <w:t xml:space="preserve">CYBIN INC. DOING BUSINESS AS </w:t>
      </w:r>
    </w:p>
    <w:p>
      <w:pPr>
        <w:pStyle w:val="TextBody"/>
        <w:bidi w:val="0"/>
        <w:spacing w:lineRule="auto" w:line="240" w:before="0" w:after="0"/>
        <w:jc w:val="center"/>
        <w:rPr>
          <w:rFonts w:ascii="sans-serif" w:hAnsi="sans-serif"/>
          <w:b/>
          <w:color w:val="000000"/>
          <w:sz w:val="48"/>
        </w:rPr>
      </w:pPr>
      <w:r>
        <w:rPr>
          <w:rFonts w:ascii="sans-serif" w:hAnsi="sans-serif"/>
          <w:b/>
          <w:color w:val="000000"/>
          <w:sz w:val="48"/>
        </w:rPr>
        <w:t>HELUS PHARMA</w:t>
      </w:r>
    </w:p>
    <w:p>
      <w:pPr>
        <w:pStyle w:val="TextBody"/>
        <w:bidi w:val="0"/>
        <w:spacing w:before="0" w:after="0"/>
        <w:jc w:val="center"/>
        <w:rPr/>
      </w:pPr>
      <w:r>
        <w:rPr/>
      </w:r>
    </w:p>
    <w:p>
      <w:pPr>
        <w:pStyle w:val="TextBody"/>
        <w:bidi w:val="0"/>
        <w:spacing w:lineRule="auto" w:line="333" w:before="200" w:after="283"/>
        <w:jc w:val="center"/>
        <w:rPr>
          <w:rFonts w:ascii="sans-serif" w:hAnsi="sans-serif"/>
          <w:b/>
          <w:color w:val="000000"/>
          <w:sz w:val="28"/>
        </w:rPr>
      </w:pPr>
      <w:r>
        <w:rPr>
          <w:rFonts w:ascii="sans-serif" w:hAnsi="sans-serif"/>
          <w:b/>
          <w:color w:val="000000"/>
          <w:sz w:val="28"/>
        </w:rPr>
        <w:t xml:space="preserve">CONDENSED INTERIM CONSOLIDATED FINANCIAL STATEMENTS </w:t>
      </w:r>
    </w:p>
    <w:p>
      <w:pPr>
        <w:pStyle w:val="TextBody"/>
        <w:bidi w:val="0"/>
        <w:spacing w:before="0" w:after="0"/>
        <w:jc w:val="center"/>
        <w:rPr/>
      </w:pPr>
      <w:r>
        <w:rPr/>
      </w:r>
    </w:p>
    <w:p>
      <w:pPr>
        <w:pStyle w:val="TextBody"/>
        <w:bidi w:val="0"/>
        <w:spacing w:lineRule="auto" w:line="333" w:before="200" w:after="283"/>
        <w:jc w:val="center"/>
        <w:rPr>
          <w:rFonts w:ascii="sans-serif" w:hAnsi="sans-serif"/>
          <w:b/>
          <w:color w:val="000000"/>
          <w:sz w:val="28"/>
        </w:rPr>
      </w:pPr>
      <w:r>
        <w:rPr>
          <w:rFonts w:ascii="sans-serif" w:hAnsi="sans-serif"/>
          <w:b/>
          <w:color w:val="000000"/>
          <w:sz w:val="28"/>
        </w:rPr>
        <w:t xml:space="preserve">JUNE 30, 2026 </w:t>
      </w:r>
    </w:p>
    <w:p>
      <w:pPr>
        <w:pStyle w:val="TextBody"/>
        <w:bidi w:val="0"/>
        <w:spacing w:lineRule="auto" w:line="333" w:before="200" w:after="283"/>
        <w:jc w:val="center"/>
        <w:rPr>
          <w:rFonts w:ascii="sans-serif" w:hAnsi="sans-serif"/>
          <w:b/>
          <w:color w:val="000000"/>
          <w:sz w:val="28"/>
        </w:rPr>
      </w:pPr>
      <w:r>
        <w:rPr>
          <w:rFonts w:ascii="sans-serif" w:hAnsi="sans-serif"/>
          <w:b/>
          <w:color w:val="000000"/>
          <w:sz w:val="28"/>
        </w:rPr>
        <w:t>(UNAUDITED)</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sans-serif" w:hAnsi="sans-serif"/>
          <w:b/>
          <w:color w:val="000000"/>
          <w:sz w:val="22"/>
        </w:rPr>
      </w:pPr>
      <w:r>
        <w:rPr>
          <w:rFonts w:ascii="sans-serif" w:hAnsi="sans-serif"/>
          <w:b/>
          <w:color w:val="000000"/>
          <w:sz w:val="22"/>
        </w:rPr>
        <w:t>TO OUR SHAREHOLDERS</w:t>
      </w:r>
    </w:p>
    <w:p>
      <w:pPr>
        <w:pStyle w:val="TextBody"/>
        <w:bidi w:val="0"/>
        <w:spacing w:lineRule="auto" w:line="333" w:before="200" w:after="283"/>
        <w:jc w:val="both"/>
        <w:rPr/>
      </w:pPr>
      <w:r>
        <w:rPr>
          <w:rFonts w:ascii="sans-serif" w:hAnsi="sans-serif"/>
          <w:b w:val="false"/>
          <w:color w:val="000000"/>
          <w:sz w:val="24"/>
        </w:rPr>
        <w:t>The accompanying unaudited condensed interim consolidated financial statements of Cybin Inc. doing business as Helus Pharma ("</w:t>
      </w:r>
      <w:r>
        <w:rPr>
          <w:rFonts w:ascii="sans-serif" w:hAnsi="sans-serif"/>
          <w:b/>
          <w:color w:val="000000"/>
          <w:sz w:val="24"/>
        </w:rPr>
        <w:t>Helus Pharma</w:t>
      </w:r>
      <w:r>
        <w:rPr>
          <w:rFonts w:ascii="sans-serif" w:hAnsi="sans-serif"/>
          <w:b w:val="false"/>
          <w:color w:val="000000"/>
          <w:sz w:val="24"/>
        </w:rPr>
        <w:t>") have been prepared by and are the responsibility of Helus Pharma's management in accordance with International Accounting Standards (“</w:t>
      </w:r>
      <w:r>
        <w:rPr>
          <w:rFonts w:ascii="sans-serif" w:hAnsi="sans-serif"/>
          <w:b/>
          <w:color w:val="000000"/>
          <w:sz w:val="24"/>
        </w:rPr>
        <w:t>IAS</w:t>
      </w:r>
      <w:r>
        <w:rPr>
          <w:color w:val="000000"/>
        </w:rPr>
        <w:t>”</w:t>
      </w:r>
      <w:r>
        <w:rPr>
          <w:rFonts w:ascii="sans-serif" w:hAnsi="sans-serif"/>
          <w:b w:val="false"/>
          <w:color w:val="000000"/>
          <w:sz w:val="24"/>
        </w:rPr>
        <w:t>) 34, Interim Financial Reporting as issued by the International Accounting Standards Board ("</w:t>
      </w:r>
      <w:r>
        <w:rPr>
          <w:rFonts w:ascii="sans-serif" w:hAnsi="sans-serif"/>
          <w:b/>
          <w:color w:val="000000"/>
          <w:sz w:val="24"/>
        </w:rPr>
        <w:t>IASB"</w:t>
      </w:r>
      <w:r>
        <w:rPr>
          <w:rFonts w:ascii="sans-serif" w:hAnsi="sans-serif"/>
          <w:b w:val="false"/>
          <w:color w:val="000000"/>
          <w:sz w:val="24"/>
        </w:rPr>
        <w:t>). These unaudited condensed interim consolidated financial statements do not include all the information and notes required by IFRS Accounting Standards ("</w:t>
      </w:r>
      <w:r>
        <w:rPr>
          <w:rFonts w:ascii="sans-serif" w:hAnsi="sans-serif"/>
          <w:b/>
          <w:color w:val="000000"/>
          <w:sz w:val="24"/>
        </w:rPr>
        <w:t>IFRS"</w:t>
      </w:r>
      <w:r>
        <w:rPr>
          <w:rFonts w:ascii="sans-serif" w:hAnsi="sans-serif"/>
          <w:b w:val="false"/>
          <w:color w:val="000000"/>
          <w:sz w:val="24"/>
        </w:rPr>
        <w:t xml:space="preserve">) for annual financial statements and should be read in conjunction with Helus Pharma’s annual financial statements and notes for the year ended March 31, 2026, which are available on SEDAR+ at </w:t>
      </w:r>
      <w:r>
        <w:rPr>
          <w:rFonts w:ascii="sans-serif" w:hAnsi="sans-serif"/>
          <w:b w:val="false"/>
          <w:color w:val="0000E1"/>
          <w:sz w:val="24"/>
          <w:u w:val="single"/>
        </w:rPr>
        <w:t>www.sedarplus.com</w:t>
      </w:r>
      <w:r>
        <w:rPr>
          <w:rFonts w:ascii="sans-serif" w:hAnsi="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CYBIN INC. DOING BUSINESS AS HELUS PHARMA</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 xml:space="preserve">CONDENSED INTERIM CONSOLIDATED STATEMENTS OF FINANCIAL POSITION </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(All amounts expressed in thousands of United States dollars)</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(Unaudited)</w:t>
            </w:r>
          </w:p>
        </w:tc>
      </w:tr>
    </w:tbl>
    <w:tbl>
      <w:tblPr>
        <w:tblW w:w="10205" w:type="dxa"/>
        <w:jc w:val="left"/>
        <w:tblInd w:w="0" w:type="dxa"/>
        <w:tblLayout w:type="fixed"/>
        <w:tblCellMar>
          <w:top w:w="28" w:type="dxa"/>
          <w:left w:w="28" w:type="dxa"/>
          <w:bottom w:w="28" w:type="dxa"/>
          <w:right w:w="28" w:type="dxa"/>
        </w:tblCellMar>
      </w:tblPr>
      <w:tblGrid>
        <w:gridCol w:w="1965"/>
        <w:gridCol w:w="1724"/>
        <w:gridCol w:w="1772"/>
        <w:gridCol w:w="225"/>
        <w:gridCol w:w="225"/>
        <w:gridCol w:w="226"/>
        <w:gridCol w:w="539"/>
        <w:gridCol w:w="538"/>
        <w:gridCol w:w="539"/>
        <w:gridCol w:w="525"/>
        <w:gridCol w:w="526"/>
        <w:gridCol w:w="1401"/>
      </w:tblGrid>
      <w:tr>
        <w:trPr/>
        <w:tc>
          <w:tcPr>
            <w:tcW w:w="1965"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sans-serif" w:hAnsi="sans-serif"/>
                <w:b/>
                <w:color w:val="000000"/>
                <w:sz w:val="20"/>
              </w:rPr>
            </w:pPr>
            <w:r>
              <w:rPr>
                <w:rFonts w:ascii="sans-serif" w:hAnsi="sans-serif"/>
                <w:b/>
                <w:color w:val="000000"/>
                <w:sz w:val="20"/>
              </w:rPr>
              <w:t>As at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June 30, 2026</w:t>
            </w:r>
          </w:p>
        </w:tc>
        <w:tc>
          <w:tcPr>
            <w:tcW w:w="2452"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March 31, 2026</w:t>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Notes</w:t>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5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color w:val="000000"/>
                <w:sz w:val="20"/>
              </w:rPr>
            </w:pPr>
            <w:r>
              <w:rPr>
                <w:rFonts w:ascii="sans-serif" w:hAnsi="sans-serif"/>
                <w:b/>
                <w:color w:val="000000"/>
                <w:sz w:val="20"/>
              </w:rPr>
              <w:t>Current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Cash</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166,365 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157,258 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Accounts receivable</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5,038 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5,028 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Prepaid expenses</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21,292 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22,236 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color w:val="000000"/>
              </w:rPr>
            </w:pPr>
            <w:r>
              <w:rPr>
                <w:color w:val="000000"/>
              </w:rPr>
              <w:t> </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Current Assets</w:t>
            </w:r>
          </w:p>
        </w:tc>
        <w:tc>
          <w:tcPr>
            <w:tcW w:w="6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192,695</w:t>
            </w:r>
            <w:r>
              <w:rPr>
                <w:color w:val="000000"/>
              </w:rPr>
              <w:t> </w:t>
            </w:r>
          </w:p>
        </w:tc>
        <w:tc>
          <w:tcPr>
            <w:tcW w:w="5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184,522</w:t>
            </w:r>
            <w:r>
              <w:rPr>
                <w:color w:val="000000"/>
              </w:rPr>
              <w:t> </w:t>
            </w:r>
          </w:p>
        </w:tc>
        <w:tc>
          <w:tcPr>
            <w:tcW w:w="14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color w:val="000000"/>
                <w:sz w:val="20"/>
              </w:rPr>
            </w:pPr>
            <w:r>
              <w:rPr>
                <w:rFonts w:ascii="sans-serif" w:hAnsi="sans-serif"/>
                <w:b/>
                <w:color w:val="000000"/>
                <w:sz w:val="20"/>
              </w:rPr>
              <w:t>Non-current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 xml:space="preserve">Equipment </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3</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195 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 xml:space="preserve">Intangible assets </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4</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30,543 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30,224 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Goodwill</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5</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36,237 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36,225 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60"/>
              <w:jc w:val="left"/>
              <w:rPr>
                <w:color w:val="000000"/>
              </w:rPr>
            </w:pPr>
            <w:r>
              <w:rPr>
                <w:color w:val="000000"/>
              </w:rPr>
              <w:t> </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Non-Current Assets</w:t>
            </w:r>
          </w:p>
        </w:tc>
        <w:tc>
          <w:tcPr>
            <w:tcW w:w="6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66,960</w:t>
            </w:r>
            <w:r>
              <w:rPr>
                <w:color w:val="000000"/>
              </w:rPr>
              <w:t> </w:t>
            </w:r>
          </w:p>
        </w:tc>
        <w:tc>
          <w:tcPr>
            <w:tcW w:w="5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66,644</w:t>
            </w:r>
            <w:r>
              <w:rPr>
                <w:color w:val="000000"/>
              </w:rPr>
              <w:t> </w:t>
            </w:r>
          </w:p>
        </w:tc>
        <w:tc>
          <w:tcPr>
            <w:tcW w:w="140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ASSETS</w:t>
            </w:r>
          </w:p>
        </w:tc>
        <w:tc>
          <w:tcPr>
            <w:tcW w:w="676"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259,655</w:t>
            </w:r>
            <w:r>
              <w:rPr>
                <w:color w:val="000000"/>
              </w:rPr>
              <w:t> </w:t>
            </w:r>
          </w:p>
        </w:tc>
        <w:tc>
          <w:tcPr>
            <w:tcW w:w="53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9D9D9" w:val="clear"/>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251,166</w:t>
            </w:r>
            <w:r>
              <w:rPr>
                <w:color w:val="000000"/>
              </w:rPr>
              <w:t> </w:t>
            </w:r>
          </w:p>
        </w:tc>
        <w:tc>
          <w:tcPr>
            <w:tcW w:w="140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color w:val="000000"/>
                <w:sz w:val="20"/>
              </w:rPr>
            </w:pPr>
            <w:r>
              <w:rPr>
                <w:rFonts w:ascii="sans-serif" w:hAnsi="sans-serif"/>
                <w:b/>
                <w:color w:val="000000"/>
                <w:sz w:val="20"/>
              </w:rPr>
              <w:t>Current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0" w:after="0"/>
              <w:ind w:left="0" w:right="0" w:firstLine="540"/>
              <w:jc w:val="left"/>
              <w:rPr>
                <w:rFonts w:ascii="sans-serif" w:hAnsi="sans-serif"/>
                <w:b w:val="false"/>
                <w:color w:val="000000"/>
                <w:sz w:val="20"/>
              </w:rPr>
            </w:pPr>
            <w:r>
              <w:rPr>
                <w:rFonts w:ascii="sans-serif" w:hAnsi="sans-serif"/>
                <w:b w:val="false"/>
                <w:color w:val="000000"/>
                <w:sz w:val="20"/>
              </w:rPr>
              <w:t>Accounts payable and accrued liabilities</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17,568 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19,377 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Liabilities</w:t>
            </w:r>
          </w:p>
        </w:tc>
        <w:tc>
          <w:tcPr>
            <w:tcW w:w="6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17,568</w:t>
            </w:r>
            <w:r>
              <w:rPr>
                <w:color w:val="000000"/>
              </w:rPr>
              <w:t> </w:t>
            </w:r>
          </w:p>
        </w:tc>
        <w:tc>
          <w:tcPr>
            <w:tcW w:w="53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19,377</w:t>
            </w:r>
            <w:r>
              <w:rPr>
                <w:color w:val="000000"/>
              </w:rPr>
              <w:t> </w:t>
            </w:r>
          </w:p>
        </w:tc>
        <w:tc>
          <w:tcPr>
            <w:tcW w:w="140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SHAREHOLDERS' EQUITY</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 xml:space="preserve">Share capital </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6</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538,867 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492,102 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Contributed surplus</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6</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50,684 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34,972 </w:t>
            </w:r>
          </w:p>
        </w:tc>
        <w:tc>
          <w:tcPr>
            <w:tcW w:w="1401" w:type="dxa"/>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Pre-funded warrants</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6</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16,167 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16,399 </w:t>
            </w:r>
          </w:p>
        </w:tc>
        <w:tc>
          <w:tcPr>
            <w:tcW w:w="1401" w:type="dxa"/>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Restricted and performance share unit reserve</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6</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18,686 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7,453 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 xml:space="preserve">Options reserve </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6</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16,192 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31,563 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 xml:space="preserve">Warrants reserve </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6</w:t>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38,205 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38,205 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Accumulated other comprehensive income</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640 </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630 </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540"/>
              <w:jc w:val="left"/>
              <w:rPr>
                <w:rFonts w:ascii="sans-serif" w:hAnsi="sans-serif"/>
                <w:b w:val="false"/>
                <w:color w:val="000000"/>
                <w:sz w:val="20"/>
              </w:rPr>
            </w:pPr>
            <w:r>
              <w:rPr>
                <w:rFonts w:ascii="sans-serif" w:hAnsi="sans-serif"/>
                <w:b w:val="false"/>
                <w:color w:val="000000"/>
                <w:sz w:val="20"/>
              </w:rPr>
              <w:t>Deficit</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(437,354)</w:t>
            </w:r>
          </w:p>
        </w:tc>
        <w:tc>
          <w:tcPr>
            <w:tcW w:w="5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(389,535)</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color w:val="000000"/>
              </w:rPr>
            </w:pPr>
            <w:r>
              <w:rPr>
                <w:color w:val="000000"/>
              </w:rPr>
              <w:t> </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SHAREHOLDERS' EQUITY</w:t>
            </w:r>
          </w:p>
        </w:tc>
        <w:tc>
          <w:tcPr>
            <w:tcW w:w="676"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242,087</w:t>
            </w:r>
            <w:r>
              <w:rPr>
                <w:color w:val="000000"/>
              </w:rPr>
              <w:t> </w:t>
            </w:r>
          </w:p>
        </w:tc>
        <w:tc>
          <w:tcPr>
            <w:tcW w:w="539"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231,789</w:t>
            </w:r>
            <w:r>
              <w:rPr>
                <w:color w:val="000000"/>
              </w:rPr>
              <w:t> </w:t>
            </w:r>
          </w:p>
        </w:tc>
        <w:tc>
          <w:tcPr>
            <w:tcW w:w="140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LIABILITIES AND SHAREHOLDERS' EQUITY</w:t>
            </w:r>
          </w:p>
        </w:tc>
        <w:tc>
          <w:tcPr>
            <w:tcW w:w="676" w:type="dxa"/>
            <w:gridSpan w:val="3"/>
            <w:tcBorders>
              <w:bottom w:val="single" w:sz="8" w:space="0" w:color="000000"/>
            </w:tcBorders>
            <w:shd w:fill="D9D9D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259,655</w:t>
            </w:r>
            <w:r>
              <w:rPr>
                <w:color w:val="000000"/>
              </w:rPr>
              <w:t> </w:t>
            </w:r>
          </w:p>
        </w:tc>
        <w:tc>
          <w:tcPr>
            <w:tcW w:w="539" w:type="dxa"/>
            <w:tcBorders>
              <w:bottom w:val="single" w:sz="8"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251,166</w:t>
            </w:r>
            <w:r>
              <w:rPr>
                <w:color w:val="000000"/>
              </w:rPr>
              <w:t> </w:t>
            </w:r>
          </w:p>
        </w:tc>
        <w:tc>
          <w:tcPr>
            <w:tcW w:w="1401" w:type="dxa"/>
            <w:tcBorders>
              <w:bottom w:val="single" w:sz="8"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rFonts w:ascii="sans-serif" w:hAnsi="sans-serif"/>
          <w:b w:val="false"/>
          <w:i/>
          <w:color w:val="000000"/>
          <w:sz w:val="18"/>
        </w:rPr>
      </w:pPr>
      <w:r>
        <w:rPr>
          <w:rFonts w:ascii="sans-serif" w:hAnsi="sans-serif"/>
          <w:b w:val="false"/>
          <w:i/>
          <w:color w:val="000000"/>
          <w:sz w:val="18"/>
        </w:rPr>
        <w:t>Corporate information (note 1); Material accounting policy information and basis of preparation (note 2); Contracts, commitments and contingencies (note 10); Subsequent events (note 13)</w:t>
      </w:r>
    </w:p>
    <w:p>
      <w:pPr>
        <w:pStyle w:val="TextBody"/>
        <w:bidi w:val="0"/>
        <w:spacing w:lineRule="auto" w:line="333" w:before="200" w:after="283"/>
        <w:ind w:left="0" w:right="0" w:hanging="360"/>
        <w:jc w:val="both"/>
        <w:rPr>
          <w:rFonts w:ascii="sans-serif" w:hAnsi="sans-serif"/>
          <w:b w:val="false"/>
          <w:i/>
          <w:color w:val="000000"/>
          <w:sz w:val="20"/>
        </w:rPr>
      </w:pPr>
      <w:r>
        <w:rPr>
          <w:rFonts w:ascii="sans-serif" w:hAnsi="sans-serif"/>
          <w:b w:val="false"/>
          <w:i/>
          <w:color w:val="000000"/>
          <w:sz w:val="20"/>
        </w:rPr>
        <w:t>The accompanying notes are an integral part of these condensed interim consolidated financial statements.</w:t>
      </w:r>
    </w:p>
    <w:p>
      <w:pPr>
        <w:pStyle w:val="TextBody"/>
        <w:bidi w:val="0"/>
        <w:spacing w:lineRule="auto" w:line="333" w:before="140" w:after="283"/>
        <w:jc w:val="both"/>
        <w:rPr>
          <w:rFonts w:ascii="sans-serif" w:hAnsi="sans-serif"/>
          <w:b w:val="false"/>
          <w:color w:val="000000"/>
          <w:sz w:val="20"/>
        </w:rPr>
      </w:pPr>
      <w:r>
        <w:rPr>
          <w:rFonts w:ascii="sans-serif" w:hAnsi="sans-serif"/>
          <w:b w:val="false"/>
          <w:color w:val="000000"/>
          <w:sz w:val="20"/>
        </w:rPr>
        <w:t>These condensed interim consolidated financial statements were approved for issue on August 13, 2026 by the board of directors and signed on its behalf by:</w:t>
      </w:r>
    </w:p>
    <w:p>
      <w:pPr>
        <w:pStyle w:val="TextBody"/>
        <w:bidi w:val="0"/>
        <w:spacing w:lineRule="auto" w:line="333" w:before="140" w:after="283"/>
        <w:jc w:val="left"/>
        <w:rPr/>
      </w:pPr>
      <w:r>
        <w:rPr>
          <w:rFonts w:ascii="sans-serif" w:hAnsi="sans-serif"/>
          <w:b w:val="false"/>
          <w:i/>
          <w:color w:val="000000"/>
          <w:sz w:val="20"/>
        </w:rPr>
        <w:t>/s/ Paul Glavine</w:t>
      </w:r>
      <w:r>
        <w:rPr>
          <w:color w:val="000000"/>
        </w:rPr>
        <w:t xml:space="preserve"> </w:t>
      </w:r>
      <w:r>
        <w:rPr>
          <w:rFonts w:ascii="sans-serif" w:hAnsi="sans-serif"/>
          <w:b w:val="false"/>
          <w:color w:val="000000"/>
          <w:sz w:val="20"/>
        </w:rPr>
        <w:t xml:space="preserve">Director                                 </w:t>
      </w:r>
      <w:r>
        <w:rPr>
          <w:rFonts w:ascii="sans-serif" w:hAnsi="sans-serif"/>
          <w:b w:val="false"/>
          <w:i/>
          <w:color w:val="000000"/>
          <w:sz w:val="20"/>
        </w:rPr>
        <w:t>/s/ Eric So</w:t>
      </w:r>
      <w:r>
        <w:rPr>
          <w:color w:val="000000"/>
        </w:rPr>
        <w:t xml:space="preserve"> </w:t>
      </w:r>
      <w:r>
        <w:rPr>
          <w:rFonts w:ascii="sans-serif" w:hAnsi="sans-serif"/>
          <w:b w:val="false"/>
          <w:color w:val="000000"/>
          <w:sz w:val="20"/>
        </w:rPr>
        <w:t>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3"/>
              </w:rPr>
            </w:pPr>
            <w:r>
              <w:rPr>
                <w:rFonts w:ascii="sans-serif" w:hAnsi="sans-serif"/>
                <w:b/>
                <w:color w:val="000000"/>
                <w:sz w:val="23"/>
              </w:rPr>
              <w:t>CYBIN INC. DOING BUSINESS AS HELUS PHARMA</w:t>
            </w:r>
          </w:p>
          <w:p>
            <w:pPr>
              <w:pStyle w:val="TableContents"/>
              <w:bidi w:val="0"/>
              <w:spacing w:lineRule="auto" w:line="288" w:before="0" w:after="0"/>
              <w:jc w:val="left"/>
              <w:rPr>
                <w:rFonts w:ascii="sans-serif" w:hAnsi="sans-serif"/>
                <w:b/>
                <w:color w:val="000000"/>
                <w:sz w:val="23"/>
              </w:rPr>
            </w:pPr>
            <w:r>
              <w:rPr>
                <w:rFonts w:ascii="sans-serif" w:hAnsi="sans-serif"/>
                <w:b/>
                <w:color w:val="000000"/>
                <w:sz w:val="23"/>
              </w:rPr>
              <w:t xml:space="preserve">CONDENSED INTERIM CONSOLIDATED STATEMENTS OF LOSS AND COMPREHENSIVE LOSS </w:t>
            </w:r>
          </w:p>
          <w:p>
            <w:pPr>
              <w:pStyle w:val="TableContents"/>
              <w:bidi w:val="0"/>
              <w:spacing w:lineRule="auto" w:line="288" w:before="0" w:after="0"/>
              <w:jc w:val="left"/>
              <w:rPr>
                <w:rFonts w:ascii="sans-serif" w:hAnsi="sans-serif"/>
                <w:b/>
                <w:color w:val="000000"/>
                <w:sz w:val="22"/>
              </w:rPr>
            </w:pPr>
            <w:r>
              <w:rPr>
                <w:rFonts w:ascii="sans-serif" w:hAnsi="sans-serif"/>
                <w:b/>
                <w:color w:val="000000"/>
                <w:sz w:val="22"/>
              </w:rPr>
              <w:t xml:space="preserve">(All amounts expressed in thousands of United States dollars, except share and per share amounts) </w:t>
            </w:r>
          </w:p>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(Unaudited)</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51"/>
        <w:gridCol w:w="1769"/>
        <w:gridCol w:w="1785"/>
        <w:gridCol w:w="225"/>
        <w:gridCol w:w="225"/>
        <w:gridCol w:w="226"/>
        <w:gridCol w:w="109"/>
        <w:gridCol w:w="109"/>
        <w:gridCol w:w="109"/>
        <w:gridCol w:w="748"/>
        <w:gridCol w:w="648"/>
        <w:gridCol w:w="349"/>
        <w:gridCol w:w="751"/>
        <w:gridCol w:w="501"/>
        <w:gridCol w:w="500"/>
      </w:tblGrid>
      <w:tr>
        <w:trPr/>
        <w:tc>
          <w:tcPr>
            <w:tcW w:w="215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 the three months ended</w:t>
              <w:br/>
              <w:t>June 30,</w:t>
            </w:r>
          </w:p>
        </w:tc>
      </w:tr>
      <w:tr>
        <w:trPr/>
        <w:tc>
          <w:tcPr>
            <w:tcW w:w="5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2026</w:t>
            </w:r>
          </w:p>
        </w:tc>
        <w:tc>
          <w:tcPr>
            <w:tcW w:w="1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2025</w:t>
            </w:r>
          </w:p>
        </w:tc>
      </w:tr>
      <w:tr>
        <w:trPr/>
        <w:tc>
          <w:tcPr>
            <w:tcW w:w="5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0"/>
              </w:rPr>
            </w:pPr>
            <w:r>
              <w:rPr>
                <w:rFonts w:ascii="sans-serif" w:hAnsi="sans-serif"/>
                <w:b w:val="false"/>
                <w:i/>
                <w:color w:val="000000"/>
                <w:sz w:val="20"/>
              </w:rPr>
              <w:t>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5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EXPENSES</w:t>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val="false"/>
                <w:color w:val="000000"/>
                <w:sz w:val="20"/>
              </w:rPr>
            </w:pPr>
            <w:r>
              <w:rPr>
                <w:rFonts w:ascii="sans-serif" w:hAnsi="sans-serif"/>
                <w:b w:val="false"/>
                <w:color w:val="000000"/>
                <w:sz w:val="20"/>
              </w:rPr>
              <w:t>Research</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30,761</w:t>
            </w:r>
            <w:r>
              <w:rPr>
                <w:color w:val="000000"/>
              </w:rPr>
              <w:t>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14,995</w:t>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val="false"/>
                <w:color w:val="000000"/>
                <w:sz w:val="20"/>
              </w:rPr>
            </w:pPr>
            <w:r>
              <w:rPr>
                <w:rFonts w:ascii="sans-serif" w:hAnsi="sans-serif"/>
                <w:b w:val="false"/>
                <w:color w:val="000000"/>
                <w:sz w:val="20"/>
              </w:rPr>
              <w:t xml:space="preserve">General and administrative costs </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6,747</w:t>
            </w:r>
            <w:r>
              <w:rPr>
                <w:color w:val="000000"/>
              </w:rPr>
              <w:t>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8,876</w:t>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val="false"/>
                <w:color w:val="000000"/>
                <w:sz w:val="20"/>
              </w:rPr>
            </w:pPr>
            <w:r>
              <w:rPr>
                <w:rFonts w:ascii="sans-serif" w:hAnsi="sans-serif"/>
                <w:b w:val="false"/>
                <w:color w:val="000000"/>
                <w:sz w:val="20"/>
              </w:rPr>
              <w:t xml:space="preserve">Share-based compensation </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11,574</w:t>
            </w:r>
            <w:r>
              <w:rPr>
                <w:color w:val="000000"/>
              </w:rPr>
              <w:t>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w:t>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 EXPENSES</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49,082</w:t>
            </w:r>
            <w:r>
              <w:rPr>
                <w:color w:val="000000"/>
              </w:rPr>
              <w:t> </w:t>
            </w:r>
          </w:p>
        </w:tc>
        <w:tc>
          <w:tcPr>
            <w:tcW w:w="3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24,624 </w:t>
            </w:r>
          </w:p>
        </w:tc>
        <w:tc>
          <w:tcPr>
            <w:tcW w:w="5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OTHER INCOME (EXPENSES)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val="false"/>
                <w:color w:val="000000"/>
                <w:sz w:val="20"/>
              </w:rPr>
            </w:pPr>
            <w:r>
              <w:rPr>
                <w:rFonts w:ascii="sans-serif" w:hAnsi="sans-serif"/>
                <w:b w:val="false"/>
                <w:color w:val="000000"/>
                <w:sz w:val="20"/>
              </w:rPr>
              <w:t>Interest income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1,282</w:t>
            </w:r>
            <w:r>
              <w:rPr>
                <w:color w:val="000000"/>
              </w:rPr>
              <w:t>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955</w:t>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sans-serif" w:hAnsi="sans-serif"/>
                <w:b w:val="false"/>
                <w:color w:val="000000"/>
                <w:sz w:val="20"/>
              </w:rPr>
            </w:pPr>
            <w:r>
              <w:rPr>
                <w:rFonts w:ascii="sans-serif" w:hAnsi="sans-serif"/>
                <w:b w:val="false"/>
                <w:color w:val="000000"/>
                <w:sz w:val="20"/>
              </w:rPr>
              <w:t>Foreign currency translation gain (loss)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(19)</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1,944</w:t>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Other income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20"/>
              </w:rPr>
              <w:t>Debt issuance cost</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(2,917)</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TOTAL OTHER INCOME </w:t>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1,263</w:t>
            </w:r>
            <w:r>
              <w:rPr>
                <w:color w:val="000000"/>
              </w:rPr>
              <w:t> </w:t>
            </w:r>
          </w:p>
        </w:tc>
        <w:tc>
          <w:tcPr>
            <w:tcW w:w="3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5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LOSS FOR THE PERIOD</w:t>
            </w:r>
          </w:p>
        </w:tc>
        <w:tc>
          <w:tcPr>
            <w:tcW w:w="6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(47,819)</w:t>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(24,613)</w:t>
            </w:r>
          </w:p>
        </w:tc>
        <w:tc>
          <w:tcPr>
            <w:tcW w:w="50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xml:space="preserve">OTHER COMPREHENSIVE INCOME </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sans-serif" w:hAnsi="sans-serif"/>
                <w:b w:val="false"/>
                <w:color w:val="000000"/>
                <w:sz w:val="20"/>
              </w:rPr>
            </w:pPr>
            <w:r>
              <w:rPr>
                <w:rFonts w:ascii="sans-serif" w:hAnsi="sans-serif"/>
                <w:b w:val="false"/>
                <w:color w:val="000000"/>
                <w:sz w:val="20"/>
              </w:rPr>
              <w:t>Unrealized gain on translation of foreign operations</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w:t>
            </w:r>
            <w:r>
              <w:rPr>
                <w:color w:val="000000"/>
              </w:rPr>
              <w:t>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490</w:t>
            </w:r>
          </w:p>
        </w:tc>
      </w:tr>
      <w:tr>
        <w:trPr/>
        <w:tc>
          <w:tcPr>
            <w:tcW w:w="5705"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COMPREHENSIVE LOSS FOR THE PERIOD</w:t>
            </w:r>
          </w:p>
        </w:tc>
        <w:tc>
          <w:tcPr>
            <w:tcW w:w="676"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(47,809)</w:t>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(24,123)</w:t>
            </w:r>
          </w:p>
        </w:tc>
        <w:tc>
          <w:tcPr>
            <w:tcW w:w="50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Basic and diluted loss per share for the period</w:t>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(0.91)</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Weighted average number of common shares outstanding - basic and diluted</w:t>
            </w:r>
          </w:p>
        </w:tc>
        <w:tc>
          <w:tcPr>
            <w:tcW w:w="67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52,318,151</w:t>
            </w:r>
            <w:r>
              <w:rPr>
                <w:color w:val="000000"/>
              </w:rPr>
              <w:t> </w:t>
            </w:r>
          </w:p>
        </w:tc>
        <w:tc>
          <w:tcPr>
            <w:tcW w:w="3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22,401,197 </w:t>
            </w:r>
          </w:p>
        </w:tc>
        <w:tc>
          <w:tcPr>
            <w:tcW w:w="5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ind w:left="0" w:right="0" w:hanging="360"/>
        <w:jc w:val="both"/>
        <w:rPr>
          <w:rFonts w:ascii="sans-serif" w:hAnsi="sans-serif"/>
          <w:b w:val="false"/>
          <w:i/>
          <w:color w:val="000000"/>
          <w:sz w:val="20"/>
        </w:rPr>
      </w:pPr>
      <w:r>
        <w:rPr>
          <w:rFonts w:ascii="sans-serif" w:hAnsi="sans-serif"/>
          <w:b w:val="false"/>
          <w:i/>
          <w:color w:val="000000"/>
          <w:sz w:val="20"/>
        </w:rPr>
        <w:t>The accompanying notes are an integral part of these condensed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1"/>
        <w:gridCol w:w="4069"/>
      </w:tblGrid>
      <w:tr>
        <w:trPr/>
        <w:tc>
          <w:tcPr>
            <w:tcW w:w="3265"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CYBIN INC. DOING BUSINESS AS HELUS PHARMA</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CONDENSED INTERIM CONSOLIDATED STATEMENTS OF CHANGES IN SHAREHOLDERS’ EQUITY</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For the three-month periods ended June 30, 2026 and 2025</w:t>
            </w:r>
          </w:p>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(All amounts expressed in thousands of United States dollars, except share and per share amounts)</w:t>
            </w:r>
          </w:p>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(Unaudited)</w:t>
            </w:r>
          </w:p>
        </w:tc>
      </w:tr>
    </w:tbl>
    <w:tbl>
      <w:tblPr>
        <w:tblW w:w="14681" w:type="dxa"/>
        <w:jc w:val="left"/>
        <w:tblInd w:w="0" w:type="dxa"/>
        <w:tblLayout w:type="fixed"/>
        <w:tblCellMar>
          <w:top w:w="28" w:type="dxa"/>
          <w:left w:w="28" w:type="dxa"/>
          <w:bottom w:w="28" w:type="dxa"/>
          <w:right w:w="28" w:type="dxa"/>
        </w:tblCellMar>
      </w:tblPr>
      <w:tblGrid>
        <w:gridCol w:w="690"/>
        <w:gridCol w:w="225"/>
        <w:gridCol w:w="226"/>
        <w:gridCol w:w="155"/>
        <w:gridCol w:w="155"/>
        <w:gridCol w:w="156"/>
        <w:gridCol w:w="109"/>
        <w:gridCol w:w="109"/>
        <w:gridCol w:w="109"/>
        <w:gridCol w:w="488"/>
        <w:gridCol w:w="488"/>
        <w:gridCol w:w="231"/>
        <w:gridCol w:w="375"/>
        <w:gridCol w:w="376"/>
        <w:gridCol w:w="226"/>
        <w:gridCol w:w="109"/>
        <w:gridCol w:w="109"/>
        <w:gridCol w:w="109"/>
        <w:gridCol w:w="443"/>
        <w:gridCol w:w="443"/>
        <w:gridCol w:w="251"/>
        <w:gridCol w:w="330"/>
        <w:gridCol w:w="331"/>
        <w:gridCol w:w="228"/>
        <w:gridCol w:w="109"/>
        <w:gridCol w:w="109"/>
        <w:gridCol w:w="109"/>
        <w:gridCol w:w="330"/>
        <w:gridCol w:w="331"/>
        <w:gridCol w:w="261"/>
        <w:gridCol w:w="330"/>
        <w:gridCol w:w="331"/>
        <w:gridCol w:w="226"/>
        <w:gridCol w:w="379"/>
        <w:gridCol w:w="282"/>
        <w:gridCol w:w="161"/>
        <w:gridCol w:w="336"/>
        <w:gridCol w:w="325"/>
        <w:gridCol w:w="326"/>
        <w:gridCol w:w="109"/>
        <w:gridCol w:w="109"/>
        <w:gridCol w:w="109"/>
        <w:gridCol w:w="375"/>
        <w:gridCol w:w="376"/>
        <w:gridCol w:w="196"/>
        <w:gridCol w:w="109"/>
        <w:gridCol w:w="109"/>
        <w:gridCol w:w="109"/>
        <w:gridCol w:w="420"/>
        <w:gridCol w:w="420"/>
        <w:gridCol w:w="421"/>
        <w:gridCol w:w="115"/>
        <w:gridCol w:w="115"/>
        <w:gridCol w:w="116"/>
        <w:gridCol w:w="374"/>
        <w:gridCol w:w="377"/>
        <w:gridCol w:w="306"/>
      </w:tblGrid>
      <w:tr>
        <w:trPr/>
        <w:tc>
          <w:tcPr>
            <w:tcW w:w="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Share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Pre-funded</w:t>
              <w:b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Number of</w:t>
              <w:br/>
              <w:t> shares</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 xml:space="preserve">Number of </w:t>
              <w:br/>
              <w:t>warrants</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Warrants</w:t>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Options</w:t>
            </w:r>
          </w:p>
        </w:tc>
        <w:tc>
          <w:tcPr>
            <w:tcW w:w="8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sans-serif" w:hAnsi="sans-serif"/>
                <w:b/>
                <w:color w:val="000000"/>
                <w:sz w:val="14"/>
              </w:rPr>
            </w:pPr>
            <w:r>
              <w:rPr>
                <w:rFonts w:ascii="sans-serif" w:hAnsi="sans-serif"/>
                <w:b/>
                <w:color w:val="000000"/>
                <w:sz w:val="14"/>
              </w:rPr>
              <w:t>RSU and PSUs</w:t>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 xml:space="preserve">Contributed </w:t>
              <w:br/>
              <w:t>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Accumulated</w:t>
              <w:br/>
              <w:t> other</w:t>
              <w:br/>
              <w:t> comprehensive</w:t>
              <w:br/>
              <w:t> Income (loss)</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Total</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c>
          <w:tcPr>
            <w:tcW w:w="8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c>
          <w:tcPr>
            <w:tcW w:w="8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4"/>
              </w:rPr>
            </w:pPr>
            <w:r>
              <w:rPr>
                <w:rFonts w:ascii="sans-serif" w:hAnsi="sans-serif"/>
                <w:b/>
                <w:color w:val="000000"/>
                <w:sz w:val="14"/>
              </w:rPr>
              <w:t>$</w:t>
            </w:r>
          </w:p>
        </w:tc>
      </w:tr>
      <w:tr>
        <w:trPr/>
        <w:tc>
          <w:tcPr>
            <w:tcW w:w="11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Balance as at March 31, 2025</w:t>
            </w:r>
          </w:p>
        </w:tc>
        <w:tc>
          <w:tcPr>
            <w:tcW w:w="466" w:type="dxa"/>
            <w:gridSpan w:val="3"/>
            <w:tcBorders>
              <w:top w:val="single" w:sz="8"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21,610,704</w:t>
            </w:r>
            <w:r>
              <w:rPr>
                <w:color w:val="000000"/>
              </w:rPr>
              <w:t> </w:t>
            </w:r>
          </w:p>
        </w:tc>
        <w:tc>
          <w:tcPr>
            <w:tcW w:w="23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344,949</w:t>
            </w:r>
            <w:r>
              <w:rPr>
                <w:color w:val="000000"/>
              </w:rPr>
              <w:t> </w:t>
            </w:r>
          </w:p>
        </w:tc>
        <w:tc>
          <w:tcPr>
            <w:tcW w:w="226"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20,493</w:t>
            </w:r>
            <w:r>
              <w:rPr>
                <w:color w:val="000000"/>
              </w:rPr>
              <w:t> </w:t>
            </w:r>
          </w:p>
        </w:tc>
        <w:tc>
          <w:tcPr>
            <w:tcW w:w="26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36,262</w:t>
            </w:r>
            <w:r>
              <w:rPr>
                <w:color w:val="000000"/>
              </w:rPr>
              <w:t> </w:t>
            </w:r>
          </w:p>
        </w:tc>
        <w:tc>
          <w:tcPr>
            <w:tcW w:w="226"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6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32,626</w:t>
            </w:r>
            <w:r>
              <w:rPr>
                <w:color w:val="000000"/>
              </w:rPr>
              <w:t> </w:t>
            </w:r>
          </w:p>
        </w:tc>
        <w:tc>
          <w:tcPr>
            <w:tcW w:w="326"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(255,393)</w:t>
            </w:r>
          </w:p>
        </w:tc>
        <w:tc>
          <w:tcPr>
            <w:tcW w:w="196"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(13,940)</w:t>
            </w:r>
          </w:p>
        </w:tc>
        <w:tc>
          <w:tcPr>
            <w:tcW w:w="42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4"/>
              </w:rPr>
            </w:pPr>
            <w:r>
              <w:rPr>
                <w:rFonts w:ascii="sans-serif" w:hAnsi="sans-serif"/>
                <w:b/>
                <w:color w:val="000000"/>
                <w:sz w:val="14"/>
              </w:rPr>
              <w:t>164,997</w:t>
            </w:r>
          </w:p>
        </w:tc>
      </w:tr>
      <w:tr>
        <w:trPr/>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Foreign exchange impact of change in functional currency</w:t>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4"/>
              </w:rPr>
            </w:pPr>
            <w:r>
              <w:rPr>
                <w:rFonts w:ascii="sans-serif" w:hAnsi="sans-serif"/>
                <w:b w:val="false"/>
                <w:color w:val="000000"/>
                <w:sz w:val="14"/>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(21,936)</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(1,299)</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(3,272)</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(1,731)</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13,856 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14,382 </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At-the-market offering - net of share issuance costs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4"/>
              </w:rPr>
            </w:pP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1,422,423 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10,133 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10,133</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4"/>
              </w:rPr>
              <w:t>Options forfeited/expired</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4"/>
              </w:rPr>
            </w:pP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(129)</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129 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4"/>
              </w:rPr>
              <w:t>Share-based compensation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4"/>
              </w:rPr>
            </w:pP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753 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753</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4"/>
              </w:rPr>
              <w:t>Unrealized gain on translation of</w:t>
              <w:br/>
              <w:t> foreign operations</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4"/>
              </w:rPr>
            </w:pP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490 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490</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4"/>
              </w:rPr>
              <w:t>Net loss for the period</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(24,613)</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(24,613)</w:t>
            </w:r>
          </w:p>
        </w:tc>
      </w:tr>
      <w:tr>
        <w:trPr/>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Balance as at June 30, 2025 </w:t>
            </w:r>
          </w:p>
        </w:tc>
        <w:tc>
          <w:tcPr>
            <w:tcW w:w="4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23,033,127</w:t>
            </w:r>
          </w:p>
        </w:tc>
        <w:tc>
          <w:tcPr>
            <w:tcW w:w="97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333,146</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8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19,194</w:t>
            </w:r>
          </w:p>
        </w:tc>
        <w:tc>
          <w:tcPr>
            <w:tcW w:w="8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33,614</w:t>
            </w:r>
          </w:p>
        </w:tc>
        <w:tc>
          <w:tcPr>
            <w:tcW w:w="82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31,024</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(266,150)</w:t>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932</w:t>
            </w:r>
          </w:p>
        </w:tc>
        <w:tc>
          <w:tcPr>
            <w:tcW w:w="346"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151,760</w:t>
            </w:r>
          </w:p>
        </w:tc>
      </w:tr>
      <w:tr>
        <w:trPr/>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4"/>
              </w:rPr>
            </w:pPr>
            <w:r>
              <w:rPr>
                <w:rFonts w:ascii="sans-serif" w:hAnsi="sans-serif"/>
                <w:b/>
                <w:color w:val="000000"/>
                <w:sz w:val="14"/>
              </w:rPr>
              <w:t xml:space="preserve">Balance as at March 31, 2026 </w:t>
            </w:r>
          </w:p>
        </w:tc>
        <w:tc>
          <w:tcPr>
            <w:tcW w:w="4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51,631,804</w:t>
            </w:r>
            <w:r>
              <w:rPr>
                <w:color w:val="000000"/>
              </w:rPr>
              <w:t> </w:t>
            </w:r>
          </w:p>
        </w:tc>
        <w:tc>
          <w:tcPr>
            <w:tcW w:w="23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492,102</w:t>
            </w:r>
            <w:r>
              <w:rPr>
                <w:color w:val="000000"/>
              </w:rPr>
              <w:t> </w:t>
            </w:r>
          </w:p>
        </w:tc>
        <w:tc>
          <w:tcPr>
            <w:tcW w:w="226"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3,040,250</w:t>
            </w:r>
            <w:r>
              <w:rPr>
                <w:color w:val="000000"/>
              </w:rPr>
              <w:t> </w:t>
            </w:r>
          </w:p>
        </w:tc>
        <w:tc>
          <w:tcPr>
            <w:tcW w:w="25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16,399</w:t>
            </w:r>
            <w:r>
              <w:rPr>
                <w:color w:val="000000"/>
              </w:rPr>
              <w:t> </w:t>
            </w:r>
          </w:p>
        </w:tc>
        <w:tc>
          <w:tcPr>
            <w:tcW w:w="228"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38,205</w:t>
            </w:r>
            <w:r>
              <w:rPr>
                <w:color w:val="000000"/>
              </w:rPr>
              <w:t> </w:t>
            </w:r>
          </w:p>
        </w:tc>
        <w:tc>
          <w:tcPr>
            <w:tcW w:w="26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31,563</w:t>
            </w:r>
            <w:r>
              <w:rPr>
                <w:color w:val="000000"/>
              </w:rPr>
              <w:t> </w:t>
            </w:r>
          </w:p>
        </w:tc>
        <w:tc>
          <w:tcPr>
            <w:tcW w:w="226"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7,453</w:t>
            </w:r>
            <w:r>
              <w:rPr>
                <w:color w:val="000000"/>
              </w:rPr>
              <w:t> </w:t>
            </w:r>
          </w:p>
        </w:tc>
        <w:tc>
          <w:tcPr>
            <w:tcW w:w="16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34,972</w:t>
            </w:r>
            <w:r>
              <w:rPr>
                <w:color w:val="000000"/>
              </w:rPr>
              <w:t> </w:t>
            </w:r>
          </w:p>
        </w:tc>
        <w:tc>
          <w:tcPr>
            <w:tcW w:w="326"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(389,535)</w:t>
            </w:r>
          </w:p>
        </w:tc>
        <w:tc>
          <w:tcPr>
            <w:tcW w:w="196"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630</w:t>
            </w:r>
            <w:r>
              <w:rPr>
                <w:color w:val="000000"/>
              </w:rPr>
              <w:t> </w:t>
            </w:r>
          </w:p>
        </w:tc>
        <w:tc>
          <w:tcPr>
            <w:tcW w:w="421" w:type="dxa"/>
            <w:tcBorders>
              <w:top w:val="single" w:sz="8" w:space="0" w:color="000000"/>
            </w:tcBorders>
            <w:shd w:fill="D9D9D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14"/>
              </w:rPr>
            </w:pPr>
            <w:r>
              <w:rPr>
                <w:rFonts w:ascii="sans-serif" w:hAnsi="sans-serif"/>
                <w:b/>
                <w:color w:val="000000"/>
                <w:sz w:val="14"/>
              </w:rPr>
              <w:t>231,789</w:t>
            </w:r>
          </w:p>
        </w:tc>
      </w:tr>
      <w:tr>
        <w:trPr/>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Share issuance net of share issuance costs</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4"/>
              </w:rPr>
            </w:pP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10,309,280 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46,533 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46,533</w:t>
            </w:r>
            <w:r>
              <w:rPr>
                <w:color w:val="000000"/>
              </w:rPr>
              <w:t>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4"/>
              </w:rPr>
            </w:pPr>
            <w:r>
              <w:rPr>
                <w:rFonts w:ascii="sans-serif" w:hAnsi="sans-serif"/>
                <w:b w:val="false"/>
                <w:color w:val="000000"/>
                <w:sz w:val="14"/>
              </w:rPr>
              <w:t>Pre-funded warrants exercised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4"/>
              </w:rPr>
            </w:pP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42,994 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232 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(42,997)</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(232)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4"/>
              </w:rPr>
              <w:t xml:space="preserve">Options cancelled </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4"/>
              </w:rPr>
            </w:pP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(15,472)</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15,472 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4"/>
              </w:rPr>
              <w:t>Options forfeited/expired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4"/>
              </w:rPr>
            </w:pP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(240)</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240 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4"/>
              </w:rPr>
              <w:t>Share-based compensation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4"/>
              </w:rPr>
            </w:pPr>
            <w:r>
              <w:rPr>
                <w:rFonts w:ascii="sans-serif" w:hAnsi="sans-serif"/>
                <w:b w:val="false"/>
                <w:color w:val="000000"/>
                <w:sz w:val="1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341 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11,233 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11,574</w:t>
            </w: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4"/>
              </w:rPr>
              <w:t>Unrealized gain on translation of</w:t>
              <w:br/>
              <w:t> foreign operations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10 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4"/>
              </w:rPr>
              <w:t>10</w:t>
            </w:r>
            <w:r>
              <w:rPr>
                <w:color w:val="000000"/>
              </w:rPr>
              <w:t>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sans-serif" w:hAnsi="sans-serif"/>
                <w:b w:val="false"/>
                <w:color w:val="000000"/>
                <w:sz w:val="14"/>
              </w:rPr>
              <w:t>Net loss for the period</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4"/>
              </w:rPr>
            </w:pPr>
            <w:r>
              <w:rPr>
                <w:rFonts w:ascii="sans-serif" w:hAnsi="sans-serif"/>
                <w:b w:val="false"/>
                <w:color w:val="000000"/>
                <w:sz w:val="14"/>
              </w:rPr>
              <w:t>(47,819)</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(47,819)</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14"/>
              </w:rPr>
            </w:pPr>
            <w:r>
              <w:rPr>
                <w:rFonts w:ascii="sans-serif" w:hAnsi="sans-serif"/>
                <w:b/>
                <w:color w:val="000000"/>
                <w:sz w:val="14"/>
              </w:rPr>
              <w:t>Balance as at June 30, 2026</w:t>
            </w:r>
          </w:p>
        </w:tc>
        <w:tc>
          <w:tcPr>
            <w:tcW w:w="466" w:type="dxa"/>
            <w:gridSpan w:val="3"/>
            <w:tcBorders>
              <w:top w:val="single" w:sz="8" w:space="0" w:color="000000"/>
              <w:bottom w:val="single" w:sz="8" w:space="0" w:color="000000"/>
            </w:tcBorders>
            <w:shd w:fill="D9D9D9"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61,984,078</w:t>
            </w:r>
            <w:r>
              <w:rPr>
                <w:color w:val="000000"/>
              </w:rPr>
              <w:t> </w:t>
            </w:r>
          </w:p>
        </w:tc>
        <w:tc>
          <w:tcPr>
            <w:tcW w:w="231"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538,867</w:t>
            </w:r>
            <w:r>
              <w:rPr>
                <w:color w:val="000000"/>
              </w:rPr>
              <w:t> </w:t>
            </w:r>
          </w:p>
        </w:tc>
        <w:tc>
          <w:tcPr>
            <w:tcW w:w="226"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2,997,253</w:t>
            </w:r>
            <w:r>
              <w:rPr>
                <w:color w:val="000000"/>
              </w:rPr>
              <w:t> </w:t>
            </w:r>
          </w:p>
        </w:tc>
        <w:tc>
          <w:tcPr>
            <w:tcW w:w="251"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16,167</w:t>
            </w:r>
            <w:r>
              <w:rPr>
                <w:color w:val="000000"/>
              </w:rPr>
              <w:t> </w:t>
            </w:r>
          </w:p>
        </w:tc>
        <w:tc>
          <w:tcPr>
            <w:tcW w:w="228"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38,205</w:t>
            </w:r>
            <w:r>
              <w:rPr>
                <w:color w:val="000000"/>
              </w:rPr>
              <w:t> </w:t>
            </w:r>
          </w:p>
        </w:tc>
        <w:tc>
          <w:tcPr>
            <w:tcW w:w="261"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16,192</w:t>
            </w:r>
            <w:r>
              <w:rPr>
                <w:color w:val="000000"/>
              </w:rPr>
              <w:t> </w:t>
            </w:r>
          </w:p>
        </w:tc>
        <w:tc>
          <w:tcPr>
            <w:tcW w:w="226"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18,686</w:t>
            </w:r>
            <w:r>
              <w:rPr>
                <w:color w:val="000000"/>
              </w:rPr>
              <w:t> </w:t>
            </w:r>
          </w:p>
        </w:tc>
        <w:tc>
          <w:tcPr>
            <w:tcW w:w="161"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50,684</w:t>
            </w:r>
            <w:r>
              <w:rPr>
                <w:color w:val="000000"/>
              </w:rPr>
              <w:t> </w:t>
            </w:r>
          </w:p>
        </w:tc>
        <w:tc>
          <w:tcPr>
            <w:tcW w:w="326"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14"/>
              </w:rPr>
            </w:pPr>
            <w:r>
              <w:rPr>
                <w:rFonts w:ascii="sans-serif" w:hAnsi="sans-serif"/>
                <w:b/>
                <w:color w:val="000000"/>
                <w:sz w:val="14"/>
              </w:rPr>
              <w:t>(437,354)</w:t>
            </w:r>
          </w:p>
        </w:tc>
        <w:tc>
          <w:tcPr>
            <w:tcW w:w="196"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640</w:t>
            </w:r>
            <w:r>
              <w:rPr>
                <w:color w:val="000000"/>
              </w:rPr>
              <w:t> </w:t>
            </w:r>
          </w:p>
        </w:tc>
        <w:tc>
          <w:tcPr>
            <w:tcW w:w="421"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14"/>
              </w:rPr>
              <w:t>242,087</w:t>
            </w:r>
            <w:r>
              <w:rPr>
                <w:color w:val="000000"/>
              </w:rPr>
              <w:t> </w:t>
            </w:r>
          </w:p>
        </w:tc>
        <w:tc>
          <w:tcPr>
            <w:tcW w:w="306" w:type="dxa"/>
            <w:tcBorders>
              <w:top w:val="single" w:sz="8" w:space="0" w:color="000000"/>
              <w:bottom w:val="single" w:sz="8" w:space="0" w:color="000000"/>
            </w:tcBorders>
            <w:shd w:fill="D9D9D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120"/>
        <w:ind w:left="0" w:right="0" w:hanging="360"/>
        <w:jc w:val="both"/>
        <w:rPr>
          <w:rFonts w:ascii="sans-serif" w:hAnsi="sans-serif"/>
          <w:b w:val="false"/>
          <w:i/>
          <w:color w:val="000000"/>
          <w:sz w:val="20"/>
        </w:rPr>
      </w:pPr>
      <w:r>
        <w:rPr>
          <w:rFonts w:ascii="sans-serif" w:hAnsi="sans-serif"/>
          <w:b w:val="false"/>
          <w:i/>
          <w:color w:val="000000"/>
          <w:sz w:val="20"/>
        </w:rPr>
        <w:t>The accompanying notes are an integral part of these condensed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2260"/>
                <wp:effectExtent l="0" t="0" r="0" b="0"/>
                <wp:wrapNone/>
                <wp:docPr id="9" name="Frame8"/>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120"/>
                              <w:ind w:left="0" w:right="0" w:hanging="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120"/>
                        <w:ind w:left="0" w:right="0" w:hanging="360"/>
                        <w:jc w:val="both"/>
                        <w:rPr/>
                      </w:pPr>
                      <w:r>
                        <w:rPr/>
                      </w:r>
                    </w:p>
                  </w:txbxContent>
                </v:textbox>
                <w10:wrap type="none"/>
              </v:rect>
            </w:pict>
          </mc:Fallback>
        </mc:AlternateContent>
      </w:r>
    </w:p>
    <w:tbl>
      <w:tblPr>
        <w:tblW w:w="9509" w:type="dxa"/>
        <w:jc w:val="left"/>
        <w:tblInd w:w="0" w:type="dxa"/>
        <w:tblLayout w:type="fixed"/>
        <w:tblCellMar>
          <w:top w:w="28" w:type="dxa"/>
          <w:left w:w="28" w:type="dxa"/>
          <w:bottom w:w="28" w:type="dxa"/>
          <w:right w:w="28" w:type="dxa"/>
        </w:tblCellMar>
      </w:tblPr>
      <w:tblGrid>
        <w:gridCol w:w="3043"/>
        <w:gridCol w:w="2676"/>
        <w:gridCol w:w="3790"/>
      </w:tblGrid>
      <w:tr>
        <w:trPr/>
        <w:tc>
          <w:tcPr>
            <w:tcW w:w="3043"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790" w:type="dxa"/>
            <w:tcBorders/>
            <w:vAlign w:val="center"/>
          </w:tcPr>
          <w:p>
            <w:pPr>
              <w:pStyle w:val="TableContents"/>
              <w:bidi w:val="0"/>
              <w:spacing w:before="0" w:after="283"/>
              <w:jc w:val="left"/>
              <w:rPr>
                <w:sz w:val="4"/>
                <w:szCs w:val="4"/>
              </w:rPr>
            </w:pPr>
            <w:r>
              <w:rPr>
                <w:sz w:val="4"/>
                <w:szCs w:val="4"/>
              </w:rPr>
            </w:r>
          </w:p>
        </w:tc>
      </w:tr>
      <w:tr>
        <w:trPr/>
        <w:tc>
          <w:tcPr>
            <w:tcW w:w="9509" w:type="dxa"/>
            <w:gridSpan w:val="3"/>
            <w:tcBorders>
              <w:bottom w:val="single" w:sz="8" w:space="0" w:color="404040"/>
            </w:tcBorders>
            <w:tcMar>
              <w:top w:w="0" w:type="dxa"/>
              <w:left w:w="0" w:type="dxa"/>
              <w:bottom w:w="30" w:type="dxa"/>
              <w:right w:w="0" w:type="dxa"/>
            </w:tcMar>
            <w:vAlign w:val="center"/>
          </w:tcPr>
          <w:p>
            <w:pPr>
              <w:pStyle w:val="TableContents"/>
              <w:bidi w:val="0"/>
              <w:spacing w:lineRule="auto" w:line="288" w:before="53" w:after="283"/>
              <w:jc w:val="left"/>
              <w:rPr>
                <w:rFonts w:ascii="sans-serif" w:hAnsi="sans-serif"/>
                <w:b/>
                <w:color w:val="000000"/>
                <w:sz w:val="24"/>
              </w:rPr>
            </w:pPr>
            <w:r>
              <w:rPr>
                <w:rFonts w:ascii="sans-serif" w:hAnsi="sans-serif"/>
                <w:b/>
                <w:color w:val="000000"/>
                <w:sz w:val="24"/>
              </w:rPr>
              <w:t>CYBIN INC. DOING BUSINESS AS HELUS PHARMA</w:t>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CONDENSED INTERIM CONSOLIDATED STATEMENTS OF CASH FLOWS</w:t>
            </w:r>
          </w:p>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(All amounts expressed in thousands of United States dollars)</w:t>
            </w:r>
          </w:p>
          <w:p>
            <w:pPr>
              <w:pStyle w:val="TableContents"/>
              <w:bidi w:val="0"/>
              <w:spacing w:lineRule="auto" w:line="288" w:before="0" w:after="0"/>
              <w:jc w:val="left"/>
              <w:rPr>
                <w:rFonts w:ascii="sans-serif" w:hAnsi="sans-serif"/>
                <w:b/>
                <w:color w:val="000000"/>
                <w:sz w:val="20"/>
              </w:rPr>
            </w:pPr>
            <w:r>
              <w:rPr>
                <w:rFonts w:ascii="sans-serif" w:hAnsi="sans-serif"/>
                <w:b/>
                <w:color w:val="000000"/>
                <w:sz w:val="20"/>
              </w:rPr>
              <w:t>(Unaudited)</w:t>
            </w:r>
          </w:p>
        </w:tc>
      </w:tr>
    </w:tbl>
    <w:tbl>
      <w:tblPr>
        <w:tblW w:w="9353" w:type="dxa"/>
        <w:jc w:val="left"/>
        <w:tblInd w:w="0" w:type="dxa"/>
        <w:tblLayout w:type="fixed"/>
        <w:tblCellMar>
          <w:top w:w="28" w:type="dxa"/>
          <w:left w:w="28" w:type="dxa"/>
          <w:bottom w:w="28" w:type="dxa"/>
          <w:right w:w="28" w:type="dxa"/>
        </w:tblCellMar>
      </w:tblPr>
      <w:tblGrid>
        <w:gridCol w:w="1939"/>
        <w:gridCol w:w="1704"/>
        <w:gridCol w:w="1712"/>
        <w:gridCol w:w="225"/>
        <w:gridCol w:w="225"/>
        <w:gridCol w:w="226"/>
        <w:gridCol w:w="563"/>
        <w:gridCol w:w="518"/>
        <w:gridCol w:w="507"/>
        <w:gridCol w:w="507"/>
        <w:gridCol w:w="507"/>
        <w:gridCol w:w="720"/>
      </w:tblGrid>
      <w:tr>
        <w:trPr/>
        <w:tc>
          <w:tcPr>
            <w:tcW w:w="193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For the three months ended</w:t>
              <w:br/>
              <w:t>June 30,</w:t>
            </w:r>
          </w:p>
        </w:tc>
      </w:tr>
      <w:tr>
        <w:trPr/>
        <w:tc>
          <w:tcPr>
            <w:tcW w:w="5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2026</w:t>
            </w:r>
          </w:p>
        </w:tc>
        <w:tc>
          <w:tcPr>
            <w:tcW w:w="1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2025</w:t>
            </w:r>
          </w:p>
        </w:tc>
      </w:tr>
      <w:tr>
        <w:trPr/>
        <w:tc>
          <w:tcPr>
            <w:tcW w:w="5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Notes</w:t>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ACTIVITIES</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loss for the period</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(47,819)</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(24,613)</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Adjustments for items not affecting cash:</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sans-serif" w:hAnsi="sans-serif"/>
                <w:b w:val="false"/>
                <w:color w:val="000000"/>
                <w:sz w:val="20"/>
              </w:rPr>
            </w:pPr>
            <w:r>
              <w:rPr>
                <w:rFonts w:ascii="sans-serif" w:hAnsi="sans-serif"/>
                <w:b w:val="false"/>
                <w:color w:val="000000"/>
                <w:sz w:val="20"/>
              </w:rPr>
              <w:t>Share-based compensation</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6</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11,574</w:t>
            </w: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753 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333" w:before="53" w:after="30"/>
              <w:jc w:val="left"/>
              <w:rPr>
                <w:rFonts w:ascii="sans-serif" w:hAnsi="sans-serif"/>
                <w:b w:val="false"/>
                <w:color w:val="000000"/>
                <w:sz w:val="20"/>
              </w:rPr>
            </w:pPr>
            <w:r>
              <w:rPr>
                <w:rFonts w:ascii="sans-serif" w:hAnsi="sans-serif"/>
                <w:b w:val="false"/>
                <w:color w:val="000000"/>
                <w:sz w:val="20"/>
              </w:rPr>
              <w:t>Depreciation and amortization</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3,4</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31</w:t>
            </w: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sale of lab equipment</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sans-serif" w:hAnsi="sans-serif"/>
                <w:b w:val="false"/>
                <w:color w:val="000000"/>
                <w:sz w:val="20"/>
              </w:rPr>
            </w:pPr>
            <w:r>
              <w:rPr>
                <w:rFonts w:ascii="sans-serif" w:hAnsi="sans-serif"/>
                <w:b w:val="false"/>
                <w:color w:val="000000"/>
                <w:sz w:val="20"/>
              </w:rPr>
              <w:t xml:space="preserve">Unrealized foreign currency translation </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19</w:t>
            </w: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(1,944)</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(36,195)</w:t>
            </w:r>
          </w:p>
        </w:tc>
        <w:tc>
          <w:tcPr>
            <w:tcW w:w="5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(25,773)</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changes in non-cash working capital items: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333" w:before="53" w:after="30"/>
              <w:ind w:left="0" w:right="0" w:firstLine="360"/>
              <w:jc w:val="left"/>
              <w:rPr>
                <w:rFonts w:ascii="sans-serif" w:hAnsi="sans-serif"/>
                <w:b w:val="false"/>
                <w:color w:val="000000"/>
                <w:sz w:val="20"/>
              </w:rPr>
            </w:pPr>
            <w:r>
              <w:rPr>
                <w:rFonts w:ascii="sans-serif" w:hAnsi="sans-serif"/>
                <w:b w:val="false"/>
                <w:color w:val="000000"/>
                <w:sz w:val="20"/>
              </w:rPr>
              <w:t>Accounts receivable</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(10)</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333" w:before="53" w:after="30"/>
              <w:ind w:left="0" w:right="0" w:firstLine="360"/>
              <w:jc w:val="left"/>
              <w:rPr>
                <w:rFonts w:ascii="sans-serif" w:hAnsi="sans-serif"/>
                <w:b w:val="false"/>
                <w:color w:val="000000"/>
                <w:sz w:val="20"/>
              </w:rPr>
            </w:pPr>
            <w:r>
              <w:rPr>
                <w:rFonts w:ascii="sans-serif" w:hAnsi="sans-serif"/>
                <w:b w:val="false"/>
                <w:color w:val="000000"/>
                <w:sz w:val="20"/>
              </w:rPr>
              <w:t>Prepaid expenses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944</w:t>
            </w: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(3,752)</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88" w:before="53" w:after="30"/>
              <w:ind w:left="0" w:right="0" w:firstLine="360"/>
              <w:jc w:val="left"/>
              <w:rPr>
                <w:rFonts w:ascii="sans-serif" w:hAnsi="sans-serif"/>
                <w:b w:val="false"/>
                <w:color w:val="000000"/>
                <w:sz w:val="20"/>
              </w:rPr>
            </w:pPr>
            <w:r>
              <w:rPr>
                <w:rFonts w:ascii="sans-serif" w:hAnsi="sans-serif"/>
                <w:b w:val="false"/>
                <w:color w:val="000000"/>
                <w:sz w:val="20"/>
              </w:rPr>
              <w:t>Other current assets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333" w:before="53" w:after="30"/>
              <w:ind w:left="0" w:right="0" w:firstLine="360"/>
              <w:jc w:val="left"/>
              <w:rPr>
                <w:rFonts w:ascii="sans-serif" w:hAnsi="sans-serif"/>
                <w:b w:val="false"/>
                <w:color w:val="000000"/>
                <w:sz w:val="20"/>
              </w:rPr>
            </w:pPr>
            <w:r>
              <w:rPr>
                <w:rFonts w:ascii="sans-serif" w:hAnsi="sans-serif"/>
                <w:b w:val="false"/>
                <w:color w:val="000000"/>
                <w:sz w:val="20"/>
              </w:rPr>
              <w:t>Accounts payable and accrued liabilities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(1,809)</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(347)</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flows used in operating activities</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(37,070)</w:t>
            </w:r>
          </w:p>
        </w:tc>
        <w:tc>
          <w:tcPr>
            <w:tcW w:w="5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(29,548)</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INVESTING ACTIVITIES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 of equipment and intangible assets</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3,4</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(320)</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on sale of lab equipment</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flows used in investing activities</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(320)</w:t>
            </w:r>
          </w:p>
        </w:tc>
        <w:tc>
          <w:tcPr>
            <w:tcW w:w="5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FINANCING ACTIVITIES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on issuance of common shares, net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6</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46,533</w:t>
            </w: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10,133 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on issuance of convertible debentures</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44,500 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flows provided by financing activities</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46,533</w:t>
            </w:r>
            <w:r>
              <w:rPr>
                <w:color w:val="000000"/>
              </w:rPr>
              <w:t> </w:t>
            </w:r>
          </w:p>
        </w:tc>
        <w:tc>
          <w:tcPr>
            <w:tcW w:w="5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54,633 </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Effects of exchange rate changes on cash</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w:t>
            </w:r>
          </w:p>
        </w:tc>
        <w:tc>
          <w:tcPr>
            <w:tcW w:w="5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33" w:after="30"/>
              <w:ind w:left="0" w:right="0" w:firstLine="360"/>
              <w:jc w:val="left"/>
              <w:rPr>
                <w:color w:val="000000"/>
              </w:rPr>
            </w:pPr>
            <w:r>
              <w:rPr>
                <w:color w:val="000000"/>
              </w:rPr>
              <w:t> </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increase in cash</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9,107</w:t>
            </w: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24,770 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beginning of period</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157,258</w:t>
            </w: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93,922 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end of period</w:t>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166,365</w:t>
            </w:r>
            <w:r>
              <w:rPr>
                <w:color w:val="000000"/>
              </w:rPr>
              <w:t> </w:t>
            </w:r>
          </w:p>
        </w:tc>
        <w:tc>
          <w:tcPr>
            <w:tcW w:w="5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118,692 </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Supplemental cash flow information:</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received</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1,417 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1,003 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paid</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taxes paid</w:t>
            </w:r>
          </w:p>
        </w:tc>
        <w:tc>
          <w:tcPr>
            <w:tcW w:w="6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sans-serif" w:hAnsi="sans-serif"/>
          <w:b w:val="false"/>
          <w:i/>
          <w:color w:val="000000"/>
          <w:sz w:val="20"/>
        </w:rPr>
      </w:pPr>
      <w:r>
        <w:rPr>
          <w:rFonts w:ascii="sans-serif" w:hAnsi="sans-serif"/>
          <w:b w:val="false"/>
          <w:i/>
          <w:color w:val="000000"/>
          <w:sz w:val="20"/>
        </w:rPr>
        <w:t>The accompanying notes are an integral part of these condensed interim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57"/>
        <w:jc w:val="left"/>
        <w:rPr>
          <w:rFonts w:ascii="sans-serif" w:hAnsi="sans-serif"/>
          <w:b/>
          <w:color w:val="2D5F91"/>
          <w:sz w:val="20"/>
        </w:rPr>
      </w:pPr>
      <w:r>
        <w:rPr>
          <w:rFonts w:ascii="sans-serif" w:hAnsi="sans-serif"/>
          <w:b/>
          <w:color w:val="2D5F91"/>
          <w:sz w:val="20"/>
        </w:rPr>
        <w:t>1.    CORPORATE INFORMATION</w:t>
      </w:r>
    </w:p>
    <w:p>
      <w:pPr>
        <w:pStyle w:val="TextBody"/>
        <w:bidi w:val="0"/>
        <w:spacing w:lineRule="auto" w:line="333" w:before="200" w:after="283"/>
        <w:jc w:val="both"/>
        <w:rPr/>
      </w:pPr>
      <w:r>
        <w:rPr>
          <w:rFonts w:ascii="sans-serif" w:hAnsi="sans-serif"/>
          <w:b w:val="false"/>
          <w:color w:val="000000"/>
          <w:sz w:val="20"/>
        </w:rPr>
        <w:t>Cybin Inc. doing business as Helus Pharma (“</w:t>
      </w:r>
      <w:r>
        <w:rPr>
          <w:rFonts w:ascii="sans-serif" w:hAnsi="sans-serif"/>
          <w:b/>
          <w:color w:val="000000"/>
          <w:sz w:val="20"/>
        </w:rPr>
        <w:t>Helus Pharma</w:t>
      </w:r>
      <w:r>
        <w:rPr>
          <w:color w:val="000000"/>
        </w:rPr>
        <w:t>”</w:t>
      </w:r>
      <w:r>
        <w:rPr>
          <w:rFonts w:ascii="sans-serif" w:hAnsi="sans-serif"/>
          <w:b w:val="false"/>
          <w:color w:val="000000"/>
          <w:sz w:val="20"/>
        </w:rPr>
        <w:t>), was incorporated under the Business Corporations Act (British Columbia) on October 13, 2016. These condensed interim consolidated financial statements include the accounts of Helus Pharma’s six subsidiaries (together with Helus Pharma, the “</w:t>
      </w:r>
      <w:r>
        <w:rPr>
          <w:rFonts w:ascii="sans-serif" w:hAnsi="sans-serif"/>
          <w:b/>
          <w:color w:val="000000"/>
          <w:sz w:val="20"/>
        </w:rPr>
        <w:t>Company</w:t>
      </w:r>
      <w:r>
        <w:rPr>
          <w:color w:val="000000"/>
        </w:rPr>
        <w:t>”</w:t>
      </w:r>
      <w:r>
        <w:rPr>
          <w:rFonts w:ascii="sans-serif" w:hAnsi="sans-serif"/>
          <w:b w:val="false"/>
          <w:color w:val="000000"/>
          <w:sz w:val="20"/>
        </w:rPr>
        <w:t>): Helus Pharma Corp. (formerly Cybin Corp.), Helus US Inc. (formerly Cybin US Holdings Inc.) (“</w:t>
      </w:r>
      <w:r>
        <w:rPr>
          <w:rFonts w:ascii="sans-serif" w:hAnsi="sans-serif"/>
          <w:b/>
          <w:color w:val="000000"/>
          <w:sz w:val="20"/>
        </w:rPr>
        <w:t>Helus US</w:t>
      </w:r>
      <w:r>
        <w:rPr>
          <w:color w:val="000000"/>
        </w:rPr>
        <w:t>”</w:t>
      </w:r>
      <w:r>
        <w:rPr>
          <w:rFonts w:ascii="sans-serif" w:hAnsi="sans-serif"/>
          <w:b w:val="false"/>
          <w:color w:val="000000"/>
          <w:sz w:val="20"/>
        </w:rPr>
        <w:t>), Adelia Therapeutics Inc. (“</w:t>
      </w:r>
      <w:r>
        <w:rPr>
          <w:rFonts w:ascii="sans-serif" w:hAnsi="sans-serif"/>
          <w:b/>
          <w:color w:val="000000"/>
          <w:sz w:val="20"/>
        </w:rPr>
        <w:t>Adelia</w:t>
      </w:r>
      <w:r>
        <w:rPr>
          <w:color w:val="000000"/>
        </w:rPr>
        <w:t>”</w:t>
      </w:r>
      <w:r>
        <w:rPr>
          <w:rFonts w:ascii="sans-serif" w:hAnsi="sans-serif"/>
          <w:b w:val="false"/>
          <w:color w:val="000000"/>
          <w:sz w:val="20"/>
        </w:rPr>
        <w:t>), Cybin IRL Limited (“</w:t>
      </w:r>
      <w:r>
        <w:rPr>
          <w:rFonts w:ascii="sans-serif" w:hAnsi="sans-serif"/>
          <w:b/>
          <w:color w:val="000000"/>
          <w:sz w:val="20"/>
        </w:rPr>
        <w:t>Cybin IRL</w:t>
      </w:r>
      <w:r>
        <w:rPr>
          <w:color w:val="000000"/>
        </w:rPr>
        <w:t>”</w:t>
      </w:r>
      <w:r>
        <w:rPr>
          <w:rFonts w:ascii="sans-serif" w:hAnsi="sans-serif"/>
          <w:b w:val="false"/>
          <w:color w:val="000000"/>
          <w:sz w:val="20"/>
        </w:rPr>
        <w:t>), Cybin UK Ltd. T/A Helus, and Helus International Limited (formerly Cybin International Limited) ("</w:t>
      </w:r>
      <w:r>
        <w:rPr>
          <w:rFonts w:ascii="sans-serif" w:hAnsi="sans-serif"/>
          <w:b/>
          <w:color w:val="000000"/>
          <w:sz w:val="20"/>
        </w:rPr>
        <w:t>Helus International</w:t>
      </w:r>
      <w:r>
        <w:rPr>
          <w:rFonts w:ascii="sans-serif" w:hAnsi="sans-serif"/>
          <w:b w:val="false"/>
          <w:color w:val="000000"/>
          <w:sz w:val="20"/>
        </w:rPr>
        <w:t xml:space="preserve">"). Helus Pharma’s head office, principal address and registered address and records office is 100 King Street West, Suite 5600, Toronto, Ontario M5X 1C9. </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 xml:space="preserve">On January 5, 2026, the Company started to operate under the registered business name "Helus Pharma". The Company plans to seek approval from shareholders to change its legal name to Helus Pharma Inc. at the Company's next annual and special meeting of shareholders. </w:t>
      </w:r>
    </w:p>
    <w:p>
      <w:pPr>
        <w:pStyle w:val="TextBody"/>
        <w:bidi w:val="0"/>
        <w:spacing w:lineRule="auto" w:line="333" w:before="0" w:after="0"/>
        <w:jc w:val="both"/>
        <w:rPr>
          <w:rFonts w:ascii="sans-serif" w:hAnsi="sans-serif"/>
          <w:b w:val="false"/>
          <w:color w:val="000000"/>
          <w:sz w:val="20"/>
        </w:rPr>
      </w:pPr>
      <w:r>
        <w:rPr>
          <w:rFonts w:ascii="sans-serif" w:hAnsi="sans-serif"/>
          <w:b w:val="false"/>
          <w:color w:val="000000"/>
          <w:sz w:val="20"/>
        </w:rPr>
        <w:t>The Company is a clinical-stage pharmaceutical company focused on advancing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pStyle w:val="TextBody"/>
        <w:bidi w:val="0"/>
        <w:spacing w:lineRule="auto" w:line="333" w:before="200" w:after="283"/>
        <w:jc w:val="both"/>
        <w:rPr/>
      </w:pPr>
      <w:r>
        <w:rPr>
          <w:rFonts w:ascii="sans-serif" w:hAnsi="sans-serif"/>
          <w:b w:val="false"/>
          <w:color w:val="000000"/>
          <w:sz w:val="20"/>
        </w:rPr>
        <w:t>These condensed interim consolidated financial statements as at, and for the three months ended June 30, 2026</w:t>
      </w:r>
      <w:r>
        <w:rPr>
          <w:color w:val="000000"/>
        </w:rPr>
        <w:t xml:space="preserve"> </w:t>
      </w:r>
      <w:r>
        <w:rPr>
          <w:rFonts w:ascii="sans-serif" w:hAnsi="sans-serif"/>
          <w:b w:val="false"/>
          <w:color w:val="000000"/>
          <w:sz w:val="20"/>
        </w:rPr>
        <w:t>were approved and authorized for issue by the board of directors on August 13, 2026.</w:t>
      </w:r>
    </w:p>
    <w:p>
      <w:pPr>
        <w:pStyle w:val="TextBody"/>
        <w:bidi w:val="0"/>
        <w:spacing w:lineRule="auto" w:line="333" w:before="200" w:after="283"/>
        <w:jc w:val="left"/>
        <w:rPr>
          <w:rFonts w:ascii="sans-serif" w:hAnsi="sans-serif"/>
          <w:b/>
          <w:i/>
          <w:color w:val="000000"/>
          <w:sz w:val="20"/>
          <w:u w:val="single"/>
        </w:rPr>
      </w:pPr>
      <w:r>
        <w:rPr>
          <w:rFonts w:ascii="sans-serif" w:hAnsi="sans-serif"/>
          <w:b/>
          <w:i/>
          <w:color w:val="000000"/>
          <w:sz w:val="20"/>
          <w:u w:val="single"/>
        </w:rPr>
        <w:t>Stock exchange listings</w:t>
      </w:r>
    </w:p>
    <w:p>
      <w:pPr>
        <w:pStyle w:val="TextBody"/>
        <w:bidi w:val="0"/>
        <w:spacing w:lineRule="auto" w:line="333" w:before="200" w:after="283"/>
        <w:jc w:val="both"/>
        <w:rPr/>
      </w:pPr>
      <w:r>
        <w:rPr>
          <w:rFonts w:ascii="sans-serif" w:hAnsi="sans-serif"/>
          <w:b w:val="false"/>
          <w:color w:val="000000"/>
          <w:sz w:val="20"/>
        </w:rPr>
        <w:t>Helus Pharma’s common shares (the “</w:t>
      </w:r>
      <w:r>
        <w:rPr>
          <w:rFonts w:ascii="sans-serif" w:hAnsi="sans-serif"/>
          <w:b/>
          <w:color w:val="000000"/>
          <w:sz w:val="20"/>
        </w:rPr>
        <w:t>Common Shares</w:t>
      </w:r>
      <w:r>
        <w:rPr>
          <w:color w:val="000000"/>
        </w:rPr>
        <w:t>”</w:t>
      </w:r>
      <w:r>
        <w:rPr>
          <w:rFonts w:ascii="sans-serif" w:hAnsi="sans-serif"/>
          <w:b w:val="false"/>
          <w:color w:val="000000"/>
          <w:sz w:val="20"/>
        </w:rPr>
        <w:t>) are listed for trading on Cboe Canada Inc. (“</w:t>
      </w:r>
      <w:r>
        <w:rPr>
          <w:rFonts w:ascii="sans-serif" w:hAnsi="sans-serif"/>
          <w:b/>
          <w:color w:val="000000"/>
          <w:sz w:val="20"/>
        </w:rPr>
        <w:t>Cboe Canada</w:t>
      </w:r>
      <w:r>
        <w:rPr>
          <w:rFonts w:ascii="sans-serif" w:hAnsi="sans-serif"/>
          <w:b w:val="false"/>
          <w:color w:val="000000"/>
          <w:sz w:val="20"/>
        </w:rPr>
        <w:t>") and on the Nasdaq Global Market exchange ("</w:t>
      </w:r>
      <w:r>
        <w:rPr>
          <w:rFonts w:ascii="sans-serif" w:hAnsi="sans-serif"/>
          <w:b/>
          <w:color w:val="000000"/>
          <w:sz w:val="20"/>
        </w:rPr>
        <w:t>Nasdaq</w:t>
      </w:r>
      <w:r>
        <w:rPr>
          <w:rFonts w:ascii="sans-serif" w:hAnsi="sans-serif"/>
          <w:b w:val="false"/>
          <w:color w:val="000000"/>
          <w:sz w:val="20"/>
        </w:rPr>
        <w:t>") under the symbol "HELP". Additionally, the Common Shares are listed for trading on the Frankfurt Stock Exchange under the symbol “R7E1”.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ind w:left="0" w:right="0" w:hanging="357"/>
        <w:jc w:val="left"/>
        <w:rPr>
          <w:rFonts w:ascii="sans-serif" w:hAnsi="sans-serif"/>
          <w:b/>
          <w:color w:val="2D5F91"/>
          <w:sz w:val="20"/>
        </w:rPr>
      </w:pPr>
      <w:r>
        <w:rPr>
          <w:rFonts w:ascii="sans-serif" w:hAnsi="sans-serif"/>
          <w:b/>
          <w:color w:val="2D5F91"/>
          <w:sz w:val="20"/>
        </w:rPr>
        <w:t>2.    MATERIAL ACCOUNTING POLICY INFORMATION AND BASIS OF PREPARATION</w:t>
      </w:r>
    </w:p>
    <w:p>
      <w:pPr>
        <w:pStyle w:val="TextBody"/>
        <w:bidi w:val="0"/>
        <w:spacing w:before="0" w:after="0"/>
        <w:ind w:left="0" w:right="0" w:firstLine="360"/>
        <w:jc w:val="both"/>
        <w:rPr/>
      </w:pPr>
      <w:r>
        <w:rPr/>
      </w:r>
    </w:p>
    <w:p>
      <w:pPr>
        <w:pStyle w:val="TextBody"/>
        <w:bidi w:val="0"/>
        <w:spacing w:lineRule="auto" w:line="312" w:before="0" w:after="0"/>
        <w:ind w:left="0" w:right="0" w:firstLine="360"/>
        <w:jc w:val="both"/>
        <w:rPr>
          <w:rFonts w:ascii="sans-serif" w:hAnsi="sans-serif"/>
          <w:b/>
          <w:i/>
          <w:color w:val="000000"/>
          <w:sz w:val="20"/>
          <w:u w:val="single"/>
        </w:rPr>
      </w:pPr>
      <w:r>
        <w:rPr>
          <w:rFonts w:ascii="sans-serif" w:hAnsi="sans-serif"/>
          <w:b/>
          <w:i/>
          <w:color w:val="000000"/>
          <w:sz w:val="20"/>
          <w:u w:val="single"/>
        </w:rPr>
        <w:t xml:space="preserve">Statement of compliance </w:t>
      </w:r>
    </w:p>
    <w:p>
      <w:pPr>
        <w:pStyle w:val="TextBody"/>
        <w:bidi w:val="0"/>
        <w:spacing w:before="0" w:after="0"/>
        <w:jc w:val="both"/>
        <w:rPr/>
      </w:pPr>
      <w:r>
        <w:rPr/>
      </w:r>
    </w:p>
    <w:p>
      <w:pPr>
        <w:pStyle w:val="TextBody"/>
        <w:bidi w:val="0"/>
        <w:spacing w:lineRule="auto" w:line="297" w:before="0" w:after="0"/>
        <w:jc w:val="both"/>
        <w:rPr/>
      </w:pPr>
      <w:r>
        <w:rPr>
          <w:rFonts w:ascii="sans-serif" w:hAnsi="sans-serif"/>
          <w:b w:val="false"/>
          <w:color w:val="000000"/>
          <w:sz w:val="20"/>
        </w:rPr>
        <w:t>These condensed interim consolidated financial statements have been prepared in accordance with IFRS Accounting Standards ("</w:t>
      </w:r>
      <w:r>
        <w:rPr>
          <w:rFonts w:ascii="sans-serif" w:hAnsi="sans-serif"/>
          <w:b/>
          <w:color w:val="000000"/>
          <w:sz w:val="20"/>
        </w:rPr>
        <w:t>IFRS</w:t>
      </w:r>
      <w:r>
        <w:rPr>
          <w:rFonts w:ascii="sans-serif" w:hAnsi="sans-serif"/>
          <w:b w:val="false"/>
          <w:color w:val="000000"/>
          <w:sz w:val="20"/>
        </w:rPr>
        <w:t>") as issued by the International Accounting Standards Board ("</w:t>
      </w:r>
      <w:r>
        <w:rPr>
          <w:rFonts w:ascii="sans-serif" w:hAnsi="sans-serif"/>
          <w:b/>
          <w:color w:val="000000"/>
          <w:sz w:val="20"/>
        </w:rPr>
        <w:t>IASB</w:t>
      </w:r>
      <w:r>
        <w:rPr>
          <w:rFonts w:ascii="sans-serif" w:hAnsi="sans-serif"/>
          <w:b w:val="false"/>
          <w:color w:val="000000"/>
          <w:sz w:val="20"/>
        </w:rPr>
        <w:t xml:space="preserve">") and International Accounting Standard 34 “Interim Financial Reporting”. Accordingly, certain information and footnote disclosure normally included in annual financial statements prepared in accordance with IFRS have been omitted or condensed. </w:t>
      </w:r>
    </w:p>
    <w:p>
      <w:pPr>
        <w:pStyle w:val="TextBody"/>
        <w:bidi w:val="0"/>
        <w:spacing w:before="0" w:after="0"/>
        <w:jc w:val="both"/>
        <w:rPr/>
      </w:pPr>
      <w:r>
        <w:rPr/>
      </w:r>
    </w:p>
    <w:p>
      <w:pPr>
        <w:pStyle w:val="TextBody"/>
        <w:bidi w:val="0"/>
        <w:spacing w:lineRule="auto" w:line="297"/>
        <w:jc w:val="both"/>
        <w:rPr>
          <w:rFonts w:ascii="sans-serif" w:hAnsi="sans-serif"/>
          <w:b w:val="false"/>
          <w:color w:val="000000"/>
          <w:sz w:val="20"/>
        </w:rPr>
      </w:pPr>
      <w:r>
        <w:rPr>
          <w:rFonts w:ascii="sans-serif" w:hAnsi="sans-serif"/>
          <w:b w:val="false"/>
          <w:color w:val="000000"/>
          <w:sz w:val="20"/>
        </w:rPr>
        <w:t xml:space="preserve">The accounting policies adopted in the preparation of the condensed interim consolidated financial statements are consistent with those set out in note 2 “Material accounting policy information and basis of preparation” of the Company’s annual consolidated financial statements as at and for the year ended March 31, 2026.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120"/>
                              <w:jc w:val="center"/>
                              <w:rPr>
                                <w:rFonts w:ascii="sans-serif" w:hAnsi="sans-serif"/>
                                <w:b/>
                                <w:color w:val="000000"/>
                                <w:sz w:val="20"/>
                              </w:rPr>
                            </w:pPr>
                            <w:r>
                              <w:rPr>
                                <w:rFonts w:ascii="sans-serif" w:hAnsi="sans-serif"/>
                                <w:b/>
                                <w:color w:val="000000"/>
                                <w:sz w:val="20"/>
                              </w:rPr>
                              <w:t>Page 7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20"/>
                        <w:jc w:val="center"/>
                        <w:rPr>
                          <w:rFonts w:ascii="sans-serif" w:hAnsi="sans-serif"/>
                          <w:b/>
                          <w:color w:val="000000"/>
                          <w:sz w:val="20"/>
                        </w:rPr>
                      </w:pPr>
                      <w:r>
                        <w:rPr>
                          <w:rFonts w:ascii="sans-serif" w:hAnsi="sans-serif"/>
                          <w:b/>
                          <w:color w:val="000000"/>
                          <w:sz w:val="20"/>
                        </w:rPr>
                        <w:t>Page 7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before="0" w:after="0"/>
        <w:jc w:val="both"/>
        <w:rPr/>
      </w:pPr>
      <w:r>
        <w:rPr/>
      </w:r>
    </w:p>
    <w:p>
      <w:pPr>
        <w:pStyle w:val="TextBody"/>
        <w:bidi w:val="0"/>
        <w:spacing w:lineRule="auto" w:line="297" w:before="0" w:after="0"/>
        <w:jc w:val="both"/>
        <w:rPr>
          <w:rFonts w:ascii="sans-serif" w:hAnsi="sans-serif"/>
          <w:b w:val="false"/>
          <w:color w:val="000000"/>
          <w:sz w:val="20"/>
        </w:rPr>
      </w:pPr>
      <w:r>
        <w:rPr>
          <w:rFonts w:ascii="sans-serif" w:hAnsi="sans-serif"/>
          <w:b w:val="false"/>
          <w:color w:val="000000"/>
          <w:sz w:val="20"/>
        </w:rPr>
        <w:t xml:space="preserve">These condensed interim consolidated financial statements should be read in conjunction with the consolidated financial statements for the year ended March 31, 2026. </w:t>
      </w:r>
    </w:p>
    <w:p>
      <w:pPr>
        <w:pStyle w:val="TextBody"/>
        <w:bidi w:val="0"/>
        <w:spacing w:before="0" w:after="0"/>
        <w:jc w:val="both"/>
        <w:rPr/>
      </w:pPr>
      <w:r>
        <w:rPr/>
      </w:r>
    </w:p>
    <w:p>
      <w:pPr>
        <w:pStyle w:val="TextBody"/>
        <w:bidi w:val="0"/>
        <w:spacing w:lineRule="auto" w:line="312" w:before="0" w:after="0"/>
        <w:ind w:left="0" w:right="0" w:firstLine="360"/>
        <w:jc w:val="both"/>
        <w:rPr>
          <w:rFonts w:ascii="sans-serif" w:hAnsi="sans-serif"/>
          <w:b/>
          <w:i/>
          <w:color w:val="000000"/>
          <w:sz w:val="20"/>
          <w:u w:val="single"/>
        </w:rPr>
      </w:pPr>
      <w:r>
        <w:rPr>
          <w:rFonts w:ascii="sans-serif" w:hAnsi="sans-serif"/>
          <w:b/>
          <w:i/>
          <w:color w:val="000000"/>
          <w:sz w:val="20"/>
          <w:u w:val="single"/>
        </w:rPr>
        <w:t>Basis of measurement</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These condensed interim consolidated financial statements have been prepared on a going concern basis, under the historical cost convention, except for certain financial instruments classified at fair value upon initial recognition.</w:t>
      </w:r>
    </w:p>
    <w:p>
      <w:pPr>
        <w:pStyle w:val="TextBody"/>
        <w:bidi w:val="0"/>
        <w:spacing w:before="0" w:after="0"/>
        <w:jc w:val="both"/>
        <w:rPr/>
      </w:pPr>
      <w:r>
        <w:rPr/>
      </w:r>
    </w:p>
    <w:p>
      <w:pPr>
        <w:pStyle w:val="TextBody"/>
        <w:bidi w:val="0"/>
        <w:spacing w:lineRule="auto" w:line="312" w:before="0" w:after="0"/>
        <w:ind w:left="0" w:right="0" w:firstLine="360"/>
        <w:jc w:val="left"/>
        <w:rPr>
          <w:rFonts w:ascii="sans-serif" w:hAnsi="sans-serif"/>
          <w:b/>
          <w:i/>
          <w:color w:val="000000"/>
          <w:sz w:val="20"/>
          <w:u w:val="single"/>
        </w:rPr>
      </w:pPr>
      <w:r>
        <w:rPr>
          <w:rFonts w:ascii="sans-serif" w:hAnsi="sans-serif"/>
          <w:b/>
          <w:i/>
          <w:color w:val="000000"/>
          <w:sz w:val="20"/>
          <w:u w:val="single"/>
        </w:rPr>
        <w:t>Functional and presentation currency</w:t>
      </w:r>
    </w:p>
    <w:p>
      <w:pPr>
        <w:pStyle w:val="TextBody"/>
        <w:bidi w:val="0"/>
        <w:spacing w:lineRule="auto" w:line="312" w:before="200" w:after="283"/>
        <w:jc w:val="both"/>
        <w:rPr>
          <w:rFonts w:ascii="sans-serif" w:hAnsi="sans-serif"/>
          <w:b w:val="false"/>
          <w:color w:val="000000"/>
          <w:sz w:val="20"/>
        </w:rPr>
      </w:pPr>
      <w:r>
        <w:rPr>
          <w:rFonts w:ascii="sans-serif" w:hAnsi="sans-serif"/>
          <w:b w:val="false"/>
          <w:color w:val="000000"/>
          <w:sz w:val="20"/>
        </w:rPr>
        <w:t>The functional currency of a company is the currency of the primary economic environment in which the company operates. The presentation currency for a company is the currency in which the company chooses to present its financial statements.</w:t>
      </w:r>
    </w:p>
    <w:p>
      <w:pPr>
        <w:pStyle w:val="TextBody"/>
        <w:bidi w:val="0"/>
        <w:spacing w:lineRule="auto" w:line="312" w:before="200" w:after="200"/>
        <w:jc w:val="both"/>
        <w:rPr/>
      </w:pPr>
      <w:r>
        <w:rPr>
          <w:rFonts w:ascii="sans-serif" w:hAnsi="sans-serif"/>
          <w:b w:val="false"/>
          <w:color w:val="000000"/>
          <w:sz w:val="20"/>
        </w:rPr>
        <w:t>These condensed interim consolidated financial statements are presented in United States dollars ("</w:t>
      </w:r>
      <w:r>
        <w:rPr>
          <w:rFonts w:ascii="sans-serif" w:hAnsi="sans-serif"/>
          <w:b/>
          <w:color w:val="000000"/>
          <w:sz w:val="20"/>
        </w:rPr>
        <w:t>$</w:t>
      </w:r>
      <w:r>
        <w:rPr>
          <w:rFonts w:ascii="sans-serif" w:hAnsi="sans-serif"/>
          <w:b w:val="false"/>
          <w:color w:val="000000"/>
          <w:sz w:val="20"/>
        </w:rPr>
        <w:t>", "</w:t>
      </w:r>
      <w:r>
        <w:rPr>
          <w:rFonts w:ascii="sans-serif" w:hAnsi="sans-serif"/>
          <w:b/>
          <w:color w:val="000000"/>
          <w:sz w:val="20"/>
        </w:rPr>
        <w:t>U.S. Dollars</w:t>
      </w:r>
      <w:r>
        <w:rPr>
          <w:rFonts w:ascii="sans-serif" w:hAnsi="sans-serif"/>
          <w:b w:val="false"/>
          <w:color w:val="000000"/>
          <w:sz w:val="20"/>
        </w:rPr>
        <w:t>" or "</w:t>
      </w:r>
      <w:r>
        <w:rPr>
          <w:rFonts w:ascii="sans-serif" w:hAnsi="sans-serif"/>
          <w:b/>
          <w:color w:val="000000"/>
          <w:sz w:val="20"/>
        </w:rPr>
        <w:t>USD</w:t>
      </w:r>
      <w:r>
        <w:rPr>
          <w:rFonts w:ascii="sans-serif" w:hAnsi="sans-serif"/>
          <w:b w:val="false"/>
          <w:color w:val="000000"/>
          <w:sz w:val="20"/>
        </w:rPr>
        <w:t>"), the Company’s presentation currency. The subsidiaries’ functional currencies are as follows:</w:t>
      </w:r>
    </w:p>
    <w:tbl>
      <w:tblPr>
        <w:tblW w:w="5475" w:type="dxa"/>
        <w:jc w:val="left"/>
        <w:tblInd w:w="0" w:type="dxa"/>
        <w:tblLayout w:type="fixed"/>
        <w:tblCellMar>
          <w:top w:w="28" w:type="dxa"/>
          <w:left w:w="28" w:type="dxa"/>
          <w:bottom w:w="28" w:type="dxa"/>
          <w:right w:w="28" w:type="dxa"/>
        </w:tblCellMar>
      </w:tblPr>
      <w:tblGrid>
        <w:gridCol w:w="743"/>
        <w:gridCol w:w="653"/>
        <w:gridCol w:w="658"/>
        <w:gridCol w:w="704"/>
        <w:gridCol w:w="704"/>
        <w:gridCol w:w="707"/>
        <w:gridCol w:w="382"/>
        <w:gridCol w:w="382"/>
        <w:gridCol w:w="542"/>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20"/>
              </w:rPr>
            </w:pPr>
            <w:r>
              <w:rPr>
                <w:rFonts w:ascii="sans-serif" w:hAnsi="sans-serif"/>
                <w:b/>
                <w:color w:val="000000"/>
                <w:sz w:val="20"/>
              </w:rPr>
              <w:t>Entity</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20"/>
              </w:rPr>
            </w:pPr>
            <w:r>
              <w:rPr>
                <w:rFonts w:ascii="sans-serif" w:hAnsi="sans-serif"/>
                <w:b/>
                <w:color w:val="000000"/>
                <w:sz w:val="20"/>
              </w:rPr>
              <w:t>Currency</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color w:val="000000"/>
                <w:sz w:val="20"/>
              </w:rPr>
            </w:pPr>
            <w:r>
              <w:rPr>
                <w:rFonts w:ascii="sans-serif" w:hAnsi="sans-serif"/>
                <w:b/>
                <w:color w:val="000000"/>
                <w:sz w:val="20"/>
              </w:rPr>
              <w:t>Ownership</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Helus Pharma Corp.</w:t>
            </w:r>
          </w:p>
        </w:tc>
        <w:tc>
          <w:tcPr>
            <w:tcW w:w="2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U.S. dollars</w:t>
            </w:r>
          </w:p>
        </w:tc>
        <w:tc>
          <w:tcPr>
            <w:tcW w:w="13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53" w:after="30"/>
              <w:jc w:val="both"/>
              <w:rPr>
                <w:rFonts w:ascii="sans-serif" w:hAnsi="sans-serif"/>
                <w:b w:val="false"/>
                <w:color w:val="000000"/>
                <w:sz w:val="20"/>
              </w:rPr>
            </w:pPr>
            <w:r>
              <w:rPr>
                <w:rFonts w:ascii="sans-serif" w:hAnsi="sans-serif"/>
                <w:b w:val="false"/>
                <w:color w:val="000000"/>
                <w:sz w:val="20"/>
              </w:rPr>
              <w:t>Helus US</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U.S. dollars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Adelia</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U.S. dollars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Cybin IRL</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U.S. dollars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53" w:after="30"/>
              <w:jc w:val="both"/>
              <w:rPr/>
            </w:pPr>
            <w:r>
              <w:rPr>
                <w:rFonts w:ascii="sans-serif" w:hAnsi="sans-serif"/>
                <w:b w:val="false"/>
                <w:color w:val="000000"/>
                <w:sz w:val="20"/>
              </w:rPr>
              <w:t>Cybin UK Ltd</w:t>
            </w:r>
            <w:r>
              <w:rPr>
                <w:rFonts w:ascii="sans-serif" w:hAnsi="sans-serif"/>
                <w:b w:val="false"/>
                <w:color w:val="000000"/>
                <w:sz w:val="13"/>
              </w:rPr>
              <w:t>.</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Great Britain pounds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100%</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Helus International</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U.S. dollars</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sans-serif" w:hAnsi="sans-serif"/>
                <w:b w:val="false"/>
                <w:color w:val="000000"/>
                <w:sz w:val="20"/>
              </w:rPr>
            </w:pPr>
            <w:r>
              <w:rPr>
                <w:rFonts w:ascii="sans-serif" w:hAnsi="sans-serif"/>
                <w:b w:val="false"/>
                <w:color w:val="000000"/>
                <w:sz w:val="20"/>
              </w:rPr>
              <w:t>100%</w:t>
            </w:r>
          </w:p>
        </w:tc>
      </w:tr>
    </w:tbl>
    <w:p>
      <w:pPr>
        <w:pStyle w:val="TextBody"/>
        <w:bidi w:val="0"/>
        <w:spacing w:before="40" w:after="283"/>
        <w:ind w:left="0" w:right="0" w:hanging="90"/>
        <w:jc w:val="both"/>
        <w:rPr/>
      </w:pPr>
      <w:r>
        <w:rPr/>
      </w:r>
    </w:p>
    <w:p>
      <w:pPr>
        <w:pStyle w:val="TextBody"/>
        <w:bidi w:val="0"/>
        <w:spacing w:lineRule="auto" w:line="333" w:before="200" w:after="200"/>
        <w:jc w:val="both"/>
        <w:rPr>
          <w:rFonts w:ascii="sans-serif" w:hAnsi="sans-serif"/>
          <w:b/>
          <w:i/>
          <w:color w:val="000000"/>
          <w:sz w:val="20"/>
          <w:u w:val="single"/>
        </w:rPr>
      </w:pPr>
      <w:r>
        <w:rPr>
          <w:rFonts w:ascii="sans-serif" w:hAnsi="sans-serif"/>
          <w:b/>
          <w:i/>
          <w:color w:val="000000"/>
          <w:sz w:val="20"/>
          <w:u w:val="single"/>
        </w:rPr>
        <w:t>Material accounting policy information</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These condensed interim consolidated financial statements have been prepared using the same accounting policies and methods as those used in the Company’s annual consolidated financial statements for the year ended March 31, 2026.</w:t>
      </w:r>
    </w:p>
    <w:p>
      <w:pPr>
        <w:pStyle w:val="TextBody"/>
        <w:bidi w:val="0"/>
        <w:spacing w:lineRule="auto" w:line="333" w:before="200" w:after="283"/>
        <w:jc w:val="left"/>
        <w:rPr>
          <w:rFonts w:ascii="sans-serif" w:hAnsi="sans-serif"/>
          <w:b/>
          <w:i/>
          <w:color w:val="000000"/>
          <w:sz w:val="20"/>
          <w:u w:val="single"/>
        </w:rPr>
      </w:pPr>
      <w:r>
        <w:rPr>
          <w:rFonts w:ascii="sans-serif" w:hAnsi="sans-serif"/>
          <w:b/>
          <w:i/>
          <w:color w:val="000000"/>
          <w:sz w:val="20"/>
          <w:u w:val="single"/>
        </w:rPr>
        <w:t>Use of significant estimates and assumptions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The preparation of financial statements in accordance with IAS 34 requires the use of certain significant estimates and assumptions. It also requires management to exercise judgment when applying the Company’s accounting policies. The critical accounting estimates and judgments have been set out in note 3 of the Company’s annual consolidated financial statements for the year ended March 31, 2026.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8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8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312" w:before="200" w:after="283"/>
        <w:jc w:val="both"/>
        <w:rPr>
          <w:rFonts w:ascii="sans-serif" w:hAnsi="sans-serif"/>
          <w:b/>
          <w:i/>
          <w:color w:val="000000"/>
          <w:sz w:val="20"/>
          <w:u w:val="single"/>
        </w:rPr>
      </w:pPr>
      <w:r>
        <w:rPr>
          <w:rFonts w:ascii="sans-serif" w:hAnsi="sans-serif"/>
          <w:b/>
          <w:i/>
          <w:color w:val="000000"/>
          <w:sz w:val="20"/>
          <w:u w:val="single"/>
        </w:rPr>
        <w:t>New standards and interpretations</w:t>
      </w:r>
    </w:p>
    <w:p>
      <w:pPr>
        <w:pStyle w:val="TextBody"/>
        <w:bidi w:val="0"/>
        <w:spacing w:lineRule="auto" w:line="312" w:before="200" w:after="283"/>
        <w:jc w:val="both"/>
        <w:rPr>
          <w:rFonts w:ascii="sans-serif" w:hAnsi="sans-serif"/>
          <w:b/>
          <w:color w:val="000000"/>
          <w:sz w:val="20"/>
        </w:rPr>
      </w:pPr>
      <w:r>
        <w:rPr>
          <w:rFonts w:ascii="sans-serif" w:hAnsi="sans-serif"/>
          <w:b/>
          <w:color w:val="000000"/>
          <w:sz w:val="20"/>
        </w:rPr>
        <w:t>IFRS 9, Financial Instruments (“IFRS 9”) and IFRS 7, Financial Instruments: Disclosures (“IFRS 7”)</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 financial liabilities settled through an electronic cash transfer system (ii) providing help to determine 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fair value through other comprehensive income. The new standard is to be effective for annual periods beginning on or after January 1, 2026. The Company has determined that adoption of these amendments has no significant effect on the Company's condensed interim consolidated financial statements.</w:t>
      </w:r>
    </w:p>
    <w:p>
      <w:pPr>
        <w:pStyle w:val="TextBody"/>
        <w:bidi w:val="0"/>
        <w:spacing w:before="0" w:after="0"/>
        <w:jc w:val="both"/>
        <w:rPr/>
      </w:pPr>
      <w:r>
        <w:rPr/>
      </w:r>
    </w:p>
    <w:p>
      <w:pPr>
        <w:pStyle w:val="TextBody"/>
        <w:bidi w:val="0"/>
        <w:spacing w:lineRule="auto" w:line="312" w:before="0" w:after="0"/>
        <w:jc w:val="both"/>
        <w:rPr>
          <w:rFonts w:ascii="sans-serif" w:hAnsi="sans-serif"/>
          <w:b/>
          <w:i/>
          <w:color w:val="000000"/>
          <w:sz w:val="20"/>
          <w:u w:val="single"/>
        </w:rPr>
      </w:pPr>
      <w:r>
        <w:rPr>
          <w:rFonts w:ascii="sans-serif" w:hAnsi="sans-serif"/>
          <w:b/>
          <w:i/>
          <w:color w:val="000000"/>
          <w:sz w:val="20"/>
          <w:u w:val="single"/>
        </w:rPr>
        <w:t xml:space="preserve">New standards and interpretations not yet adopted </w:t>
      </w:r>
    </w:p>
    <w:p>
      <w:pPr>
        <w:pStyle w:val="TextBody"/>
        <w:bidi w:val="0"/>
        <w:spacing w:before="0" w:after="0"/>
        <w:jc w:val="left"/>
        <w:rPr/>
      </w:pPr>
      <w:r>
        <w:rPr/>
      </w:r>
    </w:p>
    <w:p>
      <w:pPr>
        <w:pStyle w:val="TextBody"/>
        <w:bidi w:val="0"/>
        <w:spacing w:lineRule="auto" w:line="312" w:before="0" w:after="0"/>
        <w:jc w:val="left"/>
        <w:rPr>
          <w:rFonts w:ascii="sans-serif" w:hAnsi="sans-serif"/>
          <w:b/>
          <w:color w:val="000000"/>
          <w:sz w:val="20"/>
        </w:rPr>
      </w:pPr>
      <w:r>
        <w:rPr>
          <w:rFonts w:ascii="sans-serif" w:hAnsi="sans-serif"/>
          <w:b/>
          <w:color w:val="000000"/>
          <w:sz w:val="20"/>
        </w:rPr>
        <w:t>IFRS 18, Presentation and Disclosure in Financial Statements</w:t>
      </w:r>
    </w:p>
    <w:p>
      <w:pPr>
        <w:pStyle w:val="TextBody"/>
        <w:bidi w:val="0"/>
        <w:spacing w:before="0" w:after="0"/>
        <w:jc w:val="left"/>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In April 2024, the IASB issued IFRS 18 that is to replace IAS 1, Presentation of Financial Statements. The new standard aims to improve the quality of financial reporting by: (i) requiring defined subtotals in the statement of profit or loss; (ii) requiring disclosure about management defined performance 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condensed interim consolidated financial statements.</w:t>
      </w:r>
    </w:p>
    <w:p>
      <w:pPr>
        <w:pStyle w:val="TextBody"/>
        <w:bidi w:val="0"/>
        <w:spacing w:before="0" w:after="0"/>
        <w:jc w:val="both"/>
        <w:rPr/>
      </w:pPr>
      <w:r>
        <w:rPr/>
      </w:r>
    </w:p>
    <w:p>
      <w:pPr>
        <w:pStyle w:val="TextBody"/>
        <w:bidi w:val="0"/>
        <w:spacing w:lineRule="auto" w:line="312" w:before="0" w:after="0"/>
        <w:jc w:val="both"/>
        <w:rPr>
          <w:rFonts w:ascii="sans-serif" w:hAnsi="sans-serif"/>
          <w:b w:val="false"/>
          <w:color w:val="000000"/>
          <w:sz w:val="20"/>
        </w:rPr>
      </w:pPr>
      <w:r>
        <w:rPr>
          <w:rFonts w:ascii="sans-serif" w:hAnsi="sans-serif"/>
          <w:b w:val="false"/>
          <w:color w:val="000000"/>
          <w:sz w:val="20"/>
        </w:rPr>
        <w:t>All other IFRSs and amendments issued but not yet effective have been assessed by the Company and are not expected to have a material impact on the Company's condensed interim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9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9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288" w:before="200" w:after="283"/>
        <w:ind w:left="0" w:right="0" w:hanging="357"/>
        <w:jc w:val="both"/>
        <w:rPr>
          <w:rFonts w:ascii="sans-serif" w:hAnsi="sans-serif"/>
          <w:b/>
          <w:color w:val="2D5F91"/>
          <w:sz w:val="20"/>
        </w:rPr>
      </w:pPr>
      <w:r>
        <w:rPr>
          <w:rFonts w:ascii="sans-serif" w:hAnsi="sans-serif"/>
          <w:b/>
          <w:color w:val="2D5F91"/>
          <w:sz w:val="20"/>
        </w:rPr>
        <w:t>3.    EQUIPMENT</w:t>
      </w:r>
    </w:p>
    <w:tbl>
      <w:tblPr>
        <w:tblW w:w="9232" w:type="dxa"/>
        <w:jc w:val="left"/>
        <w:tblInd w:w="0" w:type="dxa"/>
        <w:tblLayout w:type="fixed"/>
        <w:tblCellMar>
          <w:top w:w="28" w:type="dxa"/>
          <w:left w:w="28" w:type="dxa"/>
          <w:bottom w:w="28" w:type="dxa"/>
          <w:right w:w="28" w:type="dxa"/>
        </w:tblCellMar>
      </w:tblPr>
      <w:tblGrid>
        <w:gridCol w:w="1517"/>
        <w:gridCol w:w="1335"/>
        <w:gridCol w:w="1347"/>
        <w:gridCol w:w="579"/>
        <w:gridCol w:w="579"/>
        <w:gridCol w:w="581"/>
        <w:gridCol w:w="809"/>
        <w:gridCol w:w="809"/>
        <w:gridCol w:w="811"/>
        <w:gridCol w:w="285"/>
        <w:gridCol w:w="286"/>
        <w:gridCol w:w="294"/>
      </w:tblGrid>
      <w:tr>
        <w:trPr/>
        <w:tc>
          <w:tcPr>
            <w:tcW w:w="151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Lab Equipment</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Computer Equipment</w:t>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Total</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2026</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413</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398</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811</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w:t>
            </w:r>
            <w:r>
              <w:rPr>
                <w:color w:val="000000"/>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June 30,2026</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413</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407</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820</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Accumulated Depreciation</w:t>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2026</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393</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223</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616</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charge</w:t>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19 </w:t>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24</w:t>
            </w:r>
            <w:r>
              <w:rPr>
                <w:color w:val="000000"/>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June 30,2026</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398</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242</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640</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at March 31, 2026</w:t>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20</w:t>
            </w:r>
            <w:r>
              <w:rPr>
                <w:color w:val="000000"/>
              </w:rPr>
              <w:t> </w:t>
            </w:r>
          </w:p>
        </w:tc>
        <w:tc>
          <w:tcPr>
            <w:tcW w:w="5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175</w:t>
            </w:r>
            <w:r>
              <w:rPr>
                <w:color w:val="000000"/>
              </w:rPr>
              <w:t> </w:t>
            </w:r>
          </w:p>
        </w:tc>
        <w:tc>
          <w:tcPr>
            <w:tcW w:w="8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195</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at June 30, 2026</w:t>
            </w:r>
          </w:p>
        </w:tc>
        <w:tc>
          <w:tcPr>
            <w:tcW w:w="115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15</w:t>
            </w:r>
            <w:r>
              <w:rPr>
                <w:color w:val="000000"/>
              </w:rPr>
              <w:t> </w:t>
            </w:r>
          </w:p>
        </w:tc>
        <w:tc>
          <w:tcPr>
            <w:tcW w:w="5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165</w:t>
            </w:r>
            <w:r>
              <w:rPr>
                <w:color w:val="000000"/>
              </w:rPr>
              <w:t> </w:t>
            </w:r>
          </w:p>
        </w:tc>
        <w:tc>
          <w:tcPr>
            <w:tcW w:w="8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180</w:t>
            </w:r>
            <w:r>
              <w:rPr>
                <w:color w:val="000000"/>
              </w:rPr>
              <w:t> </w:t>
            </w:r>
          </w:p>
        </w:tc>
        <w:tc>
          <w:tcPr>
            <w:tcW w:w="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00"/>
        <w:ind w:left="0" w:right="0" w:hanging="360"/>
        <w:jc w:val="left"/>
        <w:rPr>
          <w:rFonts w:ascii="sans-serif" w:hAnsi="sans-serif"/>
          <w:b/>
          <w:color w:val="2D5F91"/>
          <w:sz w:val="20"/>
        </w:rPr>
      </w:pPr>
      <w:r>
        <w:rPr>
          <w:rFonts w:ascii="sans-serif" w:hAnsi="sans-serif"/>
          <w:b/>
          <w:color w:val="2D5F91"/>
          <w:sz w:val="20"/>
        </w:rPr>
        <w:t>4.    INTANGIBLE ASSETS</w:t>
      </w:r>
    </w:p>
    <w:tbl>
      <w:tblPr>
        <w:tblW w:w="9911" w:type="dxa"/>
        <w:jc w:val="left"/>
        <w:tblInd w:w="0" w:type="dxa"/>
        <w:tblLayout w:type="fixed"/>
        <w:tblCellMar>
          <w:top w:w="28" w:type="dxa"/>
          <w:left w:w="28" w:type="dxa"/>
          <w:bottom w:w="28" w:type="dxa"/>
          <w:right w:w="28" w:type="dxa"/>
        </w:tblCellMar>
      </w:tblPr>
      <w:tblGrid>
        <w:gridCol w:w="1517"/>
        <w:gridCol w:w="1335"/>
        <w:gridCol w:w="1347"/>
        <w:gridCol w:w="458"/>
        <w:gridCol w:w="458"/>
        <w:gridCol w:w="296"/>
        <w:gridCol w:w="390"/>
        <w:gridCol w:w="391"/>
        <w:gridCol w:w="321"/>
        <w:gridCol w:w="390"/>
        <w:gridCol w:w="391"/>
        <w:gridCol w:w="311"/>
        <w:gridCol w:w="365"/>
        <w:gridCol w:w="365"/>
        <w:gridCol w:w="366"/>
        <w:gridCol w:w="458"/>
        <w:gridCol w:w="458"/>
        <w:gridCol w:w="294"/>
      </w:tblGrid>
      <w:tr>
        <w:trPr/>
        <w:tc>
          <w:tcPr>
            <w:tcW w:w="151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IP R&amp;D</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Patents</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License</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Software</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Total</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w:t>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2026</w:t>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25,470</w:t>
            </w:r>
            <w:r>
              <w:rPr>
                <w:color w:val="000000"/>
              </w:rPr>
              <w:t>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3,831</w:t>
            </w: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1,019</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51</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30,371</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Additions</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311</w:t>
            </w:r>
            <w:r>
              <w:rPr>
                <w:color w:val="000000"/>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15</w:t>
            </w:r>
            <w:r>
              <w:rPr>
                <w:color w:val="000000"/>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June 30, 2026</w:t>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25,486</w:t>
            </w:r>
            <w:r>
              <w:rPr>
                <w:color w:val="000000"/>
              </w:rPr>
              <w:t>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4,141</w:t>
            </w: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1,019</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51</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30,697</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Accumulated Amortization</w:t>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2026</w:t>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96</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51</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147</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charge</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7</w:t>
            </w:r>
            <w:r>
              <w:rPr>
                <w:color w:val="000000"/>
              </w:rPr>
              <w:t>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June 30, 2026</w:t>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103</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51</w:t>
            </w: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154</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at March 31, 2026</w:t>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25,470</w:t>
            </w:r>
            <w:r>
              <w:rPr>
                <w:color w:val="000000"/>
              </w:rPr>
              <w:t> </w:t>
            </w:r>
          </w:p>
        </w:tc>
        <w:tc>
          <w:tcPr>
            <w:tcW w:w="2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3,831</w:t>
            </w:r>
            <w:r>
              <w:rPr>
                <w:color w:val="000000"/>
              </w:rPr>
              <w:t>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923</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30,224</w:t>
            </w:r>
            <w:r>
              <w:rPr>
                <w:color w:val="000000"/>
              </w:rPr>
              <w:t> </w:t>
            </w:r>
          </w:p>
        </w:tc>
        <w:tc>
          <w:tcPr>
            <w:tcW w:w="2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book value as at June 30, 2026</w:t>
            </w:r>
          </w:p>
        </w:tc>
        <w:tc>
          <w:tcPr>
            <w:tcW w:w="9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25,486</w:t>
            </w:r>
            <w:r>
              <w:rPr>
                <w:color w:val="000000"/>
              </w:rPr>
              <w:t> </w:t>
            </w:r>
          </w:p>
        </w:tc>
        <w:tc>
          <w:tcPr>
            <w:tcW w:w="2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4,141</w:t>
            </w:r>
            <w:r>
              <w:rPr>
                <w:color w:val="000000"/>
              </w:rPr>
              <w:t> </w:t>
            </w:r>
          </w:p>
        </w:tc>
        <w:tc>
          <w:tcPr>
            <w:tcW w:w="3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916</w:t>
            </w:r>
            <w:r>
              <w:rPr>
                <w:color w:val="000000"/>
              </w:rPr>
              <w:t> </w:t>
            </w:r>
          </w:p>
        </w:tc>
        <w:tc>
          <w:tcPr>
            <w:tcW w:w="3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30,543</w:t>
            </w:r>
            <w:r>
              <w:rPr>
                <w:color w:val="000000"/>
              </w:rPr>
              <w:t> </w:t>
            </w:r>
          </w:p>
        </w:tc>
        <w:tc>
          <w:tcPr>
            <w:tcW w:w="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0"/>
        <w:jc w:val="both"/>
        <w:rPr>
          <w:rFonts w:ascii="sans-serif" w:hAnsi="sans-serif"/>
          <w:b/>
          <w:i/>
          <w:color w:val="000000"/>
          <w:sz w:val="20"/>
        </w:rPr>
      </w:pPr>
      <w:r>
        <w:rPr>
          <w:rFonts w:ascii="sans-serif" w:hAnsi="sans-serif"/>
          <w:b/>
          <w:i/>
          <w:color w:val="000000"/>
          <w:sz w:val="20"/>
        </w:rPr>
        <w:t>Patents</w:t>
      </w:r>
    </w:p>
    <w:p>
      <w:pPr>
        <w:pStyle w:val="TextBody"/>
        <w:bidi w:val="0"/>
        <w:spacing w:before="0" w:after="0"/>
        <w:jc w:val="left"/>
        <w:rPr/>
      </w:pPr>
      <w:r>
        <w:rPr/>
      </w:r>
    </w:p>
    <w:p>
      <w:pPr>
        <w:pStyle w:val="TextBody"/>
        <w:bidi w:val="0"/>
        <w:spacing w:lineRule="auto" w:line="312" w:before="0" w:after="0"/>
        <w:jc w:val="left"/>
        <w:rPr>
          <w:rFonts w:ascii="sans-serif" w:hAnsi="sans-serif"/>
          <w:b w:val="false"/>
          <w:color w:val="000000"/>
          <w:sz w:val="20"/>
        </w:rPr>
      </w:pPr>
      <w:r>
        <w:rPr>
          <w:rFonts w:ascii="sans-serif" w:hAnsi="sans-serif"/>
          <w:b w:val="false"/>
          <w:color w:val="000000"/>
          <w:sz w:val="20"/>
        </w:rPr>
        <w:t>Costs associated with patent procurement.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10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10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240" w:before="0" w:after="0"/>
        <w:jc w:val="both"/>
        <w:rPr>
          <w:rFonts w:ascii="sans-serif" w:hAnsi="sans-serif"/>
          <w:b/>
          <w:color w:val="2D5F91"/>
          <w:sz w:val="20"/>
        </w:rPr>
      </w:pPr>
      <w:r>
        <w:rPr>
          <w:rFonts w:ascii="sans-serif" w:hAnsi="sans-serif"/>
          <w:b/>
          <w:color w:val="2D5F91"/>
          <w:sz w:val="20"/>
        </w:rPr>
        <w:t>5. GOODWILL</w:t>
      </w:r>
    </w:p>
    <w:p>
      <w:pPr>
        <w:pStyle w:val="TextBody"/>
        <w:bidi w:val="0"/>
        <w:spacing w:before="0" w:after="0"/>
        <w:jc w:val="left"/>
        <w:rPr/>
      </w:pPr>
      <w:r>
        <w:rPr/>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 xml:space="preserve">Goodwill is recognized at the acquisition date when total consideration exceeds the net identifiable assets acquired. </w:t>
      </w:r>
    </w:p>
    <w:p>
      <w:pPr>
        <w:pStyle w:val="TextBody"/>
        <w:bidi w:val="0"/>
        <w:spacing w:before="0" w:after="0"/>
        <w:jc w:val="left"/>
        <w:rPr/>
      </w:pPr>
      <w:r>
        <w:rPr/>
      </w:r>
    </w:p>
    <w:tbl>
      <w:tblPr>
        <w:tblW w:w="4474" w:type="dxa"/>
        <w:jc w:val="left"/>
        <w:tblInd w:w="0" w:type="dxa"/>
        <w:tblLayout w:type="fixed"/>
        <w:tblCellMar>
          <w:top w:w="28" w:type="dxa"/>
          <w:left w:w="28" w:type="dxa"/>
          <w:bottom w:w="28" w:type="dxa"/>
          <w:right w:w="28" w:type="dxa"/>
        </w:tblCellMar>
      </w:tblPr>
      <w:tblGrid>
        <w:gridCol w:w="1230"/>
        <w:gridCol w:w="1082"/>
        <w:gridCol w:w="1092"/>
        <w:gridCol w:w="458"/>
        <w:gridCol w:w="458"/>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Cost</w:t>
            </w:r>
          </w:p>
        </w:tc>
        <w:tc>
          <w:tcPr>
            <w:tcW w:w="107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March 31, 2026</w:t>
            </w:r>
          </w:p>
        </w:tc>
        <w:tc>
          <w:tcPr>
            <w:tcW w:w="9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36,225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foreign exchange</w:t>
            </w:r>
          </w:p>
        </w:tc>
        <w:tc>
          <w:tcPr>
            <w:tcW w:w="9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as at June 30, 2026</w:t>
            </w:r>
          </w:p>
        </w:tc>
        <w:tc>
          <w:tcPr>
            <w:tcW w:w="9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36,237</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360"/>
        <w:jc w:val="left"/>
        <w:rPr>
          <w:rFonts w:ascii="sans-serif" w:hAnsi="sans-serif"/>
          <w:b/>
          <w:color w:val="2D5F91"/>
          <w:sz w:val="20"/>
        </w:rPr>
      </w:pPr>
      <w:r>
        <w:rPr>
          <w:rFonts w:ascii="sans-serif" w:hAnsi="sans-serif"/>
          <w:b/>
          <w:color w:val="2D5F91"/>
          <w:sz w:val="20"/>
        </w:rPr>
        <w:t>6.    SHARE CAPITAL</w:t>
      </w:r>
    </w:p>
    <w:p>
      <w:pPr>
        <w:pStyle w:val="TextBody"/>
        <w:bidi w:val="0"/>
        <w:spacing w:lineRule="auto" w:line="333" w:before="200" w:after="283"/>
        <w:ind w:left="0" w:right="0" w:hanging="360"/>
        <w:jc w:val="left"/>
        <w:rPr/>
      </w:pPr>
      <w:r>
        <w:rPr>
          <w:rFonts w:ascii="sans-serif" w:hAnsi="sans-serif"/>
          <w:b/>
          <w:color w:val="000000"/>
          <w:sz w:val="20"/>
        </w:rPr>
        <w:t>a)</w:t>
      </w:r>
      <w:r>
        <w:rPr>
          <w:rFonts w:ascii="sans-serif" w:hAnsi="sans-serif"/>
          <w:b/>
          <w:color w:val="000000"/>
          <w:sz w:val="20"/>
          <w:u w:val="single"/>
        </w:rPr>
        <w:t>Authorized share capital</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authorized share capital of Helus Pharma consists of an unlimited number of Common Shares and an unlimited number of preferred shares without par value. The board of directors of Helus Pharma would determine the designation, rights, privileges, and conditions attached to any preferred shares prior to issuance.</w:t>
      </w:r>
    </w:p>
    <w:p>
      <w:pPr>
        <w:pStyle w:val="TextBody"/>
        <w:bidi w:val="0"/>
        <w:spacing w:lineRule="auto" w:line="333" w:before="200" w:after="283"/>
        <w:ind w:left="0" w:right="0" w:hanging="360"/>
        <w:jc w:val="left"/>
        <w:rPr/>
      </w:pPr>
      <w:r>
        <w:rPr>
          <w:rFonts w:ascii="sans-serif" w:hAnsi="sans-serif"/>
          <w:b/>
          <w:color w:val="000000"/>
          <w:sz w:val="20"/>
        </w:rPr>
        <w:t>b)</w:t>
      </w:r>
      <w:r>
        <w:rPr>
          <w:rFonts w:ascii="sans-serif" w:hAnsi="sans-serif"/>
          <w:b/>
          <w:color w:val="000000"/>
          <w:sz w:val="20"/>
          <w:u w:val="single"/>
        </w:rPr>
        <w:t>Issued share capital</w:t>
      </w:r>
    </w:p>
    <w:p>
      <w:pPr>
        <w:pStyle w:val="TextBody"/>
        <w:bidi w:val="0"/>
        <w:spacing w:lineRule="auto" w:line="333" w:before="200" w:after="283"/>
        <w:jc w:val="both"/>
        <w:rPr>
          <w:rFonts w:ascii="sans-serif" w:hAnsi="sans-serif"/>
          <w:b/>
          <w:i/>
          <w:color w:val="000000"/>
          <w:sz w:val="20"/>
        </w:rPr>
      </w:pPr>
      <w:r>
        <w:rPr>
          <w:rFonts w:ascii="sans-serif" w:hAnsi="sans-serif"/>
          <w:b/>
          <w:i/>
          <w:color w:val="000000"/>
          <w:sz w:val="20"/>
        </w:rPr>
        <w:t>Common Shares</w:t>
      </w:r>
    </w:p>
    <w:p>
      <w:pPr>
        <w:pStyle w:val="TextBody"/>
        <w:bidi w:val="0"/>
        <w:spacing w:lineRule="auto" w:line="288" w:before="200" w:after="283"/>
        <w:jc w:val="both"/>
        <w:rPr>
          <w:rFonts w:ascii="sans-serif" w:hAnsi="sans-serif"/>
          <w:b/>
          <w:i/>
          <w:color w:val="000000"/>
          <w:sz w:val="20"/>
        </w:rPr>
      </w:pPr>
      <w:r>
        <w:rPr>
          <w:rFonts w:ascii="sans-serif" w:hAnsi="sans-serif"/>
          <w:b/>
          <w:i/>
          <w:color w:val="000000"/>
          <w:sz w:val="20"/>
        </w:rPr>
        <w:t>During the three months ended June 30, 2026, the Company completed the following share issuances:</w:t>
      </w:r>
    </w:p>
    <w:p>
      <w:pPr>
        <w:pStyle w:val="TextBody"/>
        <w:bidi w:val="0"/>
        <w:spacing w:lineRule="auto" w:line="268" w:before="200" w:after="283"/>
        <w:jc w:val="both"/>
        <w:rPr/>
      </w:pPr>
      <w:r>
        <w:rPr>
          <w:rFonts w:ascii="sans-serif" w:hAnsi="sans-serif"/>
          <w:b w:val="false"/>
          <w:color w:val="000000"/>
          <w:sz w:val="20"/>
        </w:rPr>
        <w:t>On June 17, 2026,</w:t>
      </w:r>
      <w:r>
        <w:rPr>
          <w:color w:val="000000"/>
        </w:rPr>
        <w:t xml:space="preserve"> </w:t>
      </w:r>
      <w:r>
        <w:rPr>
          <w:rFonts w:ascii="sans-serif" w:hAnsi="sans-serif"/>
          <w:b w:val="false"/>
          <w:color w:val="000000"/>
          <w:sz w:val="20"/>
        </w:rPr>
        <w:t>42,997 Pre-Funded Warrants were exercised and converted into 42,994 Common Shares.</w:t>
      </w:r>
    </w:p>
    <w:p>
      <w:pPr>
        <w:pStyle w:val="TextBody"/>
        <w:bidi w:val="0"/>
        <w:spacing w:lineRule="auto" w:line="333" w:before="200" w:after="283"/>
        <w:jc w:val="both"/>
        <w:rPr/>
      </w:pPr>
      <w:r>
        <w:rPr>
          <w:rFonts w:ascii="sans-serif" w:hAnsi="sans-serif"/>
          <w:b w:val="false"/>
          <w:color w:val="000000"/>
          <w:sz w:val="20"/>
        </w:rPr>
        <w:t>On June 25, 2026,</w:t>
      </w:r>
      <w:r>
        <w:rPr>
          <w:color w:val="000000"/>
        </w:rPr>
        <w:t xml:space="preserve"> </w:t>
      </w:r>
      <w:r>
        <w:rPr>
          <w:rFonts w:ascii="sans-serif" w:hAnsi="sans-serif"/>
          <w:b w:val="false"/>
          <w:color w:val="000000"/>
          <w:sz w:val="20"/>
        </w:rPr>
        <w:t>the Company completed an underwritten offering of 10,309,280 Common Shares at an offering price of</w:t>
      </w:r>
      <w:r>
        <w:rPr>
          <w:color w:val="000000"/>
        </w:rPr>
        <w:t xml:space="preserve"> </w:t>
      </w:r>
      <w:r>
        <w:rPr>
          <w:rFonts w:ascii="sans-serif" w:hAnsi="sans-serif"/>
          <w:b w:val="false"/>
          <w:color w:val="000000"/>
          <w:sz w:val="20"/>
        </w:rPr>
        <w:t>$4.85 per Common Share for aggregate gross proceeds of</w:t>
      </w:r>
      <w:r>
        <w:rPr>
          <w:color w:val="000000"/>
        </w:rPr>
        <w:t xml:space="preserve"> </w:t>
      </w:r>
      <w:r>
        <w:rPr>
          <w:rFonts w:ascii="sans-serif" w:hAnsi="sans-serif"/>
          <w:b w:val="false"/>
          <w:color w:val="000000"/>
          <w:sz w:val="20"/>
        </w:rPr>
        <w:t>$50,000, pursuant to an underwriting agreement dated June 23, 2026, between the Company and Cantor Fitzgerald &amp; Co., Barclays Capital Inc., Bloom Burton Securities Inc., and Lucid Capital Markets.</w:t>
      </w:r>
      <w:r>
        <w:rPr>
          <w:color w:val="000000"/>
        </w:rPr>
        <w:t xml:space="preserve"> </w:t>
      </w:r>
      <w:r>
        <w:rPr>
          <w:rFonts w:ascii="sans-serif" w:hAnsi="sans-serif"/>
          <w:b w:val="false"/>
          <w:color w:val="000000"/>
          <w:sz w:val="20"/>
        </w:rPr>
        <w:t>In consideration for their services, the Company paid to the underwriters a cash commission of $3,000 and incurred additional share issuance costs, being professional fees of $467.</w:t>
      </w:r>
    </w:p>
    <w:p>
      <w:pPr>
        <w:pStyle w:val="TextBody"/>
        <w:bidi w:val="0"/>
        <w:spacing w:lineRule="auto" w:line="312" w:before="200" w:after="283"/>
        <w:jc w:val="both"/>
        <w:rPr/>
      </w:pPr>
      <w:r>
        <w:rPr>
          <w:rFonts w:ascii="sans-serif" w:hAnsi="sans-serif"/>
          <w:b/>
          <w:i/>
          <w:color w:val="000000"/>
          <w:sz w:val="20"/>
        </w:rPr>
        <w:t>Preferred</w:t>
      </w:r>
      <w:r>
        <w:rPr>
          <w:color w:val="000000"/>
        </w:rPr>
        <w:t xml:space="preserve"> </w:t>
      </w:r>
      <w:r>
        <w:rPr>
          <w:rFonts w:ascii="sans-serif" w:hAnsi="sans-serif"/>
          <w:b/>
          <w:i/>
          <w:color w:val="000000"/>
          <w:sz w:val="20"/>
        </w:rPr>
        <w:t>Shares</w:t>
      </w:r>
    </w:p>
    <w:p>
      <w:pPr>
        <w:pStyle w:val="TextBody"/>
        <w:bidi w:val="0"/>
        <w:spacing w:lineRule="auto" w:line="333" w:before="200" w:after="283"/>
        <w:jc w:val="both"/>
        <w:rPr/>
      </w:pPr>
      <w:r>
        <w:rPr>
          <w:rFonts w:ascii="sans-serif" w:hAnsi="sans-serif"/>
          <w:b w:val="false"/>
          <w:color w:val="000000"/>
          <w:sz w:val="20"/>
        </w:rPr>
        <w:t>As at June 30, 2026,</w:t>
      </w:r>
      <w:r>
        <w:rPr>
          <w:color w:val="000000"/>
        </w:rPr>
        <w:t xml:space="preserve"> </w:t>
      </w:r>
      <w:r>
        <w:rPr>
          <w:rFonts w:ascii="sans-serif" w:hAnsi="sans-serif"/>
          <w:b w:val="false"/>
          <w:color w:val="000000"/>
          <w:sz w:val="20"/>
        </w:rPr>
        <w:t>the Company had no preferred shares outstanding.</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11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11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312" w:before="200" w:after="283"/>
        <w:ind w:left="0" w:right="0" w:hanging="357"/>
        <w:jc w:val="both"/>
        <w:rPr/>
      </w:pPr>
      <w:r>
        <w:rPr>
          <w:rFonts w:ascii="sans-serif" w:hAnsi="sans-serif"/>
          <w:b/>
          <w:color w:val="000000"/>
          <w:sz w:val="20"/>
        </w:rPr>
        <w:t>c)</w:t>
      </w:r>
      <w:r>
        <w:rPr>
          <w:rFonts w:ascii="sans-serif" w:hAnsi="sans-serif"/>
          <w:b/>
          <w:color w:val="000000"/>
          <w:sz w:val="20"/>
          <w:u w:val="single"/>
        </w:rPr>
        <w:t>Pre-Funded Warrants</w:t>
      </w:r>
    </w:p>
    <w:p>
      <w:pPr>
        <w:pStyle w:val="TextBody"/>
        <w:bidi w:val="0"/>
        <w:spacing w:before="0" w:after="0"/>
        <w:ind w:left="0" w:right="0" w:firstLine="3"/>
        <w:jc w:val="both"/>
        <w:rPr/>
      </w:pPr>
      <w:r>
        <w:rPr/>
      </w:r>
    </w:p>
    <w:p>
      <w:pPr>
        <w:pStyle w:val="TextBody"/>
        <w:bidi w:val="0"/>
        <w:spacing w:lineRule="auto" w:line="276" w:before="200" w:after="283"/>
        <w:jc w:val="both"/>
        <w:rPr>
          <w:rFonts w:ascii="sans-serif" w:hAnsi="sans-serif"/>
          <w:b w:val="false"/>
          <w:color w:val="000000"/>
          <w:sz w:val="20"/>
        </w:rPr>
      </w:pPr>
      <w:r>
        <w:rPr>
          <w:rFonts w:ascii="sans-serif" w:hAnsi="sans-serif"/>
          <w:b w:val="false"/>
          <w:color w:val="000000"/>
          <w:sz w:val="20"/>
        </w:rPr>
        <w:t>The continuity of the outstanding Pre-Funded Warrants for the three months ended June 30, 2026, is as follows:</w:t>
      </w:r>
    </w:p>
    <w:p>
      <w:pPr>
        <w:pStyle w:val="TextBody"/>
        <w:bidi w:val="0"/>
        <w:spacing w:before="0" w:after="0"/>
        <w:jc w:val="both"/>
        <w:rPr/>
      </w:pPr>
      <w:r>
        <w:rPr/>
      </w:r>
    </w:p>
    <w:tbl>
      <w:tblPr>
        <w:tblW w:w="9779" w:type="dxa"/>
        <w:jc w:val="left"/>
        <w:tblInd w:w="0" w:type="dxa"/>
        <w:tblLayout w:type="fixed"/>
        <w:tblCellMar>
          <w:top w:w="28" w:type="dxa"/>
          <w:left w:w="28" w:type="dxa"/>
          <w:bottom w:w="28" w:type="dxa"/>
          <w:right w:w="28" w:type="dxa"/>
        </w:tblCellMar>
      </w:tblPr>
      <w:tblGrid>
        <w:gridCol w:w="1331"/>
        <w:gridCol w:w="1171"/>
        <w:gridCol w:w="1173"/>
        <w:gridCol w:w="784"/>
        <w:gridCol w:w="784"/>
        <w:gridCol w:w="786"/>
        <w:gridCol w:w="1097"/>
        <w:gridCol w:w="1097"/>
        <w:gridCol w:w="1556"/>
      </w:tblGrid>
      <w:tr>
        <w:trPr/>
        <w:tc>
          <w:tcPr>
            <w:tcW w:w="133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Warrants</w:t>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Weighted average exercise price</w:t>
            </w:r>
          </w:p>
        </w:tc>
      </w:tr>
      <w:tr>
        <w:trPr/>
        <w:tc>
          <w:tcPr>
            <w:tcW w:w="3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i/>
                <w:color w:val="000000"/>
                <w:sz w:val="20"/>
              </w:rPr>
            </w:pPr>
            <w:r>
              <w:rPr>
                <w:rFonts w:ascii="sans-serif" w:hAnsi="sans-serif"/>
                <w:b/>
                <w:i/>
                <w:color w:val="000000"/>
                <w:sz w:val="20"/>
              </w:rPr>
              <w:t>Pre-Funded Warrants</w:t>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at March 31, 2026</w:t>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3,040,250 </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0.00001 </w:t>
            </w:r>
          </w:p>
        </w:tc>
        <w:tc>
          <w:tcPr>
            <w:tcW w:w="15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Issued</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Exercised</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(42,997)</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0.00001 </w:t>
            </w:r>
          </w:p>
        </w:tc>
        <w:tc>
          <w:tcPr>
            <w:tcW w:w="1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Outstanding as at June 30, 2026</w:t>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2,997,253</w:t>
            </w:r>
            <w:r>
              <w:rPr>
                <w:color w:val="000000"/>
              </w:rPr>
              <w:t> </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0.00001</w:t>
            </w:r>
            <w:r>
              <w:rPr>
                <w:color w:val="000000"/>
              </w:rPr>
              <w:t> </w:t>
            </w:r>
          </w:p>
        </w:tc>
        <w:tc>
          <w:tcPr>
            <w:tcW w:w="15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Exercisable as at June 30, 2026</w:t>
            </w:r>
          </w:p>
        </w:tc>
        <w:tc>
          <w:tcPr>
            <w:tcW w:w="156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2,997,253</w:t>
            </w:r>
            <w:r>
              <w:rPr>
                <w:color w:val="000000"/>
              </w:rPr>
              <w:t> </w:t>
            </w:r>
          </w:p>
        </w:tc>
        <w:tc>
          <w:tcPr>
            <w:tcW w:w="7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0.00001</w:t>
            </w:r>
            <w:r>
              <w:rPr>
                <w:color w:val="000000"/>
              </w:rPr>
              <w:t> </w:t>
            </w:r>
          </w:p>
        </w:tc>
        <w:tc>
          <w:tcPr>
            <w:tcW w:w="1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00" w:after="283"/>
        <w:jc w:val="both"/>
        <w:rPr/>
      </w:pPr>
      <w:r>
        <w:rPr>
          <w:rFonts w:ascii="sans-serif" w:hAnsi="sans-serif"/>
          <w:b w:val="false"/>
          <w:color w:val="000000"/>
          <w:sz w:val="20"/>
        </w:rPr>
        <w:t>On June 17, 2026,</w:t>
      </w:r>
      <w:r>
        <w:rPr>
          <w:color w:val="000000"/>
        </w:rPr>
        <w:t xml:space="preserve"> </w:t>
      </w:r>
      <w:r>
        <w:rPr>
          <w:rFonts w:ascii="sans-serif" w:hAnsi="sans-serif"/>
          <w:b w:val="false"/>
          <w:color w:val="000000"/>
          <w:sz w:val="20"/>
        </w:rPr>
        <w:t>42,997 Pre-Funded Warrants were exercised and converted into 42,994 Common Shares.</w:t>
      </w:r>
    </w:p>
    <w:p>
      <w:pPr>
        <w:pStyle w:val="TextBody"/>
        <w:bidi w:val="0"/>
        <w:spacing w:lineRule="auto" w:line="312" w:before="200" w:after="283"/>
        <w:ind w:left="0" w:right="0" w:hanging="357"/>
        <w:jc w:val="both"/>
        <w:rPr/>
      </w:pPr>
      <w:r>
        <w:rPr>
          <w:rFonts w:ascii="sans-serif" w:hAnsi="sans-serif"/>
          <w:b/>
          <w:color w:val="000000"/>
          <w:sz w:val="20"/>
          <w:shd w:fill="FFFFFF" w:val="clear"/>
        </w:rPr>
        <w:t>d)</w:t>
      </w:r>
      <w:r>
        <w:rPr>
          <w:rFonts w:ascii="sans-serif" w:hAnsi="sans-serif"/>
          <w:b/>
          <w:color w:val="000000"/>
          <w:sz w:val="20"/>
          <w:u w:val="single"/>
        </w:rPr>
        <w:t>Warrants</w:t>
      </w:r>
    </w:p>
    <w:p>
      <w:pPr>
        <w:pStyle w:val="TextBody"/>
        <w:bidi w:val="0"/>
        <w:spacing w:before="0" w:after="0"/>
        <w:ind w:left="0" w:right="0" w:firstLine="3"/>
        <w:jc w:val="both"/>
        <w:rPr/>
      </w:pPr>
      <w:r>
        <w:rPr/>
      </w:r>
    </w:p>
    <w:p>
      <w:pPr>
        <w:pStyle w:val="TextBody"/>
        <w:bidi w:val="0"/>
        <w:spacing w:lineRule="auto" w:line="276" w:before="0" w:after="0"/>
        <w:jc w:val="both"/>
        <w:rPr>
          <w:rFonts w:ascii="sans-serif" w:hAnsi="sans-serif"/>
          <w:b w:val="false"/>
          <w:color w:val="000000"/>
          <w:sz w:val="20"/>
        </w:rPr>
      </w:pPr>
      <w:r>
        <w:rPr>
          <w:rFonts w:ascii="sans-serif" w:hAnsi="sans-serif"/>
          <w:b w:val="false"/>
          <w:color w:val="000000"/>
          <w:sz w:val="20"/>
        </w:rPr>
        <w:t>The continuity of the outstanding warrants for the three months ended June 30, 2026, is as follows:</w:t>
      </w:r>
    </w:p>
    <w:p>
      <w:pPr>
        <w:pStyle w:val="TextBody"/>
        <w:bidi w:val="0"/>
        <w:spacing w:before="0" w:after="0"/>
        <w:jc w:val="both"/>
        <w:rPr/>
      </w:pPr>
      <w:r>
        <w:rPr/>
      </w:r>
    </w:p>
    <w:tbl>
      <w:tblPr>
        <w:tblW w:w="10167" w:type="dxa"/>
        <w:jc w:val="left"/>
        <w:tblInd w:w="0" w:type="dxa"/>
        <w:tblLayout w:type="fixed"/>
        <w:tblCellMar>
          <w:top w:w="28" w:type="dxa"/>
          <w:left w:w="28" w:type="dxa"/>
          <w:bottom w:w="28" w:type="dxa"/>
          <w:right w:w="28" w:type="dxa"/>
        </w:tblCellMar>
      </w:tblPr>
      <w:tblGrid>
        <w:gridCol w:w="1439"/>
        <w:gridCol w:w="1264"/>
        <w:gridCol w:w="1271"/>
        <w:gridCol w:w="784"/>
        <w:gridCol w:w="784"/>
        <w:gridCol w:w="786"/>
        <w:gridCol w:w="1123"/>
        <w:gridCol w:w="1123"/>
        <w:gridCol w:w="1593"/>
      </w:tblGrid>
      <w:tr>
        <w:trPr/>
        <w:tc>
          <w:tcPr>
            <w:tcW w:w="143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Warrants</w:t>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sans-serif" w:hAnsi="sans-serif"/>
                <w:b/>
                <w:color w:val="000000"/>
                <w:sz w:val="20"/>
              </w:rPr>
              <w:t>Weighted average exercise price</w:t>
            </w:r>
            <w:r>
              <w:rPr>
                <w:rFonts w:ascii="sans-serif" w:hAnsi="sans-serif"/>
                <w:b/>
                <w:color w:val="000000"/>
                <w:sz w:val="13"/>
              </w:rPr>
              <w:t>1</w:t>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i/>
                <w:color w:val="000000"/>
                <w:sz w:val="20"/>
              </w:rPr>
            </w:pPr>
            <w:r>
              <w:rPr>
                <w:rFonts w:ascii="sans-serif" w:hAnsi="sans-serif"/>
                <w:b/>
                <w:i/>
                <w:color w:val="000000"/>
                <w:sz w:val="20"/>
              </w:rPr>
              <w:t>Common Share Purchase Warrants</w:t>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at March 31, 2026</w:t>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12,205,335 </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10.11</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Issued</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Exercised</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Expired</w:t>
            </w:r>
          </w:p>
        </w:tc>
        <w:tc>
          <w:tcPr>
            <w:tcW w:w="15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Outstanding as at June 30 2026</w:t>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12,205,335 </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10.11 </w:t>
            </w:r>
          </w:p>
        </w:tc>
        <w:tc>
          <w:tcPr>
            <w:tcW w:w="15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Exercisable as at June 30, 2026</w:t>
            </w:r>
          </w:p>
        </w:tc>
        <w:tc>
          <w:tcPr>
            <w:tcW w:w="15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12,205,335 </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10.11 </w:t>
            </w:r>
          </w:p>
        </w:tc>
        <w:tc>
          <w:tcPr>
            <w:tcW w:w="15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both"/>
        <w:rPr/>
      </w:pPr>
      <w:r>
        <w:rPr>
          <w:rFonts w:ascii="sans-serif" w:hAnsi="sans-serif"/>
          <w:b w:val="false"/>
          <w:i/>
          <w:color w:val="000000"/>
          <w:sz w:val="12"/>
        </w:rPr>
        <w:t>1</w:t>
      </w:r>
      <w:r>
        <w:rPr>
          <w:rFonts w:ascii="sans-serif" w:hAnsi="sans-serif"/>
          <w:b w:val="false"/>
          <w:i/>
          <w:color w:val="000000"/>
          <w:sz w:val="18"/>
        </w:rPr>
        <w:t>Certain warrants were issued in CAD, the weighted average exercise price is calculated using the closing exchange rate in effect as at the respective dates.</w:t>
      </w:r>
    </w:p>
    <w:p>
      <w:pPr>
        <w:pStyle w:val="TextBody"/>
        <w:bidi w:val="0"/>
        <w:spacing w:before="0" w:after="0"/>
        <w:jc w:val="both"/>
        <w:rPr/>
      </w:pPr>
      <w:r>
        <w:rPr/>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12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12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240" w:before="0" w:after="0"/>
        <w:ind w:left="0" w:right="0" w:firstLine="360"/>
        <w:jc w:val="both"/>
        <w:rPr>
          <w:rFonts w:ascii="sans-serif" w:hAnsi="sans-serif"/>
          <w:b w:val="false"/>
          <w:color w:val="000000"/>
          <w:sz w:val="20"/>
        </w:rPr>
      </w:pPr>
      <w:r>
        <w:rPr>
          <w:rFonts w:ascii="sans-serif" w:hAnsi="sans-serif"/>
          <w:b w:val="false"/>
          <w:color w:val="000000"/>
          <w:sz w:val="20"/>
        </w:rPr>
        <w:t>The following summarizes information about warrants outstanding as at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31"/>
        <w:gridCol w:w="328"/>
        <w:gridCol w:w="305"/>
        <w:gridCol w:w="829"/>
        <w:gridCol w:w="603"/>
        <w:gridCol w:w="520"/>
        <w:gridCol w:w="809"/>
        <w:gridCol w:w="617"/>
        <w:gridCol w:w="500"/>
        <w:gridCol w:w="419"/>
        <w:gridCol w:w="1163"/>
        <w:gridCol w:w="180"/>
        <w:gridCol w:w="473"/>
        <w:gridCol w:w="459"/>
        <w:gridCol w:w="460"/>
        <w:gridCol w:w="557"/>
        <w:gridCol w:w="557"/>
        <w:gridCol w:w="795"/>
      </w:tblGrid>
      <w:tr>
        <w:trPr/>
        <w:tc>
          <w:tcPr>
            <w:tcW w:w="63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Date of Expiry</w:t>
            </w:r>
          </w:p>
        </w:tc>
        <w:tc>
          <w:tcPr>
            <w:tcW w:w="1952"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Warrants outstanding</w:t>
            </w:r>
          </w:p>
        </w:tc>
        <w:tc>
          <w:tcPr>
            <w:tcW w:w="1926"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Warrants exercisable</w:t>
            </w:r>
          </w:p>
        </w:tc>
        <w:tc>
          <w:tcPr>
            <w:tcW w:w="1762"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Weighted average of exercisable price</w:t>
            </w:r>
          </w:p>
        </w:tc>
        <w:tc>
          <w:tcPr>
            <w:tcW w:w="1392"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sans-serif" w:hAnsi="sans-serif"/>
                <w:b/>
                <w:color w:val="000000"/>
                <w:sz w:val="20"/>
              </w:rPr>
            </w:pPr>
            <w:r>
              <w:rPr>
                <w:rFonts w:ascii="sans-serif" w:hAnsi="sans-serif"/>
                <w:b/>
                <w:color w:val="000000"/>
                <w:sz w:val="20"/>
              </w:rPr>
              <w:t xml:space="preserve">Estimated fair value </w:t>
            </w:r>
          </w:p>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c>
          <w:tcPr>
            <w:tcW w:w="1909"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Weighted average remaining contractual life</w:t>
            </w:r>
          </w:p>
          <w:p>
            <w:pPr>
              <w:pStyle w:val="TableContents"/>
              <w:bidi w:val="0"/>
              <w:spacing w:lineRule="auto" w:line="240" w:before="0" w:after="0"/>
              <w:jc w:val="right"/>
              <w:rPr>
                <w:rFonts w:ascii="sans-serif" w:hAnsi="sans-serif"/>
                <w:b/>
                <w:color w:val="000000"/>
                <w:sz w:val="20"/>
              </w:rPr>
            </w:pPr>
            <w:r>
              <w:rPr>
                <w:rFonts w:ascii="sans-serif" w:hAnsi="sans-serif"/>
                <w:b/>
                <w:color w:val="000000"/>
                <w:sz w:val="20"/>
              </w:rPr>
              <w:t>Years</w:t>
            </w:r>
          </w:p>
        </w:tc>
      </w:tr>
      <w:tr>
        <w:trPr/>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June 30, 2027</w:t>
            </w:r>
            <w:r>
              <w:rPr>
                <w:rFonts w:ascii="sans-serif" w:hAnsi="sans-serif"/>
                <w:b w:val="false"/>
                <w:color w:val="000000"/>
                <w:sz w:val="13"/>
              </w:rPr>
              <w:t>1</w:t>
            </w:r>
          </w:p>
        </w:tc>
        <w:tc>
          <w:tcPr>
            <w:tcW w:w="14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9,409,138 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9,409,138 </w:t>
            </w:r>
          </w:p>
        </w:tc>
        <w:tc>
          <w:tcPr>
            <w:tcW w:w="5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8.14 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19,011 </w:t>
            </w:r>
          </w:p>
        </w:tc>
        <w:tc>
          <w:tcPr>
            <w:tcW w:w="4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w:t>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4, 2028</w:t>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635,887 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635,887 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3,184 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w:t>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May 14, 2029</w:t>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1,754,386 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1,754,386 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6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19.38 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12,419 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2.87</w:t>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15, 2030</w:t>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336,843 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336,843 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w:t>
            </w:r>
          </w:p>
        </w:tc>
        <w:tc>
          <w:tcPr>
            <w:tcW w:w="116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2,707 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3.96</w:t>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20, 2030</w:t>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38,818 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38,818 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w:t>
            </w:r>
          </w:p>
        </w:tc>
        <w:tc>
          <w:tcPr>
            <w:tcW w:w="116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w:t>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2030</w:t>
            </w:r>
          </w:p>
        </w:tc>
        <w:tc>
          <w:tcPr>
            <w:tcW w:w="14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30,263 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30,263 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w:t>
            </w:r>
          </w:p>
        </w:tc>
        <w:tc>
          <w:tcPr>
            <w:tcW w:w="1163"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233 </w:t>
            </w:r>
          </w:p>
        </w:tc>
        <w:tc>
          <w:tcPr>
            <w:tcW w:w="4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4.38</w:t>
            </w:r>
          </w:p>
        </w:tc>
      </w:tr>
      <w:tr>
        <w:trPr/>
        <w:tc>
          <w:tcPr>
            <w:tcW w:w="126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12,205,335</w:t>
            </w:r>
            <w:r>
              <w:rPr>
                <w:color w:val="000000"/>
              </w:rPr>
              <w:t> </w:t>
            </w:r>
          </w:p>
        </w:tc>
        <w:tc>
          <w:tcPr>
            <w:tcW w:w="5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12,205,335</w:t>
            </w:r>
            <w:r>
              <w:rPr>
                <w:color w:val="000000"/>
              </w:rPr>
              <w:t> </w:t>
            </w:r>
          </w:p>
        </w:tc>
        <w:tc>
          <w:tcPr>
            <w:tcW w:w="5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38,205</w:t>
            </w:r>
          </w:p>
        </w:tc>
        <w:tc>
          <w:tcPr>
            <w:tcW w:w="1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1.43</w:t>
            </w:r>
          </w:p>
        </w:tc>
      </w:tr>
    </w:tbl>
    <w:p>
      <w:pPr>
        <w:pStyle w:val="TextBody"/>
        <w:bidi w:val="0"/>
        <w:spacing w:lineRule="auto" w:line="312" w:before="0" w:after="0"/>
        <w:jc w:val="both"/>
        <w:rPr/>
      </w:pPr>
      <w:r>
        <w:rPr>
          <w:rFonts w:ascii="sans-serif" w:hAnsi="sans-serif"/>
          <w:b w:val="false"/>
          <w:i/>
          <w:color w:val="000000"/>
          <w:sz w:val="12"/>
        </w:rPr>
        <w:t xml:space="preserve">1 </w:t>
      </w:r>
      <w:r>
        <w:rPr>
          <w:rFonts w:ascii="sans-serif" w:hAnsi="sans-serif"/>
          <w:b w:val="false"/>
          <w:i/>
          <w:color w:val="000000"/>
          <w:sz w:val="18"/>
        </w:rPr>
        <w:t>The warrants expire on the earlier of: (i) June 30, 2027; (ii) thirty days following the publication by press release of topline data for the APPROACH trial of HLP003 (previously referred to as CYB003) in major depressive disorder; and (iii) thirty days following the date a press release is issued by the Company announcing exercise of its acceleration right, which right can only be exercised if the closing price of the Common Share is equal to or exceeds $19.53 per Common Share for any five consecutive trading days.</w:t>
      </w:r>
    </w:p>
    <w:p>
      <w:pPr>
        <w:pStyle w:val="TextBody"/>
        <w:bidi w:val="0"/>
        <w:spacing w:lineRule="auto" w:line="333" w:before="200" w:after="283"/>
        <w:jc w:val="both"/>
        <w:rPr/>
      </w:pPr>
      <w:r>
        <w:rPr>
          <w:rFonts w:ascii="sans-serif" w:hAnsi="sans-serif"/>
          <w:b/>
          <w:color w:val="000000"/>
          <w:sz w:val="20"/>
        </w:rPr>
        <w:t xml:space="preserve">e) </w:t>
      </w:r>
      <w:r>
        <w:rPr>
          <w:rFonts w:ascii="sans-serif" w:hAnsi="sans-serif"/>
          <w:b/>
          <w:color w:val="000000"/>
          <w:sz w:val="20"/>
          <w:u w:val="single"/>
        </w:rPr>
        <w:t>Stock options</w:t>
      </w:r>
    </w:p>
    <w:p>
      <w:pPr>
        <w:pStyle w:val="TextBody"/>
        <w:bidi w:val="0"/>
        <w:spacing w:lineRule="auto" w:line="333" w:before="200" w:after="283"/>
        <w:jc w:val="both"/>
        <w:rPr/>
      </w:pPr>
      <w:r>
        <w:rPr>
          <w:rFonts w:ascii="sans-serif" w:hAnsi="sans-serif"/>
          <w:b w:val="false"/>
          <w:color w:val="000000"/>
          <w:sz w:val="20"/>
        </w:rPr>
        <w:t>On November 5, 2020, Helus Pharma adopted an equity incentive plan ("</w:t>
      </w:r>
      <w:r>
        <w:rPr>
          <w:rFonts w:ascii="sans-serif" w:hAnsi="sans-serif"/>
          <w:b/>
          <w:color w:val="000000"/>
          <w:sz w:val="20"/>
        </w:rPr>
        <w:t>Equity Incentive Plan</w:t>
      </w:r>
      <w:r>
        <w:rPr>
          <w:rFonts w:ascii="sans-serif" w:hAnsi="sans-serif"/>
          <w:b w:val="false"/>
          <w:color w:val="000000"/>
          <w:sz w:val="20"/>
        </w:rPr>
        <w:t>"). Under the Equity Incentive Plan, the board of directors may grant share-based awards to acquire such number of Common Shares as is equal to up to 20% of the total number of issued and outstanding Common Shares at the time such awards are granted. Options granted under the plan vest over a period of time at the discretion of the board of directors. On August 27, 2024, the board of directors and the shareholders re-approved the Equity Incentive Plan and approved certain amendments to the plan, including an increase to the fixed number of Incentive Stock Options (as defined in the plan), certain changes to the board of directors' authority to amend existing awards, and certain other housekeeping amendments.</w:t>
      </w:r>
    </w:p>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13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13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changes in options for the three months ended June 30, 2026, is as follows:</w:t>
      </w:r>
    </w:p>
    <w:tbl>
      <w:tblPr>
        <w:tblW w:w="9164" w:type="dxa"/>
        <w:jc w:val="left"/>
        <w:tblInd w:w="0" w:type="dxa"/>
        <w:tblLayout w:type="fixed"/>
        <w:tblCellMar>
          <w:top w:w="28" w:type="dxa"/>
          <w:left w:w="28" w:type="dxa"/>
          <w:bottom w:w="28" w:type="dxa"/>
          <w:right w:w="28" w:type="dxa"/>
        </w:tblCellMar>
      </w:tblPr>
      <w:tblGrid>
        <w:gridCol w:w="1165"/>
        <w:gridCol w:w="1028"/>
        <w:gridCol w:w="1032"/>
        <w:gridCol w:w="729"/>
        <w:gridCol w:w="729"/>
        <w:gridCol w:w="731"/>
        <w:gridCol w:w="1097"/>
        <w:gridCol w:w="1097"/>
        <w:gridCol w:w="1556"/>
      </w:tblGrid>
      <w:tr>
        <w:trPr/>
        <w:tc>
          <w:tcPr>
            <w:tcW w:w="116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Options</w:t>
            </w:r>
          </w:p>
        </w:tc>
        <w:tc>
          <w:tcPr>
            <w:tcW w:w="375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Weighted average exercise price</w:t>
            </w:r>
          </w:p>
          <w:p>
            <w:pPr>
              <w:pStyle w:val="TableContents"/>
              <w:bidi w:val="0"/>
              <w:spacing w:lineRule="auto" w:line="240" w:before="0" w:after="0"/>
              <w:jc w:val="right"/>
              <w:rPr>
                <w:rFonts w:ascii="sans-serif" w:hAnsi="sans-serif"/>
                <w:b/>
                <w:color w:val="000000"/>
                <w:sz w:val="20"/>
              </w:rPr>
            </w:pPr>
            <w:r>
              <w:rPr>
                <w:rFonts w:ascii="sans-serif" w:hAnsi="sans-serif"/>
                <w:b/>
                <w:color w:val="000000"/>
                <w:sz w:val="20"/>
              </w:rPr>
              <w:t>C$</w:t>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As at March 31, 2026</w:t>
            </w:r>
          </w:p>
        </w:tc>
        <w:tc>
          <w:tcPr>
            <w:tcW w:w="14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3,978,282 </w:t>
            </w:r>
          </w:p>
        </w:tc>
        <w:tc>
          <w:tcPr>
            <w:tcW w:w="7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14.14</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Granted</w:t>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Exercised</w:t>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Cancelled</w:t>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(1,919,290)</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13.56 </w:t>
            </w:r>
          </w:p>
        </w:tc>
        <w:tc>
          <w:tcPr>
            <w:tcW w:w="1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Forfeited/Expired</w:t>
            </w:r>
          </w:p>
        </w:tc>
        <w:tc>
          <w:tcPr>
            <w:tcW w:w="14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(13,760)</w:t>
            </w:r>
          </w:p>
        </w:tc>
        <w:tc>
          <w:tcPr>
            <w:tcW w:w="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33.37 </w:t>
            </w:r>
          </w:p>
        </w:tc>
        <w:tc>
          <w:tcPr>
            <w:tcW w:w="1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Outstanding as at June 30, 2026</w:t>
            </w:r>
          </w:p>
        </w:tc>
        <w:tc>
          <w:tcPr>
            <w:tcW w:w="14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2,045,232 </w:t>
            </w:r>
          </w:p>
        </w:tc>
        <w:tc>
          <w:tcPr>
            <w:tcW w:w="7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14.55</w:t>
            </w:r>
          </w:p>
        </w:tc>
      </w:tr>
      <w:tr>
        <w:trPr/>
        <w:tc>
          <w:tcPr>
            <w:tcW w:w="3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Exercisable as at June 30, 2026</w:t>
            </w:r>
          </w:p>
        </w:tc>
        <w:tc>
          <w:tcPr>
            <w:tcW w:w="145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1,802,008 </w:t>
            </w:r>
          </w:p>
        </w:tc>
        <w:tc>
          <w:tcPr>
            <w:tcW w:w="7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15.25</w:t>
            </w:r>
          </w:p>
        </w:tc>
      </w:tr>
    </w:tbl>
    <w:p>
      <w:pPr>
        <w:pStyle w:val="TextBody"/>
        <w:bidi w:val="0"/>
        <w:spacing w:lineRule="auto" w:line="333" w:before="240" w:after="283"/>
        <w:jc w:val="both"/>
        <w:rPr>
          <w:rFonts w:ascii="sans-serif" w:hAnsi="sans-serif"/>
          <w:b w:val="false"/>
          <w:color w:val="000000"/>
          <w:sz w:val="20"/>
        </w:rPr>
      </w:pPr>
      <w:r>
        <w:rPr>
          <w:rFonts w:ascii="sans-serif" w:hAnsi="sans-serif"/>
          <w:b w:val="false"/>
          <w:color w:val="000000"/>
          <w:sz w:val="20"/>
        </w:rPr>
        <w:t>On May 27, 2026, the Company cancelled options to purchase up to 1,919,290 Common Shares (exercise prices ranged from C$13.11 to C$21.28). The cancelled options were fully vested, and all associated share-based compensation expense had been recognized prior to their cancellation. Accordingly, the cancellation did not result in the recognition of any additional share-based payment expense during the three months ended June 30, 2026.</w:t>
      </w:r>
    </w:p>
    <w:p>
      <w:pPr>
        <w:pStyle w:val="TextBody"/>
        <w:bidi w:val="0"/>
        <w:spacing w:before="0" w:after="0"/>
        <w:jc w:val="both"/>
        <w:rPr/>
      </w:pPr>
      <w:r>
        <w:rPr/>
      </w:r>
    </w:p>
    <w:p>
      <w:pPr>
        <w:pStyle w:val="TextBody"/>
        <w:bidi w:val="0"/>
        <w:spacing w:lineRule="auto" w:line="240" w:before="0" w:after="0"/>
        <w:jc w:val="both"/>
        <w:rPr>
          <w:rFonts w:ascii="sans-serif" w:hAnsi="sans-serif"/>
          <w:b w:val="false"/>
          <w:color w:val="000000"/>
          <w:sz w:val="20"/>
        </w:rPr>
      </w:pPr>
      <w:r>
        <w:rPr>
          <w:rFonts w:ascii="sans-serif" w:hAnsi="sans-serif"/>
          <w:b w:val="false"/>
          <w:color w:val="000000"/>
          <w:sz w:val="20"/>
        </w:rPr>
        <w:t>The following summarizes information about stock options outstanding on June 30, 2026:</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1"/>
        <w:gridCol w:w="411"/>
        <w:gridCol w:w="360"/>
        <w:gridCol w:w="793"/>
        <w:gridCol w:w="656"/>
        <w:gridCol w:w="658"/>
        <w:gridCol w:w="803"/>
        <w:gridCol w:w="636"/>
        <w:gridCol w:w="638"/>
        <w:gridCol w:w="395"/>
        <w:gridCol w:w="395"/>
        <w:gridCol w:w="396"/>
        <w:gridCol w:w="502"/>
        <w:gridCol w:w="502"/>
        <w:gridCol w:w="503"/>
        <w:gridCol w:w="556"/>
        <w:gridCol w:w="556"/>
        <w:gridCol w:w="794"/>
      </w:tblGrid>
      <w:tr>
        <w:trPr/>
        <w:tc>
          <w:tcPr>
            <w:tcW w:w="6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Date of Expiry</w:t>
            </w:r>
          </w:p>
        </w:tc>
        <w:tc>
          <w:tcPr>
            <w:tcW w:w="2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options outstanding</w:t>
            </w:r>
          </w:p>
        </w:tc>
        <w:tc>
          <w:tcPr>
            <w:tcW w:w="2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options exercisable</w:t>
            </w:r>
          </w:p>
        </w:tc>
        <w:tc>
          <w:tcPr>
            <w:tcW w:w="11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3" w:after="30"/>
              <w:jc w:val="center"/>
              <w:rPr>
                <w:rFonts w:ascii="sans-serif" w:hAnsi="sans-serif"/>
                <w:b/>
                <w:color w:val="000000"/>
                <w:sz w:val="20"/>
              </w:rPr>
            </w:pPr>
            <w:r>
              <w:rPr>
                <w:rFonts w:ascii="sans-serif" w:hAnsi="sans-serif"/>
                <w:b/>
                <w:color w:val="000000"/>
                <w:sz w:val="20"/>
              </w:rPr>
              <w:t>Exercise Price</w:t>
            </w:r>
          </w:p>
          <w:p>
            <w:pPr>
              <w:pStyle w:val="TableContents"/>
              <w:bidi w:val="0"/>
              <w:spacing w:lineRule="auto" w:line="288" w:before="53" w:after="30"/>
              <w:jc w:val="center"/>
              <w:rPr>
                <w:color w:val="000000"/>
              </w:rPr>
            </w:pPr>
            <w:r>
              <w:rPr>
                <w:color w:val="000000"/>
              </w:rPr>
              <w:t> </w:t>
            </w:r>
            <w:r>
              <w:rPr>
                <w:rFonts w:ascii="sans-serif" w:hAnsi="sans-serif"/>
                <w:b/>
                <w:color w:val="000000"/>
                <w:sz w:val="20"/>
              </w:rPr>
              <w:t>C$</w:t>
            </w:r>
          </w:p>
        </w:tc>
        <w:tc>
          <w:tcPr>
            <w:tcW w:w="15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3" w:after="30"/>
              <w:jc w:val="center"/>
              <w:rPr>
                <w:rFonts w:ascii="sans-serif" w:hAnsi="sans-serif"/>
                <w:b/>
                <w:color w:val="000000"/>
                <w:sz w:val="20"/>
              </w:rPr>
            </w:pPr>
            <w:r>
              <w:rPr>
                <w:rFonts w:ascii="sans-serif" w:hAnsi="sans-serif"/>
                <w:b/>
                <w:color w:val="000000"/>
                <w:sz w:val="20"/>
              </w:rPr>
              <w:t>Estimated fair value</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w:t>
            </w:r>
          </w:p>
        </w:tc>
        <w:tc>
          <w:tcPr>
            <w:tcW w:w="1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3" w:after="30"/>
              <w:jc w:val="center"/>
              <w:rPr>
                <w:rFonts w:ascii="sans-serif" w:hAnsi="sans-serif"/>
                <w:b/>
                <w:color w:val="000000"/>
                <w:sz w:val="20"/>
              </w:rPr>
            </w:pPr>
            <w:r>
              <w:rPr>
                <w:rFonts w:ascii="sans-serif" w:hAnsi="sans-serif"/>
                <w:b/>
                <w:color w:val="000000"/>
                <w:sz w:val="20"/>
              </w:rPr>
              <w:t>Weighted average remaining life</w:t>
            </w:r>
          </w:p>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Years</w:t>
            </w:r>
          </w:p>
        </w:tc>
      </w:tr>
      <w:tr>
        <w:trPr/>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18, 2026</w:t>
            </w:r>
          </w:p>
        </w:tc>
        <w:tc>
          <w:tcPr>
            <w:tcW w:w="14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1,316 </w:t>
            </w:r>
          </w:p>
        </w:tc>
        <w:tc>
          <w:tcPr>
            <w:tcW w:w="6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1,316 </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c>
          <w:tcPr>
            <w:tcW w:w="10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5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0.13</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20, 2026</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1,316 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0.14</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26, 2026</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25,657 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25,657 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30.02</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306 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0.24</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15, 2026</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13,158 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13,158 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27.17</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0.38</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31, 2026</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1,842 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1,842 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0.50</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31, 2026</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3,947 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3,947 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16.72</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0.50</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31, 2026</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1,974 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1,974 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0.50</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31, 2026</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32,896 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32,896 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57.00</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940 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0.50</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4, 2027</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42.94</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0.68</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8, 2027</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10,526 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10,526 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38.76</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0.69</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30, 2028</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175,052 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175,052 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16.72</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1,625 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September 26, 2028</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2,632 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2,632 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30.02</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20, 2029</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April 5, 2029</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151,976 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151,976 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21.28</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1,584 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June 30, 2032</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7,895 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7,895 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34.20</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6.00</w:t>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2034</w:t>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1,113,023 </w:t>
            </w:r>
          </w:p>
        </w:tc>
        <w:tc>
          <w:tcPr>
            <w:tcW w:w="6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1,113,023 </w:t>
            </w:r>
          </w:p>
        </w:tc>
        <w:tc>
          <w:tcPr>
            <w:tcW w:w="6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w:t>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8,809 </w:t>
            </w:r>
          </w:p>
        </w:tc>
        <w:tc>
          <w:tcPr>
            <w:tcW w:w="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8.13</w:t>
            </w:r>
          </w:p>
        </w:tc>
      </w:tr>
    </w:tbl>
    <w:p>
      <w:pPr>
        <w:pStyle w:val="Normal"/>
        <w:bidi w:val="0"/>
        <w:spacing w:before="0" w:after="0"/>
        <w:ind w:left="0" w:right="0" w:firstLine="36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14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14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tbl>
      <w:tblPr>
        <w:tblW w:w="10205" w:type="dxa"/>
        <w:jc w:val="left"/>
        <w:tblInd w:w="0" w:type="dxa"/>
        <w:tblLayout w:type="fixed"/>
        <w:tblCellMar>
          <w:top w:w="28" w:type="dxa"/>
          <w:left w:w="28" w:type="dxa"/>
          <w:bottom w:w="28" w:type="dxa"/>
          <w:right w:w="28" w:type="dxa"/>
        </w:tblCellMar>
      </w:tblPr>
      <w:tblGrid>
        <w:gridCol w:w="639"/>
        <w:gridCol w:w="368"/>
        <w:gridCol w:w="345"/>
        <w:gridCol w:w="882"/>
        <w:gridCol w:w="637"/>
        <w:gridCol w:w="639"/>
        <w:gridCol w:w="893"/>
        <w:gridCol w:w="617"/>
        <w:gridCol w:w="619"/>
        <w:gridCol w:w="389"/>
        <w:gridCol w:w="389"/>
        <w:gridCol w:w="390"/>
        <w:gridCol w:w="573"/>
        <w:gridCol w:w="492"/>
        <w:gridCol w:w="493"/>
        <w:gridCol w:w="537"/>
        <w:gridCol w:w="537"/>
        <w:gridCol w:w="766"/>
      </w:tblGrid>
      <w:tr>
        <w:trPr/>
        <w:tc>
          <w:tcPr>
            <w:tcW w:w="63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Date of Expiry</w:t>
            </w:r>
          </w:p>
        </w:tc>
        <w:tc>
          <w:tcPr>
            <w:tcW w:w="2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options outstanding</w:t>
            </w:r>
          </w:p>
        </w:tc>
        <w:tc>
          <w:tcPr>
            <w:tcW w:w="21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options exercisable</w:t>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3" w:after="30"/>
              <w:jc w:val="center"/>
              <w:rPr>
                <w:rFonts w:ascii="sans-serif" w:hAnsi="sans-serif"/>
                <w:b/>
                <w:color w:val="000000"/>
                <w:sz w:val="20"/>
              </w:rPr>
            </w:pPr>
            <w:r>
              <w:rPr>
                <w:rFonts w:ascii="sans-serif" w:hAnsi="sans-serif"/>
                <w:b/>
                <w:color w:val="000000"/>
                <w:sz w:val="20"/>
              </w:rPr>
              <w:t>Exercise Price</w:t>
            </w:r>
          </w:p>
          <w:p>
            <w:pPr>
              <w:pStyle w:val="TableContents"/>
              <w:bidi w:val="0"/>
              <w:spacing w:lineRule="auto" w:line="288" w:before="53" w:after="30"/>
              <w:jc w:val="center"/>
              <w:rPr>
                <w:color w:val="000000"/>
              </w:rPr>
            </w:pPr>
            <w:r>
              <w:rPr>
                <w:color w:val="000000"/>
              </w:rPr>
              <w:t> </w:t>
            </w:r>
            <w:r>
              <w:rPr>
                <w:rFonts w:ascii="sans-serif" w:hAnsi="sans-serif"/>
                <w:b/>
                <w:color w:val="000000"/>
                <w:sz w:val="20"/>
              </w:rPr>
              <w:t>C$</w:t>
            </w:r>
          </w:p>
        </w:tc>
        <w:tc>
          <w:tcPr>
            <w:tcW w:w="1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3" w:after="30"/>
              <w:jc w:val="center"/>
              <w:rPr>
                <w:rFonts w:ascii="sans-serif" w:hAnsi="sans-serif"/>
                <w:b/>
                <w:color w:val="000000"/>
                <w:sz w:val="20"/>
              </w:rPr>
            </w:pPr>
            <w:r>
              <w:rPr>
                <w:rFonts w:ascii="sans-serif" w:hAnsi="sans-serif"/>
                <w:b/>
                <w:color w:val="000000"/>
                <w:sz w:val="20"/>
              </w:rPr>
              <w:t>Estimated fair value</w:t>
            </w:r>
          </w:p>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w:t>
            </w:r>
          </w:p>
        </w:tc>
        <w:tc>
          <w:tcPr>
            <w:tcW w:w="1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53" w:after="30"/>
              <w:jc w:val="center"/>
              <w:rPr>
                <w:rFonts w:ascii="sans-serif" w:hAnsi="sans-serif"/>
                <w:b/>
                <w:color w:val="000000"/>
                <w:sz w:val="20"/>
              </w:rPr>
            </w:pPr>
            <w:r>
              <w:rPr>
                <w:rFonts w:ascii="sans-serif" w:hAnsi="sans-serif"/>
                <w:b/>
                <w:color w:val="000000"/>
                <w:sz w:val="20"/>
              </w:rPr>
              <w:t>Weighted average remaining life</w:t>
            </w:r>
          </w:p>
          <w:p>
            <w:pPr>
              <w:pStyle w:val="TableContents"/>
              <w:bidi w:val="0"/>
              <w:spacing w:lineRule="auto" w:line="240" w:before="0" w:after="0"/>
              <w:jc w:val="center"/>
              <w:rPr>
                <w:rFonts w:ascii="sans-serif" w:hAnsi="sans-serif"/>
                <w:b/>
                <w:color w:val="000000"/>
                <w:sz w:val="20"/>
              </w:rPr>
            </w:pPr>
            <w:r>
              <w:rPr>
                <w:rFonts w:ascii="sans-serif" w:hAnsi="sans-serif"/>
                <w:b/>
                <w:color w:val="000000"/>
                <w:sz w:val="20"/>
              </w:rPr>
              <w:t>Years</w:t>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27, 2034</w:t>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64,500 </w:t>
            </w:r>
          </w:p>
        </w:tc>
        <w:tc>
          <w:tcPr>
            <w:tcW w:w="6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55,908 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14.37</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537 </w:t>
            </w:r>
          </w:p>
        </w:tc>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8.41</w:t>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March 7, 2035</w:t>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35,000 </w:t>
            </w:r>
          </w:p>
        </w:tc>
        <w:tc>
          <w:tcPr>
            <w:tcW w:w="6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35,000 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10.45</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214 </w:t>
            </w:r>
          </w:p>
        </w:tc>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8.68</w:t>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2035</w:t>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48,800 </w:t>
            </w:r>
          </w:p>
        </w:tc>
        <w:tc>
          <w:tcPr>
            <w:tcW w:w="6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24,392 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10.00</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231 </w:t>
            </w:r>
          </w:p>
        </w:tc>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9.13</w:t>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15, 2035</w:t>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80,000 </w:t>
            </w:r>
          </w:p>
        </w:tc>
        <w:tc>
          <w:tcPr>
            <w:tcW w:w="6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40,000 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376 </w:t>
            </w:r>
          </w:p>
        </w:tc>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9.13</w:t>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August 29, 2035</w:t>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15,000 </w:t>
            </w:r>
          </w:p>
        </w:tc>
        <w:tc>
          <w:tcPr>
            <w:tcW w:w="6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7,500 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11.00</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74 </w:t>
            </w:r>
          </w:p>
        </w:tc>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9.16</w:t>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October 1, 2035</w:t>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200,000 </w:t>
            </w:r>
          </w:p>
        </w:tc>
        <w:tc>
          <w:tcPr>
            <w:tcW w:w="6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75,000 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8.39</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703 </w:t>
            </w:r>
          </w:p>
        </w:tc>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9.25</w:t>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November 14, 2035</w:t>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44,240 </w:t>
            </w:r>
          </w:p>
        </w:tc>
        <w:tc>
          <w:tcPr>
            <w:tcW w:w="6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16,590 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8.39</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146 </w:t>
            </w:r>
          </w:p>
        </w:tc>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w:t>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December 31, 2035</w:t>
            </w:r>
          </w:p>
        </w:tc>
        <w:tc>
          <w:tcPr>
            <w:tcW w:w="15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13,430 </w:t>
            </w:r>
          </w:p>
        </w:tc>
        <w:tc>
          <w:tcPr>
            <w:tcW w:w="6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3,356 </w:t>
            </w:r>
          </w:p>
        </w:tc>
        <w:tc>
          <w:tcPr>
            <w:tcW w:w="6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11.65</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49 </w:t>
            </w:r>
          </w:p>
        </w:tc>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w:t>
            </w:r>
          </w:p>
        </w:tc>
      </w:tr>
      <w:tr>
        <w:trPr/>
        <w:tc>
          <w:tcPr>
            <w:tcW w:w="135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2,045,232</w:t>
            </w:r>
            <w:r>
              <w:rPr>
                <w:color w:val="000000"/>
              </w:rPr>
              <w:t> </w:t>
            </w:r>
          </w:p>
        </w:tc>
        <w:tc>
          <w:tcPr>
            <w:tcW w:w="63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1,802,008</w:t>
            </w:r>
            <w:r>
              <w:rPr>
                <w:color w:val="000000"/>
              </w:rPr>
              <w:t> </w:t>
            </w:r>
          </w:p>
        </w:tc>
        <w:tc>
          <w:tcPr>
            <w:tcW w:w="6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16,192</w:t>
            </w:r>
            <w:r>
              <w:rPr>
                <w:color w:val="000000"/>
              </w:rPr>
              <w:t> </w:t>
            </w:r>
          </w:p>
        </w:tc>
        <w:tc>
          <w:tcPr>
            <w:tcW w:w="49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7.07</w:t>
            </w:r>
          </w:p>
        </w:tc>
      </w:tr>
    </w:tbl>
    <w:p>
      <w:pPr>
        <w:pStyle w:val="TextBody"/>
        <w:bidi w:val="0"/>
        <w:spacing w:lineRule="auto" w:line="333" w:before="200" w:after="283"/>
        <w:ind w:left="0" w:right="0" w:firstLine="360"/>
        <w:jc w:val="both"/>
        <w:rPr/>
      </w:pPr>
      <w:r>
        <w:rPr>
          <w:rFonts w:ascii="sans-serif" w:hAnsi="sans-serif"/>
          <w:b w:val="false"/>
          <w:color w:val="000000"/>
          <w:sz w:val="20"/>
        </w:rPr>
        <w:t>The Company recognized share-based payments expense related to the issuance of stock options for the three months ended June 30, 2026</w:t>
      </w:r>
      <w:r>
        <w:rPr>
          <w:color w:val="000000"/>
        </w:rPr>
        <w:t xml:space="preserve"> </w:t>
      </w:r>
      <w:r>
        <w:rPr>
          <w:rFonts w:ascii="sans-serif" w:hAnsi="sans-serif"/>
          <w:b w:val="false"/>
          <w:color w:val="000000"/>
          <w:sz w:val="20"/>
        </w:rPr>
        <w:t>of $341 (2025 - $753).</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outstanding options and warrants disclosed above were anti-dilutive for the three months ended June 30, 2026 and 2025 and did not impact the calculation of the loss per share.</w:t>
      </w:r>
    </w:p>
    <w:p>
      <w:pPr>
        <w:pStyle w:val="TextBody"/>
        <w:bidi w:val="0"/>
        <w:spacing w:lineRule="auto" w:line="312" w:before="200" w:after="283"/>
        <w:jc w:val="both"/>
        <w:rPr>
          <w:rFonts w:ascii="sans-serif" w:hAnsi="sans-serif"/>
          <w:b/>
          <w:color w:val="000000"/>
          <w:sz w:val="20"/>
        </w:rPr>
      </w:pPr>
      <w:r>
        <w:rPr>
          <w:rFonts w:ascii="sans-serif" w:hAnsi="sans-serif"/>
          <w:b/>
          <w:color w:val="000000"/>
          <w:sz w:val="20"/>
        </w:rPr>
        <w:t>f) Restricted and Performance Share Units</w:t>
      </w:r>
    </w:p>
    <w:p>
      <w:pPr>
        <w:pStyle w:val="TextBody"/>
        <w:bidi w:val="0"/>
        <w:spacing w:lineRule="auto" w:line="333" w:before="200" w:after="283"/>
        <w:jc w:val="both"/>
        <w:rPr/>
      </w:pPr>
      <w:r>
        <w:rPr>
          <w:rFonts w:ascii="sans-serif" w:hAnsi="sans-serif"/>
          <w:b w:val="false"/>
          <w:color w:val="000000"/>
          <w:sz w:val="20"/>
          <w:shd w:fill="FFFFFF" w:val="clear"/>
        </w:rPr>
        <w:t xml:space="preserve">The Company may grant RSUs and PSUs to directors, officers, employees, and consultants of the Company. RSUs vest on time-based conditions and PSUs </w:t>
      </w:r>
      <w:r>
        <w:rPr>
          <w:rFonts w:ascii="sans-serif" w:hAnsi="sans-serif"/>
          <w:b w:val="false"/>
          <w:color w:val="000000"/>
          <w:sz w:val="20"/>
        </w:rPr>
        <w:t xml:space="preserve">vest based on both market and service conditions, in accordance with the terms of the relevant PSU agreements. </w:t>
      </w:r>
    </w:p>
    <w:p>
      <w:pPr>
        <w:pStyle w:val="TextBody"/>
        <w:bidi w:val="0"/>
        <w:spacing w:before="0" w:after="0"/>
        <w:jc w:val="both"/>
        <w:rPr/>
      </w:pPr>
      <w:r>
        <w:rPr/>
      </w:r>
    </w:p>
    <w:p>
      <w:pPr>
        <w:pStyle w:val="TextBody"/>
        <w:bidi w:val="0"/>
        <w:spacing w:lineRule="auto" w:line="268" w:before="0" w:after="0"/>
        <w:jc w:val="both"/>
        <w:rPr/>
      </w:pPr>
      <w:r>
        <w:rPr>
          <w:rFonts w:ascii="sans-serif" w:hAnsi="sans-serif"/>
          <w:b w:val="false"/>
          <w:color w:val="000000"/>
          <w:sz w:val="20"/>
        </w:rPr>
        <w:t>The changes in RSUs and PSUs for the three months ended June 30, 2026, and the weighted average fair value at grant date per unit (“</w:t>
      </w:r>
      <w:r>
        <w:rPr>
          <w:rFonts w:ascii="sans-serif" w:hAnsi="sans-serif"/>
          <w:b/>
          <w:color w:val="000000"/>
          <w:sz w:val="20"/>
        </w:rPr>
        <w:t>WAFV</w:t>
      </w:r>
      <w:r>
        <w:rPr>
          <w:color w:val="000000"/>
        </w:rPr>
        <w:t>”</w:t>
      </w:r>
      <w:r>
        <w:rPr>
          <w:rFonts w:ascii="sans-serif" w:hAnsi="sans-serif"/>
          <w:b w:val="false"/>
          <w:color w:val="000000"/>
          <w:sz w:val="20"/>
        </w:rPr>
        <w:t>) are as follows:</w:t>
      </w:r>
      <w:r>
        <w:rPr>
          <w:color w:val="000000"/>
        </w:rPr>
        <w:t xml:space="preserve"> </w:t>
      </w:r>
    </w:p>
    <w:p>
      <w:pPr>
        <w:pStyle w:val="TextBody"/>
        <w:bidi w:val="0"/>
        <w:spacing w:before="0" w:after="0"/>
        <w:jc w:val="both"/>
        <w:rPr/>
      </w:pPr>
      <w:r>
        <w:rPr/>
      </w:r>
    </w:p>
    <w:tbl>
      <w:tblPr>
        <w:tblW w:w="9837" w:type="dxa"/>
        <w:jc w:val="left"/>
        <w:tblInd w:w="0" w:type="dxa"/>
        <w:tblLayout w:type="fixed"/>
        <w:tblCellMar>
          <w:top w:w="28" w:type="dxa"/>
          <w:left w:w="28" w:type="dxa"/>
          <w:bottom w:w="28" w:type="dxa"/>
          <w:right w:w="28" w:type="dxa"/>
        </w:tblCellMar>
      </w:tblPr>
      <w:tblGrid>
        <w:gridCol w:w="1331"/>
        <w:gridCol w:w="1171"/>
        <w:gridCol w:w="1173"/>
        <w:gridCol w:w="639"/>
        <w:gridCol w:w="639"/>
        <w:gridCol w:w="641"/>
        <w:gridCol w:w="379"/>
        <w:gridCol w:w="379"/>
        <w:gridCol w:w="381"/>
        <w:gridCol w:w="639"/>
        <w:gridCol w:w="639"/>
        <w:gridCol w:w="641"/>
        <w:gridCol w:w="347"/>
        <w:gridCol w:w="347"/>
        <w:gridCol w:w="491"/>
      </w:tblGrid>
      <w:tr>
        <w:trPr/>
        <w:tc>
          <w:tcPr>
            <w:tcW w:w="133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RSUs</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WAFV ($)</w:t>
            </w:r>
          </w:p>
        </w:tc>
        <w:tc>
          <w:tcPr>
            <w:tcW w:w="1919"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Number of PSUs</w:t>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000000"/>
                <w:sz w:val="20"/>
              </w:rPr>
            </w:pPr>
            <w:r>
              <w:rPr>
                <w:rFonts w:ascii="sans-serif" w:hAnsi="sans-serif"/>
                <w:b/>
                <w:color w:val="000000"/>
                <w:sz w:val="20"/>
              </w:rPr>
              <w:t>WAFV ($)</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Outstanding as at March 31, 2026</w:t>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5,266,550</w:t>
            </w:r>
            <w:r>
              <w:rPr>
                <w:color w:val="000000"/>
              </w:rPr>
              <w:t> </w:t>
            </w:r>
          </w:p>
        </w:tc>
        <w:tc>
          <w:tcPr>
            <w:tcW w:w="6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6.53</w:t>
            </w:r>
            <w:r>
              <w:rPr>
                <w:color w:val="000000"/>
              </w:rPr>
              <w:t> </w:t>
            </w:r>
          </w:p>
        </w:tc>
        <w:tc>
          <w:tcPr>
            <w:tcW w:w="3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325,000</w:t>
            </w:r>
            <w:r>
              <w:rPr>
                <w:color w:val="000000"/>
              </w:rPr>
              <w:t> </w:t>
            </w:r>
          </w:p>
        </w:tc>
        <w:tc>
          <w:tcPr>
            <w:tcW w:w="6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1.77</w:t>
            </w:r>
            <w:r>
              <w:rPr>
                <w:color w:val="000000"/>
              </w:rPr>
              <w:t> </w:t>
            </w:r>
          </w:p>
        </w:tc>
        <w:tc>
          <w:tcPr>
            <w:tcW w:w="4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Granted</w:t>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1,656,362 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5.26 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Deemed granted</w:t>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Vested</w:t>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Forfeited/Expired</w:t>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(1,010,000)</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6.39 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(325,000)</w:t>
            </w:r>
          </w:p>
        </w:tc>
        <w:tc>
          <w:tcPr>
            <w:tcW w:w="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1.77 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Outstanding as at June 30, 2026</w:t>
            </w:r>
          </w:p>
        </w:tc>
        <w:tc>
          <w:tcPr>
            <w:tcW w:w="127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5,912,912</w:t>
            </w:r>
            <w:r>
              <w:rPr>
                <w:color w:val="000000"/>
              </w:rPr>
              <w:t> </w:t>
            </w:r>
          </w:p>
        </w:tc>
        <w:tc>
          <w:tcPr>
            <w:tcW w:w="6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6.20</w:t>
            </w:r>
            <w:r>
              <w:rPr>
                <w:color w:val="000000"/>
              </w:rPr>
              <w:t> </w:t>
            </w:r>
          </w:p>
        </w:tc>
        <w:tc>
          <w:tcPr>
            <w:tcW w:w="3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15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15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The Company recognized share-based payments expense related to the issuance of RSUs and PSUs for the three months ended June 30, 2026 of $11,233 (2025 - $Nil).</w:t>
      </w:r>
    </w:p>
    <w:p>
      <w:pPr>
        <w:pStyle w:val="TextBody"/>
        <w:bidi w:val="0"/>
        <w:spacing w:before="0" w:after="0"/>
        <w:jc w:val="both"/>
        <w:rPr/>
      </w:pPr>
      <w:r>
        <w:rPr/>
      </w:r>
    </w:p>
    <w:p>
      <w:pPr>
        <w:pStyle w:val="TextBody"/>
        <w:bidi w:val="0"/>
        <w:spacing w:lineRule="auto" w:line="333" w:before="0" w:after="0"/>
        <w:jc w:val="both"/>
        <w:rPr>
          <w:rFonts w:ascii="sans-serif" w:hAnsi="sans-serif"/>
          <w:b w:val="false"/>
          <w:color w:val="000000"/>
          <w:sz w:val="20"/>
        </w:rPr>
      </w:pPr>
      <w:r>
        <w:rPr>
          <w:rFonts w:ascii="sans-serif" w:hAnsi="sans-serif"/>
          <w:b w:val="false"/>
          <w:color w:val="000000"/>
          <w:sz w:val="20"/>
        </w:rPr>
        <w:t>On June 17, 2026, the Company's obligation to grant 6,878 RSUs to certain officers of the Company crystallized pursuant to contractual arrangements. The RSUs are granted at no cost to the recipient and vested in full on July 1, 2026. Each RSU entitles the holder to receive one Common Share upon vesting. The aggregate estimated grant date fair value was determined to be $28 and was determined with reference to the quoted market price of the Common Shares on the date the obligation arose, adjusted for the impact of contractual transfer restrictions. The underlying Common Shares were subject to a lock-up agreement with a staged quarterly release schedule over a three-year period. Accordingly, management applied a discount to the quoted market price to reflect the reduced marketability associated with the contractual lock-up arrangement when determining the grant-date fair value of the RSUs.</w:t>
      </w:r>
    </w:p>
    <w:p>
      <w:pPr>
        <w:pStyle w:val="TextBody"/>
        <w:bidi w:val="0"/>
        <w:spacing w:before="0" w:after="0"/>
        <w:jc w:val="both"/>
        <w:rPr/>
      </w:pPr>
      <w:r>
        <w:rPr/>
      </w:r>
    </w:p>
    <w:p>
      <w:pPr>
        <w:pStyle w:val="TextBody"/>
        <w:bidi w:val="0"/>
        <w:spacing w:lineRule="auto" w:line="333" w:before="0" w:after="0"/>
        <w:jc w:val="both"/>
        <w:rPr>
          <w:rFonts w:ascii="sans-serif" w:hAnsi="sans-serif"/>
          <w:b w:val="false"/>
          <w:color w:val="000000"/>
          <w:sz w:val="20"/>
        </w:rPr>
      </w:pPr>
      <w:r>
        <w:rPr>
          <w:rFonts w:ascii="sans-serif" w:hAnsi="sans-serif"/>
          <w:b w:val="false"/>
          <w:color w:val="000000"/>
          <w:sz w:val="20"/>
        </w:rPr>
        <w:t>On June 25, 2026, the Company's obligation to grant 1,649,484 RSUs to certain officers of the Company crystallized pursuant to contractual arrangements. The RSUs are granted at no cost to the recipient and vested in full on July 1, 2026. Each RSU entitles the holder to receive one Common Share upon vesting. The aggregate estimated grant date fair value was determined to be $8,689 and was determined with reference to the quoted market price of the Common Shares on the date the obligation arose, adjusted for the impact of contractual transfer restrictions. The underlying Common Shares were subject to a lock-up agreement with a staged quarterly release schedule over a three-year period. Accordingly, management applied a discount to the quoted market price to reflect the reduced marketability associated with the contractual lock-up arrangement when determining the grant-date fair value of the RSUs.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During the three months ended June 30, 2026, 1,010,000 RSUs and 325,000 PSUs expired as a result of the termination of certain employment agreements.</w:t>
      </w:r>
    </w:p>
    <w:p>
      <w:pPr>
        <w:pStyle w:val="TextBody"/>
        <w:bidi w:val="0"/>
        <w:spacing w:lineRule="auto" w:line="333" w:before="200" w:after="120"/>
        <w:jc w:val="both"/>
        <w:rPr>
          <w:rFonts w:ascii="sans-serif" w:hAnsi="sans-serif"/>
          <w:b w:val="false"/>
          <w:color w:val="000000"/>
          <w:sz w:val="20"/>
        </w:rPr>
      </w:pPr>
      <w:r>
        <w:rPr>
          <w:rFonts w:ascii="sans-serif" w:hAnsi="sans-serif"/>
          <w:b w:val="false"/>
          <w:color w:val="000000"/>
          <w:sz w:val="20"/>
        </w:rPr>
        <w:t>The outstanding RSUs disclosed above were anti-dilutive for the three months ended June 30, 2026 did not impact the calculation of the loss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16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16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333" w:before="0" w:after="0"/>
        <w:jc w:val="left"/>
        <w:rPr>
          <w:rFonts w:ascii="sans-serif" w:hAnsi="sans-serif"/>
          <w:b/>
          <w:color w:val="2D5F91"/>
          <w:sz w:val="20"/>
        </w:rPr>
      </w:pPr>
      <w:r>
        <w:rPr>
          <w:rFonts w:ascii="sans-serif" w:hAnsi="sans-serif"/>
          <w:b/>
          <w:color w:val="2D5F91"/>
          <w:sz w:val="20"/>
        </w:rPr>
        <w:t>7. RELATED PARTY TRANSACTIONS AND BALANCES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Key management personnel include parties having the authority and responsibility for planning, directing, and controlling the activities of the Company as a whole. The Company has determined its key management personnel to be certain executive officers and directors of the Company.</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 xml:space="preserve">The remuneration of key management personnel for the three months ended June 30, 2026 and 2025 are as follows: </w:t>
      </w:r>
    </w:p>
    <w:tbl>
      <w:tblPr>
        <w:tblW w:w="7117" w:type="dxa"/>
        <w:jc w:val="left"/>
        <w:tblInd w:w="0" w:type="dxa"/>
        <w:tblLayout w:type="fixed"/>
        <w:tblCellMar>
          <w:top w:w="28" w:type="dxa"/>
          <w:left w:w="28" w:type="dxa"/>
          <w:bottom w:w="28" w:type="dxa"/>
          <w:right w:w="28" w:type="dxa"/>
        </w:tblCellMar>
      </w:tblPr>
      <w:tblGrid>
        <w:gridCol w:w="1227"/>
        <w:gridCol w:w="1079"/>
        <w:gridCol w:w="1083"/>
        <w:gridCol w:w="109"/>
        <w:gridCol w:w="109"/>
        <w:gridCol w:w="109"/>
        <w:gridCol w:w="530"/>
        <w:gridCol w:w="530"/>
        <w:gridCol w:w="530"/>
        <w:gridCol w:w="530"/>
        <w:gridCol w:w="530"/>
        <w:gridCol w:w="751"/>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Three-months ended June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2026</w:t>
            </w:r>
          </w:p>
        </w:tc>
        <w:tc>
          <w:tcPr>
            <w:tcW w:w="1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2025</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c>
          <w:tcPr>
            <w:tcW w:w="1811"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w:t>
            </w:r>
          </w:p>
        </w:tc>
      </w:tr>
      <w:tr>
        <w:trPr/>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left"/>
              <w:rPr/>
            </w:pPr>
            <w:r>
              <w:rPr>
                <w:rFonts w:ascii="sans-serif" w:hAnsi="sans-serif"/>
                <w:b w:val="false"/>
                <w:color w:val="000000"/>
                <w:sz w:val="20"/>
              </w:rPr>
              <w:t>Payroll, consulting and benefits</w:t>
            </w:r>
            <w:r>
              <w:rPr>
                <w:rFonts w:ascii="sans-serif" w:hAnsi="sans-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1,358</w:t>
            </w:r>
            <w:r>
              <w:rPr>
                <w:color w:val="000000"/>
              </w:rPr>
              <w:t> </w:t>
            </w:r>
          </w:p>
        </w:tc>
        <w:tc>
          <w:tcPr>
            <w:tcW w:w="5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972 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RSUs and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11,121</w:t>
            </w: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12,479</w:t>
            </w:r>
            <w:r>
              <w:rPr>
                <w:color w:val="000000"/>
              </w:rPr>
              <w:t> </w:t>
            </w:r>
          </w:p>
        </w:tc>
        <w:tc>
          <w:tcPr>
            <w:tcW w:w="5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1,229 </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both"/>
        <w:rPr/>
      </w:pPr>
      <w:r>
        <w:rPr>
          <w:rFonts w:ascii="sans-serif" w:hAnsi="sans-serif"/>
          <w:b w:val="false"/>
          <w:i/>
          <w:color w:val="000000"/>
          <w:sz w:val="18"/>
        </w:rPr>
        <w:t>(1)</w:t>
      </w:r>
      <w:r>
        <w:rPr>
          <w:color w:val="000000"/>
        </w:rPr>
        <w:t xml:space="preserve"> </w:t>
      </w:r>
      <w:r>
        <w:rPr>
          <w:rFonts w:ascii="sans-serif" w:hAnsi="sans-serif"/>
          <w:b w:val="false"/>
          <w:i/>
          <w:color w:val="000000"/>
          <w:sz w:val="18"/>
        </w:rPr>
        <w:t xml:space="preserve">For the three months ended </w:t>
      </w:r>
      <w:r>
        <w:rPr>
          <w:rFonts w:ascii="sans-serif" w:hAnsi="sans-serif"/>
          <w:b w:val="false"/>
          <w:color w:val="000000"/>
          <w:sz w:val="18"/>
        </w:rPr>
        <w:t>June 30, 2026</w:t>
      </w:r>
      <w:r>
        <w:rPr>
          <w:rFonts w:ascii="sans-serif" w:hAnsi="sans-serif"/>
          <w:b w:val="false"/>
          <w:i/>
          <w:color w:val="000000"/>
          <w:sz w:val="18"/>
        </w:rPr>
        <w:t>, includes $</w:t>
      </w:r>
      <w:r>
        <w:rPr>
          <w:rFonts w:ascii="sans-serif" w:hAnsi="sans-serif"/>
          <w:b w:val="false"/>
          <w:color w:val="000000"/>
          <w:sz w:val="18"/>
        </w:rPr>
        <w:t>1,004</w:t>
      </w:r>
      <w:r>
        <w:rPr>
          <w:color w:val="000000"/>
        </w:rPr>
        <w:t xml:space="preserve"> </w:t>
      </w:r>
      <w:r>
        <w:rPr>
          <w:rFonts w:ascii="sans-serif" w:hAnsi="sans-serif"/>
          <w:b w:val="false"/>
          <w:i/>
          <w:color w:val="000000"/>
          <w:sz w:val="18"/>
        </w:rPr>
        <w:t>(2025 - $889) presented in the consolidated statements of loss and comprehensive loss as a part of “General and administrative costs” and $</w:t>
      </w:r>
      <w:r>
        <w:rPr>
          <w:rFonts w:ascii="sans-serif" w:hAnsi="sans-serif"/>
          <w:b w:val="false"/>
          <w:color w:val="000000"/>
          <w:sz w:val="18"/>
        </w:rPr>
        <w:t>354 (2025 - $83)</w:t>
      </w:r>
      <w:r>
        <w:rPr>
          <w:color w:val="000000"/>
        </w:rPr>
        <w:t xml:space="preserve"> </w:t>
      </w:r>
      <w:r>
        <w:rPr>
          <w:rFonts w:ascii="sans-serif" w:hAnsi="sans-serif"/>
          <w:b w:val="false"/>
          <w:i/>
          <w:color w:val="000000"/>
          <w:sz w:val="18"/>
        </w:rPr>
        <w:t>presented in the consolidated statements of loss and comprehensive loss as a part of “Research”.</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As at June 30, 2026, the Company had amounts payable to related parties of $127, included in accounts payable and accrued liabilities.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both"/>
        <w:rPr>
          <w:rFonts w:ascii="sans-serif" w:hAnsi="sans-serif"/>
          <w:b/>
          <w:color w:val="2D5F91"/>
          <w:sz w:val="20"/>
        </w:rPr>
      </w:pPr>
      <w:r>
        <w:rPr>
          <w:rFonts w:ascii="sans-serif" w:hAnsi="sans-serif"/>
          <w:b/>
          <w:color w:val="2D5F91"/>
          <w:sz w:val="20"/>
        </w:rPr>
        <w:t>8. RESEARCH EXPENSES</w:t>
      </w:r>
    </w:p>
    <w:p>
      <w:pPr>
        <w:pStyle w:val="TextBody"/>
        <w:bidi w:val="0"/>
        <w:spacing w:before="0" w:after="0"/>
        <w:jc w:val="both"/>
        <w:rPr/>
      </w:pPr>
      <w:r>
        <w:rPr/>
      </w:r>
    </w:p>
    <w:tbl>
      <w:tblPr>
        <w:tblW w:w="7466" w:type="dxa"/>
        <w:jc w:val="left"/>
        <w:tblInd w:w="0" w:type="dxa"/>
        <w:tblLayout w:type="fixed"/>
        <w:tblCellMar>
          <w:top w:w="28" w:type="dxa"/>
          <w:left w:w="28" w:type="dxa"/>
          <w:bottom w:w="28" w:type="dxa"/>
          <w:right w:w="28" w:type="dxa"/>
        </w:tblCellMar>
      </w:tblPr>
      <w:tblGrid>
        <w:gridCol w:w="1473"/>
        <w:gridCol w:w="1293"/>
        <w:gridCol w:w="1299"/>
        <w:gridCol w:w="530"/>
        <w:gridCol w:w="530"/>
        <w:gridCol w:w="530"/>
        <w:gridCol w:w="530"/>
        <w:gridCol w:w="530"/>
        <w:gridCol w:w="751"/>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Three-months ended June 30,</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2026</w:t>
            </w:r>
          </w:p>
        </w:tc>
        <w:tc>
          <w:tcPr>
            <w:tcW w:w="18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2025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c>
          <w:tcPr>
            <w:tcW w:w="1811"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val="false"/>
                <w:color w:val="000000"/>
                <w:sz w:val="20"/>
              </w:rPr>
            </w:pPr>
            <w:r>
              <w:rPr>
                <w:rFonts w:ascii="sans-serif" w:hAnsi="sans-serif"/>
                <w:b w:val="false"/>
                <w:color w:val="000000"/>
                <w:sz w:val="20"/>
              </w:rPr>
              <w:t>$</w:t>
            </w:r>
          </w:p>
        </w:tc>
      </w:tr>
      <w:tr>
        <w:trPr/>
        <w:tc>
          <w:tcPr>
            <w:tcW w:w="4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Advancement of development programs</w:t>
            </w:r>
          </w:p>
        </w:tc>
        <w:tc>
          <w:tcPr>
            <w:tcW w:w="10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25,289 </w:t>
            </w:r>
          </w:p>
        </w:tc>
        <w:tc>
          <w:tcPr>
            <w:tcW w:w="5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12,095 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Payroll and benefits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4,206 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2,596 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Professional and consulting fees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Lab and administration</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510 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280 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10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30,761</w:t>
            </w:r>
            <w:r>
              <w:rPr>
                <w:color w:val="000000"/>
              </w:rPr>
              <w:t> </w:t>
            </w:r>
          </w:p>
        </w:tc>
        <w:tc>
          <w:tcPr>
            <w:tcW w:w="5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14,995 </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17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17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240" w:before="0" w:after="0"/>
        <w:ind w:left="0" w:right="0" w:hanging="180"/>
        <w:jc w:val="both"/>
        <w:rPr>
          <w:rFonts w:ascii="sans-serif" w:hAnsi="sans-serif"/>
          <w:b/>
          <w:color w:val="2D5F91"/>
          <w:sz w:val="20"/>
        </w:rPr>
      </w:pPr>
      <w:r>
        <w:rPr>
          <w:rFonts w:ascii="sans-serif" w:hAnsi="sans-serif"/>
          <w:b/>
          <w:color w:val="2D5F91"/>
          <w:sz w:val="20"/>
        </w:rPr>
        <w:t>9. GENERAL AND ADMINISTRATIVE EXPENSES</w:t>
      </w:r>
    </w:p>
    <w:p>
      <w:pPr>
        <w:pStyle w:val="TextBody"/>
        <w:bidi w:val="0"/>
        <w:spacing w:before="0" w:after="0"/>
        <w:jc w:val="both"/>
        <w:rPr/>
      </w:pPr>
      <w:r>
        <w:rPr/>
      </w:r>
    </w:p>
    <w:tbl>
      <w:tblPr>
        <w:tblW w:w="7390" w:type="dxa"/>
        <w:jc w:val="left"/>
        <w:tblInd w:w="0" w:type="dxa"/>
        <w:tblLayout w:type="fixed"/>
        <w:tblCellMar>
          <w:top w:w="28" w:type="dxa"/>
          <w:left w:w="28" w:type="dxa"/>
          <w:bottom w:w="28" w:type="dxa"/>
          <w:right w:w="28" w:type="dxa"/>
        </w:tblCellMar>
      </w:tblPr>
      <w:tblGrid>
        <w:gridCol w:w="1443"/>
        <w:gridCol w:w="1270"/>
        <w:gridCol w:w="1276"/>
        <w:gridCol w:w="530"/>
        <w:gridCol w:w="530"/>
        <w:gridCol w:w="530"/>
        <w:gridCol w:w="530"/>
        <w:gridCol w:w="530"/>
        <w:gridCol w:w="751"/>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Three-months ended 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2026</w:t>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Payroll and benefits</w:t>
            </w:r>
          </w:p>
        </w:tc>
        <w:tc>
          <w:tcPr>
            <w:tcW w:w="10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3,014</w:t>
            </w:r>
            <w:r>
              <w:rPr>
                <w:color w:val="000000"/>
              </w:rPr>
              <w:t> </w:t>
            </w:r>
          </w:p>
        </w:tc>
        <w:tc>
          <w:tcPr>
            <w:tcW w:w="5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1,607 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Investor relations and marketing media</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1,316</w:t>
            </w: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381 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Professional and consulting fees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1,197</w:t>
            </w: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2,908 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Office and administration</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1,053</w:t>
            </w: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770 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Capital market</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145</w:t>
            </w: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2,059 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Listing fees</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14</w:t>
            </w: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Business development</w:t>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8</w:t>
            </w: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1,125 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Total</w:t>
            </w:r>
          </w:p>
        </w:tc>
        <w:tc>
          <w:tcPr>
            <w:tcW w:w="10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6,747</w:t>
            </w:r>
            <w:r>
              <w:rPr>
                <w:color w:val="000000"/>
              </w:rPr>
              <w:t> </w:t>
            </w:r>
          </w:p>
        </w:tc>
        <w:tc>
          <w:tcPr>
            <w:tcW w:w="5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8,876 </w:t>
            </w:r>
          </w:p>
        </w:tc>
        <w:tc>
          <w:tcPr>
            <w:tcW w:w="7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jc w:val="left"/>
        <w:rPr>
          <w:rFonts w:ascii="sans-serif" w:hAnsi="sans-serif"/>
          <w:b/>
          <w:color w:val="2D5F91"/>
          <w:sz w:val="20"/>
        </w:rPr>
      </w:pPr>
      <w:r>
        <w:rPr>
          <w:rFonts w:ascii="sans-serif" w:hAnsi="sans-serif"/>
          <w:b/>
          <w:color w:val="2D5F91"/>
          <w:sz w:val="20"/>
        </w:rPr>
        <w:t>10. CONTRACTS, COMMITMENTS AND CONTINGENCIES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As at June 30, 2026, the Company had entered into agreements for various studies which may require the Company to spend up to an additional $82,713. The Company expects to pay this amount within the 24 months ending June 30, 2028,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studies.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In addition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completion of certain milestones contemplated in the exclusive license, the Company may have to pay additional consideration of up to $9,500. At the sole discretion of the Company, the milestones may be paid in cash or in Common Shares, or a combination thereof, subject to the approval of Cboe Canada. Due to the nature of the arrangement, the timing and probability of future potential payments cannot be determined at this time, and no accrual has been recorded. Further, there is no assurance that the aforementioned milestones will be met at all. The agreement also contemplates a sales royalty of approximately 2% for all commercialized licensed products within the scope of the agreement.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condensed interim consolidated financial statements.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In the normal course of business, the Company may be subject to legal proceedings and claims. As at June 30, 2026, no litigation or class proceedings have been commenced or certified against the Company. Should any litigation or class actions that the Company becomes involved in be unable to be resolved favourably or if any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18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18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claims or litigation are determined against the Company, the Company’s financial position and operating results could be materially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360"/>
        <w:jc w:val="left"/>
        <w:rPr>
          <w:rFonts w:ascii="sans-serif" w:hAnsi="sans-serif"/>
          <w:b/>
          <w:color w:val="2D5F91"/>
          <w:sz w:val="20"/>
        </w:rPr>
      </w:pPr>
      <w:r>
        <w:rPr>
          <w:rFonts w:ascii="sans-serif" w:hAnsi="sans-serif"/>
          <w:b/>
          <w:color w:val="2D5F91"/>
          <w:sz w:val="20"/>
        </w:rPr>
        <w:t>11.    CAPITAL MANAGEMENT</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Company’s objectives when managing capital are to safeguard the Company’s ability to continue as a going concern in order to pursue business opportunities and to maintain a flexible capital structure that optimizes the costs of capital at an acceptable risk. The Company’s intentions are to (i) provide financial capacity and flexibility in order to preserve its ability to meet its strategic objectives and financial obligations; (ii) maintain a capital structure which allows the Company to respond to changes in economic and marketplace conditions and affords the Company the ability to participate in new investments; (iii) optimize the use of its capital to provide an appropriate investment return to its shareholders equal with the level of risk; and (iv) maintain a flexible capital structure which optimizes the cost of capital at acceptable levels of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Company’s financial strategy is formulated and adapted according to market conditions in order to maintain a flexible capital structure that is consistent with its objectives and the risk characteristics of its underlying assets. The Company manages its capital structure and makes adjustments to it in light of changes in economic conditions and the risk characteristics of its underlying assets. The Company maintains or adjusts its capital level to enable it to meet its objectives by raising capital through the issuance of securities.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Company’s capital management objectives, policies and processes generally remained unchanged during the three months ended ended June 30, 2026.</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 requires capital to fund existing and future operations. The Company’s policy is to maintain adequate levels of capital at all times. As at June 30, 2026, the Company is not subject to any externally imposed capital, liquidity or other financial restrictions.</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 xml:space="preserve">The Company’s capital structure is as shown in the condensed interim consolidated statements of changes in shareholders' equity.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19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19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333" w:before="200" w:after="283"/>
        <w:ind w:left="0" w:right="0" w:hanging="360"/>
        <w:jc w:val="left"/>
        <w:rPr>
          <w:rFonts w:ascii="sans-serif" w:hAnsi="sans-serif"/>
          <w:b/>
          <w:color w:val="2D5F91"/>
          <w:sz w:val="20"/>
        </w:rPr>
      </w:pPr>
      <w:r>
        <w:rPr>
          <w:rFonts w:ascii="sans-serif" w:hAnsi="sans-serif"/>
          <w:b/>
          <w:color w:val="2D5F91"/>
          <w:sz w:val="20"/>
        </w:rPr>
        <w:t>12.    FINANCIAL INSTRUMENTS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Company’s financial instruments are exposed to certain financial risks, which include currency risk, credit risk, liquidity risk and interest rate risk.</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The Company has classified its financial instruments as follows:</w:t>
      </w:r>
    </w:p>
    <w:tbl>
      <w:tblPr>
        <w:tblW w:w="8970" w:type="dxa"/>
        <w:jc w:val="left"/>
        <w:tblInd w:w="0" w:type="dxa"/>
        <w:tblLayout w:type="fixed"/>
        <w:tblCellMar>
          <w:top w:w="28" w:type="dxa"/>
          <w:left w:w="28" w:type="dxa"/>
          <w:bottom w:w="28" w:type="dxa"/>
          <w:right w:w="28" w:type="dxa"/>
        </w:tblCellMar>
      </w:tblPr>
      <w:tblGrid>
        <w:gridCol w:w="1979"/>
        <w:gridCol w:w="1739"/>
        <w:gridCol w:w="1772"/>
        <w:gridCol w:w="539"/>
        <w:gridCol w:w="539"/>
        <w:gridCol w:w="542"/>
        <w:gridCol w:w="545"/>
        <w:gridCol w:w="545"/>
        <w:gridCol w:w="770"/>
      </w:tblGrid>
      <w:tr>
        <w:trPr/>
        <w:tc>
          <w:tcPr>
            <w:tcW w:w="1979"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 at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June 30, 2026</w:t>
            </w:r>
          </w:p>
        </w:tc>
        <w:tc>
          <w:tcPr>
            <w:tcW w:w="186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March 31, 2026</w:t>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c>
          <w:tcPr>
            <w:tcW w:w="1860" w:type="dxa"/>
            <w:gridSpan w:val="3"/>
            <w:tcBorders/>
            <w:tcMar>
              <w:top w:w="0" w:type="dxa"/>
              <w:left w:w="0" w:type="dxa"/>
              <w:bottom w:w="0" w:type="dxa"/>
              <w:right w:w="0" w:type="dxa"/>
            </w:tcMar>
            <w:vAlign w:val="center"/>
          </w:tcPr>
          <w:p>
            <w:pPr>
              <w:pStyle w:val="TableContents"/>
              <w:bidi w:val="0"/>
              <w:spacing w:lineRule="auto" w:line="288" w:before="53" w:after="30"/>
              <w:jc w:val="right"/>
              <w:rPr>
                <w:rFonts w:ascii="sans-serif" w:hAnsi="sans-serif"/>
                <w:b/>
                <w:color w:val="000000"/>
                <w:sz w:val="20"/>
              </w:rPr>
            </w:pPr>
            <w:r>
              <w:rPr>
                <w:rFonts w:ascii="sans-serif" w:hAnsi="sans-serif"/>
                <w:b/>
                <w:color w:val="000000"/>
                <w:sz w:val="20"/>
              </w:rPr>
              <w:t>$</w:t>
            </w:r>
          </w:p>
        </w:tc>
      </w:tr>
      <w:tr>
        <w:trPr/>
        <w:tc>
          <w:tcPr>
            <w:tcW w:w="5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Financial assets, measured at fair value:</w:t>
            </w:r>
          </w:p>
        </w:tc>
        <w:tc>
          <w:tcPr>
            <w:tcW w:w="16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Cash </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166,365</w:t>
            </w:r>
            <w:r>
              <w:rPr>
                <w:color w:val="000000"/>
              </w:rPr>
              <w:t>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157,258 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Financial assets, measured at amortized cost:</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372</w:t>
            </w:r>
            <w:r>
              <w:rPr>
                <w:color w:val="000000"/>
              </w:rPr>
              <w:t>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507 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Financial liabilities, measured at amortized cost:</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accrued liabilities</w:t>
            </w:r>
          </w:p>
        </w:tc>
        <w:tc>
          <w:tcPr>
            <w:tcW w:w="107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17,568</w:t>
            </w:r>
            <w:r>
              <w:rPr>
                <w:color w:val="000000"/>
              </w:rPr>
              <w:t> </w:t>
            </w:r>
          </w:p>
        </w:tc>
        <w:tc>
          <w:tcPr>
            <w:tcW w:w="5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19,377 </w:t>
            </w:r>
          </w:p>
        </w:tc>
        <w:tc>
          <w:tcPr>
            <w:tcW w:w="77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carrying amount of the Company's financial instruments approximate their fair value, due to their short-term nature.</w:t>
      </w:r>
    </w:p>
    <w:p>
      <w:pPr>
        <w:pStyle w:val="TextBody"/>
        <w:bidi w:val="0"/>
        <w:spacing w:lineRule="auto" w:line="333" w:before="200" w:after="283"/>
        <w:jc w:val="left"/>
        <w:rPr>
          <w:rFonts w:ascii="sans-serif" w:hAnsi="sans-serif"/>
          <w:b/>
          <w:color w:val="000000"/>
          <w:sz w:val="20"/>
          <w:u w:val="single"/>
        </w:rPr>
      </w:pPr>
      <w:r>
        <w:rPr>
          <w:rFonts w:ascii="sans-serif" w:hAnsi="sans-serif"/>
          <w:b/>
          <w:color w:val="000000"/>
          <w:sz w:val="20"/>
          <w:u w:val="single"/>
        </w:rPr>
        <w:t>Fair value hierarchy of financial instruments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 has categorized its financial instruments that are carried at fair value, based on the priority of the inputs to the valuation techniques used to measure fair value, into a three-level fair value hierarchy as follows: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Level 1: Fair value is based on unadjusted quoted prices for identical assets or liabilities in an active market. The types of assets and liabilities classified as Level 1 generally included cash.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Level 2: Fair value is based on quoted prices for similar assets or liabilities in active markets, valuation that is based on significant observable inputs, or inputs that are derived principally from or corroborated with observable market data through correlation or other means. Currently, the Company has no financial instruments that would be classified as Level 2.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 xml:space="preserve">Level 3: Fair value is based on valuation techniques that require one or more significant inputs that are not based on observable market inputs. These unobservable inputs reflect the Company’s assumptions about the assumptions market participants would use in pricing the asset or liability. Currently, the Company has no financial instruments that would be classified as Level 3. </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There were no transfers between levels of the fair value hierarchy for the three months ended June 30,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20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20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333" w:before="200" w:after="283"/>
        <w:jc w:val="both"/>
        <w:rPr>
          <w:rFonts w:ascii="sans-serif" w:hAnsi="sans-serif"/>
          <w:b/>
          <w:color w:val="000000"/>
          <w:sz w:val="20"/>
        </w:rPr>
      </w:pPr>
      <w:r>
        <w:rPr>
          <w:rFonts w:ascii="sans-serif" w:hAnsi="sans-serif"/>
          <w:b/>
          <w:color w:val="000000"/>
          <w:sz w:val="20"/>
        </w:rPr>
        <w:t>Day 1 gains/losses</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Upon acquisition of a financial instrument, the Company measures its fair value and compares this to the acquisition price. The difference is recognized as a gain or loss only if fair value is based on a quoted price in an active market or based on a valuation technique that uses only data from observable markets.</w:t>
      </w:r>
    </w:p>
    <w:p>
      <w:pPr>
        <w:pStyle w:val="TextBody"/>
        <w:bidi w:val="0"/>
        <w:spacing w:lineRule="auto" w:line="333" w:before="200" w:after="283"/>
        <w:jc w:val="left"/>
        <w:rPr>
          <w:rFonts w:ascii="sans-serif" w:hAnsi="sans-serif"/>
          <w:b/>
          <w:color w:val="000000"/>
          <w:sz w:val="20"/>
          <w:u w:val="single"/>
        </w:rPr>
      </w:pPr>
      <w:r>
        <w:rPr>
          <w:rFonts w:ascii="sans-serif" w:hAnsi="sans-serif"/>
          <w:b/>
          <w:color w:val="000000"/>
          <w:sz w:val="20"/>
          <w:u w:val="single"/>
        </w:rPr>
        <w:t>Financial risk management</w:t>
      </w:r>
    </w:p>
    <w:p>
      <w:pPr>
        <w:pStyle w:val="TextBody"/>
        <w:bidi w:val="0"/>
        <w:spacing w:lineRule="auto" w:line="333" w:before="200" w:after="283"/>
        <w:jc w:val="left"/>
        <w:rPr>
          <w:rFonts w:ascii="sans-serif" w:hAnsi="sans-serif"/>
          <w:b/>
          <w:color w:val="000000"/>
          <w:sz w:val="20"/>
        </w:rPr>
      </w:pPr>
      <w:r>
        <w:rPr>
          <w:rFonts w:ascii="sans-serif" w:hAnsi="sans-serif"/>
          <w:b/>
          <w:color w:val="000000"/>
          <w:sz w:val="20"/>
        </w:rPr>
        <w:t>Credit risk</w:t>
      </w:r>
    </w:p>
    <w:p>
      <w:pPr>
        <w:pStyle w:val="TextBody"/>
        <w:bidi w:val="0"/>
        <w:spacing w:lineRule="auto" w:line="333" w:before="200" w:after="283"/>
        <w:jc w:val="both"/>
        <w:rPr/>
      </w:pPr>
      <w:r>
        <w:rPr>
          <w:rFonts w:ascii="sans-serif" w:hAnsi="sans-serif"/>
          <w:b w:val="false"/>
          <w:color w:val="000000"/>
          <w:sz w:val="20"/>
        </w:rPr>
        <w:t>Credit risk is the risk that one party to a financial instrument will cause a financial loss for the other party by failing to discharge an obligation. The Company’s cash is exposed to credit risk. The Company reduces its credit risk on cash by placing these instruments with institutions of high creditworthiness. As at June 30, 2026,</w:t>
      </w:r>
      <w:r>
        <w:rPr>
          <w:color w:val="000000"/>
        </w:rPr>
        <w:t xml:space="preserve"> </w:t>
      </w:r>
      <w:r>
        <w:rPr>
          <w:rFonts w:ascii="sans-serif" w:hAnsi="sans-serif"/>
          <w:b w:val="false"/>
          <w:color w:val="000000"/>
          <w:sz w:val="20"/>
        </w:rPr>
        <w:t xml:space="preserve">the Company’s maximum exposure to credit risk is the carrying value of its financial assets. </w:t>
      </w:r>
    </w:p>
    <w:p>
      <w:pPr>
        <w:pStyle w:val="TextBody"/>
        <w:bidi w:val="0"/>
        <w:spacing w:lineRule="auto" w:line="333" w:before="200" w:after="283"/>
        <w:jc w:val="left"/>
        <w:rPr>
          <w:rFonts w:ascii="sans-serif" w:hAnsi="sans-serif"/>
          <w:b/>
          <w:color w:val="000000"/>
          <w:sz w:val="20"/>
        </w:rPr>
      </w:pPr>
      <w:r>
        <w:rPr>
          <w:rFonts w:ascii="sans-serif" w:hAnsi="sans-serif"/>
          <w:b/>
          <w:color w:val="000000"/>
          <w:sz w:val="20"/>
        </w:rPr>
        <w:t>Liquidity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Liquidity risk is the risk that an entity will encounter difficulty in raising funds to meet commitments associated with financial instruments. The Company manages liquidity by maintaining adequate cash balances to meet liabilities as they become due.</w:t>
      </w:r>
    </w:p>
    <w:p>
      <w:pPr>
        <w:pStyle w:val="TextBody"/>
        <w:bidi w:val="0"/>
        <w:spacing w:lineRule="auto" w:line="333" w:before="200" w:after="283"/>
        <w:jc w:val="both"/>
        <w:rPr/>
      </w:pPr>
      <w:r>
        <w:rPr>
          <w:rFonts w:ascii="sans-serif" w:hAnsi="sans-serif"/>
          <w:b w:val="false"/>
          <w:color w:val="000000"/>
          <w:sz w:val="20"/>
        </w:rPr>
        <w:t>As at June 30, 2026, the Company had cash of $166,365 (March 31, 2026 - $157,258) in order to meet current liabilities and ongoing expenditures. Current liabilities include accounts payable and accrued liabilities of $17,568</w:t>
      </w:r>
      <w:r>
        <w:rPr>
          <w:color w:val="000000"/>
        </w:rPr>
        <w:t xml:space="preserve"> </w:t>
      </w:r>
      <w:r>
        <w:rPr>
          <w:rFonts w:ascii="sans-serif" w:hAnsi="sans-serif"/>
          <w:b w:val="false"/>
          <w:color w:val="000000"/>
          <w:sz w:val="20"/>
        </w:rPr>
        <w:t xml:space="preserve">(March 31, 2026 - $19,377). All amounts are due within the next 12 months. </w:t>
      </w:r>
    </w:p>
    <w:p>
      <w:pPr>
        <w:pStyle w:val="TextBody"/>
        <w:bidi w:val="0"/>
        <w:spacing w:lineRule="auto" w:line="333" w:before="200" w:after="283"/>
        <w:jc w:val="left"/>
        <w:rPr>
          <w:rFonts w:ascii="sans-serif" w:hAnsi="sans-serif"/>
          <w:b/>
          <w:color w:val="000000"/>
          <w:sz w:val="20"/>
        </w:rPr>
      </w:pPr>
      <w:r>
        <w:rPr>
          <w:rFonts w:ascii="sans-serif" w:hAnsi="sans-serif"/>
          <w:b/>
          <w:color w:val="000000"/>
          <w:sz w:val="20"/>
        </w:rPr>
        <w:t>Market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significant market risks to which the Company is exposed are interest rate risk and currency risk.</w:t>
      </w:r>
    </w:p>
    <w:p>
      <w:pPr>
        <w:pStyle w:val="TextBody"/>
        <w:bidi w:val="0"/>
        <w:spacing w:lineRule="auto" w:line="333" w:before="200" w:after="283"/>
        <w:jc w:val="left"/>
        <w:rPr>
          <w:rFonts w:ascii="sans-serif" w:hAnsi="sans-serif"/>
          <w:b w:val="false"/>
          <w:i/>
          <w:color w:val="000000"/>
          <w:sz w:val="20"/>
          <w:u w:val="single"/>
        </w:rPr>
      </w:pPr>
      <w:r>
        <w:rPr>
          <w:rFonts w:ascii="sans-serif" w:hAnsi="sans-serif"/>
          <w:b w:val="false"/>
          <w:i/>
          <w:color w:val="000000"/>
          <w:sz w:val="20"/>
          <w:u w:val="single"/>
        </w:rPr>
        <w:t>Interest rate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Interest rate risk is the risk that the fair value or the future cash flows of a financial instrument will fluctuate because of changes in market interest rates. In seeking to minimize the risks from interest rate fluctuations, the Company manages exposure through its normal operating and financing activities. Assuming that all other variables remain constant, as at June 30, 2026, a 1% decline on the interest rate generated on cash would have resulted in a reduction of interest income of $276 over a three month period.</w:t>
      </w:r>
    </w:p>
    <w:p>
      <w:pPr>
        <w:pStyle w:val="TextBody"/>
        <w:bidi w:val="0"/>
        <w:spacing w:lineRule="auto" w:line="333" w:before="200" w:after="283"/>
        <w:jc w:val="left"/>
        <w:rPr>
          <w:rFonts w:ascii="sans-serif" w:hAnsi="sans-serif"/>
          <w:b w:val="false"/>
          <w:i/>
          <w:color w:val="000000"/>
          <w:sz w:val="20"/>
          <w:u w:val="single"/>
        </w:rPr>
      </w:pPr>
      <w:r>
        <w:rPr>
          <w:rFonts w:ascii="sans-serif" w:hAnsi="sans-serif"/>
          <w:b w:val="false"/>
          <w:i/>
          <w:color w:val="000000"/>
          <w:sz w:val="20"/>
          <w:u w:val="single"/>
        </w:rPr>
        <w:t>Currency risk</w:t>
      </w:r>
    </w:p>
    <w:p>
      <w:pPr>
        <w:pStyle w:val="TextBody"/>
        <w:bidi w:val="0"/>
        <w:spacing w:lineRule="auto" w:line="333" w:before="200" w:after="283"/>
        <w:jc w:val="both"/>
        <w:rPr>
          <w:rFonts w:ascii="sans-serif" w:hAnsi="sans-serif"/>
          <w:b w:val="false"/>
          <w:color w:val="000000"/>
          <w:sz w:val="20"/>
        </w:rPr>
      </w:pPr>
      <w:r>
        <w:rPr>
          <w:rFonts w:ascii="sans-serif" w:hAnsi="sans-serif"/>
          <w:b w:val="false"/>
          <w:color w:val="000000"/>
          <w:sz w:val="20"/>
        </w:rPr>
        <w:t>The Company is exposed to currency risk to the extent that monetary operational expenses are denominated in USD, CAD, EUR and GBP while the functional currency of USD is used for reporting. The Company has not entered into any foreign currency contracts to mitigate this risk.</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21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21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At June 30, 2026, the Company had the following balances in monetary assets and monetary liabilities which are subject to fluctuation against USD:</w:t>
      </w:r>
    </w:p>
    <w:tbl>
      <w:tblPr>
        <w:tblW w:w="8320" w:type="dxa"/>
        <w:jc w:val="left"/>
        <w:tblInd w:w="0" w:type="dxa"/>
        <w:tblLayout w:type="fixed"/>
        <w:tblCellMar>
          <w:top w:w="28" w:type="dxa"/>
          <w:left w:w="28" w:type="dxa"/>
          <w:bottom w:w="28" w:type="dxa"/>
          <w:right w:w="28" w:type="dxa"/>
        </w:tblCellMar>
      </w:tblPr>
      <w:tblGrid>
        <w:gridCol w:w="1634"/>
        <w:gridCol w:w="1438"/>
        <w:gridCol w:w="1442"/>
        <w:gridCol w:w="389"/>
        <w:gridCol w:w="389"/>
        <w:gridCol w:w="391"/>
        <w:gridCol w:w="534"/>
        <w:gridCol w:w="389"/>
        <w:gridCol w:w="391"/>
        <w:gridCol w:w="475"/>
        <w:gridCol w:w="351"/>
        <w:gridCol w:w="497"/>
      </w:tblGrid>
      <w:tr>
        <w:trPr/>
        <w:tc>
          <w:tcPr>
            <w:tcW w:w="16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Denominated in:</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CAD 000s</w:t>
            </w:r>
          </w:p>
        </w:tc>
        <w:tc>
          <w:tcPr>
            <w:tcW w:w="1314"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sans-serif" w:hAnsi="sans-serif"/>
                <w:b/>
                <w:color w:val="000000"/>
                <w:sz w:val="20"/>
              </w:rPr>
            </w:pPr>
            <w:r>
              <w:rPr>
                <w:rFonts w:ascii="sans-serif" w:hAnsi="sans-serif"/>
                <w:b/>
                <w:color w:val="000000"/>
                <w:sz w:val="20"/>
              </w:rPr>
              <w:t>GBP 000s</w:t>
            </w:r>
          </w:p>
        </w:tc>
        <w:tc>
          <w:tcPr>
            <w:tcW w:w="132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sans-serif" w:hAnsi="sans-serif"/>
                <w:b/>
                <w:color w:val="000000"/>
                <w:sz w:val="20"/>
              </w:rPr>
            </w:pPr>
            <w:r>
              <w:rPr>
                <w:rFonts w:ascii="sans-serif" w:hAnsi="sans-serif"/>
                <w:b/>
                <w:color w:val="000000"/>
                <w:sz w:val="20"/>
              </w:rPr>
              <w:t>EUR 000s</w:t>
            </w:r>
          </w:p>
        </w:tc>
      </w:tr>
      <w:tr>
        <w:trPr/>
        <w:tc>
          <w:tcPr>
            <w:tcW w:w="4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w:t>
            </w:r>
          </w:p>
        </w:tc>
        <w:tc>
          <w:tcPr>
            <w:tcW w:w="7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1,318 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 and accrued liabilities</w:t>
            </w:r>
          </w:p>
        </w:tc>
        <w:tc>
          <w:tcPr>
            <w:tcW w:w="7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427</w:t>
            </w:r>
            <w:r>
              <w:rPr>
                <w:color w:val="000000"/>
              </w:rPr>
              <w:t>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(405)</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Foreign currency rate</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0.7037</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1.3230 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1.1407 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Equivalent in U.S. dollars</w:t>
            </w:r>
          </w:p>
        </w:tc>
        <w:tc>
          <w:tcPr>
            <w:tcW w:w="7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0"/>
              </w:rPr>
              <w:t>300</w:t>
            </w:r>
            <w:r>
              <w:rPr>
                <w:color w:val="000000"/>
              </w:rPr>
              <w:t>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(536)</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(26)</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Impact of 10% change in exchange rate</w:t>
            </w:r>
          </w:p>
        </w:tc>
        <w:tc>
          <w:tcPr>
            <w:tcW w:w="77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sans-serif" w:hAnsi="sans-serif"/>
                <w:b/>
                <w:color w:val="000000"/>
                <w:sz w:val="20"/>
              </w:rPr>
              <w:t>30</w:t>
            </w:r>
            <w:r>
              <w:rPr>
                <w:color w:val="000000"/>
              </w:rPr>
              <w:t> </w:t>
            </w:r>
          </w:p>
        </w:tc>
        <w:tc>
          <w:tcPr>
            <w:tcW w:w="3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(54)</w:t>
            </w:r>
          </w:p>
        </w:tc>
        <w:tc>
          <w:tcPr>
            <w:tcW w:w="3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(3)</w:t>
            </w:r>
          </w:p>
        </w:tc>
        <w:tc>
          <w:tcPr>
            <w:tcW w:w="4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 xml:space="preserve">Such analysis excludes any indirect economic or geo-political effects of such currency fluctuations.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00" w:after="283"/>
        <w:ind w:left="0" w:right="0" w:hanging="360"/>
        <w:jc w:val="left"/>
        <w:rPr>
          <w:rFonts w:ascii="sans-serif" w:hAnsi="sans-serif"/>
          <w:b/>
          <w:color w:val="2D5F91"/>
          <w:sz w:val="20"/>
        </w:rPr>
      </w:pPr>
      <w:r>
        <w:rPr>
          <w:rFonts w:ascii="sans-serif" w:hAnsi="sans-serif"/>
          <w:b/>
          <w:color w:val="2D5F91"/>
          <w:sz w:val="20"/>
        </w:rPr>
        <w:t>13. SUBSEQUENT EVENTS</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On July 1, 2026, the Company granted options to certain employees of the Company to purchase up to 90,456 Common Shares at an exercise price of $6.61.</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On July 1, 2026, the Company cancelled options (price range from C$8.39 to C$21.28) to purchase up to 1,023,721 Common Shares.</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On July 1, 2026, the Company granted 4,103,974 RSUs to certain directors, officers, employees and consultants. Included in this amount were 1,656,362 RSUs relating to obligations that arose on June 17, 2026 and June 25, 2026 pursuant to pre-existing contractual arrangements. Each RSU entitles the holder to receive one Common Share upon vesting. Of the RSUs granted, 4,033,304 vested immediately upon grant and the underlying Common Shares are subject to lock-up agreements dated July 1, 2026, with varying terms and conditions. Certain of these lock-up agreements contained acceleration provisions that were subsequently triggered on August 13, 2026, resulting in the early release of the applicable lock-up restrictions in respect of 1,916,362 Common Shares. The holders of 2,116,942 Common Shares continue to be subject to their respective lock-up arrangements. In addition, 70,670 RSUs vest over a three-year period.</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On July 1, 2026, the Company amended the terms of certain RSU awards, resulting in the acceleration of vesting. As a result, $15,425 of previously unrecognized share-based compensation expense associated with these awards will be recognized in the Company's statement of loss and comprehensive loss during the three months ending September 30, 2026.</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On July 1, 2026, the Company issued 7,889,846 Common Shares upon vesting of RSUs.</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On August 3, 2026, the Company granted a total of 1,175,000 RSUs and 425,000 PSUs to two new officers of the Company. The RSUs vest in annual tranches over three years. The PSUs vest based on the achievement of specified Common Share price targets during the three years following the grant date. Each RSU and PSU entitles the holder to receive one Common Share upon vesting.</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On August 10, 2026, the Company issued 189,000 Common Shares upon the exercise of Common Share purchase warrants, resulting in gross proceeds of $1,538.</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22 of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22 of 23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2"/>
        <w:gridCol w:w="4068"/>
      </w:tblGrid>
      <w:tr>
        <w:trPr/>
        <w:tc>
          <w:tcPr>
            <w:tcW w:w="326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CYBIN INC. DOING BUSINESS AS HELUS PHARMA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 xml:space="preserve">NOTES TO THE CONDENSED INTERIM CONSOLIDATED FINANCIAL STATEMENTS </w:t>
            </w:r>
          </w:p>
          <w:p>
            <w:pPr>
              <w:pStyle w:val="TableContents"/>
              <w:bidi w:val="0"/>
              <w:spacing w:lineRule="auto" w:line="240" w:before="0" w:after="0"/>
              <w:jc w:val="left"/>
              <w:rPr>
                <w:rFonts w:ascii="sans-serif" w:hAnsi="sans-serif"/>
                <w:b/>
                <w:color w:val="000000"/>
                <w:sz w:val="24"/>
              </w:rPr>
            </w:pPr>
            <w:r>
              <w:rPr>
                <w:rFonts w:ascii="sans-serif" w:hAnsi="sans-serif"/>
                <w:b/>
                <w:color w:val="000000"/>
                <w:sz w:val="24"/>
              </w:rPr>
              <w:t>June 30, 2026</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(All amounts expressed in thousands of U.S. dollars, except share and per share amounts, and those amounts indicated as being in CAD, Euros or Great Britain Pounds which are in thousands.)</w:t>
            </w:r>
          </w:p>
          <w:p>
            <w:pPr>
              <w:pStyle w:val="TableContents"/>
              <w:bidi w:val="0"/>
              <w:spacing w:lineRule="auto" w:line="240" w:before="0" w:after="0"/>
              <w:jc w:val="left"/>
              <w:rPr>
                <w:rFonts w:ascii="sans-serif" w:hAnsi="sans-serif"/>
                <w:b/>
                <w:color w:val="000000"/>
                <w:sz w:val="22"/>
              </w:rPr>
            </w:pPr>
            <w:r>
              <w:rPr>
                <w:rFonts w:ascii="sans-serif" w:hAnsi="sans-serif"/>
                <w:b/>
                <w:color w:val="000000"/>
                <w:sz w:val="22"/>
              </w:rPr>
              <w:t>(Unaudited)</w:t>
            </w:r>
          </w:p>
        </w:tc>
      </w:tr>
    </w:tbl>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On August 10, 2026, the Company issued 2,997,248 Common Shares upon the exercise of 2,997,253 Pre-Funded Warrants.</w:t>
      </w:r>
    </w:p>
    <w:p>
      <w:pPr>
        <w:pStyle w:val="TextBody"/>
        <w:bidi w:val="0"/>
        <w:spacing w:lineRule="auto" w:line="333" w:before="200" w:after="200"/>
        <w:jc w:val="both"/>
        <w:rPr>
          <w:rFonts w:ascii="sans-serif" w:hAnsi="sans-serif"/>
          <w:b w:val="false"/>
          <w:color w:val="000000"/>
          <w:sz w:val="20"/>
        </w:rPr>
      </w:pPr>
      <w:r>
        <w:rPr>
          <w:rFonts w:ascii="sans-serif" w:hAnsi="sans-serif"/>
          <w:b w:val="false"/>
          <w:color w:val="000000"/>
          <w:sz w:val="20"/>
        </w:rPr>
        <w:t xml:space="preserve">On August 10, 2026, the Company's obligation to grant 509,798 RSUs to certain officers of the Company crystallized pursuant to contractual arrangements.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23 of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sans-serif" w:hAnsi="sans-serif"/>
                          <w:b/>
                          <w:color w:val="000000"/>
                          <w:sz w:val="20"/>
                        </w:rPr>
                      </w:pPr>
                      <w:r>
                        <w:rPr>
                          <w:rFonts w:ascii="sans-serif" w:hAnsi="sans-serif"/>
                          <w:b/>
                          <w:color w:val="000000"/>
                          <w:sz w:val="20"/>
                        </w:rPr>
                        <w:t>Page 23 of 23</w:t>
                      </w:r>
                    </w:p>
                  </w:txbxContent>
                </v:textbox>
                <w10:wrap type="none"/>
              </v:rect>
            </w:pict>
          </mc:Fallback>
        </mc:AlternateContent>
      </w:r>
    </w:p>
    <w:p>
      <w:pPr>
        <w:pStyle w:val="TextBody"/>
        <w:bidi w:val="0"/>
        <w:spacing w:lineRule="auto" w:line="333" w:before="0" w:after="240"/>
        <w:jc w:val="both"/>
        <w:rPr>
          <w:color w:val="000000"/>
        </w:rPr>
      </w:pPr>
      <w:r>
        <w:rPr>
          <w:color w:val="000000"/>
        </w:rPr>
        <w:t>    </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
        <w:jc w:val="center"/>
        <w:rPr/>
      </w:pPr>
      <w:r>
        <w:rPr/>
      </w:r>
    </w:p>
    <w:p>
      <w:pPr>
        <w:pStyle w:val="TextBody"/>
        <w:bidi w:val="0"/>
        <w:spacing w:before="0" w:after="2"/>
        <w:jc w:val="center"/>
        <w:rPr/>
      </w:pPr>
      <w:r>
        <w:rPr/>
        <w:drawing>
          <wp:inline distT="0" distB="0" distL="0" distR="0">
            <wp:extent cx="3657600" cy="2371725"/>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4"/>
                    <a:stretch>
                      <a:fillRect/>
                    </a:stretch>
                  </pic:blipFill>
                  <pic:spPr bwMode="auto">
                    <a:xfrm>
                      <a:off x="0" y="0"/>
                      <a:ext cx="3657600" cy="2371725"/>
                    </a:xfrm>
                    <a:prstGeom prst="rect">
                      <a:avLst/>
                    </a:prstGeom>
                  </pic:spPr>
                </pic:pic>
              </a:graphicData>
            </a:graphic>
          </wp:inline>
        </w:drawing>
      </w:r>
    </w:p>
    <w:p>
      <w:pPr>
        <w:pStyle w:val="TextBody"/>
        <w:bidi w:val="0"/>
        <w:spacing w:lineRule="auto" w:line="333" w:before="200" w:after="2"/>
        <w:jc w:val="center"/>
        <w:rPr>
          <w:rFonts w:ascii="Times New Roman;serif" w:hAnsi="Times New Roman;serif"/>
          <w:b/>
          <w:color w:val="000000"/>
          <w:sz w:val="36"/>
        </w:rPr>
      </w:pPr>
      <w:r>
        <w:rPr>
          <w:rFonts w:ascii="Times New Roman;serif" w:hAnsi="Times New Roman;serif"/>
          <w:b/>
          <w:color w:val="000000"/>
          <w:sz w:val="36"/>
        </w:rPr>
        <w:t xml:space="preserve">CYBIN INC. DOING BUSINESS AS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HELUS PHARMA</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r>
    </w:p>
    <w:p>
      <w:pPr>
        <w:pStyle w:val="TextBody"/>
        <w:bidi w:val="0"/>
        <w:spacing w:lineRule="auto" w:line="240" w:before="0" w:after="0"/>
        <w:jc w:val="center"/>
        <w:rPr/>
      </w:pPr>
      <w:r>
        <w:rPr>
          <w:rFonts w:ascii="Times New Roman;serif" w:hAnsi="Times New Roman;serif"/>
          <w:b w:val="false"/>
          <w:color w:val="000000"/>
          <w:sz w:val="24"/>
        </w:rPr>
        <w:br/>
      </w:r>
      <w:r>
        <w:rPr>
          <w:rFonts w:ascii="Times New Roman;serif" w:hAnsi="Times New Roman;serif"/>
          <w:b w:val="false"/>
          <w:color w:val="000000"/>
          <w:sz w:val="22"/>
        </w:rPr>
        <w:t xml:space="preserve">Management’s Discussion and Analysis </w:t>
      </w:r>
    </w:p>
    <w:p>
      <w:pPr>
        <w:pStyle w:val="TextBody"/>
        <w:bidi w:val="0"/>
        <w:spacing w:lineRule="auto" w:line="333" w:before="0" w:after="240"/>
        <w:jc w:val="center"/>
        <w:rPr>
          <w:rFonts w:ascii="Times New Roman;serif" w:hAnsi="Times New Roman;serif"/>
          <w:b w:val="false"/>
          <w:color w:val="000000"/>
          <w:sz w:val="22"/>
        </w:rPr>
      </w:pPr>
      <w:r>
        <w:rPr>
          <w:rFonts w:ascii="Times New Roman;serif" w:hAnsi="Times New Roman;serif"/>
          <w:b w:val="false"/>
          <w:color w:val="000000"/>
          <w:sz w:val="22"/>
        </w:rPr>
        <w:t>of Financial Condition and Operating Performance</w:t>
      </w:r>
    </w:p>
    <w:p>
      <w:pPr>
        <w:pStyle w:val="TextBody"/>
        <w:bidi w:val="0"/>
        <w:spacing w:lineRule="auto" w:line="333" w:before="0" w:after="2"/>
        <w:jc w:val="center"/>
        <w:rPr>
          <w:rFonts w:ascii="Times New Roman;serif" w:hAnsi="Times New Roman;serif"/>
          <w:b w:val="false"/>
          <w:color w:val="000000"/>
          <w:sz w:val="22"/>
        </w:rPr>
      </w:pPr>
      <w:r>
        <w:rPr>
          <w:rFonts w:ascii="Times New Roman;serif" w:hAnsi="Times New Roman;serif"/>
          <w:b w:val="false"/>
          <w:color w:val="000000"/>
          <w:sz w:val="22"/>
        </w:rPr>
        <w:t>For the three months ended June 30, 2026</w:t>
      </w:r>
    </w:p>
    <w:p>
      <w:pPr>
        <w:pStyle w:val="TextBody"/>
        <w:bidi w:val="0"/>
        <w:spacing w:before="0" w:after="2"/>
        <w:jc w:val="center"/>
        <w:rPr/>
      </w:pPr>
      <w:r>
        <w:rPr/>
      </w:r>
    </w:p>
    <w:p>
      <w:pPr>
        <w:pStyle w:val="TextBody"/>
        <w:bidi w:val="0"/>
        <w:spacing w:lineRule="auto" w:line="333" w:before="0" w:after="240"/>
        <w:jc w:val="center"/>
        <w:rPr>
          <w:rFonts w:ascii="Times New Roman;serif" w:hAnsi="Times New Roman;serif"/>
          <w:b w:val="false"/>
          <w:color w:val="000000"/>
          <w:sz w:val="22"/>
        </w:rPr>
      </w:pPr>
      <w:r>
        <w:rPr>
          <w:rFonts w:ascii="Times New Roman;serif" w:hAnsi="Times New Roman;serif"/>
          <w:b w:val="false"/>
          <w:color w:val="000000"/>
          <w:sz w:val="22"/>
        </w:rPr>
        <w:t>Date: August 14, 2026</w:t>
      </w:r>
    </w:p>
    <w:p>
      <w:pPr>
        <w:pStyle w:val="TextBody"/>
        <w:bidi w:val="0"/>
        <w:spacing w:before="0" w:after="240"/>
        <w:jc w:val="center"/>
        <w:rPr/>
      </w:pPr>
      <w:r>
        <w:rPr/>
      </w:r>
    </w:p>
    <w:p>
      <w:pPr>
        <w:pStyle w:val="TextBody"/>
        <w:bidi w:val="0"/>
        <w:spacing w:before="0" w:after="24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both"/>
                        <w:rPr/>
                      </w:pPr>
                      <w:r>
                        <w:rPr/>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CYBIN INC. (doing business as HELUS PHARMA)</w:t>
      </w:r>
    </w:p>
    <w:p>
      <w:pPr>
        <w:pStyle w:val="TextBody"/>
        <w:bidi w:val="0"/>
        <w:spacing w:lineRule="auto" w:line="333"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MANAGEMENT’S DISCUSSION AND ANALYSIS</w:t>
      </w:r>
    </w:p>
    <w:p>
      <w:pPr>
        <w:pStyle w:val="TextBody"/>
        <w:bidi w:val="0"/>
        <w:spacing w:lineRule="auto" w:line="333" w:before="0" w:after="2"/>
        <w:jc w:val="both"/>
        <w:rPr/>
      </w:pPr>
      <w:r>
        <w:rPr>
          <w:rFonts w:ascii="Times New Roman;serif" w:hAnsi="Times New Roman;serif"/>
          <w:b w:val="false"/>
          <w:color w:val="000000"/>
          <w:sz w:val="22"/>
        </w:rPr>
        <w:t>This Management’s Discussion and Analysis (“</w:t>
      </w:r>
      <w:r>
        <w:rPr>
          <w:rFonts w:ascii="Times New Roman;serif" w:hAnsi="Times New Roman;serif"/>
          <w:b/>
          <w:color w:val="000000"/>
          <w:sz w:val="22"/>
        </w:rPr>
        <w:t>MD&amp;A</w:t>
      </w:r>
      <w:r>
        <w:rPr>
          <w:color w:val="000000"/>
        </w:rPr>
        <w:t>”</w:t>
      </w:r>
      <w:r>
        <w:rPr>
          <w:rFonts w:ascii="Times New Roman;serif" w:hAnsi="Times New Roman;serif"/>
          <w:b w:val="false"/>
          <w:color w:val="000000"/>
          <w:sz w:val="22"/>
        </w:rPr>
        <w:t>) has been prepared by management of Cybin Inc. doing business as Helus Pharma (“</w:t>
      </w:r>
      <w:r>
        <w:rPr>
          <w:rFonts w:ascii="Times New Roman;serif" w:hAnsi="Times New Roman;serif"/>
          <w:b/>
          <w:color w:val="000000"/>
          <w:sz w:val="22"/>
        </w:rPr>
        <w:t>Helus Pharma</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and should be read in conjunction with Helus Pharma’s unaudited condensed interim consolidated financial statements and notes for the three months ended June 30, 2026 (the “</w:t>
      </w:r>
      <w:r>
        <w:rPr>
          <w:rFonts w:ascii="Times New Roman;serif" w:hAnsi="Times New Roman;serif"/>
          <w:b/>
          <w:color w:val="000000"/>
          <w:sz w:val="22"/>
        </w:rPr>
        <w:t>Financial Statements</w:t>
      </w:r>
      <w:r>
        <w:rPr>
          <w:color w:val="000000"/>
        </w:rPr>
        <w:t>”</w:t>
      </w:r>
      <w:r>
        <w:rPr>
          <w:rFonts w:ascii="Times New Roman;serif" w:hAnsi="Times New Roman;serif"/>
          <w:b w:val="false"/>
          <w:color w:val="000000"/>
          <w:sz w:val="22"/>
        </w:rPr>
        <w:t>). This MD&amp;A does not address all of the changes to the Company and its business, such changes are addressed in the Company’s most recently filed annual information form (the “</w:t>
      </w:r>
      <w:r>
        <w:rPr>
          <w:rFonts w:ascii="Times New Roman;serif" w:hAnsi="Times New Roman;serif"/>
          <w:b/>
          <w:color w:val="000000"/>
          <w:sz w:val="22"/>
        </w:rPr>
        <w:t>AIF</w:t>
      </w:r>
      <w:r>
        <w:rPr>
          <w:color w:val="000000"/>
        </w:rPr>
        <w:t>”</w:t>
      </w:r>
      <w:r>
        <w:rPr>
          <w:rFonts w:ascii="Times New Roman;serif" w:hAnsi="Times New Roman;serif"/>
          <w:b w:val="false"/>
          <w:color w:val="000000"/>
          <w:sz w:val="22"/>
        </w:rPr>
        <w:t>) on SEDAR+. The Financial Statements have been prepared using IFRS Accounting Standards (“</w:t>
      </w:r>
      <w:r>
        <w:rPr>
          <w:rFonts w:ascii="Times New Roman;serif" w:hAnsi="Times New Roman;serif"/>
          <w:b/>
          <w:color w:val="000000"/>
          <w:sz w:val="22"/>
        </w:rPr>
        <w:t>IFRS</w:t>
      </w:r>
      <w:r>
        <w:rPr>
          <w:color w:val="000000"/>
        </w:rPr>
        <w:t>”</w:t>
      </w:r>
      <w:r>
        <w:rPr>
          <w:rFonts w:ascii="Times New Roman;serif" w:hAnsi="Times New Roman;serif"/>
          <w:b w:val="false"/>
          <w:color w:val="000000"/>
          <w:sz w:val="22"/>
        </w:rPr>
        <w:t xml:space="preserve">) as issued by the International Accounting Standards Board. </w:t>
      </w:r>
    </w:p>
    <w:p>
      <w:pPr>
        <w:pStyle w:val="TextBody"/>
        <w:bidi w:val="0"/>
        <w:spacing w:before="0" w:after="0"/>
        <w:jc w:val="both"/>
        <w:rPr/>
      </w:pPr>
      <w:r>
        <w:rPr/>
      </w:r>
    </w:p>
    <w:p>
      <w:pPr>
        <w:pStyle w:val="TextBody"/>
        <w:bidi w:val="0"/>
        <w:spacing w:lineRule="auto" w:line="333" w:before="0" w:after="240"/>
        <w:jc w:val="both"/>
        <w:rPr/>
      </w:pPr>
      <w:r>
        <w:rPr>
          <w:rFonts w:ascii="Times New Roman;serif" w:hAnsi="Times New Roman;serif"/>
          <w:b w:val="false"/>
          <w:color w:val="000000"/>
          <w:sz w:val="22"/>
        </w:rPr>
        <w:t>This MD&amp;A is dated August 14, 2026, for the period ended June 30, 2026, unless otherwise indicated. Effective April 1, 2025, the Company changed its presentation currency from the Canadian Dollar (“</w:t>
      </w:r>
      <w:r>
        <w:rPr>
          <w:rFonts w:ascii="Times New Roman;serif" w:hAnsi="Times New Roman;serif"/>
          <w:b/>
          <w:color w:val="000000"/>
          <w:sz w:val="22"/>
        </w:rPr>
        <w:t>CAD</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C$</w:t>
      </w:r>
      <w:r>
        <w:rPr>
          <w:color w:val="000000"/>
        </w:rPr>
        <w:t>”</w:t>
      </w:r>
      <w:r>
        <w:rPr>
          <w:rFonts w:ascii="Times New Roman;serif" w:hAnsi="Times New Roman;serif"/>
          <w:b w:val="false"/>
          <w:color w:val="000000"/>
          <w:sz w:val="22"/>
        </w:rPr>
        <w:t>) to the United States dollar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USD</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U.S. Dollars</w:t>
      </w:r>
      <w:r>
        <w:rPr>
          <w:color w:val="000000"/>
        </w:rPr>
        <w:t>”</w:t>
      </w:r>
      <w:r>
        <w:rPr>
          <w:rFonts w:ascii="Times New Roman;serif" w:hAnsi="Times New Roman;serif"/>
          <w:b w:val="false"/>
          <w:color w:val="000000"/>
          <w:sz w:val="22"/>
        </w:rPr>
        <w:t xml:space="preserve">) to better reflect the Company’s operations, align with the currency in which the majority of cash based expenses are denominated, and improve comparability of its financial results with other publicly traded businesses in the industry. All amounts in the MD&amp;A are therefore presented in USD unless otherwise indicated. The Financial Statements may be viewed on the Company’s SEDAR+ profile at www.sedarplus.ca. </w:t>
      </w:r>
    </w:p>
    <w:p>
      <w:pPr>
        <w:pStyle w:val="TextBody"/>
        <w:bidi w:val="0"/>
        <w:spacing w:lineRule="auto" w:line="333" w:before="0" w:after="240"/>
        <w:jc w:val="both"/>
        <w:rPr/>
      </w:pPr>
      <w:r>
        <w:rPr>
          <w:rFonts w:ascii="Times New Roman;serif" w:hAnsi="Times New Roman;serif"/>
          <w:b w:val="false"/>
          <w:color w:val="000000"/>
          <w:sz w:val="22"/>
        </w:rPr>
        <w:t>The Company was incorporated under the laws of the Province of British Columbia. Its wholly owned subsidiary, Helus Pharma Corp. (formerly Cybin Corp.) was incorporated under the laws of the Province of Ontario. Prior to November 5, 2020, the Company’s operations were conducted through Helus Pharma Corp. On November 5, 2020, the Company completed a reverse takeover transaction pursuant to the terms of an amalgamation agreement dated June 26, 2020, as amended on October 21, 2020, among the Company, Helus Pharma Corp. and 2762898 Ontario Inc. (“</w:t>
      </w:r>
      <w:r>
        <w:rPr>
          <w:rFonts w:ascii="Times New Roman;serif" w:hAnsi="Times New Roman;serif"/>
          <w:b/>
          <w:color w:val="000000"/>
          <w:sz w:val="22"/>
        </w:rPr>
        <w:t>SubCo</w:t>
      </w:r>
      <w:r>
        <w:rPr>
          <w:color w:val="000000"/>
        </w:rPr>
        <w:t>”</w:t>
      </w:r>
      <w:r>
        <w:rPr>
          <w:rFonts w:ascii="Times New Roman;serif" w:hAnsi="Times New Roman;serif"/>
          <w:b w:val="false"/>
          <w:color w:val="000000"/>
          <w:sz w:val="22"/>
        </w:rPr>
        <w:t>), a wholly-owned subsidiary of the Company (the “</w:t>
      </w:r>
      <w:r>
        <w:rPr>
          <w:rFonts w:ascii="Times New Roman;serif" w:hAnsi="Times New Roman;serif"/>
          <w:b/>
          <w:color w:val="000000"/>
          <w:sz w:val="22"/>
        </w:rPr>
        <w:t>Reverse Takeover</w:t>
      </w:r>
      <w:r>
        <w:rPr>
          <w:color w:val="000000"/>
        </w:rPr>
        <w:t>”</w:t>
      </w:r>
      <w:r>
        <w:rPr>
          <w:rFonts w:ascii="Times New Roman;serif" w:hAnsi="Times New Roman;serif"/>
          <w:b w:val="false"/>
          <w:color w:val="000000"/>
          <w:sz w:val="22"/>
        </w:rPr>
        <w:t xml:space="preserve">). The Reverse Takeover was completed by way of a “three-cornered” amalgamation pursuant to the provisions of the </w:t>
      </w:r>
      <w:r>
        <w:rPr>
          <w:rFonts w:ascii="Times New Roman;serif" w:hAnsi="Times New Roman;serif"/>
          <w:b w:val="false"/>
          <w:i/>
          <w:color w:val="000000"/>
          <w:sz w:val="22"/>
        </w:rPr>
        <w:t xml:space="preserve">Business Corporations Act </w:t>
      </w:r>
      <w:r>
        <w:rPr>
          <w:rFonts w:ascii="Times New Roman;serif" w:hAnsi="Times New Roman;serif"/>
          <w:b w:val="false"/>
          <w:color w:val="000000"/>
          <w:sz w:val="22"/>
        </w:rPr>
        <w:t>(Ontario) (the “</w:t>
      </w:r>
      <w:r>
        <w:rPr>
          <w:rFonts w:ascii="Times New Roman;serif" w:hAnsi="Times New Roman;serif"/>
          <w:b/>
          <w:color w:val="000000"/>
          <w:sz w:val="22"/>
        </w:rPr>
        <w:t>OBCA</w:t>
      </w:r>
      <w:r>
        <w:rPr>
          <w:color w:val="000000"/>
        </w:rPr>
        <w:t>”</w:t>
      </w:r>
      <w:r>
        <w:rPr>
          <w:rFonts w:ascii="Times New Roman;serif" w:hAnsi="Times New Roman;serif"/>
          <w:b w:val="false"/>
          <w:color w:val="000000"/>
          <w:sz w:val="22"/>
        </w:rPr>
        <w:t xml:space="preserve">) whereby Helus Pharma Corp. amalgamated with SubCo to form an amalgamated corporation and a wholly owned subsidiary of the Company. Helus Pharma Corp. is deemed to be the acquirer in the Reverse Takeover. As a result, the consolidated statements of financial position are presented as a continuance of Helus Pharma Corp. and the comparative figures presented were those of Helus Pharma Corp. </w:t>
      </w:r>
    </w:p>
    <w:p>
      <w:pPr>
        <w:pStyle w:val="TextBody"/>
        <w:bidi w:val="0"/>
        <w:spacing w:lineRule="auto" w:line="333" w:before="0" w:after="0"/>
        <w:jc w:val="both"/>
        <w:rPr/>
      </w:pPr>
      <w:r>
        <w:rPr>
          <w:rFonts w:ascii="Times New Roman;serif" w:hAnsi="Times New Roman;serif"/>
          <w:b w:val="false"/>
          <w:color w:val="000000"/>
          <w:sz w:val="22"/>
        </w:rPr>
        <w:t>On September 19, 2024, the Company consolidated its outstanding Common Shares on the basis of one new Common Share for every 38 existing Common Shares (the “</w:t>
      </w:r>
      <w:r>
        <w:rPr>
          <w:rFonts w:ascii="Times New Roman;serif" w:hAnsi="Times New Roman;serif"/>
          <w:b/>
          <w:color w:val="000000"/>
          <w:sz w:val="22"/>
        </w:rPr>
        <w:t>Consolidation</w:t>
      </w:r>
      <w:r>
        <w:rPr>
          <w:color w:val="000000"/>
        </w:rPr>
        <w:t>”</w:t>
      </w:r>
      <w:r>
        <w:rPr>
          <w:rFonts w:ascii="Times New Roman;serif" w:hAnsi="Times New Roman;serif"/>
          <w:b w:val="false"/>
          <w:color w:val="000000"/>
          <w:sz w:val="22"/>
        </w:rPr>
        <w:t>). As a result, all figures related to shares, warrants, options and earnings per share presented in this MD&amp;A have been restated retrospectively for all periods to reflect the Consolidation.</w:t>
      </w:r>
    </w:p>
    <w:p>
      <w:pPr>
        <w:pStyle w:val="TextBody"/>
        <w:bidi w:val="0"/>
        <w:spacing w:before="0" w:after="0"/>
        <w:jc w:val="both"/>
        <w:rPr/>
      </w:pPr>
      <w:r>
        <w:rPr/>
      </w:r>
    </w:p>
    <w:p>
      <w:pPr>
        <w:pStyle w:val="TextBody"/>
        <w:bidi w:val="0"/>
        <w:spacing w:lineRule="auto" w:line="333"/>
        <w:jc w:val="both"/>
        <w:rPr/>
      </w:pPr>
      <w:r>
        <w:rPr>
          <w:rFonts w:ascii="Times New Roman;serif" w:hAnsi="Times New Roman;serif"/>
          <w:b w:val="false"/>
          <w:color w:val="000000"/>
          <w:sz w:val="22"/>
        </w:rPr>
        <w:t>On January 5, 2026, the Company transferred its U.S. stock exchange listing from NYSE American LLC stock exchange (“</w:t>
      </w:r>
      <w:r>
        <w:rPr>
          <w:rFonts w:ascii="Times New Roman;serif" w:hAnsi="Times New Roman;serif"/>
          <w:b/>
          <w:color w:val="000000"/>
          <w:sz w:val="22"/>
        </w:rPr>
        <w:t>NYSE American</w:t>
      </w:r>
      <w:r>
        <w:rPr>
          <w:color w:val="000000"/>
        </w:rPr>
        <w:t>”</w:t>
      </w:r>
      <w:r>
        <w:rPr>
          <w:rFonts w:ascii="Times New Roman;serif" w:hAnsi="Times New Roman;serif"/>
          <w:b w:val="false"/>
          <w:color w:val="000000"/>
          <w:sz w:val="22"/>
        </w:rPr>
        <w:t>) (previous ticker: CYBN) to the Nasdaq Global Market (“</w:t>
      </w:r>
      <w:r>
        <w:rPr>
          <w:rFonts w:ascii="Times New Roman;serif" w:hAnsi="Times New Roman;serif"/>
          <w:b/>
          <w:color w:val="000000"/>
          <w:sz w:val="22"/>
        </w:rPr>
        <w:t>Nasdaq</w:t>
      </w:r>
      <w:r>
        <w:rPr>
          <w:color w:val="000000"/>
        </w:rPr>
        <w:t>”</w:t>
      </w:r>
      <w:r>
        <w:rPr>
          <w:rFonts w:ascii="Times New Roman;serif" w:hAnsi="Times New Roman;serif"/>
          <w:b w:val="false"/>
          <w:color w:val="000000"/>
          <w:sz w:val="22"/>
        </w:rPr>
        <w:t>) under the ticker symbol “HELP”. The Company continues to be listed on Cboe Canada Inc. (the “</w:t>
      </w:r>
      <w:r>
        <w:rPr>
          <w:rFonts w:ascii="Times New Roman;serif" w:hAnsi="Times New Roman;serif"/>
          <w:b/>
          <w:color w:val="000000"/>
          <w:sz w:val="22"/>
        </w:rPr>
        <w:t>Cboe Canada</w:t>
      </w:r>
      <w:r>
        <w:rPr>
          <w:rFonts w:ascii="Times New Roman;serif" w:hAnsi="Times New Roman;serif"/>
          <w:b w:val="false"/>
          <w:color w:val="000000"/>
          <w:sz w:val="22"/>
        </w:rPr>
        <w:t xml:space="preserve">") under the same “HELP” ticker symbol. Concurrent with the commencement of trading on Nasdaq, the Company announced it will be doing business as Helus (pronounced “Heal Us”) Pharma and started to operate under the registered business name “Helus Pharma”. The Company expects to seek approval from shareholders to change its legal name to Helus </w:t>
      </w:r>
    </w:p>
    <w:p>
      <w:pPr>
        <w:pStyle w:val="TextBody"/>
        <w:bidi w:val="0"/>
        <w:spacing w:before="0" w:after="2"/>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0"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Pharma Inc. at the Company’s next annual and special meeting of shareholders. Furthermore, the following subsidiaries have changed their legal names:</w:t>
      </w:r>
    </w:p>
    <w:p>
      <w:pPr>
        <w:pStyle w:val="TextBody"/>
        <w:bidi w:val="0"/>
        <w:spacing w:before="0" w:after="0"/>
        <w:jc w:val="both"/>
        <w:rPr/>
      </w:pPr>
      <w:r>
        <w:rPr/>
      </w:r>
    </w:p>
    <w:tbl>
      <w:tblPr>
        <w:tblW w:w="7108" w:type="dxa"/>
        <w:jc w:val="left"/>
        <w:tblInd w:w="0" w:type="dxa"/>
        <w:tblLayout w:type="fixed"/>
        <w:tblCellMar>
          <w:top w:w="28" w:type="dxa"/>
          <w:left w:w="28" w:type="dxa"/>
          <w:bottom w:w="28" w:type="dxa"/>
          <w:right w:w="28" w:type="dxa"/>
        </w:tblCellMar>
      </w:tblPr>
      <w:tblGrid>
        <w:gridCol w:w="1006"/>
        <w:gridCol w:w="883"/>
        <w:gridCol w:w="885"/>
        <w:gridCol w:w="888"/>
        <w:gridCol w:w="888"/>
        <w:gridCol w:w="893"/>
        <w:gridCol w:w="487"/>
        <w:gridCol w:w="487"/>
        <w:gridCol w:w="691"/>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Prior Name</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New Name</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Effective Date</w:t>
            </w:r>
          </w:p>
        </w:tc>
      </w:tr>
      <w:tr>
        <w:trPr/>
        <w:tc>
          <w:tcPr>
            <w:tcW w:w="2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Cybin US Holdings Inc.</w:t>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Helus US Inc.</w:t>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2, 2026</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Cybin Corp.</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Helus Pharma Corp.</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5, 2026</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Cybin International Limited </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Helus International Limited</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6, 2026</w:t>
            </w:r>
          </w:p>
        </w:tc>
      </w:tr>
    </w:tbl>
    <w:p>
      <w:pPr>
        <w:pStyle w:val="TextBody"/>
        <w:bidi w:val="0"/>
        <w:spacing w:before="0" w:after="240"/>
        <w:jc w:val="both"/>
        <w:rPr/>
      </w:pPr>
      <w:r>
        <w:rPr/>
      </w: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 </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 </w:t>
      </w:r>
    </w:p>
    <w:p>
      <w:pPr>
        <w:pStyle w:val="TextBody"/>
        <w:bidi w:val="0"/>
        <w:spacing w:lineRule="auto" w:line="333" w:before="0" w:after="240"/>
        <w:jc w:val="both"/>
        <w:rPr/>
      </w:pPr>
      <w:r>
        <w:rPr>
          <w:rFonts w:ascii="Times New Roman;serif" w:hAnsi="Times New Roman;serif"/>
          <w:b w:val="false"/>
          <w:color w:val="000000"/>
          <w:sz w:val="22"/>
        </w:rPr>
        <w:t>Some of the risks which could affect future results and could cause results to differ materially from those expressed in the forward-looking statements contained herein include:</w:t>
      </w:r>
      <w:r>
        <w:rPr>
          <w:color w:val="000000"/>
        </w:rPr>
        <w:t xml:space="preserve"> </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limited operating history;</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achieving publicly announced milestones;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speculative nature of investment risk;</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early stage of the industry and product development;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regulatory risks and uncertainties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risks of operating in Australia and European countries;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foreign private issuer” status under U.S. Securities Laws;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Company may lose “foreign private issuer” status in the future;</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plans for growth;</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limited products;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limited marketing and sales capabilities;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no assurance of commercial success;</w:t>
      </w:r>
    </w:p>
    <w:p>
      <w:pPr>
        <w:pStyle w:val="TextBody"/>
        <w:bidi w:val="0"/>
        <w:spacing w:lineRule="auto" w:line="333"/>
        <w:ind w:left="0" w:right="0" w:hanging="357"/>
        <w:jc w:val="both"/>
        <w:rPr/>
      </w:pPr>
      <w:r>
        <w:rPr>
          <w:color w:val="000000"/>
        </w:rPr>
        <w:t>•</w:t>
      </w:r>
      <w:r>
        <w:rPr>
          <w:rFonts w:ascii="Times New Roman;serif" w:hAnsi="Times New Roman;serif"/>
          <w:b w:val="false"/>
          <w:color w:val="000000"/>
          <w:sz w:val="22"/>
        </w:rPr>
        <w:t>no profits or significant revenues;</w:t>
      </w:r>
    </w:p>
    <w:p>
      <w:pPr>
        <w:pStyle w:val="TextBody"/>
        <w:bidi w:val="0"/>
        <w:spacing w:before="0" w:after="2"/>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1"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reliance on third parties for clinical development activities;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risks related to third party relationships;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reliance on contract manufacturers;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safety and efficacy of products;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clinical testing and commercializing products;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completion of clinical trials;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commercial grade product manufacturing;</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nature of regulatory approvals;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market access and acceptance;</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unfavourable publicity or consumer perception;</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social media;</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biotechnology and pharmaceutical market competition;</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reliance on key executives and scientists;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employee misconduct;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business expansion and growth;</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negative results of external clinical trials or studies;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product liability;</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enforcing contracts;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product and material recalls;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distribution and supply chain interruption;</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difficulty to forecast;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promoting the brand;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product viability;</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success of quality control systems;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reliance on key inputs;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liability arising from fraudulent or illegal activity;</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operating risk and insurance coverage;</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costs of operating as public company;</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management of growth;</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conflicts of interest;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foreign operations;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exchange rate fluctuations;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cybersecurity and privacy risk;</w:t>
      </w:r>
    </w:p>
    <w:p>
      <w:pPr>
        <w:pStyle w:val="TextBody"/>
        <w:bidi w:val="0"/>
        <w:spacing w:lineRule="auto" w:line="240" w:before="0" w:after="0"/>
        <w:ind w:left="0" w:right="0" w:hanging="357"/>
        <w:jc w:val="left"/>
        <w:rPr/>
      </w:pPr>
      <w:r>
        <w:rPr>
          <w:color w:val="000000"/>
        </w:rPr>
        <w:t>•</w:t>
      </w:r>
      <w:r>
        <w:rPr>
          <w:rFonts w:ascii="Times New Roman;serif" w:hAnsi="Times New Roman;serif"/>
          <w:b w:val="false"/>
          <w:color w:val="000000"/>
          <w:sz w:val="22"/>
        </w:rPr>
        <w:t>risks related to artificial intelligence;</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environmental regulation and risks;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 xml:space="preserve">legalization of scheduled serotonergic agonists; </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forward-looking statements may prove to be inaccurate;</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 xml:space="preserve">effects of inflation; </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political and economic conditions;</w:t>
      </w:r>
    </w:p>
    <w:p>
      <w:pPr>
        <w:pStyle w:val="TextBody"/>
        <w:bidi w:val="0"/>
        <w:spacing w:lineRule="auto" w:line="240" w:before="0" w:after="0"/>
        <w:ind w:left="0" w:right="0" w:hanging="357"/>
        <w:jc w:val="both"/>
        <w:rPr/>
      </w:pPr>
      <w:r>
        <w:rPr>
          <w:color w:val="000000"/>
        </w:rPr>
        <w:t>•</w:t>
      </w:r>
      <w:r>
        <w:rPr>
          <w:rFonts w:ascii="Times New Roman;serif" w:hAnsi="Times New Roman;serif"/>
          <w:b w:val="false"/>
          <w:color w:val="000000"/>
          <w:sz w:val="22"/>
        </w:rPr>
        <w:t>litigation risk;</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application and interpretation of tax laws;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enforcement of civil liabilities;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 xml:space="preserve">pandemics; </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2"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Risks Related to Intellectual Property:</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trademark protection;</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trade secrets;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patent law reform;</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patent litigation and intellectual property;</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protection of intellectual property;</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third-party licences;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Financial and Accounting Risks:</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substantial number of authorized but unissued Common Shares (as defined herein);</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dilution;</w:t>
      </w:r>
    </w:p>
    <w:p>
      <w:pPr>
        <w:pStyle w:val="TextBody"/>
        <w:bidi w:val="0"/>
        <w:spacing w:lineRule="auto" w:line="276" w:before="0" w:after="0"/>
        <w:ind w:left="0" w:right="0" w:hanging="357"/>
        <w:jc w:val="left"/>
        <w:rPr/>
      </w:pPr>
      <w:r>
        <w:rPr>
          <w:color w:val="000000"/>
        </w:rPr>
        <w:t>•</w:t>
      </w:r>
      <w:r>
        <w:rPr>
          <w:rFonts w:ascii="Times New Roman;serif" w:hAnsi="Times New Roman;serif"/>
          <w:b w:val="false"/>
          <w:color w:val="000000"/>
          <w:sz w:val="22"/>
        </w:rPr>
        <w:t>negative cash flow from operating activities;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additional capital requirements;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lack of significant product revenue;</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estimates or judgments relating to critical accounting policies;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inadequate internal controls;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Risks Related to the Common Shares:</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market for the Common Shares;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significant sales of Common Shares;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volatile market price for the Common Shares;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tax issues; and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no dividends.</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 </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substantial fluctuation of losses from quarter to quarter and year to year due to numerous external risk factors, and anticipation that we will continue to incur significant losses in the future;</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uncertainty as to the Company’s ability to raise additional funding to support operations;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 xml:space="preserve">the Company’s ability to access additional funding; </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fluctuation of foreign exchange rates;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 xml:space="preserve">the risks associated with pandemics; </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risks associated with the development of the Company’s product candidates which are at early stages of development;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reliance upon industry publications as the Company’s primary sources for third-party industry data and forecasts;</w:t>
      </w:r>
    </w:p>
    <w:p>
      <w:pPr>
        <w:pStyle w:val="TextBody"/>
        <w:bidi w:val="0"/>
        <w:spacing w:lineRule="auto" w:line="333"/>
        <w:ind w:left="0" w:right="0" w:hanging="357"/>
        <w:jc w:val="both"/>
        <w:rPr/>
      </w:pPr>
      <w:r>
        <w:rPr>
          <w:color w:val="000000"/>
        </w:rPr>
        <w:t>•</w:t>
      </w:r>
      <w:r>
        <w:rPr>
          <w:rFonts w:ascii="Times New Roman;serif" w:hAnsi="Times New Roman;serif"/>
          <w:b w:val="false"/>
          <w:color w:val="000000"/>
          <w:sz w:val="22"/>
        </w:rPr>
        <w:t>reliance on third parties to plan, conduct and monitor the Company’s preclinical studies and clinical trials;</w:t>
      </w:r>
    </w:p>
    <w:p>
      <w:pPr>
        <w:pStyle w:val="TextBody"/>
        <w:bidi w:val="0"/>
        <w:spacing w:before="0" w:after="2"/>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3"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reliance on third party contract manufacturers to deliver quality clinical and preclinical materials;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Company’s product candidates may fail to demonstrate safety and efficacy to the satisfaction of regulatory authorities or may not otherwise produce positive results;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risks related to filing investigational new drug applications to commence clinical trials and to continue clinical trials if approved;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risks of delays and inability to complete clinical trials due to difficulties enrolling patients;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competition from other biotechnology and pharmaceutical companies;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Company’s reliance on the capabilities and experience of the Company’s key executives and scientists and the resulting loss of any of these individuals;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Company’s ability to fully realize the benefits of acquisitions;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Company’s ability to adequately protect the Company’s intellectual property and trade secrets;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risk of patent-related or other litigation; and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risk of unforeseen changes to the laws or regulations in the United States (the “</w:t>
      </w:r>
      <w:r>
        <w:rPr>
          <w:rFonts w:ascii="Times New Roman;serif" w:hAnsi="Times New Roman;serif"/>
          <w:b/>
          <w:color w:val="000000"/>
          <w:sz w:val="22"/>
        </w:rPr>
        <w:t>United States</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U.S.</w:t>
      </w:r>
      <w:r>
        <w:rPr>
          <w:color w:val="000000"/>
        </w:rPr>
        <w:t>”</w:t>
      </w:r>
      <w:r>
        <w:rPr>
          <w:rFonts w:ascii="Times New Roman;serif" w:hAnsi="Times New Roman;serif"/>
          <w:b w:val="false"/>
          <w:color w:val="000000"/>
          <w:sz w:val="22"/>
        </w:rPr>
        <w:t>), the United Kingdom (the “</w:t>
      </w:r>
      <w:r>
        <w:rPr>
          <w:rFonts w:ascii="Times New Roman;serif" w:hAnsi="Times New Roman;serif"/>
          <w:b/>
          <w:color w:val="000000"/>
          <w:sz w:val="22"/>
        </w:rPr>
        <w:t>United Kingdom</w:t>
      </w:r>
      <w:r>
        <w:rPr>
          <w:color w:val="000000"/>
        </w:rPr>
        <w:t xml:space="preserve">” </w:t>
      </w:r>
      <w:r>
        <w:rPr>
          <w:rFonts w:ascii="Times New Roman;serif" w:hAnsi="Times New Roman;serif"/>
          <w:b w:val="false"/>
          <w:color w:val="000000"/>
          <w:sz w:val="22"/>
        </w:rPr>
        <w:t>or the “</w:t>
      </w:r>
      <w:r>
        <w:rPr>
          <w:rFonts w:ascii="Times New Roman;serif" w:hAnsi="Times New Roman;serif"/>
          <w:b/>
          <w:color w:val="000000"/>
          <w:sz w:val="22"/>
        </w:rPr>
        <w:t>UK</w:t>
      </w:r>
      <w:r>
        <w:rPr>
          <w:color w:val="000000"/>
        </w:rPr>
        <w:t>”</w:t>
      </w:r>
      <w:r>
        <w:rPr>
          <w:rFonts w:ascii="Times New Roman;serif" w:hAnsi="Times New Roman;serif"/>
          <w:b w:val="false"/>
          <w:color w:val="000000"/>
          <w:sz w:val="22"/>
        </w:rPr>
        <w:t>), Canada, the Netherlands, Ireland, Poland, Greece, Australia, and other jurisdictions in which the Company operates.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before="0" w:after="0"/>
        <w:jc w:val="both"/>
        <w:rPr/>
      </w:pPr>
      <w:r>
        <w:rPr/>
      </w:r>
    </w:p>
    <w:p>
      <w:pPr>
        <w:pStyle w:val="TextBody"/>
        <w:bidi w:val="0"/>
        <w:spacing w:lineRule="auto" w:line="333" w:before="0" w:after="240"/>
        <w:jc w:val="both"/>
        <w:rPr/>
      </w:pPr>
      <w:r>
        <w:rPr>
          <w:rFonts w:ascii="Times New Roman;serif" w:hAnsi="Times New Roman;serif"/>
          <w:b w:val="false"/>
          <w:color w:val="000000"/>
          <w:sz w:val="22"/>
        </w:rPr>
        <w:t>In addition to the factors set out above and those identified in this MD&amp;A under “</w:t>
      </w:r>
      <w:r>
        <w:rPr>
          <w:rFonts w:ascii="Times New Roman;serif" w:hAnsi="Times New Roman;serif"/>
          <w:b w:val="false"/>
          <w:i/>
          <w:color w:val="000000"/>
          <w:sz w:val="22"/>
        </w:rPr>
        <w:t>Risk Factors</w:t>
      </w:r>
      <w:r>
        <w:rPr>
          <w:color w:val="000000"/>
        </w:rPr>
        <w:t>”</w:t>
      </w:r>
      <w:r>
        <w:rPr>
          <w:rFonts w:ascii="Times New Roman;serif" w:hAnsi="Times New Roman;serif"/>
          <w:b w:val="false"/>
          <w:color w:val="000000"/>
          <w:sz w:val="22"/>
        </w:rPr>
        <w:t>, other factors not currently viewed as material could cause actual results to differ materially from those described in the forward-looking statements. Although Helus Pharma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CORPORATE STRUCTURE OVERVIEW</w:t>
      </w:r>
    </w:p>
    <w:p>
      <w:pPr>
        <w:pStyle w:val="TextBody"/>
        <w:bidi w:val="0"/>
        <w:spacing w:lineRule="auto" w:line="333" w:before="0" w:after="240"/>
        <w:jc w:val="both"/>
        <w:rPr/>
      </w:pPr>
      <w:r>
        <w:rPr>
          <w:rFonts w:ascii="Times New Roman;serif" w:hAnsi="Times New Roman;serif"/>
          <w:b w:val="false"/>
          <w:color w:val="000000"/>
          <w:sz w:val="22"/>
        </w:rPr>
        <w:t>The Company is a clinical-stage pharmaceutical company committed to helping minds heal by developing proprietary novel serotonergic agonists (“</w:t>
      </w:r>
      <w:r>
        <w:rPr>
          <w:rFonts w:ascii="Times New Roman;serif" w:hAnsi="Times New Roman;serif"/>
          <w:b/>
          <w:color w:val="000000"/>
          <w:sz w:val="22"/>
        </w:rPr>
        <w:t>NSAs</w:t>
      </w:r>
      <w:r>
        <w:rPr>
          <w:color w:val="000000"/>
        </w:rPr>
        <w:t>”</w:t>
      </w:r>
      <w:r>
        <w:rPr>
          <w:rFonts w:ascii="Times New Roman;serif" w:hAnsi="Times New Roman;serif"/>
          <w:b w:val="false"/>
          <w:color w:val="000000"/>
          <w:sz w:val="22"/>
        </w:rPr>
        <w:t xml:space="preserve">). Serotonergic agonists broadly refer to compounds that activate serotonin receptors and include a wide range of approved and investigational drugs with varying selectivity and mechanisms of action. NSAs are a proprietary subset of </w:t>
      </w:r>
    </w:p>
    <w:p>
      <w:pPr>
        <w:pStyle w:val="TextBody"/>
        <w:bidi w:val="0"/>
        <w:spacing w:before="0" w:after="2"/>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4"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serotonergic agonists that are synthetically engineered to selectively activate specific serotonin receptor subtypes and signaling pathways, with the aim of achieving differentiated and more precise therapeutic effects.</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November 5, 2020, the Company completed a reverse takeover transaction pursuant to the terms of an amalgamation agreement dated June 26, 2020, as amended on October 21, 2020, among the Company, Helus Pharma Corp. and SubCo, a wholly-owned subsidiary of the Company. The Reverse Takeover was completed by way of a “three-cornered” amalgamation pursuant to the provisions of the OBCA whereby Helus Pharma Corp. amalgamated with SubCo to form an amalgamated corporation and a wholly owned subsidiary of the Company. </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2"/>
        </w:rPr>
        <w:t>In connection with the Reverse Takeover, Clarmin Explorations Inc. (“</w:t>
      </w:r>
      <w:r>
        <w:rPr>
          <w:rFonts w:ascii="Times New Roman;serif" w:hAnsi="Times New Roman;serif"/>
          <w:b/>
          <w:color w:val="000000"/>
          <w:sz w:val="22"/>
        </w:rPr>
        <w:t>Clarmin</w:t>
      </w:r>
      <w:r>
        <w:rPr>
          <w:color w:val="000000"/>
        </w:rPr>
        <w:t>”</w:t>
      </w:r>
      <w:r>
        <w:rPr>
          <w:rFonts w:ascii="Times New Roman;serif" w:hAnsi="Times New Roman;serif"/>
          <w:b w:val="false"/>
          <w:color w:val="000000"/>
          <w:sz w:val="22"/>
        </w:rPr>
        <w:t>) changed its name to “Cybin Inc.” and the common shares (“</w:t>
      </w:r>
      <w:r>
        <w:rPr>
          <w:rFonts w:ascii="Times New Roman;serif" w:hAnsi="Times New Roman;serif"/>
          <w:b/>
          <w:color w:val="000000"/>
          <w:sz w:val="22"/>
        </w:rPr>
        <w:t>Common Shares</w:t>
      </w:r>
      <w:r>
        <w:rPr>
          <w:color w:val="000000"/>
        </w:rPr>
        <w:t>”</w:t>
      </w:r>
      <w:r>
        <w:rPr>
          <w:rFonts w:ascii="Times New Roman;serif" w:hAnsi="Times New Roman;serif"/>
          <w:b w:val="false"/>
          <w:color w:val="000000"/>
          <w:sz w:val="22"/>
        </w:rPr>
        <w:t xml:space="preserve">) became listed for trading on Cboe Canada under the trading symbol “CYBN”.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serif" w:hAnsi="Times New Roman;serif"/>
          <w:b/>
          <w:color w:val="000000"/>
          <w:sz w:val="22"/>
        </w:rPr>
        <w:t>Cybin Ireland</w:t>
      </w:r>
      <w:r>
        <w:rPr>
          <w:color w:val="000000"/>
        </w:rPr>
        <w:t>”</w:t>
      </w:r>
      <w:r>
        <w:rPr>
          <w:rFonts w:ascii="Times New Roman;serif" w:hAnsi="Times New Roman;serif"/>
          <w:b w:val="false"/>
          <w:color w:val="000000"/>
          <w:sz w:val="22"/>
        </w:rPr>
        <w:t xml:space="preserve">). </w:t>
      </w:r>
    </w:p>
    <w:p>
      <w:pPr>
        <w:pStyle w:val="TextBody"/>
        <w:bidi w:val="0"/>
        <w:spacing w:before="0" w:after="2"/>
        <w:jc w:val="both"/>
        <w:rPr/>
      </w:pPr>
      <w:r>
        <w:rPr/>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On August 5, 2021, the Common Shares commenced trading on NYSE American under the symbol “CYBN”. Concurrent with the commencement of trading on NYSE American, the Common Shares ceased to be quoted on the OTCQB® Venture Market.</w:t>
      </w:r>
    </w:p>
    <w:p>
      <w:pPr>
        <w:pStyle w:val="TextBody"/>
        <w:bidi w:val="0"/>
        <w:spacing w:lineRule="auto" w:line="312" w:before="0" w:after="0"/>
        <w:jc w:val="both"/>
        <w:rPr/>
      </w:pPr>
      <w:r>
        <w:rPr>
          <w:rFonts w:ascii="Times New Roman;serif" w:hAnsi="Times New Roman;serif"/>
          <w:b w:val="false"/>
          <w:color w:val="000000"/>
          <w:sz w:val="22"/>
        </w:rPr>
        <w:t>On October 23, 2023, the Company announced the completion of the acquisition of Small Pharma Inc. (“</w:t>
      </w:r>
      <w:r>
        <w:rPr>
          <w:rFonts w:ascii="Times New Roman;serif" w:hAnsi="Times New Roman;serif"/>
          <w:b/>
          <w:color w:val="000000"/>
          <w:sz w:val="22"/>
        </w:rPr>
        <w:t>Small Pharma</w:t>
      </w:r>
      <w:r>
        <w:rPr>
          <w:color w:val="000000"/>
        </w:rPr>
        <w:t>”</w:t>
      </w:r>
      <w:r>
        <w:rPr>
          <w:rFonts w:ascii="Times New Roman;serif" w:hAnsi="Times New Roman;serif"/>
          <w:b w:val="false"/>
          <w:color w:val="000000"/>
          <w:sz w:val="22"/>
        </w:rPr>
        <w:t xml:space="preserve">) by way of a statutory plan of arrangement under the provisions of the </w:t>
      </w:r>
      <w:r>
        <w:rPr>
          <w:rFonts w:ascii="Times New Roman;serif" w:hAnsi="Times New Roman;serif"/>
          <w:b w:val="false"/>
          <w:i/>
          <w:color w:val="000000"/>
          <w:sz w:val="22"/>
        </w:rPr>
        <w:t>Business Corporations Act</w:t>
      </w:r>
      <w:r>
        <w:rPr>
          <w:color w:val="000000"/>
        </w:rPr>
        <w:t xml:space="preserve"> </w:t>
      </w:r>
      <w:r>
        <w:rPr>
          <w:rFonts w:ascii="Times New Roman;serif" w:hAnsi="Times New Roman;serif"/>
          <w:b w:val="false"/>
          <w:color w:val="000000"/>
          <w:sz w:val="22"/>
        </w:rPr>
        <w:t>(British Columbia) (the “</w:t>
      </w:r>
      <w:r>
        <w:rPr>
          <w:rFonts w:ascii="Times New Roman;serif" w:hAnsi="Times New Roman;serif"/>
          <w:b/>
          <w:color w:val="000000"/>
          <w:sz w:val="22"/>
        </w:rPr>
        <w:t>Arrangement</w:t>
      </w:r>
      <w:r>
        <w:rPr>
          <w:color w:val="000000"/>
        </w:rPr>
        <w:t>”</w:t>
      </w:r>
      <w:r>
        <w:rPr>
          <w:rFonts w:ascii="Times New Roman;serif" w:hAnsi="Times New Roman;serif"/>
          <w:b w:val="false"/>
          <w:color w:val="000000"/>
          <w:sz w:val="22"/>
        </w:rPr>
        <w:t>). The Arrangement was completed pursuant to the terms of an arrangement agreement entered into between the Company and Small Pharma dated August 28, 2023 (the “</w:t>
      </w:r>
      <w:r>
        <w:rPr>
          <w:rFonts w:ascii="Times New Roman;serif" w:hAnsi="Times New Roman;serif"/>
          <w:b/>
          <w:color w:val="000000"/>
          <w:sz w:val="22"/>
        </w:rPr>
        <w:t>Arrangement Agreement</w:t>
      </w:r>
      <w:r>
        <w:rPr>
          <w:color w:val="000000"/>
        </w:rPr>
        <w:t>”</w:t>
      </w:r>
      <w:r>
        <w:rPr>
          <w:rFonts w:ascii="Times New Roman;serif" w:hAnsi="Times New Roman;serif"/>
          <w:b w:val="false"/>
          <w:color w:val="000000"/>
          <w:sz w:val="22"/>
        </w:rPr>
        <w:t>). As a result of the Arrangement, Small Pharma is now a wholly-owned subsidiary of Helus Pharma. On April 1, 2024, pursuant to the provisions of the OBCA, Small Pharma completed a horizontal amalgamation with Helus Pharma Corp., with Helus Pharma Corp. being the resulting entity. As a result of this amalgamation, Cybin UK Ltd. T/A Helus is now a wholly-owned subsidiary of Helus Pharma Corp.</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September 19, 2024, the Company completed the Consolidation. As a result, all figures related to shares, warrants, options and earnings per share presented in this MD&amp;A have been restated retrospectively for all periods to reflect the Consolidation.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June 4, 2025, the Company completed the formal dissolution of Natures Journey Inc. and Serenity Life Sciences Inc. These entities were non-operational prior to their dissolution and had no material impact on the Financial Statements.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September 1, 2025, the Company incorporated Helus International Limited (formerly Cybin International Limited), a wholly owned subsidiary of Helus Pharma Corp.</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On January 5, 2026, the Company announced that it had started to operate under the registered business name “Helus Pharma”.</w:t>
      </w:r>
    </w:p>
    <w:p>
      <w:pPr>
        <w:pStyle w:val="TextBody"/>
        <w:bidi w:val="0"/>
        <w:spacing w:before="0" w:after="2"/>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5"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Please refer to “</w:t>
      </w:r>
      <w:r>
        <w:rPr>
          <w:rFonts w:ascii="Times New Roman;serif" w:hAnsi="Times New Roman;serif"/>
          <w:b w:val="false"/>
          <w:i/>
          <w:color w:val="000000"/>
          <w:sz w:val="22"/>
        </w:rPr>
        <w:t>General Development of the Business</w:t>
      </w:r>
      <w:r>
        <w:rPr>
          <w:color w:val="000000"/>
        </w:rPr>
        <w:t xml:space="preserve">” </w:t>
      </w:r>
      <w:r>
        <w:rPr>
          <w:rFonts w:ascii="Times New Roman;serif" w:hAnsi="Times New Roman;serif"/>
          <w:b w:val="false"/>
          <w:color w:val="000000"/>
          <w:sz w:val="22"/>
        </w:rPr>
        <w:t>in the AIF for additional information on the background and operational highlights of Helus Pharma. The AIF may be viewed under the Company’s SEDAR+ profile at www.sedarplus.ca.</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BUSINESS OVERVIEW</w:t>
      </w:r>
    </w:p>
    <w:p>
      <w:pPr>
        <w:pStyle w:val="TextBody"/>
        <w:bidi w:val="0"/>
        <w:spacing w:before="0" w:after="0"/>
        <w:jc w:val="center"/>
        <w:rPr/>
      </w:pPr>
      <w:r>
        <w:rPr/>
      </w:r>
    </w:p>
    <w:p>
      <w:pPr>
        <w:pStyle w:val="TextBody"/>
        <w:bidi w:val="0"/>
        <w:spacing w:lineRule="auto" w:line="333" w:before="0" w:after="0"/>
        <w:jc w:val="both"/>
        <w:rPr/>
      </w:pPr>
      <w:r>
        <w:rPr>
          <w:rFonts w:ascii="Times New Roman;serif" w:hAnsi="Times New Roman;serif"/>
          <w:b w:val="false"/>
          <w:color w:val="000000"/>
          <w:sz w:val="22"/>
        </w:rPr>
        <w:t>Helus Pharma is a clinical-stage pharmaceutical company on a mission to provide treatments designed to foster durable improvements in mental health and help minds heal. Helus Pharma strategically innovates NSAs through rigorous patient-centered research and clinical excellence.</w:t>
      </w:r>
      <w:r>
        <w:rPr>
          <w:rFonts w:ascii="Times New Roman;serif" w:hAnsi="Times New Roman;serif"/>
          <w:b w:val="false"/>
          <w:color w:val="000000"/>
          <w:sz w:val="14"/>
        </w:rPr>
        <w:t>1</w:t>
      </w:r>
      <w:r>
        <w:rPr>
          <w:color w:val="000000"/>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Helus Pharma’s research and development work focuses on a three-pillar strategy that leverages the Company’s core competencies in preclinical innovation and clinical development. This strategy supports the creation of intellectual property (“</w:t>
      </w:r>
      <w:r>
        <w:rPr>
          <w:rFonts w:ascii="Times New Roman;serif" w:hAnsi="Times New Roman;serif"/>
          <w:b/>
          <w:color w:val="000000"/>
          <w:sz w:val="22"/>
        </w:rPr>
        <w:t>IP</w:t>
      </w:r>
      <w:r>
        <w:rPr>
          <w:color w:val="000000"/>
        </w:rPr>
        <w:t>”</w:t>
      </w:r>
      <w:r>
        <w:rPr>
          <w:rFonts w:ascii="Times New Roman;serif" w:hAnsi="Times New Roman;serif"/>
          <w:b w:val="false"/>
          <w:color w:val="000000"/>
          <w:sz w:val="22"/>
        </w:rPr>
        <w:t>) focused on developing the Company’s platform technology to develop NSAs, the progression of clinical development programs studying certain of these NSAs, including HLP003 (previously referred to as CYB003), a deuterated psilocin molecule (“</w:t>
      </w:r>
      <w:r>
        <w:rPr>
          <w:rFonts w:ascii="Times New Roman;serif" w:hAnsi="Times New Roman;serif"/>
          <w:b/>
          <w:color w:val="000000"/>
          <w:sz w:val="22"/>
        </w:rPr>
        <w:t>HLP003</w:t>
      </w:r>
      <w:r>
        <w:rPr>
          <w:color w:val="000000"/>
        </w:rPr>
        <w:t>”</w:t>
      </w:r>
      <w:r>
        <w:rPr>
          <w:rFonts w:ascii="Times New Roman;serif" w:hAnsi="Times New Roman;serif"/>
          <w:b w:val="false"/>
          <w:color w:val="000000"/>
          <w:sz w:val="22"/>
        </w:rPr>
        <w:t>), HLP004 (previously referred to as CYB004), a deuterated version of DMT (“</w:t>
      </w:r>
      <w:r>
        <w:rPr>
          <w:rFonts w:ascii="Times New Roman;serif" w:hAnsi="Times New Roman;serif"/>
          <w:b/>
          <w:color w:val="000000"/>
          <w:sz w:val="22"/>
        </w:rPr>
        <w:t>HLP004</w:t>
      </w:r>
      <w:r>
        <w:rPr>
          <w:color w:val="000000"/>
        </w:rPr>
        <w:t>”</w:t>
      </w:r>
      <w:r>
        <w:rPr>
          <w:rFonts w:ascii="Times New Roman;serif" w:hAnsi="Times New Roman;serif"/>
          <w:b w:val="false"/>
          <w:color w:val="000000"/>
          <w:sz w:val="22"/>
        </w:rPr>
        <w:t>), HLP005 (previously referred to as CYB005), phenethylamine and tryptamine derivatives (together “</w:t>
      </w:r>
      <w:r>
        <w:rPr>
          <w:rFonts w:ascii="Times New Roman;serif" w:hAnsi="Times New Roman;serif"/>
          <w:b/>
          <w:color w:val="000000"/>
          <w:sz w:val="22"/>
        </w:rPr>
        <w:t>HLP005</w:t>
      </w:r>
      <w:r>
        <w:rPr>
          <w:color w:val="000000"/>
        </w:rPr>
        <w:t>”</w:t>
      </w:r>
      <w:r>
        <w:rPr>
          <w:rFonts w:ascii="Times New Roman;serif" w:hAnsi="Times New Roman;serif"/>
          <w:b w:val="false"/>
          <w:color w:val="000000"/>
          <w:sz w:val="22"/>
        </w:rPr>
        <w:t>), and an expansive list of preclinical molecules to facilitate future drug development opportunities. These name changes did not alter the underlying scientific foundations, development plans, or regulatory status of the programs, but were implemented to provide greater consistency, clarity, and alignment with the Helus Pharma brand as the Company advances its pipeline through clinical development and prepares for potential commercialization.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23, 2023, the Company completed the acquisition of Small Pharma by way of the Arrangement pursuant to which Small Pharma became a wholly-owned subsidiary of Helus Pharma. Small Pharma is a biotechnology company focused on developing short-duration therapies for the treatment of mental health conditions. Small Pharma initiated programs across its “First-generation” and “Second-generation” serotonergic agonist portfolio. First-generation serotonergic agonists refer to serotonergic agonists found in nature or previously studied. Second-generation serotonergic agonists refer to NSAs, which are often first-generation serotonergic agonists that have been chemically modified with the aim to optimize their therapeutic benefit.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With a common goal to develop differentiated, next-generation therapeutics, the combination of Helus Pharma and Small Pharma creates a leading international, clinical-stage company with potential to improve clinical outcomes and address key unmet needs for people with mental health conditions. The companies’ combined development portfolios are highly complementary and provide multiple opportunities to create operational and cost synergies.</w:t>
      </w:r>
    </w:p>
    <w:p>
      <w:pPr>
        <w:pStyle w:val="TextBody"/>
        <w:bidi w:val="0"/>
        <w:spacing w:lineRule="auto" w:line="276"/>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This is a forward-looking statement that involves material assumptions by the Company.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w:t>
      </w:r>
    </w:p>
    <w:p>
      <w:pPr>
        <w:pStyle w:val="TextBody"/>
        <w:bidi w:val="0"/>
        <w:spacing w:before="0" w:after="2"/>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6"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br/>
        <w:t>As a result of the acquisition of Small Pharma by way of the Arrangement, Helus Pharma currently has over 100 granted patents and over 250 pending applications. See “</w:t>
      </w:r>
      <w:r>
        <w:rPr>
          <w:rFonts w:ascii="Times New Roman;serif" w:hAnsi="Times New Roman;serif"/>
          <w:b w:val="false"/>
          <w:i/>
          <w:color w:val="000000"/>
          <w:sz w:val="22"/>
        </w:rPr>
        <w:t>Intellectual Property</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u w:val="single"/>
        </w:rPr>
      </w:pPr>
      <w:r>
        <w:rPr>
          <w:rFonts w:ascii="Times New Roman;serif" w:hAnsi="Times New Roman;serif"/>
          <w:b/>
          <w:color w:val="000000"/>
          <w:sz w:val="22"/>
          <w:u w:val="single"/>
        </w:rPr>
        <w:t>Advancement of Mental Healthcare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is conducting research and development of next-generation therapeutics that aim to address unmet needs in the treatment of mental health and neurological conditions. This comprehensive development work is predicated on structural modifications of known tryptamine and phenethylamine derivatives to improve their pharmacokinetic properties while maintaining their respective pharmacology.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Across its extensive research and development programs, Helus Pharma is evaluating a wide array of novel, synthetic active pharmaceutical ingredients (“</w:t>
      </w:r>
      <w:r>
        <w:rPr>
          <w:rFonts w:ascii="Times New Roman;serif" w:hAnsi="Times New Roman;serif"/>
          <w:b/>
          <w:color w:val="000000"/>
          <w:sz w:val="22"/>
        </w:rPr>
        <w:t>API</w:t>
      </w:r>
      <w:r>
        <w:rPr>
          <w:color w:val="000000"/>
        </w:rPr>
        <w:t>”</w:t>
      </w:r>
      <w:r>
        <w:rPr>
          <w:rFonts w:ascii="Times New Roman;serif" w:hAnsi="Times New Roman;serif"/>
          <w:b w:val="false"/>
          <w:color w:val="000000"/>
          <w:sz w:val="22"/>
        </w:rPr>
        <w:t>) intended to be delivered through innovative drug delivery systems including via intravenous (“</w:t>
      </w:r>
      <w:r>
        <w:rPr>
          <w:rFonts w:ascii="Times New Roman;serif" w:hAnsi="Times New Roman;serif"/>
          <w:b/>
          <w:color w:val="000000"/>
          <w:sz w:val="22"/>
        </w:rPr>
        <w:t>IV</w:t>
      </w:r>
      <w:r>
        <w:rPr>
          <w:color w:val="000000"/>
        </w:rPr>
        <w:t>”</w:t>
      </w:r>
      <w:r>
        <w:rPr>
          <w:rFonts w:ascii="Times New Roman;serif" w:hAnsi="Times New Roman;serif"/>
          <w:b w:val="false"/>
          <w:color w:val="000000"/>
          <w:sz w:val="22"/>
        </w:rPr>
        <w:t>), intramuscular, or subcutaneous administration.</w:t>
      </w:r>
      <w:r>
        <w:rPr>
          <w:rFonts w:ascii="Times New Roman;serif" w:hAnsi="Times New Roman;serif"/>
          <w:b w:val="false"/>
          <w:color w:val="000000"/>
          <w:sz w:val="14"/>
        </w:rPr>
        <w:t>2</w:t>
      </w:r>
      <w:r>
        <w:rPr>
          <w:color w:val="000000"/>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intends to apply for regulatory approval for therapies targeting indications such as major depressive disorder (“</w:t>
      </w:r>
      <w:r>
        <w:rPr>
          <w:rFonts w:ascii="Times New Roman;serif" w:hAnsi="Times New Roman;serif"/>
          <w:b/>
          <w:color w:val="000000"/>
          <w:sz w:val="22"/>
        </w:rPr>
        <w:t>MDD</w:t>
      </w:r>
      <w:r>
        <w:rPr>
          <w:color w:val="000000"/>
        </w:rPr>
        <w:t>”</w:t>
      </w:r>
      <w:r>
        <w:rPr>
          <w:rFonts w:ascii="Times New Roman;serif" w:hAnsi="Times New Roman;serif"/>
          <w:b w:val="false"/>
          <w:color w:val="000000"/>
          <w:sz w:val="22"/>
        </w:rPr>
        <w:t>), alcohol use disorder (“</w:t>
      </w:r>
      <w:r>
        <w:rPr>
          <w:rFonts w:ascii="Times New Roman;serif" w:hAnsi="Times New Roman;serif"/>
          <w:b/>
          <w:color w:val="000000"/>
          <w:sz w:val="22"/>
        </w:rPr>
        <w:t>AUD</w:t>
      </w:r>
      <w:r>
        <w:rPr>
          <w:color w:val="000000"/>
        </w:rPr>
        <w:t>”</w:t>
      </w:r>
      <w:r>
        <w:rPr>
          <w:rFonts w:ascii="Times New Roman;serif" w:hAnsi="Times New Roman;serif"/>
          <w:b w:val="false"/>
          <w:color w:val="000000"/>
          <w:sz w:val="22"/>
        </w:rPr>
        <w:t>), generalized anxiety disorder (“</w:t>
      </w:r>
      <w:r>
        <w:rPr>
          <w:rFonts w:ascii="Times New Roman;serif" w:hAnsi="Times New Roman;serif"/>
          <w:b/>
          <w:color w:val="000000"/>
          <w:sz w:val="22"/>
        </w:rPr>
        <w:t>GAD</w:t>
      </w:r>
      <w:r>
        <w:rPr>
          <w:color w:val="000000"/>
        </w:rPr>
        <w:t>”</w:t>
      </w:r>
      <w:r>
        <w:rPr>
          <w:rFonts w:ascii="Times New Roman;serif" w:hAnsi="Times New Roman;serif"/>
          <w:b w:val="false"/>
          <w:color w:val="000000"/>
          <w:sz w:val="22"/>
        </w:rPr>
        <w:t>) and potentially other various mental health conditions.</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The Company is also developing compounds that may have the potential to address neuroinflammation, central nervous system (“</w:t>
      </w:r>
      <w:r>
        <w:rPr>
          <w:rFonts w:ascii="Times New Roman;serif" w:hAnsi="Times New Roman;serif"/>
          <w:b/>
          <w:color w:val="000000"/>
          <w:sz w:val="22"/>
        </w:rPr>
        <w:t>CNS</w:t>
      </w:r>
      <w:r>
        <w:rPr>
          <w:color w:val="000000"/>
        </w:rPr>
        <w:t>”</w:t>
      </w:r>
      <w:r>
        <w:rPr>
          <w:rFonts w:ascii="Times New Roman;serif" w:hAnsi="Times New Roman;serif"/>
          <w:b w:val="false"/>
          <w:color w:val="000000"/>
          <w:sz w:val="22"/>
        </w:rPr>
        <w:t>) disorders, and psychiatric disorders.</w:t>
      </w:r>
      <w:r>
        <w:rPr>
          <w:rFonts w:ascii="Times New Roman;serif" w:hAnsi="Times New Roman;serif"/>
          <w:b w:val="false"/>
          <w:color w:val="000000"/>
          <w:sz w:val="14"/>
        </w:rPr>
        <w:t>4</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Further, over the next 12-month period, the Company will continue to seek to establish strategic partnerships that advance the Company’s scientific research and IP for novel compounds and delivery mechanisms.</w:t>
      </w:r>
      <w:r>
        <w:rPr>
          <w:rFonts w:ascii="Times New Roman;serif" w:hAnsi="Times New Roman;serif"/>
          <w:b w:val="false"/>
          <w:color w:val="000000"/>
          <w:sz w:val="14"/>
        </w:rPr>
        <w:t>5</w:t>
      </w:r>
      <w:r>
        <w:rPr>
          <w:color w:val="000000"/>
        </w:rPr>
        <w:t xml:space="preserve"> </w:t>
      </w:r>
      <w:r>
        <w:rPr>
          <w:rFonts w:ascii="Times New Roman;serif" w:hAnsi="Times New Roman;serif"/>
          <w:b w:val="false"/>
          <w:color w:val="000000"/>
          <w:sz w:val="22"/>
        </w:rPr>
        <w:t>The Company will also continue to sponsor select internal and partner-related clinical trials that advance the understanding of safety and efficacy for various NSAs that target mental health and neurological conditions.</w:t>
      </w:r>
      <w:r>
        <w:rPr>
          <w:rFonts w:ascii="Times New Roman;serif" w:hAnsi="Times New Roman;serif"/>
          <w:b w:val="false"/>
          <w:color w:val="000000"/>
          <w:sz w:val="14"/>
        </w:rPr>
        <w:t>6</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i/>
          <w:color w:val="000000"/>
          <w:sz w:val="22"/>
        </w:rPr>
      </w:pPr>
      <w:r>
        <w:rPr>
          <w:rFonts w:ascii="Times New Roman;serif" w:hAnsi="Times New Roman;serif"/>
          <w:b/>
          <w:i/>
          <w:color w:val="000000"/>
          <w:sz w:val="22"/>
        </w:rPr>
        <w:t xml:space="preserve">Stage of Development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Like most life sciences and pharmaceutical companies, the Company’s business is focused on research and development and any future revenue will be dependent on a number of factors, including the outcome of the Company’s clinical trials and the receipt of all necessary regulatory approvals.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In order to establish its business operations, Helus Pharma intends to leverage the extensive professional network of its management to build working partnerships with (i) existing producers of products based in Canada, the United States, the European Union (the “</w:t>
      </w:r>
      <w:r>
        <w:rPr>
          <w:rFonts w:ascii="Times New Roman;serif" w:hAnsi="Times New Roman;serif"/>
          <w:b/>
          <w:color w:val="000000"/>
          <w:sz w:val="22"/>
        </w:rPr>
        <w:t>EU</w:t>
      </w:r>
      <w:r>
        <w:rPr>
          <w:color w:val="000000"/>
        </w:rPr>
        <w:t>”</w:t>
      </w:r>
      <w:r>
        <w:rPr>
          <w:rFonts w:ascii="Times New Roman;serif" w:hAnsi="Times New Roman;serif"/>
          <w:b w:val="false"/>
          <w:color w:val="000000"/>
          <w:sz w:val="22"/>
        </w:rPr>
        <w:t xml:space="preserve">) and the UK to source the pharmaceutical products the Company intends to develop and distribute under its specific brand, and </w:t>
      </w:r>
    </w:p>
    <w:p>
      <w:pPr>
        <w:pStyle w:val="TextBody"/>
        <w:bidi w:val="0"/>
        <w:spacing w:lineRule="auto" w:line="276"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 xml:space="preserve">See footnote 1. </w:t>
      </w:r>
    </w:p>
    <w:p>
      <w:pPr>
        <w:pStyle w:val="TextBody"/>
        <w:bidi w:val="0"/>
        <w:spacing w:lineRule="auto" w:line="276" w:before="0" w:after="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See footnote 1. </w:t>
      </w:r>
    </w:p>
    <w:p>
      <w:pPr>
        <w:pStyle w:val="TextBody"/>
        <w:bidi w:val="0"/>
        <w:spacing w:lineRule="auto" w:line="276" w:before="0" w:after="2"/>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See footnote 1.</w:t>
      </w:r>
    </w:p>
    <w:p>
      <w:pPr>
        <w:pStyle w:val="TextBody"/>
        <w:bidi w:val="0"/>
        <w:spacing w:lineRule="auto" w:line="276" w:before="0" w:after="0"/>
        <w:jc w:val="both"/>
        <w:rPr/>
      </w:pPr>
      <w:r>
        <w:rPr>
          <w:rFonts w:ascii="Times New Roman;serif" w:hAnsi="Times New Roman;serif"/>
          <w:b w:val="false"/>
          <w:color w:val="000000"/>
          <w:sz w:val="12"/>
        </w:rPr>
        <w:t xml:space="preserve">5 </w:t>
      </w:r>
      <w:r>
        <w:rPr>
          <w:rFonts w:ascii="Times New Roman;serif" w:hAnsi="Times New Roman;serif"/>
          <w:b w:val="false"/>
          <w:color w:val="000000"/>
          <w:sz w:val="18"/>
        </w:rPr>
        <w:t>A material factor and assumption underlying this forward-looking statement is that the Company will be able to successfully negotiate strategic partnerships.</w:t>
      </w:r>
    </w:p>
    <w:p>
      <w:pPr>
        <w:pStyle w:val="TextBody"/>
        <w:bidi w:val="0"/>
        <w:spacing w:lineRule="auto" w:line="276"/>
        <w:jc w:val="both"/>
        <w:rPr/>
      </w:pPr>
      <w:r>
        <w:rPr>
          <w:rFonts w:ascii="Times New Roman;serif" w:hAnsi="Times New Roman;serif"/>
          <w:b w:val="false"/>
          <w:color w:val="000000"/>
          <w:sz w:val="12"/>
        </w:rPr>
        <w:t xml:space="preserve">6 </w:t>
      </w:r>
      <w:r>
        <w:rPr>
          <w:rFonts w:ascii="Times New Roman;serif" w:hAnsi="Times New Roman;serif"/>
          <w:b w:val="false"/>
          <w:color w:val="000000"/>
          <w:sz w:val="18"/>
        </w:rPr>
        <w:t>The material factors and assumptions underlying this forward-looking statement are: (a) that the Company will be able to successfully negotiate strategic partnerships; and (b) all necessary approvals for the studies will be obtained.</w:t>
      </w:r>
    </w:p>
    <w:p>
      <w:pPr>
        <w:pStyle w:val="TextBody"/>
        <w:bidi w:val="0"/>
        <w:spacing w:before="0" w:after="2"/>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7"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(ii) to explore options to facilitate the development and distribution and sale of its specific brand of pharmaceutical products.</w:t>
      </w:r>
      <w:r>
        <w:rPr>
          <w:rFonts w:ascii="Times New Roman;serif" w:hAnsi="Times New Roman;serif"/>
          <w:b w:val="false"/>
          <w:color w:val="000000"/>
          <w:sz w:val="14"/>
        </w:rPr>
        <w:t>7</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 xml:space="preserve">Prescription drugs are classified and regulated under the federal </w:t>
      </w:r>
      <w:r>
        <w:rPr>
          <w:rFonts w:ascii="Times New Roman;serif" w:hAnsi="Times New Roman;serif"/>
          <w:b w:val="false"/>
          <w:i/>
          <w:color w:val="000000"/>
          <w:sz w:val="22"/>
        </w:rPr>
        <w:t>Food and Drugs Act</w:t>
      </w:r>
      <w:r>
        <w:rPr>
          <w:color w:val="000000"/>
        </w:rPr>
        <w:t xml:space="preserve"> </w:t>
      </w:r>
      <w:r>
        <w:rPr>
          <w:rFonts w:ascii="Times New Roman;serif" w:hAnsi="Times New Roman;serif"/>
          <w:b w:val="false"/>
          <w:color w:val="000000"/>
          <w:sz w:val="22"/>
        </w:rPr>
        <w:t>(Canada) (the “</w:t>
      </w:r>
      <w:r>
        <w:rPr>
          <w:rFonts w:ascii="Times New Roman;serif" w:hAnsi="Times New Roman;serif"/>
          <w:b/>
          <w:color w:val="000000"/>
          <w:sz w:val="22"/>
        </w:rPr>
        <w:t>Canadian FDA</w:t>
      </w:r>
      <w:r>
        <w:rPr>
          <w:color w:val="000000"/>
        </w:rPr>
        <w:t>”</w:t>
      </w:r>
      <w:r>
        <w:rPr>
          <w:rFonts w:ascii="Times New Roman;serif" w:hAnsi="Times New Roman;serif"/>
          <w:b w:val="false"/>
          <w:color w:val="000000"/>
          <w:sz w:val="22"/>
        </w:rPr>
        <w:t xml:space="preserve">). Labeling, marketing and selling of any prescription drug must comply with the Canadian FDA, including by ensuring that the Company’s products are not packaged or marketed in a manner that is misleading or deceptive to a consumer.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 xml:space="preserve">In the United States, foods, drugs and dietary supplements are subject to extensive regulation. The </w:t>
      </w:r>
      <w:r>
        <w:rPr>
          <w:rFonts w:ascii="Times New Roman;serif" w:hAnsi="Times New Roman;serif"/>
          <w:b w:val="false"/>
          <w:i/>
          <w:color w:val="000000"/>
          <w:sz w:val="22"/>
        </w:rPr>
        <w:t xml:space="preserve">Federal Food, Drug, and Cosmetic Act </w:t>
      </w:r>
      <w:r>
        <w:rPr>
          <w:rFonts w:ascii="Times New Roman;serif" w:hAnsi="Times New Roman;serif"/>
          <w:b w:val="false"/>
          <w:color w:val="000000"/>
          <w:sz w:val="22"/>
        </w:rPr>
        <w:t>(the “</w:t>
      </w:r>
      <w:r>
        <w:rPr>
          <w:rFonts w:ascii="Times New Roman;serif" w:hAnsi="Times New Roman;serif"/>
          <w:b/>
          <w:color w:val="000000"/>
          <w:sz w:val="22"/>
        </w:rPr>
        <w:t>FFDCA</w:t>
      </w:r>
      <w:r>
        <w:rPr>
          <w:color w:val="000000"/>
        </w:rPr>
        <w:t>”</w:t>
      </w:r>
      <w:r>
        <w:rPr>
          <w:rFonts w:ascii="Times New Roman;serif" w:hAnsi="Times New Roman;serif"/>
          <w:b w:val="false"/>
          <w:color w:val="000000"/>
          <w:sz w:val="22"/>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serif" w:hAnsi="Times New Roman;serif"/>
          <w:b/>
          <w:color w:val="000000"/>
          <w:sz w:val="22"/>
        </w:rPr>
        <w:t>FDA</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holds a Schedule I manufacturing license from the U.S. Drug Enforcement Administration (“</w:t>
      </w:r>
      <w:r>
        <w:rPr>
          <w:rFonts w:ascii="Times New Roman;serif" w:hAnsi="Times New Roman;serif"/>
          <w:b/>
          <w:color w:val="000000"/>
          <w:sz w:val="22"/>
        </w:rPr>
        <w:t>DEA</w:t>
      </w:r>
      <w:r>
        <w:rPr>
          <w:color w:val="000000"/>
        </w:rPr>
        <w:t>”</w:t>
      </w:r>
      <w:r>
        <w:rPr>
          <w:rFonts w:ascii="Times New Roman;serif" w:hAnsi="Times New Roman;serif"/>
          <w:b w:val="false"/>
          <w:color w:val="000000"/>
          <w:sz w:val="22"/>
        </w:rPr>
        <w:t xml:space="preserve">) for its research lab in the Boston area. The license allows the Company to further become a hub for innovation and drug discovery. With the DEA license, the Company has expanded its internal R&amp;D capabilities to support innovative drug discovery and delivery involving Schedule I compounds.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On March 13, 2024, the Company announced that it had been granted Breakthrough Therapy Designation (the “</w:t>
      </w:r>
      <w:r>
        <w:rPr>
          <w:rFonts w:ascii="Times New Roman;serif" w:hAnsi="Times New Roman;serif"/>
          <w:b/>
          <w:color w:val="000000"/>
          <w:sz w:val="22"/>
        </w:rPr>
        <w:t>BTD</w:t>
      </w:r>
      <w:r>
        <w:rPr>
          <w:color w:val="000000"/>
        </w:rPr>
        <w:t>”</w:t>
      </w:r>
      <w:r>
        <w:rPr>
          <w:rFonts w:ascii="Times New Roman;serif" w:hAnsi="Times New Roman;serif"/>
          <w:b w:val="false"/>
          <w:color w:val="000000"/>
          <w:sz w:val="22"/>
        </w:rPr>
        <w:t>) by the FDA in respect of HLP003.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HLP003 development program, including planned clinical trials and plans for expediting the manufacturing development strategy.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pPr>
      <w:r>
        <w:rPr>
          <w:rFonts w:ascii="Times New Roman;serif" w:hAnsi="Times New Roman;serif"/>
          <w:b/>
          <w:i/>
          <w:color w:val="000000"/>
          <w:sz w:val="22"/>
        </w:rPr>
        <w:t>Non-Revenue Generating Projects</w:t>
      </w:r>
      <w:r>
        <w:rPr>
          <w:rFonts w:ascii="Times New Roman;serif" w:hAnsi="Times New Roman;serif"/>
          <w:b w:val="false"/>
          <w:i/>
          <w:color w:val="000000"/>
          <w:sz w:val="14"/>
        </w:rPr>
        <w:t>8</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currently has three significant projects, which have not yet generated revenue:</w:t>
      </w:r>
    </w:p>
    <w:p>
      <w:pPr>
        <w:pStyle w:val="TextBody"/>
        <w:bidi w:val="0"/>
        <w:spacing w:before="0" w:after="0"/>
        <w:jc w:val="both"/>
        <w:rPr/>
      </w:pPr>
      <w:r>
        <w:rPr/>
      </w:r>
    </w:p>
    <w:p>
      <w:pPr>
        <w:pStyle w:val="TextBody"/>
        <w:bidi w:val="0"/>
        <w:spacing w:lineRule="auto" w:line="333" w:before="0" w:after="0"/>
        <w:ind w:left="0" w:right="0" w:hanging="360"/>
        <w:jc w:val="both"/>
        <w:rPr/>
      </w:pPr>
      <w:r>
        <w:rPr>
          <w:rFonts w:ascii="Times New Roman;serif" w:hAnsi="Times New Roman;serif"/>
          <w:b w:val="false"/>
          <w:color w:val="000000"/>
          <w:sz w:val="22"/>
        </w:rPr>
        <w:t>1.HLP003 Program</w:t>
      </w:r>
      <w:r>
        <w:rPr>
          <w:rFonts w:ascii="Times New Roman;serif" w:hAnsi="Times New Roman;serif"/>
          <w:b w:val="false"/>
          <w:color w:val="000000"/>
          <w:sz w:val="14"/>
        </w:rPr>
        <w:t>9</w:t>
      </w:r>
    </w:p>
    <w:p>
      <w:pPr>
        <w:pStyle w:val="TextBody"/>
        <w:bidi w:val="0"/>
        <w:spacing w:lineRule="auto" w:line="333" w:before="0" w:after="0"/>
        <w:ind w:left="0" w:right="0" w:hanging="360"/>
        <w:jc w:val="both"/>
        <w:rPr/>
      </w:pPr>
      <w:r>
        <w:rPr>
          <w:rFonts w:ascii="Times New Roman;serif" w:hAnsi="Times New Roman;serif"/>
          <w:b w:val="false"/>
          <w:color w:val="000000"/>
          <w:sz w:val="22"/>
        </w:rPr>
        <w:t>2.HLP004 Program</w:t>
      </w:r>
      <w:r>
        <w:rPr>
          <w:rFonts w:ascii="Times New Roman;serif" w:hAnsi="Times New Roman;serif"/>
          <w:b w:val="false"/>
          <w:color w:val="000000"/>
          <w:sz w:val="14"/>
        </w:rPr>
        <w:t>10</w:t>
      </w:r>
    </w:p>
    <w:p>
      <w:pPr>
        <w:pStyle w:val="TextBody"/>
        <w:bidi w:val="0"/>
        <w:spacing w:lineRule="auto" w:line="333" w:before="0" w:after="0"/>
        <w:ind w:left="0" w:right="0" w:hanging="360"/>
        <w:jc w:val="both"/>
        <w:rPr/>
      </w:pPr>
      <w:r>
        <w:rPr>
          <w:rFonts w:ascii="Times New Roman;serif" w:hAnsi="Times New Roman;serif"/>
          <w:b w:val="false"/>
          <w:color w:val="000000"/>
          <w:sz w:val="22"/>
        </w:rPr>
        <w:t>3.HLP005 Program</w:t>
      </w:r>
      <w:r>
        <w:rPr>
          <w:rFonts w:ascii="Times New Roman;serif" w:hAnsi="Times New Roman;serif"/>
          <w:b w:val="false"/>
          <w:color w:val="000000"/>
          <w:sz w:val="14"/>
        </w:rPr>
        <w:t>11</w:t>
      </w:r>
      <w:r>
        <w:rPr>
          <w:color w:val="000000"/>
        </w:rPr>
        <w:t xml:space="preserve">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has developed EMBARK, a psychological support model that integrates leading clinical approaches to promote supportive healing with pharmacological interventions for </w:t>
      </w:r>
    </w:p>
    <w:p>
      <w:pPr>
        <w:pStyle w:val="TextBody"/>
        <w:bidi w:val="0"/>
        <w:spacing w:lineRule="auto" w:line="276" w:before="0" w:after="0"/>
        <w:jc w:val="both"/>
        <w:rPr/>
      </w:pPr>
      <w:r>
        <w:rPr>
          <w:rFonts w:ascii="Times New Roman;serif" w:hAnsi="Times New Roman;serif"/>
          <w:b w:val="false"/>
          <w:color w:val="000000"/>
          <w:sz w:val="12"/>
        </w:rPr>
        <w:t>7</w:t>
      </w:r>
      <w:r>
        <w:rPr>
          <w:color w:val="000000"/>
        </w:rPr>
        <w:t xml:space="preserve"> </w:t>
      </w:r>
      <w:r>
        <w:rPr>
          <w:rFonts w:ascii="Times New Roman;serif" w:hAnsi="Times New Roman;serif"/>
          <w:b w:val="false"/>
          <w:color w:val="000000"/>
          <w:sz w:val="18"/>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pStyle w:val="TextBody"/>
        <w:bidi w:val="0"/>
        <w:spacing w:lineRule="auto" w:line="276" w:before="0" w:after="0"/>
        <w:jc w:val="both"/>
        <w:rPr/>
      </w:pPr>
      <w:r>
        <w:rPr>
          <w:rFonts w:ascii="Times New Roman;serif" w:hAnsi="Times New Roman;serif"/>
          <w:b w:val="false"/>
          <w:color w:val="000000"/>
          <w:sz w:val="12"/>
        </w:rPr>
        <w:t>8</w:t>
      </w:r>
      <w:r>
        <w:rPr>
          <w:color w:val="000000"/>
        </w:rPr>
        <w:t xml:space="preserve"> </w:t>
      </w:r>
      <w:r>
        <w:rPr>
          <w:rFonts w:ascii="Times New Roman;serif" w:hAnsi="Times New Roman;serif"/>
          <w:b w:val="false"/>
          <w:color w:val="000000"/>
          <w:sz w:val="18"/>
        </w:rPr>
        <w:t>All quarter references in this section are based on calendar year-end.</w:t>
      </w:r>
    </w:p>
    <w:p>
      <w:pPr>
        <w:pStyle w:val="TextBody"/>
        <w:bidi w:val="0"/>
        <w:spacing w:lineRule="auto" w:line="276" w:before="0" w:after="0"/>
        <w:jc w:val="left"/>
        <w:rPr/>
      </w:pPr>
      <w:r>
        <w:rPr>
          <w:rFonts w:ascii="Times New Roman;serif" w:hAnsi="Times New Roman;serif"/>
          <w:b w:val="false"/>
          <w:color w:val="000000"/>
          <w:sz w:val="12"/>
        </w:rPr>
        <w:t>9</w:t>
      </w:r>
      <w:r>
        <w:rPr>
          <w:color w:val="000000"/>
        </w:rPr>
        <w:t xml:space="preserve"> </w:t>
      </w:r>
      <w:r>
        <w:rPr>
          <w:rFonts w:ascii="Times New Roman;serif" w:hAnsi="Times New Roman;serif"/>
          <w:b w:val="false"/>
          <w:color w:val="000000"/>
          <w:sz w:val="18"/>
        </w:rPr>
        <w:t>Formerly named the Deuterated Psilocin Program (CYB003)</w:t>
      </w:r>
    </w:p>
    <w:p>
      <w:pPr>
        <w:pStyle w:val="TextBody"/>
        <w:bidi w:val="0"/>
        <w:spacing w:lineRule="auto" w:line="276" w:before="0" w:after="0"/>
        <w:jc w:val="left"/>
        <w:rPr/>
      </w:pPr>
      <w:r>
        <w:rPr>
          <w:rFonts w:ascii="Times New Roman;serif" w:hAnsi="Times New Roman;serif"/>
          <w:b w:val="false"/>
          <w:color w:val="000000"/>
          <w:sz w:val="12"/>
        </w:rPr>
        <w:t>10</w:t>
      </w:r>
      <w:r>
        <w:rPr>
          <w:color w:val="000000"/>
        </w:rPr>
        <w:t xml:space="preserve"> </w:t>
      </w:r>
      <w:r>
        <w:rPr>
          <w:rFonts w:ascii="Times New Roman;serif" w:hAnsi="Times New Roman;serif"/>
          <w:b w:val="false"/>
          <w:color w:val="000000"/>
          <w:sz w:val="18"/>
        </w:rPr>
        <w:t>Formerly named the Deuterated Dimethyltryptamine Program (CYB004).</w:t>
      </w:r>
    </w:p>
    <w:p>
      <w:pPr>
        <w:pStyle w:val="TextBody"/>
        <w:bidi w:val="0"/>
        <w:spacing w:lineRule="auto" w:line="240"/>
        <w:jc w:val="left"/>
        <w:rPr/>
      </w:pPr>
      <w:r>
        <w:rPr>
          <w:rFonts w:ascii="Times New Roman;serif" w:hAnsi="Times New Roman;serif"/>
          <w:b w:val="false"/>
          <w:color w:val="000000"/>
          <w:sz w:val="12"/>
        </w:rPr>
        <w:t>11</w:t>
      </w:r>
      <w:r>
        <w:rPr>
          <w:color w:val="000000"/>
        </w:rPr>
        <w:t xml:space="preserve"> </w:t>
      </w:r>
      <w:r>
        <w:rPr>
          <w:rFonts w:ascii="Times New Roman;serif" w:hAnsi="Times New Roman;serif"/>
          <w:b w:val="false"/>
          <w:color w:val="000000"/>
          <w:sz w:val="18"/>
        </w:rPr>
        <w:t>Formerly named the Phenethylamine and Tryptamine Derivatives Program (CYB005).</w:t>
      </w:r>
    </w:p>
    <w:p>
      <w:pPr>
        <w:pStyle w:val="TextBody"/>
        <w:bidi w:val="0"/>
        <w:spacing w:before="0" w:after="2"/>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8"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neuropsychiatry. EMBARK’s six clinical domains (</w:t>
      </w:r>
      <w:r>
        <w:rPr>
          <w:rFonts w:ascii="Times New Roman;serif" w:hAnsi="Times New Roman;serif"/>
          <w:b/>
          <w:color w:val="000000"/>
          <w:sz w:val="22"/>
        </w:rPr>
        <w:t>E</w:t>
      </w:r>
      <w:r>
        <w:rPr>
          <w:rFonts w:ascii="Times New Roman;serif" w:hAnsi="Times New Roman;serif"/>
          <w:b w:val="false"/>
          <w:color w:val="000000"/>
          <w:sz w:val="22"/>
        </w:rPr>
        <w:t xml:space="preserve">xistential-Spiritual, </w:t>
      </w:r>
      <w:r>
        <w:rPr>
          <w:rFonts w:ascii="Times New Roman;serif" w:hAnsi="Times New Roman;serif"/>
          <w:b/>
          <w:color w:val="000000"/>
          <w:sz w:val="22"/>
        </w:rPr>
        <w:t>M</w:t>
      </w:r>
      <w:r>
        <w:rPr>
          <w:rFonts w:ascii="Times New Roman;serif" w:hAnsi="Times New Roman;serif"/>
          <w:b w:val="false"/>
          <w:color w:val="000000"/>
          <w:sz w:val="22"/>
        </w:rPr>
        <w:t xml:space="preserve">indfulness, </w:t>
      </w:r>
      <w:r>
        <w:rPr>
          <w:rFonts w:ascii="Times New Roman;serif" w:hAnsi="Times New Roman;serif"/>
          <w:b/>
          <w:color w:val="000000"/>
          <w:sz w:val="22"/>
        </w:rPr>
        <w:t>B</w:t>
      </w:r>
      <w:r>
        <w:rPr>
          <w:rFonts w:ascii="Times New Roman;serif" w:hAnsi="Times New Roman;serif"/>
          <w:b w:val="false"/>
          <w:color w:val="000000"/>
          <w:sz w:val="22"/>
        </w:rPr>
        <w:t xml:space="preserve">ody Aware, </w:t>
      </w:r>
      <w:r>
        <w:rPr>
          <w:rFonts w:ascii="Times New Roman;serif" w:hAnsi="Times New Roman;serif"/>
          <w:b/>
          <w:color w:val="000000"/>
          <w:sz w:val="22"/>
        </w:rPr>
        <w:t>A</w:t>
      </w:r>
      <w:r>
        <w:rPr>
          <w:rFonts w:ascii="Times New Roman;serif" w:hAnsi="Times New Roman;serif"/>
          <w:b w:val="false"/>
          <w:color w:val="000000"/>
          <w:sz w:val="22"/>
        </w:rPr>
        <w:t xml:space="preserve">ffective-Cognitive, </w:t>
      </w:r>
      <w:r>
        <w:rPr>
          <w:rFonts w:ascii="Times New Roman;serif" w:hAnsi="Times New Roman;serif"/>
          <w:b/>
          <w:color w:val="000000"/>
          <w:sz w:val="22"/>
        </w:rPr>
        <w:t>R</w:t>
      </w:r>
      <w:r>
        <w:rPr>
          <w:rFonts w:ascii="Times New Roman;serif" w:hAnsi="Times New Roman;serif"/>
          <w:b w:val="false"/>
          <w:color w:val="000000"/>
          <w:sz w:val="22"/>
        </w:rPr>
        <w:t xml:space="preserve">elational, </w:t>
      </w:r>
      <w:r>
        <w:rPr>
          <w:rFonts w:ascii="Times New Roman;serif" w:hAnsi="Times New Roman;serif"/>
          <w:b/>
          <w:color w:val="000000"/>
          <w:sz w:val="22"/>
        </w:rPr>
        <w:t>K</w:t>
      </w:r>
      <w:r>
        <w:rPr>
          <w:rFonts w:ascii="Times New Roman;serif" w:hAnsi="Times New Roman;serif"/>
          <w:b w:val="false"/>
          <w:color w:val="000000"/>
          <w:sz w:val="22"/>
        </w:rPr>
        <w:t>eeping Momentum) represent the broad spectrum of ways in which therapeutic benefits may arise in treatment 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serif" w:hAnsi="Times New Roman;serif"/>
          <w:b/>
          <w:color w:val="000000"/>
          <w:sz w:val="22"/>
        </w:rPr>
        <w:t>EMBARK OA</w:t>
      </w:r>
      <w:r>
        <w:rPr>
          <w:color w:val="000000"/>
        </w:rPr>
        <w:t>”</w:t>
      </w:r>
      <w:r>
        <w:rPr>
          <w:rFonts w:ascii="Times New Roman;serif" w:hAnsi="Times New Roman;serif"/>
          <w:b w:val="false"/>
          <w:color w:val="000000"/>
          <w:sz w:val="22"/>
        </w:rPr>
        <w:t>), a free online foundational training course for facilitation. EMBARK Open Access is the first and only free massive open online course that offers foundational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serif" w:hAnsi="Times New Roman;serif"/>
          <w:b w:val="false"/>
          <w:color w:val="000000"/>
          <w:sz w:val="14"/>
        </w:rPr>
        <w:t>CT</w:t>
      </w:r>
      <w:r>
        <w:rPr>
          <w:rFonts w:ascii="Times New Roman;serif" w:hAnsi="Times New Roman;serif"/>
          <w:b w:val="false"/>
          <w:color w:val="000000"/>
          <w:sz w:val="22"/>
        </w:rPr>
        <w:t>, which is designed for individuals with existing knowledge, skills, and experience in facilitation. The EMBARK</w:t>
      </w:r>
      <w:r>
        <w:rPr>
          <w:rFonts w:ascii="Times New Roman;serif" w:hAnsi="Times New Roman;serif"/>
          <w:b w:val="false"/>
          <w:color w:val="000000"/>
          <w:sz w:val="14"/>
        </w:rPr>
        <w:t>CT</w:t>
      </w:r>
      <w:r>
        <w:rPr>
          <w:color w:val="000000"/>
        </w:rPr>
        <w:t xml:space="preserve"> </w:t>
      </w:r>
      <w:r>
        <w:rPr>
          <w:rFonts w:ascii="Times New Roman;serif" w:hAnsi="Times New Roman;serif"/>
          <w:b w:val="false"/>
          <w:color w:val="000000"/>
          <w:sz w:val="22"/>
        </w:rPr>
        <w:t>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About the HLP003 Program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been investigating the development of short-acting NSAs with the aim of creating clinical development candidates, utilizing (i) the chemical modification of known serotonergic agonists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lead program, HLP003, is an orally delivered deuterated NSA that has been granted FDA BTD for the potential adjunctive treatment of MDD. HLP003 aims to address the limitations of first-generation serotonergic agonists, including side effects, scalability and accessibility of treatment.</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The Company completed its HLP003 Investigational New Drug (“</w:t>
      </w:r>
      <w:r>
        <w:rPr>
          <w:rFonts w:ascii="Times New Roman;serif" w:hAnsi="Times New Roman;serif"/>
          <w:b/>
          <w:color w:val="000000"/>
          <w:sz w:val="22"/>
        </w:rPr>
        <w:t>IND</w:t>
      </w:r>
      <w:r>
        <w:rPr>
          <w:color w:val="000000"/>
        </w:rPr>
        <w:t>”</w:t>
      </w:r>
      <w:r>
        <w:rPr>
          <w:rFonts w:ascii="Times New Roman;serif" w:hAnsi="Times New Roman;serif"/>
          <w:b w:val="false"/>
          <w:color w:val="000000"/>
          <w:sz w:val="22"/>
        </w:rPr>
        <w:t>)-enabling preclinical studies and Chemistry, Manufacturing and Control (“</w:t>
      </w:r>
      <w:r>
        <w:rPr>
          <w:rFonts w:ascii="Times New Roman;serif" w:hAnsi="Times New Roman;serif"/>
          <w:b/>
          <w:color w:val="000000"/>
          <w:sz w:val="22"/>
        </w:rPr>
        <w:t>CMC</w:t>
      </w:r>
      <w:r>
        <w:rPr>
          <w:color w:val="000000"/>
        </w:rPr>
        <w: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serif" w:hAnsi="Times New Roman;serif"/>
          <w:b/>
          <w:color w:val="000000"/>
          <w:sz w:val="22"/>
        </w:rPr>
        <w:t>IRB</w:t>
      </w:r>
      <w:r>
        <w:rPr>
          <w:color w:val="000000"/>
        </w:rPr>
        <w:t>”</w:t>
      </w:r>
      <w:r>
        <w:rPr>
          <w:rFonts w:ascii="Times New Roman;serif" w:hAnsi="Times New Roman;serif"/>
          <w:b w:val="false"/>
          <w:color w:val="000000"/>
          <w:sz w:val="22"/>
        </w:rPr>
        <w:t>) approval in the U.S. to commence its first-in-human Phase 1/2a study of HLP003 in participants with moderate to severe MDD. The Company had engaged Clinilabs Drug Development Corporation (“</w:t>
      </w:r>
      <w:r>
        <w:rPr>
          <w:rFonts w:ascii="Times New Roman;serif" w:hAnsi="Times New Roman;serif"/>
          <w:b/>
          <w:color w:val="000000"/>
          <w:sz w:val="22"/>
        </w:rPr>
        <w:t>Clinilabs</w:t>
      </w:r>
      <w:r>
        <w:rPr>
          <w:color w:val="000000"/>
        </w:rPr>
        <w:t>”</w:t>
      </w:r>
      <w:r>
        <w:rPr>
          <w:rFonts w:ascii="Times New Roman;serif" w:hAnsi="Times New Roman;serif"/>
          <w:b w:val="false"/>
          <w:color w:val="000000"/>
          <w:sz w:val="22"/>
        </w:rPr>
        <w:t xml:space="preserve">), a full-service contract research organization with deep expertise in central nervous system drug development, to carry out the Phase 1/2a clinical trial of HLP003.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About the Completed HLP003 Phase 1/2a Clinical Trial</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Phase 1/2a trial was a randomized, double-blind, placebo-controlled study evaluating HLP003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w:t>
      </w:r>
    </w:p>
    <w:p>
      <w:pPr>
        <w:pStyle w:val="TextBody"/>
        <w:bidi w:val="0"/>
        <w:spacing w:before="0" w:after="2"/>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39"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transition to pivotal studies. Healthy volunteers received two administrations (placebo/active and active/active) one week apart, and measures of pharmacological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study investigated the safety, tolerability, pharmacokinetics (“</w:t>
      </w:r>
      <w:r>
        <w:rPr>
          <w:rFonts w:ascii="Times New Roman;serif" w:hAnsi="Times New Roman;serif"/>
          <w:b/>
          <w:color w:val="000000"/>
          <w:sz w:val="22"/>
        </w:rPr>
        <w:t>PK</w:t>
      </w:r>
      <w:r>
        <w:rPr>
          <w:color w:val="000000"/>
        </w:rPr>
        <w:t>”</w:t>
      </w:r>
      <w:r>
        <w:rPr>
          <w:rFonts w:ascii="Times New Roman;serif" w:hAnsi="Times New Roman;serif"/>
          <w:b w:val="false"/>
          <w:color w:val="000000"/>
          <w:sz w:val="22"/>
        </w:rPr>
        <w:t>) and pharmacodynamics (“</w:t>
      </w:r>
      <w:r>
        <w:rPr>
          <w:rFonts w:ascii="Times New Roman;serif" w:hAnsi="Times New Roman;serif"/>
          <w:b/>
          <w:color w:val="000000"/>
          <w:sz w:val="22"/>
        </w:rPr>
        <w:t>PD</w:t>
      </w:r>
      <w:r>
        <w:rPr>
          <w:color w:val="000000"/>
        </w:rPr>
        <w:t>”</w:t>
      </w:r>
      <w:r>
        <w:rPr>
          <w:rFonts w:ascii="Times New Roman;serif" w:hAnsi="Times New Roman;serif"/>
          <w:b w:val="false"/>
          <w:color w:val="000000"/>
          <w:sz w:val="22"/>
        </w:rPr>
        <w:t>), and pharmacological effect of ascending oral doses of HLP003. In participants with MDD, the trial evaluated rapid onset of antidepressant effect on the day of dosing, using the Montgomery-Asberg Depression Rating Scale (“</w:t>
      </w:r>
      <w:r>
        <w:rPr>
          <w:rFonts w:ascii="Times New Roman;serif" w:hAnsi="Times New Roman;serif"/>
          <w:b/>
          <w:color w:val="000000"/>
          <w:sz w:val="22"/>
        </w:rPr>
        <w:t>MADRS</w:t>
      </w:r>
      <w:r>
        <w:rPr>
          <w:color w:val="000000"/>
        </w:rPr>
        <w:t>”</w:t>
      </w:r>
      <w:r>
        <w:rPr>
          <w:rFonts w:ascii="Times New Roman;serif" w:hAnsi="Times New Roman;serif"/>
          <w:b w:val="false"/>
          <w:color w:val="000000"/>
          <w:sz w:val="22"/>
        </w:rPr>
        <w:t xml:space="preserve">), and evaluated the incremental benefit of a second dose of HLP003 when administered at Week 3. The study included an optional period of assessment to evaluate the durability of treatment effect out to 12 months. The study is listed on ClinicalTrials.gov under Identifier: NCT05385783.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30, 2022, the Company announced that the first two participants had been dosed in the Phase 1/2a study.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February 28, 2023, the Company announced positive interim safety and pharmacokinetics and pharmacodynamics data from the Phase 1/2a study of HLP003. Interim findings showed that HLP003 exhibited rapid, short-acting effects, low variability in plasma levels, and achieved desired pharmacological effects at low doses. At the 8 mg and 10 mg dose levels, most of the participants reported robust and meaningful pharmacological effects, confirming a complete mystical experience was achieved. All doses evaluated (single oral doses of HLP003 up to 10 mg) were well-tolerated with no serious adverse events reported.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24, 2023, the Company announced that it had completed dosing in Cohort 5 of the Phase 2a portion of the study with no serious adverse events or other adverse events that may preclude continued dosing, with recruitment underway for Cohort 6. The Phase 2a trial, consisting of completed Cohorts 4 and 5 as of the date of the announcement, evaluated two 12 mg doses of HLP003. On August 2, 2023, the Company announced that it had initiated dosing in Cohort 6, the final cohort of the HLP003 Phase 2a study.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September 21, 2023, the Company announced that it had completed enrollment in its Phase 2a study of HLP003, its proprietary NSA molecule being developed for the potential treatment of MDD. All participants in the sixth, and final, cohort received at least one dose (placebo or 16 mg of HLP003) with several second doses already administered, and no serious adverse events observed in participants. As of that date, HLP003 demonstrated a favorable safety and tolerability profile at all doses evaluated in the five completed cohorts (1 mg, 3 mg, 8 mg, 10 mg, and 12 mg).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October 3, 2023, the Company announced that it had completed dosing in Cohort 6 of its Phase 2a study of HLP003. The following doses were evaluated in the six cohorts that comprised the Phase 2a study: 1 mg, 3 mg, 8 mg, 10 mg, 12 mg, and 16 mg. As of that date, HLP003 has been shown to be safe and tolerable at all doses evaluated with no serious adverse events or discontinuations due to adverse events having been observed in the final dose cohort.</w:t>
      </w:r>
    </w:p>
    <w:p>
      <w:pPr>
        <w:pStyle w:val="TextBody"/>
        <w:bidi w:val="0"/>
        <w:spacing w:before="0" w:after="283"/>
        <w:jc w:val="left"/>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0"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31, 2023, the Company announced Phase 2a interim results for HLP003, demonstrating a rapid, robust and statistically significant reduction in symptoms of depression three weeks following a single 12 mg dose compared to placebo, in participants with moderate to severe MDD. At the 3-week primary efficacy endpoint, the reduction in MDD symptoms, defined as change from baseline in the MADRS total score, was superior in participants assigned to HLP003 compared to the participants who received placebo by 14.11 points (p=0.0001, Cohen’s d=2.31).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November 30, 2023, the Company announced positive Phase 2a topline results for HLP003, showing rapid and robust improvements in symptoms of depression after single doses of HLP003, with an average 14.1 point difference in MADRS score reduction between HLP003 and placebo which was statistically significant at 3 weeks (p&lt;0.0001). The study also demonstrated a clear incremental benefit of a second dose, with a further 5.8 point improvement on the MADRS total score with a second dose of HLP003 (12 mg) at 6 weeks, and 79% of patients were in remission from depression at 6 weeks after two doses of HLP003 (12 mg). HLP003 exhibited a favorable safety and tolerability profile with no treatment-related serious adverse events at 12 mg and 16 mg doses.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March 13, 2024, the Company announced that the FDA had granted BTD to its HLP003 Program for the potential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HLP003 in MDD. These results showed robust, sustained and statistically significant improvements in depression symptoms at four months with two doses of HLP003 (12 mg or 16 mg):</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Average mean reduction from baseline in the MADRS total score across 2 cohorts was approximately 22 points from baseline in both dosing cohorts.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60% of patients on 12 mg and 75% on 16 mg were in remission from depression following 2 doses (MADRS score &lt;/= 10).</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as follows: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the pivotal study program will include a study with a three-arm design with a high dose, mid-dose, and placebo arm. Patients will not know if they received the therapeutic high dose or the sub therapeutic mid-dose, mitigating the unblinding to an extent and addressing potential expectancy bias;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the studies will utilize remote, independent, blinded raters who will not have any information on the dose received or the participant’s dosing experience;</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the reporting of effects during the dosing session will be fire-walled to ensure that the study team stays blinded;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the studies will recruit participants who are largely naïve to serotonergic agonists that result in non-ordinary states of consciousness to reduce the impact of expectancy bias; and</w:t>
      </w:r>
    </w:p>
    <w:p>
      <w:pPr>
        <w:pStyle w:val="TextBody"/>
        <w:bidi w:val="0"/>
        <w:spacing w:lineRule="auto" w:line="333"/>
        <w:ind w:left="0" w:right="0" w:hanging="360"/>
        <w:jc w:val="both"/>
        <w:rPr/>
      </w:pPr>
      <w:r>
        <w:rPr>
          <w:color w:val="000000"/>
        </w:rPr>
        <w:t>•</w:t>
      </w:r>
      <w:r>
        <w:rPr>
          <w:rFonts w:ascii="Times New Roman;serif" w:hAnsi="Times New Roman;serif"/>
          <w:b w:val="false"/>
          <w:color w:val="000000"/>
          <w:sz w:val="22"/>
        </w:rPr>
        <w:t>the studies will assess long-term efficacy data points up to one year, to outlast any potential expectancy effects.</w:t>
      </w:r>
    </w:p>
    <w:p>
      <w:pPr>
        <w:pStyle w:val="TextBody"/>
        <w:bidi w:val="0"/>
        <w:spacing w:before="0" w:after="2"/>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1"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the studies will include manual and real time artificial intelligence screening of monitoring sessions to ensure monitor fidelity and patient safety.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November 18, 2024, the Company reported positive Phase 2 data for HLP003, demonstrating 12-month efficacy in treating MDD. At 12 months after two 16 mg doses, 100% of participants were responsive to treatment and 71% of participants were in remission. The mean change from baseline in MADRS was approximately -23 points at 12 months after two 16 mg doses. HLP003 demonstrated an excellent safety and tolerability profile. No new adverse events were reported in the 12-month follow up, including no reports of suicidality.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About the Phase 3 PARADIGM Pivotal Program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November 13, 2024, the Company announced that it had initiated PARADIGM, a multinational pivotal Phase 3 program evaluating HLP003 for the potential adjunctive treatment of MDD.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Phase 3 program comprises three pivotal efficacy studies as outlined below. Dosing is underway in APPROACH, the first pivotal study, and patient rollover is ongoing into EXTEND (as defined below).</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color w:val="000000"/>
          <w:sz w:val="22"/>
        </w:rPr>
        <w:t>Pivotal study 1: APPROACH</w:t>
      </w:r>
      <w:r>
        <w:rPr>
          <w:color w:val="000000"/>
        </w:rPr>
        <w:t xml:space="preserve"> </w:t>
      </w:r>
      <w:r>
        <w:rPr>
          <w:rFonts w:ascii="Times New Roman;serif" w:hAnsi="Times New Roman;serif"/>
          <w:b w:val="false"/>
          <w:color w:val="000000"/>
          <w:sz w:val="14"/>
        </w:rPr>
        <w:t xml:space="preserve">TM </w:t>
      </w:r>
      <w:r>
        <w:rPr>
          <w:rFonts w:ascii="Times New Roman;serif" w:hAnsi="Times New Roman;serif"/>
          <w:b w:val="false"/>
          <w:color w:val="000000"/>
          <w:sz w:val="22"/>
        </w:rPr>
        <w:t>(A Phase III, Placebo-Controlled, Randomized, Double-Blind Trial of Oral Doses of HLP003 to Assess Combined Safety and Efficacy in Humans with Major Depressive Disorder)(“</w:t>
      </w:r>
      <w:r>
        <w:rPr>
          <w:rFonts w:ascii="Times New Roman;serif" w:hAnsi="Times New Roman;serif"/>
          <w:b/>
          <w:color w:val="000000"/>
          <w:sz w:val="22"/>
        </w:rPr>
        <w:t>APPROACH</w:t>
      </w:r>
      <w:r>
        <w:rPr>
          <w:color w:val="000000"/>
        </w:rPr>
        <w:t>”</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Participants (n=220) were randomized 1:1 to receive either 16 mg of HLP003 (n=110) or inactive placebo (n=110). Each study arm will evaluate a two-dose regimen, with doses administered three weeks apart. The study enrolled patients suffering from moderate to severe MDD (MADRS≥24) who are on a stable dose of antidepressant medication but are responding inadequately.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The primary endpoint is a change in depressive symptoms as measured by change in MADRS from baseline at six weeks after the first dose.</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APPROACH enrolled participants at approximately 45 clinical sites across the U.S.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June 24, 2026, the Company announced that enrollment in the APPROACH Phase 3 clinical trial of HLP003 for the adjunctive treatment of MDD was progressing as planned and has surpassed 86% enrollment.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On July 21, 2026, the Company announced that it has completed enrollment of 223 participants in APPROACH. See “</w:t>
      </w:r>
      <w:r>
        <w:rPr>
          <w:rFonts w:ascii="Times New Roman;serif" w:hAnsi="Times New Roman;serif"/>
          <w:b w:val="false"/>
          <w:i/>
          <w:color w:val="000000"/>
          <w:sz w:val="22"/>
        </w:rPr>
        <w:t>Subsequent Events</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color w:val="000000"/>
          <w:sz w:val="22"/>
        </w:rPr>
        <w:t>Pivotal study 2: EMBRACE</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(An Efficacy and Safety, Phase III, Multi-center, Double-Blind, Randomized Controlled Study Comparing 2 Active Doses of HLP003 and Placebo in Eligible Participants With Major Depressive Disorder) (“</w:t>
      </w:r>
      <w:r>
        <w:rPr>
          <w:rFonts w:ascii="Times New Roman;serif" w:hAnsi="Times New Roman;serif"/>
          <w:b/>
          <w:color w:val="000000"/>
          <w:sz w:val="22"/>
        </w:rPr>
        <w:t>EMBRACE</w:t>
      </w:r>
      <w:r>
        <w:rPr>
          <w:color w:val="000000"/>
        </w:rPr>
        <w:t>”</w:t>
      </w:r>
      <w:r>
        <w:rPr>
          <w:rFonts w:ascii="Times New Roman;serif" w:hAnsi="Times New Roman;serif"/>
          <w:b w:val="false"/>
          <w:color w:val="000000"/>
          <w:sz w:val="22"/>
        </w:rPr>
        <w:t>).</w:t>
      </w:r>
    </w:p>
    <w:p>
      <w:pPr>
        <w:pStyle w:val="TextBody"/>
        <w:bidi w:val="0"/>
        <w:spacing w:before="0" w:after="283"/>
        <w:jc w:val="left"/>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2"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Participants (n=330) will be randomized 1:1:1 to receive 16 mg of HLP003 (n=110), 8 mg of HLP003 (n=110), or inactive placebo (n=110). Each arm will evaluate a two-dose regimen, with doses administered three weeks apart. The study will enroll patients suffering from moderate to severe MDD (MADRS≥24) who are on a stable dose of antidepressant medication but are responding inadequately.</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The primary endpoint will be change in depressive symptoms as measured by change in MADRS from baseline at six weeks after the first dose. </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EMBRACE is expected to enroll at approximately 60 clinical sites, with minimal site overlap with the APPROACH</w:t>
      </w:r>
      <w:r>
        <w:rPr>
          <w:color w:val="000000"/>
        </w:rPr>
        <w:t xml:space="preserve"> </w:t>
      </w:r>
      <w:r>
        <w:rPr>
          <w:rFonts w:ascii="Times New Roman;serif" w:hAnsi="Times New Roman;serif"/>
          <w:b w:val="false"/>
          <w:color w:val="000000"/>
          <w:sz w:val="22"/>
        </w:rPr>
        <w:t>study.</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color w:val="000000"/>
          <w:sz w:val="22"/>
        </w:rPr>
        <w:t>Pivotal study 3: (</w:t>
      </w:r>
      <w:r>
        <w:rPr>
          <w:color w:val="000000"/>
        </w:rPr>
        <w:t>“</w:t>
      </w:r>
      <w:r>
        <w:rPr>
          <w:rFonts w:ascii="Times New Roman;serif" w:hAnsi="Times New Roman;serif"/>
          <w:b/>
          <w:color w:val="000000"/>
          <w:sz w:val="22"/>
        </w:rPr>
        <w:t>EXTEND</w:t>
      </w:r>
      <w:r>
        <w:rPr>
          <w:color w:val="000000"/>
        </w:rPr>
        <w:t>”</w:t>
      </w:r>
      <w:r>
        <w:rPr>
          <w:rFonts w:ascii="Times New Roman;serif" w:hAnsi="Times New Roman;serif"/>
          <w:b/>
          <w:color w:val="000000"/>
          <w:sz w:val="22"/>
        </w:rPr>
        <w:t xml:space="preserve">) </w:t>
      </w:r>
      <w:r>
        <w:rPr>
          <w:rFonts w:ascii="Times New Roman;serif" w:hAnsi="Times New Roman;serif"/>
          <w:b w:val="false"/>
          <w:color w:val="000000"/>
          <w:sz w:val="22"/>
        </w:rPr>
        <w:t xml:space="preserve">(A Phase III Long-Term </w:t>
      </w:r>
      <w:r>
        <w:rPr>
          <w:rFonts w:ascii="Times New Roman;serif" w:hAnsi="Times New Roman;serif"/>
          <w:b/>
          <w:color w:val="000000"/>
          <w:sz w:val="22"/>
          <w:u w:val="single"/>
        </w:rPr>
        <w:t>Exten</w:t>
      </w:r>
      <w:r>
        <w:rPr>
          <w:rFonts w:ascii="Times New Roman;serif" w:hAnsi="Times New Roman;serif"/>
          <w:b w:val="false"/>
          <w:color w:val="000000"/>
          <w:sz w:val="22"/>
        </w:rPr>
        <w:t xml:space="preserve">sion Study with Optional Additional Doses of HLP003 to Assess the Safety and Long-term Efficacy in Participants With Major </w:t>
      </w:r>
      <w:r>
        <w:rPr>
          <w:rFonts w:ascii="Times New Roman;serif" w:hAnsi="Times New Roman;serif"/>
          <w:b/>
          <w:color w:val="000000"/>
          <w:sz w:val="22"/>
          <w:u w:val="single"/>
        </w:rPr>
        <w:t>D</w:t>
      </w:r>
      <w:r>
        <w:rPr>
          <w:rFonts w:ascii="Times New Roman;serif" w:hAnsi="Times New Roman;serif"/>
          <w:b w:val="false"/>
          <w:color w:val="000000"/>
          <w:sz w:val="22"/>
        </w:rPr>
        <w:t>epressive Disorder).</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Participants from APPROACH and EMBRACE will roll over into EXTEND (up to n=550) after the completion of the 12-week, double-blind, placebo-controlled treatment periods.</w:t>
      </w:r>
      <w:r>
        <w:rPr>
          <w:color w:val="000000"/>
        </w:rPr>
        <w:t xml:space="preserve"> </w:t>
      </w:r>
      <w:r>
        <w:rPr>
          <w:rFonts w:ascii="Times New Roman;serif" w:hAnsi="Times New Roman;serif"/>
          <w:b w:val="false"/>
          <w:color w:val="000000"/>
          <w:sz w:val="22"/>
        </w:rPr>
        <w:t xml:space="preserve">During EXTEND, all participants who did not respond to treatment in the APPROACH and EMBRACE studies or who relapse during the EXTEND study will be eligible to receive an additional two doses of HLP003 (16 mg) administered three weeks apart. Participants who do not respond to these two doses or relapse again will be eligible to receive an additional single 16 mg dose of HLP003.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Across all three studies, raters will be remote, independent, and blinded with no information on the dose received or the participant’s dosing experience. Effects during the dosing session will be firewalled to ensure that the study team stays blinded.</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On January 15, 2025, the Company announced the launch of its first strategic partnership agreement (“</w:t>
      </w:r>
      <w:r>
        <w:rPr>
          <w:rFonts w:ascii="Times New Roman;serif" w:hAnsi="Times New Roman;serif"/>
          <w:b/>
          <w:color w:val="000000"/>
          <w:sz w:val="22"/>
        </w:rPr>
        <w:t>SPA</w:t>
      </w:r>
      <w:r>
        <w:rPr>
          <w:color w:val="000000"/>
        </w:rPr>
        <w:t>”</w:t>
      </w:r>
      <w:r>
        <w:rPr>
          <w:rFonts w:ascii="Times New Roman;serif" w:hAnsi="Times New Roman;serif"/>
          <w:b w:val="false"/>
          <w:color w:val="000000"/>
          <w:sz w:val="22"/>
        </w:rPr>
        <w:t>) with Segal Trials in furtherance of the Company’s multinational pivotal Phase 3 program evaluating HLP003 for the potential adjunctive treatment of MDD.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July 17, 2025, the Company announced that it has received approval from the MHRA to commence EMBRACE, the second pivotal study in PARADIGM, the Company’s Phase 3 multinational program evaluating HLP003, a proprietary NSA.</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August 7, 2025, the Company announced that it had received European approval for the EMBRACE study. The Company's Clinical Trial Application has been approved by the Irish Medicines Board, acting as the reference Member state, to initiate the EMBRACE study in Ireland, Poland, and Greece.</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On August 26, 2025, the Company announced that it had received Australian approval for the EMBRACE study. The Company has received approval through the Clinical Trial Notification scheme, obtained clearance from multiple Ethics Committees of the Australian Therapeutics Goods Administration, and the study site Research Governance Offices, thus allowing the commencement of the EMBRACE study in Australia. </w:t>
      </w:r>
    </w:p>
    <w:p>
      <w:pPr>
        <w:pStyle w:val="TextBody"/>
        <w:bidi w:val="0"/>
        <w:spacing w:before="0" w:after="2"/>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3"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April 28, 2026, the Company announced a collaboration with TARA Mind to support clinical trial recruitment for its PARADIGM HLP003 Phase 3 program for MDD, while expanding mental health awareness and access within the veteran community.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spent approximately $23,127 on the HLP003 Program during the three months ended June 30, 2026.</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As the Company continues to progress through the HLP003 Program, additional milestones related to its clinical development have been identified. The Company intends to:</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Provide topline efficacy data readout from the first Phase 3 study, APPROACH, in Q4 2026.</w:t>
      </w:r>
      <w:r>
        <w:rPr>
          <w:rFonts w:ascii="Times New Roman;serif" w:hAnsi="Times New Roman;serif"/>
          <w:b w:val="false"/>
          <w:color w:val="000000"/>
          <w:sz w:val="14"/>
        </w:rPr>
        <w:t>12</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expects to spend approximately $51,105</w:t>
      </w:r>
      <w:r>
        <w:rPr>
          <w:rFonts w:ascii="Times New Roman;serif" w:hAnsi="Times New Roman;serif"/>
          <w:b w:val="false"/>
          <w:color w:val="000000"/>
          <w:sz w:val="14"/>
        </w:rPr>
        <w:t>13</w:t>
      </w:r>
      <w:r>
        <w:rPr>
          <w:color w:val="000000"/>
        </w:rPr>
        <w:t xml:space="preserve"> </w:t>
      </w:r>
      <w:r>
        <w:rPr>
          <w:rFonts w:ascii="Times New Roman;serif" w:hAnsi="Times New Roman;serif"/>
          <w:b w:val="false"/>
          <w:color w:val="000000"/>
          <w:sz w:val="22"/>
        </w:rPr>
        <w:t>to provide topline efficacy data readout from the first Phase 3 study, APPROACH, in Q4 2026. Of this amount, approximately $10,869 was spent during the three months ended June 30, 2026, and approximately $26,171 was spent in prior fiscal years, resulting in an approximate remaining spend as of June 30, 2026, of $14,065 by the milestone completion in Q4 2026.</w:t>
      </w:r>
      <w:r>
        <w:rPr>
          <w:rFonts w:ascii="Times New Roman;serif" w:hAnsi="Times New Roman;serif"/>
          <w:b w:val="false"/>
          <w:color w:val="000000"/>
          <w:sz w:val="14"/>
        </w:rPr>
        <w:t>14</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intends to continue funding the HLP003 Program, and is targeting a potential FDA New Drug Application ("</w:t>
      </w:r>
      <w:r>
        <w:rPr>
          <w:rFonts w:ascii="Times New Roman;serif" w:hAnsi="Times New Roman;serif"/>
          <w:b/>
          <w:color w:val="000000"/>
          <w:sz w:val="22"/>
        </w:rPr>
        <w:t>NDA</w:t>
      </w:r>
      <w:r>
        <w:rPr>
          <w:rFonts w:ascii="Times New Roman;serif" w:hAnsi="Times New Roman;serif"/>
          <w:b w:val="false"/>
          <w:color w:val="000000"/>
          <w:sz w:val="22"/>
        </w:rPr>
        <w:t>") filing in 2028</w:t>
      </w:r>
      <w:r>
        <w:rPr>
          <w:rFonts w:ascii="Times New Roman;serif" w:hAnsi="Times New Roman;serif"/>
          <w:b w:val="false"/>
          <w:color w:val="000000"/>
          <w:sz w:val="14"/>
        </w:rPr>
        <w:t>15</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About the HLP004 Program</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Company’s proprietary HLP004 Program is being developed as an intermittent treatment with the potential for less invasive, more convenient and patient-friendly dosing methods for the potential treatment of GAD. A single intramuscular (“</w:t>
      </w:r>
      <w:r>
        <w:rPr>
          <w:rFonts w:ascii="Times New Roman;serif" w:hAnsi="Times New Roman;serif"/>
          <w:b/>
          <w:color w:val="000000"/>
          <w:sz w:val="22"/>
        </w:rPr>
        <w:t>IM</w:t>
      </w:r>
      <w:r>
        <w:rPr>
          <w:color w:val="000000"/>
        </w:rPr>
        <w:t>”</w:t>
      </w:r>
      <w:r>
        <w:rPr>
          <w:rFonts w:ascii="Times New Roman;serif" w:hAnsi="Times New Roman;serif"/>
          <w:b w:val="false"/>
          <w:color w:val="000000"/>
          <w:sz w:val="22"/>
        </w:rPr>
        <w:t>) dose is expected to result in desired pharmacological effects lasting an average of 90 minutes.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 has leveraged clinical data from its five completed clinical trials studying first- and second-generation NSAs to inform and optimize the development of the HLP004 Program. To date, Helus Pharma has completed five clinical trials across various molecules demonstrating proof-of-concept in potentially treating depression, supporting the development of its proprietary deuterated NSA, HLP004, for the potential treatment of anxiety disorders, and providing important dosing insights. The Company holds a significant patent portfolio within the HLP004 program, including patents directed to HLP004 and its structural isotopomers and isotopologues.</w:t>
      </w:r>
    </w:p>
    <w:p>
      <w:pPr>
        <w:pStyle w:val="TextBody"/>
        <w:bidi w:val="0"/>
        <w:spacing w:lineRule="auto" w:line="276" w:before="0" w:after="0"/>
        <w:jc w:val="both"/>
        <w:rPr/>
      </w:pPr>
      <w:r>
        <w:rPr>
          <w:rFonts w:ascii="Times New Roman;serif" w:hAnsi="Times New Roman;serif"/>
          <w:b w:val="false"/>
          <w:color w:val="000000"/>
          <w:sz w:val="12"/>
        </w:rPr>
        <w:t>12</w:t>
      </w:r>
      <w:r>
        <w:rPr>
          <w:color w:val="000000"/>
        </w:rPr>
        <w:t xml:space="preserve"> </w:t>
      </w:r>
      <w:r>
        <w:rPr>
          <w:rFonts w:ascii="Times New Roman;serif" w:hAnsi="Times New Roman;serif"/>
          <w:b w:val="false"/>
          <w:color w:val="000000"/>
          <w:sz w:val="18"/>
        </w:rPr>
        <w:t>There is no assurance that this timeline will be met or that the program will advance to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is currently prioritizing the advancement of its HLP003 Program.</w:t>
      </w:r>
    </w:p>
    <w:p>
      <w:pPr>
        <w:pStyle w:val="TextBody"/>
        <w:bidi w:val="0"/>
        <w:spacing w:lineRule="auto" w:line="276" w:before="0" w:after="0"/>
        <w:jc w:val="both"/>
        <w:rPr/>
      </w:pPr>
      <w:r>
        <w:rPr>
          <w:rFonts w:ascii="Times New Roman;serif" w:hAnsi="Times New Roman;serif"/>
          <w:b w:val="false"/>
          <w:color w:val="000000"/>
          <w:sz w:val="12"/>
        </w:rPr>
        <w:t>13</w:t>
      </w:r>
      <w:r>
        <w:rPr>
          <w:color w:val="000000"/>
        </w:rPr>
        <w:t xml:space="preserve"> </w:t>
      </w:r>
      <w:r>
        <w:rPr>
          <w:rFonts w:ascii="Times New Roman;serif" w:hAnsi="Times New Roman;serif"/>
          <w:b w:val="false"/>
          <w:color w:val="000000"/>
          <w:sz w:val="18"/>
        </w:rPr>
        <w:t>The Company had previously estimated that its spending to complete this milestone would be $49,857. See footnote 12.</w:t>
      </w:r>
    </w:p>
    <w:p>
      <w:pPr>
        <w:pStyle w:val="TextBody"/>
        <w:bidi w:val="0"/>
        <w:spacing w:lineRule="auto" w:line="276" w:before="0" w:after="0"/>
        <w:jc w:val="left"/>
        <w:rPr/>
      </w:pPr>
      <w:r>
        <w:rPr>
          <w:rFonts w:ascii="Times New Roman;serif" w:hAnsi="Times New Roman;serif"/>
          <w:b w:val="false"/>
          <w:color w:val="000000"/>
          <w:sz w:val="12"/>
        </w:rPr>
        <w:t>14</w:t>
      </w:r>
      <w:r>
        <w:rPr>
          <w:color w:val="000000"/>
        </w:rPr>
        <w:t xml:space="preserve"> </w:t>
      </w:r>
      <w:r>
        <w:rPr>
          <w:rFonts w:ascii="Times New Roman;serif" w:hAnsi="Times New Roman;serif"/>
          <w:b w:val="false"/>
          <w:color w:val="000000"/>
          <w:sz w:val="18"/>
        </w:rPr>
        <w:t>See footnote 12.</w:t>
      </w:r>
    </w:p>
    <w:p>
      <w:pPr>
        <w:pStyle w:val="TextBody"/>
        <w:bidi w:val="0"/>
        <w:spacing w:lineRule="auto" w:line="240"/>
        <w:jc w:val="left"/>
        <w:rPr/>
      </w:pPr>
      <w:r>
        <w:rPr>
          <w:rFonts w:ascii="Times New Roman;serif" w:hAnsi="Times New Roman;serif"/>
          <w:b w:val="false"/>
          <w:color w:val="000000"/>
          <w:sz w:val="12"/>
        </w:rPr>
        <w:t>15</w:t>
      </w:r>
      <w:r>
        <w:rPr>
          <w:color w:val="000000"/>
        </w:rPr>
        <w:t xml:space="preserve"> </w:t>
      </w:r>
      <w:r>
        <w:rPr>
          <w:rFonts w:ascii="Times New Roman;serif" w:hAnsi="Times New Roman;serif"/>
          <w:b w:val="false"/>
          <w:color w:val="000000"/>
          <w:sz w:val="18"/>
        </w:rPr>
        <w:t xml:space="preserve">See footnote 12. </w:t>
      </w:r>
    </w:p>
    <w:p>
      <w:pPr>
        <w:pStyle w:val="TextBody"/>
        <w:bidi w:val="0"/>
        <w:spacing w:before="0" w:after="2"/>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4"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Key findings from these completed studies are as follows: </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Phase 2a safety and efficacy data for SPL026 (IV N,N-dimethyltryptamine (“</w:t>
      </w:r>
      <w:r>
        <w:rPr>
          <w:rFonts w:ascii="Times New Roman;serif" w:hAnsi="Times New Roman;serif"/>
          <w:b/>
          <w:color w:val="000000"/>
          <w:sz w:val="22"/>
        </w:rPr>
        <w:t>DMT</w:t>
      </w:r>
      <w:r>
        <w:rPr>
          <w:color w:val="000000"/>
        </w:rPr>
        <w:t>”</w:t>
      </w:r>
      <w:r>
        <w:rPr>
          <w:rFonts w:ascii="Times New Roman;serif" w:hAnsi="Times New Roman;serif"/>
          <w:b w:val="false"/>
          <w:color w:val="000000"/>
          <w:sz w:val="22"/>
        </w:rPr>
        <w:t>)) in 34 participants with MDD, demonstrating a clinically relevant and statistically significant 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Phase 1 study evaluating IM SPL026 supporting IM administration for patient-friendly dosing. The study demonstrated that IM delivery of native DMT is well-tolerated and generates a breakthrough experience lasting approximately 45 minutes.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Phase 1 study evaluating IM SPL028 supporting IM administration for patient-friendly dosing. The completed Phase 1 study of IV/IM SPL028 in healthy volunteers showed that SPL028 is safe and well-tolerated, and demonstrated that IM dosing of SPL028 produced robust pharmacological effects lasting a short duration (average approximately 90 minutes) in the majority of subjects.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Phase 1b study evaluating the safety and efficacy of SPL026 in conjunction with selective serotonin reuptake inhibitors (“</w:t>
      </w:r>
      <w:r>
        <w:rPr>
          <w:rFonts w:ascii="Times New Roman;serif" w:hAnsi="Times New Roman;serif"/>
          <w:b/>
          <w:color w:val="000000"/>
          <w:sz w:val="22"/>
        </w:rPr>
        <w:t>SSRIs</w:t>
      </w:r>
      <w:r>
        <w:rPr>
          <w:color w:val="000000"/>
        </w:rPr>
        <w:t>”</w:t>
      </w:r>
      <w:r>
        <w:rPr>
          <w:rFonts w:ascii="Times New Roman;serif" w:hAnsi="Times New Roman;serif"/>
          <w:b w:val="false"/>
          <w:color w:val="000000"/>
          <w:sz w:val="22"/>
        </w:rPr>
        <w:t>) in 17 participants with MDD, demonstrating no relevant drug-drug interactions, a favorable safety profile and enhanced efficacy when SPL026 was administered with SSRIs, and a 92% remission rate at 4 weeks in the DMT + SSRI combination cohort (n=12).</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Phase 1 results for IV HLP004 demonstrated robust and rapid-onset pharmacological effects at lower doses compared to non-deuterated HLP004, suggesting potential as a short-acting, scalable treatment.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is currently advancing HLP004, a deuterated version of DMT, for the potential treatment of GAD. DMT activates the serotonin 5-HT</w:t>
      </w:r>
      <w:r>
        <w:rPr>
          <w:rFonts w:ascii="Times New Roman;serif" w:hAnsi="Times New Roman;serif"/>
          <w:b w:val="false"/>
          <w:color w:val="000000"/>
          <w:sz w:val="14"/>
        </w:rPr>
        <w:t>2A</w:t>
      </w:r>
      <w:r>
        <w:rPr>
          <w:color w:val="000000"/>
        </w:rPr>
        <w:t xml:space="preserve"> </w:t>
      </w:r>
      <w:r>
        <w:rPr>
          <w:rFonts w:ascii="Times New Roman;serif" w:hAnsi="Times New Roman;serif"/>
          <w:b w:val="false"/>
          <w:color w:val="000000"/>
          <w:sz w:val="22"/>
        </w:rPr>
        <w:t xml:space="preserve">receptor, which is believed to mediate the potential therapeutic effects of DMT. In its regular form, DMT is an unstable molecule rapidly metabolized in the body, which significantly reduces its bioavailability. HLP004, as a deuterated molecule, has the potential to overcome the therapeutic limitations of native DMT. To date, HLP004 has demonstrated robust and rapid-onset pharmacological effects at lower doses compared to native DMT, suggesting potential as a short-acting, scalable treatment. Additionally, learnings from Phase 1 studies of IM SPL028 have supported IM administration as a viable dosing method for deuterated DMT, suggesting the potential for HLP004 to offer more convenient and patient-friendly dosing methods.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HLP004 is secured by a U.S. composition of matter patent with protection through 2041. The patent covers a range of deuterated NSAs and protects HLP004 as a putative new chemical entity.</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5"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On June 7, 2022, the Company announced it had entered into an agreement to acquire a Phase 1 DMT study (the “</w:t>
      </w:r>
      <w:r>
        <w:rPr>
          <w:rFonts w:ascii="Times New Roman;serif" w:hAnsi="Times New Roman;serif"/>
          <w:b/>
          <w:color w:val="000000"/>
          <w:sz w:val="22"/>
        </w:rPr>
        <w:t>Asset Acquisition</w:t>
      </w:r>
      <w:r>
        <w:rPr>
          <w:color w:val="000000"/>
        </w:rPr>
        <w:t>”</w:t>
      </w:r>
      <w:r>
        <w:rPr>
          <w:rFonts w:ascii="Times New Roman;serif" w:hAnsi="Times New Roman;serif"/>
          <w:b w:val="false"/>
          <w:color w:val="000000"/>
          <w:sz w:val="22"/>
        </w:rPr>
        <w:t>) from Entheon Biomedical Corp. (“</w:t>
      </w:r>
      <w:r>
        <w:rPr>
          <w:rFonts w:ascii="Times New Roman;serif" w:hAnsi="Times New Roman;serif"/>
          <w:b/>
          <w:color w:val="000000"/>
          <w:sz w:val="22"/>
        </w:rPr>
        <w:t>Entheon</w:t>
      </w:r>
      <w:r>
        <w:rPr>
          <w:color w:val="000000"/>
        </w:rPr>
        <w:t>”</w:t>
      </w:r>
      <w:r>
        <w:rPr>
          <w:rFonts w:ascii="Times New Roman;serif" w:hAnsi="Times New Roman;serif"/>
          <w:b w:val="false"/>
          <w:color w:val="000000"/>
          <w:sz w:val="22"/>
        </w:rPr>
        <w:t xml:space="preserve">) to accelerate the clinical development path for HLP004. On July 11, 2022, the Company announced that the Asset Acquisition was completed. The Phase 1 study, previously identified as EBRX-101 and now named HLP004-E, was conducted in the Netherlands. Entheon acted as external consultants to the Company for approximately 10 months after the Asset Acquisition.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January 12, 2023, the Company announced that it had selected GAD as the target indication for its proprietary molecule, HLP004.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About the Phase 1 HLP004-E Study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Phase 1 trial was a three-part study evaluating the safety, pharmacokinetics, and pharmacodynamics of escalating doses of DMT and HLP004 in healthy volunteers. The three-part study design was established in a protocol amendment to the initial study design, allowing the Company to commence first-in-human dosing of HLP004 sooner than initially planned. The study provided essential safety and dosing optimization data informing the clinical path forward for HLP004. The HLP004-E study was conducted at the Centre for Human Drug Research in the Netherlands and is one of the largest Phase 1 DMT clinical trials to date.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November 10, 2022, the Company announced that its HLP004-E Phase 1 trial evaluating IV DMT completed dosing for four out of five cohorts and that the Safety Review Committee had confirmed no safety issues.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February 1, 2023, the Company announced that it had received approval from an independent ethics committee in the Netherlands to initiate first-in-human dosing of HLP004 through a protocol amendment to its ongoing Phase 1 HLP004-E study.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February 28, 2023, the Company announced a protocol amendment to the initial Phase 1 study design that would allow the Company to initiate first-in-human dosing of HLP004 sooner than initially planned. Per the protocol amendment, Helus Pharma established a three-part study to include Part A (IV DMT infusion), Part B (IV DMT bolus + infusion) and Part C (IV HLP004 bolus + infusion) in healthy volunteers. The Company was able to rely upon completed preclinical data to gain regulatory authorization to add HLP004 to the HLP004-E DMT Study. The Company also announced confirmatory data from Part A, the single ascending dose portion of the HLP004-E study, which assessed a continuous IV DMT infusion. The Part A data showed a dose-proportional increase in exposure and dose-related increase in behavioral measures of subjective pharmacological effects with IV DMT. IV DMT was also well-tolerated with no safety issues and no serious adverse events within the dose range evaluated.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May 9, 2023, the Company announced that it had completed dosing for the last subject in Part B of the Phase 1 HLP004-E trial.</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May 24, 2023, the Company announced that it had initiated first-in-human dosing of HLP004 in Part C of the Phase 1 HLP004-E trial. </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6"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January 8, 2024, the Company announced positive topline results from its Phase 1 studies of its proprietary molecules, HLP004 and SPL028. </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Phase 1 HLP004 study results showed that IV HLP004 demonstrated robust and rapid-onset pharmacological effects at lower doses compared to the non-deuterated molecule. These pharmacological effects were rapid in onset when administered as an IV bolus over five minutes and persisted for about 40 minutes after the bolus without the need for an extended infusion.</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Phase 1 SPL028 study identified an IM dose of SPL028 that resulted in desired pharmacological effects, with a total duration ranging from 55 to 120 minutes.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 xml:space="preserve">Both HLP004 (IV) and SPL028 (IM and IV) were well-tolerated with no serious adverse events, and the majority of adverse events were mild to moderate and self-limiting. </w:t>
      </w:r>
    </w:p>
    <w:p>
      <w:pPr>
        <w:pStyle w:val="TextBody"/>
        <w:bidi w:val="0"/>
        <w:spacing w:before="0" w:after="0"/>
        <w:ind w:left="0" w:right="0" w:firstLine="3"/>
        <w:jc w:val="both"/>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On January 23, 2024, the Company announced that it had received FDA clearance to initiate a Phase 2 study of HLP004 in GAD.</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On March 15, 2024, the Company announced that it had initiated a Phase 2 study of IM HLP004 in participants with moderate to severe GAD.</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About the Completed Phase 2 HLP004 Study in GAD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HLP004-002 Phase 2 study was a randomized, double-blind study which evaluated the safety and efficacy of HLP004 in participants with moderate to severe GAD (GAD-7 score ≥10), with concomitant antidepressant/anxiolytic treatment and co-morbid depression allowed. The study recruited 36 participants, who were be randomized in a double-blind manner, into two groups. The first group received two IM doses of HLP004, three weeks apart, while the second group received two low-dose control administrations of sub-therapeutic doses of HLP004. The primary endpoint was a change in the Hamilton Anxiety Rating Scale score from baseline at six weeks following the first dose with an additional efficacy assessment twelve weeks following the first dose. Other endpoints included the HAM-D (Hamilton Depression Rating Scale), safety assessments, MEQ30 (mystical experience Questionnaire) and EQ-5D-5L (quality of life assessment). Participants were eligible to enroll into an optional follow up for up to a year.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September 8, 2025, the Company announced that it had completed enrollment in the Phase 2 study of HLP004 in GAD.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March 5, 2026, the Company announced topline results from its Phase 2 study of HLP004 in GAD. Key findings included: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Clinically meaningful efficacy: Patients that received 20mg HLP004 adjunctive to Standard of Care therapy achieved mean reduction of 10.4-points (p&lt;0.0001) in the HAM-A from baseline at six weeks.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Efficacy in difficult to treat population: Study population consisted of moderate-to-severe patients who remained symptomatic despite ongoing antidepressant or anxiolytic therapy.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Durable remission and robust response over time:</w:t>
      </w:r>
    </w:p>
    <w:p>
      <w:pPr>
        <w:pStyle w:val="TextBody"/>
        <w:bidi w:val="0"/>
        <w:spacing w:lineRule="auto" w:line="333"/>
        <w:ind w:left="0" w:right="0" w:hanging="360"/>
        <w:jc w:val="both"/>
        <w:rPr/>
      </w:pPr>
      <w:r>
        <w:rPr>
          <w:color w:val="000000"/>
        </w:rPr>
        <w:t>◦</w:t>
      </w:r>
      <w:r>
        <w:rPr>
          <w:rFonts w:ascii="Times New Roman;serif" w:hAnsi="Times New Roman;serif"/>
          <w:b w:val="false"/>
          <w:color w:val="000000"/>
          <w:sz w:val="22"/>
        </w:rPr>
        <w:t xml:space="preserve">At six months, the pooled study population showed 67% responders and 39% remitters. </w:t>
      </w:r>
    </w:p>
    <w:p>
      <w:pPr>
        <w:pStyle w:val="TextBody"/>
        <w:bidi w:val="0"/>
        <w:spacing w:before="0" w:after="2"/>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7"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Participants randomized to both 20 mg and 2mg dosing arms experienced meaningful subjective effects and showed clinically significant responses over Standard of Care, with 59% meeting the criteria for response and 32% for remission in the 20mg arm and a 30% responder and remitter rate in the 2mg arm at week 6.</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Commercially scalable clinic time: Short in-clinic treatment experience with acute drug effects lasting approximately 90 minutes and discharge readiness within approximately three hours for 100% of participants</w:t>
      </w:r>
      <w:r>
        <w:rPr>
          <w:rFonts w:ascii="Times New Roman;serif" w:hAnsi="Times New Roman;serif"/>
          <w:b w:val="false"/>
          <w:color w:val="000000"/>
          <w:sz w:val="14"/>
        </w:rPr>
        <w:t>16</w:t>
      </w:r>
      <w:r>
        <w:rPr>
          <w:rFonts w:ascii="Times New Roman;serif" w:hAnsi="Times New Roman;serif"/>
          <w:b w:val="false"/>
          <w:color w:val="000000"/>
          <w:sz w:val="22"/>
        </w:rPr>
        <w:t>, fitting within the treatment paradigm of existing interventional psychiatry clinics.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Well tolerated: Favorable tolerability profile with no drug-related serious adverse events or suicidality-related safety signals.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spent approximately $645 on the HLP004 Program during the three months ended June 30, 2026.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As the Company continues to progress its HLP004 Program, additional milestones related to its clinical development have been identified. The Company intends to:</w:t>
      </w:r>
    </w:p>
    <w:p>
      <w:pPr>
        <w:pStyle w:val="TextBody"/>
        <w:bidi w:val="0"/>
        <w:spacing w:before="0" w:after="0"/>
        <w:jc w:val="both"/>
        <w:rPr/>
      </w:pPr>
      <w:r>
        <w:rPr/>
      </w:r>
    </w:p>
    <w:p>
      <w:pPr>
        <w:pStyle w:val="TextBody"/>
        <w:bidi w:val="0"/>
        <w:spacing w:lineRule="auto" w:line="240" w:before="0" w:after="0"/>
        <w:ind w:left="0" w:right="0" w:hanging="357"/>
        <w:jc w:val="left"/>
        <w:rPr/>
      </w:pPr>
      <w:r>
        <w:rPr>
          <w:color w:val="000000"/>
        </w:rPr>
        <w:t>•</w:t>
      </w:r>
      <w:r>
        <w:rPr>
          <w:rFonts w:ascii="Times New Roman;serif" w:hAnsi="Times New Roman;serif"/>
          <w:b w:val="false"/>
          <w:color w:val="000000"/>
          <w:sz w:val="22"/>
        </w:rPr>
        <w:t>Complete the design of the next study by the end of Q3 2026</w:t>
      </w:r>
      <w:r>
        <w:rPr>
          <w:rFonts w:ascii="Times New Roman;serif" w:hAnsi="Times New Roman;serif"/>
          <w:b w:val="false"/>
          <w:color w:val="000000"/>
          <w:sz w:val="14"/>
        </w:rPr>
        <w:t>17</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expects to spend approximately $150 to complete the design of the next study by the end of Q3 2026.</w:t>
      </w:r>
      <w:r>
        <w:rPr>
          <w:rFonts w:ascii="Times New Roman;serif" w:hAnsi="Times New Roman;serif"/>
          <w:b w:val="false"/>
          <w:color w:val="000000"/>
          <w:sz w:val="14"/>
        </w:rPr>
        <w:t>18</w:t>
      </w:r>
      <w:r>
        <w:rPr>
          <w:color w:val="000000"/>
        </w:rPr>
        <w:t xml:space="preserve"> </w:t>
      </w:r>
      <w:r>
        <w:rPr>
          <w:rFonts w:ascii="Times New Roman;serif" w:hAnsi="Times New Roman;serif"/>
          <w:b w:val="false"/>
          <w:color w:val="000000"/>
          <w:sz w:val="22"/>
        </w:rPr>
        <w:t>Of this amount, approximately $50 was spent during the three months ended June 30, 2026, resulting in an approximate remaining spend as of June 30, 2026, of $100 by the milestone completion in Q3 2026.</w:t>
      </w:r>
      <w:r>
        <w:rPr>
          <w:rFonts w:ascii="Times New Roman;serif" w:hAnsi="Times New Roman;serif"/>
          <w:b w:val="false"/>
          <w:color w:val="000000"/>
          <w:sz w:val="14"/>
        </w:rPr>
        <w:t>19</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intends to continue funding the HLP004 Program.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About the HLP005 Program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Phenethylamine and Tryptamine Derivatives Program (HLP005) is focused on the development of therapeutic phenethylamine and tryptamine derivatives. In Q2 2025, the program, which historically focused on phenethylamine derivatives, was expanded to include tryptamine derivatives. Studies that have been conducted with compounds of a similar chemical structure have demonstrated potential for therapeutic use. The HLP005 program builds upon the current understanding of the mechanisms of action of NSAs and aims to identify key polypharmacological combinations capable of mediating therapeutic effects for target indications. Helus Pharma’s proprietary approach to phenethylamines and tryptamines modification with novel chemistry, proprietary formulations and directed delivery systems has yielded a number of novel, IP-protected leads with diverse pharmacology. Several compounds are now being further studied both in vitro and in vivo for selection of the best development candidates based on qualitative assessment of acute pharmacological effects, mechanistic studies, pharmacokinetics and efficacy and safety of chronic </w:t>
      </w:r>
    </w:p>
    <w:p>
      <w:pPr>
        <w:pStyle w:val="TextBody"/>
        <w:bidi w:val="0"/>
        <w:spacing w:lineRule="auto" w:line="240" w:before="0" w:after="0"/>
        <w:jc w:val="left"/>
        <w:rPr/>
      </w:pPr>
      <w:r>
        <w:rPr>
          <w:rFonts w:ascii="Times New Roman;serif" w:hAnsi="Times New Roman;serif"/>
          <w:b w:val="false"/>
          <w:color w:val="000000"/>
          <w:sz w:val="12"/>
        </w:rPr>
        <w:t>16</w:t>
      </w:r>
      <w:r>
        <w:rPr>
          <w:color w:val="000000"/>
        </w:rPr>
        <w:t xml:space="preserve"> </w:t>
      </w:r>
      <w:r>
        <w:rPr>
          <w:rFonts w:ascii="Times New Roman;serif" w:hAnsi="Times New Roman;serif"/>
          <w:b w:val="false"/>
          <w:color w:val="000000"/>
          <w:sz w:val="18"/>
        </w:rPr>
        <w:t>In Phase 1 study at 30 mg dose.</w:t>
      </w:r>
    </w:p>
    <w:p>
      <w:pPr>
        <w:pStyle w:val="TextBody"/>
        <w:bidi w:val="0"/>
        <w:spacing w:lineRule="auto" w:line="240" w:before="0" w:after="0"/>
        <w:jc w:val="left"/>
        <w:rPr/>
      </w:pPr>
      <w:r>
        <w:rPr>
          <w:rFonts w:ascii="Times New Roman;serif" w:hAnsi="Times New Roman;serif"/>
          <w:b w:val="false"/>
          <w:color w:val="000000"/>
          <w:sz w:val="12"/>
        </w:rPr>
        <w:t>17</w:t>
      </w:r>
      <w:r>
        <w:rPr>
          <w:color w:val="000000"/>
        </w:rPr>
        <w:t xml:space="preserve"> </w:t>
      </w:r>
      <w:r>
        <w:rPr>
          <w:rFonts w:ascii="Times New Roman;serif" w:hAnsi="Times New Roman;serif"/>
          <w:b w:val="false"/>
          <w:color w:val="000000"/>
          <w:sz w:val="18"/>
        </w:rPr>
        <w:t>See footnote 12.</w:t>
      </w:r>
    </w:p>
    <w:p>
      <w:pPr>
        <w:pStyle w:val="TextBody"/>
        <w:bidi w:val="0"/>
        <w:spacing w:lineRule="auto" w:line="240" w:before="0" w:after="0"/>
        <w:jc w:val="left"/>
        <w:rPr/>
      </w:pPr>
      <w:r>
        <w:rPr>
          <w:rFonts w:ascii="Times New Roman;serif" w:hAnsi="Times New Roman;serif"/>
          <w:b w:val="false"/>
          <w:color w:val="000000"/>
          <w:sz w:val="12"/>
        </w:rPr>
        <w:t>18</w:t>
      </w:r>
      <w:r>
        <w:rPr>
          <w:color w:val="000000"/>
        </w:rPr>
        <w:t xml:space="preserve"> </w:t>
      </w:r>
      <w:r>
        <w:rPr>
          <w:rFonts w:ascii="Times New Roman;serif" w:hAnsi="Times New Roman;serif"/>
          <w:b w:val="false"/>
          <w:color w:val="000000"/>
          <w:sz w:val="18"/>
        </w:rPr>
        <w:t>See footnote 12.</w:t>
      </w:r>
    </w:p>
    <w:p>
      <w:pPr>
        <w:pStyle w:val="TextBody"/>
        <w:bidi w:val="0"/>
        <w:spacing w:lineRule="auto" w:line="276"/>
        <w:jc w:val="left"/>
        <w:rPr/>
      </w:pPr>
      <w:r>
        <w:rPr>
          <w:rFonts w:ascii="Times New Roman;serif" w:hAnsi="Times New Roman;serif"/>
          <w:b w:val="false"/>
          <w:color w:val="000000"/>
          <w:sz w:val="12"/>
        </w:rPr>
        <w:t>19</w:t>
      </w:r>
      <w:r>
        <w:rPr>
          <w:color w:val="000000"/>
        </w:rPr>
        <w:t xml:space="preserve"> </w:t>
      </w:r>
      <w:r>
        <w:rPr>
          <w:rFonts w:ascii="Times New Roman;serif" w:hAnsi="Times New Roman;serif"/>
          <w:b w:val="false"/>
          <w:color w:val="000000"/>
          <w:sz w:val="18"/>
        </w:rPr>
        <w:t>See footnote 12.</w:t>
      </w:r>
    </w:p>
    <w:p>
      <w:pPr>
        <w:pStyle w:val="TextBody"/>
        <w:bidi w:val="0"/>
        <w:spacing w:before="0" w:after="2"/>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8"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dosing. The Company is investigating the efficacy and durability of the lead compounds to determine their potential for the treatment of a range of psychiatric and neurological conditions.</w:t>
      </w:r>
      <w:r>
        <w:rPr>
          <w:rFonts w:ascii="Times New Roman;serif" w:hAnsi="Times New Roman;serif"/>
          <w:b w:val="false"/>
          <w:color w:val="000000"/>
          <w:sz w:val="14"/>
        </w:rPr>
        <w:t>20</w:t>
      </w:r>
      <w:r>
        <w:rPr>
          <w:color w:val="000000"/>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In order to assess the feasibility and viability of these phenethylamine and tryptamine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good laboratory practice and GMP (as defined below) material suitable for entry into animal and human studies, studies of the stability of such formulations suitable for human studies, the development of Chemistry, Manufacturing and Controls to meet Current Good Manufacturing Practices (“</w:t>
      </w:r>
      <w:r>
        <w:rPr>
          <w:rFonts w:ascii="Times New Roman;serif" w:hAnsi="Times New Roman;serif"/>
          <w:b/>
          <w:color w:val="000000"/>
          <w:sz w:val="22"/>
        </w:rPr>
        <w:t>cGMP</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In addition, utilizing the expertise of selected third parties, the Company intends to oversee the study of the pharmacokinetic profiles of its formulations in a number of animal models and the completion of Absorption, Distribution, Metabolism, and Excretion (“</w:t>
      </w:r>
      <w:r>
        <w:rPr>
          <w:rFonts w:ascii="Times New Roman;serif" w:hAnsi="Times New Roman;serif"/>
          <w:b/>
          <w:color w:val="000000"/>
          <w:sz w:val="22"/>
        </w:rPr>
        <w:t>ADME</w:t>
      </w:r>
      <w:r>
        <w:rPr>
          <w:color w:val="000000"/>
        </w:rPr>
        <w:t>”</w:t>
      </w:r>
      <w:r>
        <w:rPr>
          <w:rFonts w:ascii="Times New Roman;serif" w:hAnsi="Times New Roman;serif"/>
          <w:b w:val="false"/>
          <w:color w:val="000000"/>
          <w:sz w:val="22"/>
        </w:rPr>
        <w:t xml:space="preserve">) profiles. Further, the Company’s 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intends to complete these studies, and collect further relevant safety and toxicity data, prior to the filing for any IND application with the FDA, a CTA with Health Canada, or other similar application with regulatory bodies in other jurisdictions.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24, 2024, the Company announced that the United States Patent and Trademark Office granted U.S. patent 12,122,741 with claims to the composition of matter of lead preclinical candidates in the Company’s HLP005 program.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spent approximately $124 on its preclinical Phenethylamine and Tryptamine Derivatives Program during the three months ended June 30, 2026.</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is currently identifying a viable drug development candidate and completing its assessment of the potential path forward for this candidate, including whether it will be developed internally or by way of potential third party partners. The Company anticipates that its </w:t>
      </w:r>
    </w:p>
    <w:p>
      <w:pPr>
        <w:pStyle w:val="TextBody"/>
        <w:bidi w:val="0"/>
        <w:spacing w:lineRule="auto" w:line="276"/>
        <w:jc w:val="both"/>
        <w:rPr/>
      </w:pPr>
      <w:r>
        <w:rPr>
          <w:rFonts w:ascii="Times New Roman;serif" w:hAnsi="Times New Roman;serif"/>
          <w:b w:val="false"/>
          <w:color w:val="000000"/>
          <w:sz w:val="12"/>
        </w:rPr>
        <w:t>20</w:t>
      </w:r>
      <w:r>
        <w:rPr>
          <w:color w:val="000000"/>
        </w:rPr>
        <w:t xml:space="preserve"> </w:t>
      </w:r>
      <w:r>
        <w:rPr>
          <w:rFonts w:ascii="Times New Roman;serif" w:hAnsi="Times New Roman;serif"/>
          <w:b w:val="false"/>
          <w:color w:val="000000"/>
          <w:sz w:val="18"/>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before="0" w:after="2"/>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49"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Phenethylamine and Tryptamine Derivatives Program may deliver a drug development candidate during the second half of 2027.</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expects to spend approximately $2,535</w:t>
      </w:r>
      <w:r>
        <w:rPr>
          <w:rFonts w:ascii="Times New Roman;serif" w:hAnsi="Times New Roman;serif"/>
          <w:b w:val="false"/>
          <w:color w:val="000000"/>
          <w:sz w:val="14"/>
        </w:rPr>
        <w:t>21</w:t>
      </w:r>
      <w:r>
        <w:rPr>
          <w:color w:val="000000"/>
        </w:rPr>
        <w:t xml:space="preserve"> </w:t>
      </w:r>
      <w:r>
        <w:rPr>
          <w:rFonts w:ascii="Times New Roman;serif" w:hAnsi="Times New Roman;serif"/>
          <w:b w:val="false"/>
          <w:color w:val="000000"/>
          <w:sz w:val="22"/>
        </w:rPr>
        <w:t>to deliver a drug development candidate by the end of the second half of 2027.</w:t>
      </w:r>
      <w:r>
        <w:rPr>
          <w:rFonts w:ascii="Times New Roman;serif" w:hAnsi="Times New Roman;serif"/>
          <w:b w:val="false"/>
          <w:color w:val="000000"/>
          <w:sz w:val="14"/>
        </w:rPr>
        <w:t>22</w:t>
      </w:r>
      <w:r>
        <w:rPr>
          <w:color w:val="000000"/>
        </w:rPr>
        <w:t xml:space="preserve"> </w:t>
      </w:r>
      <w:r>
        <w:rPr>
          <w:rFonts w:ascii="Times New Roman;serif" w:hAnsi="Times New Roman;serif"/>
          <w:b w:val="false"/>
          <w:color w:val="000000"/>
          <w:sz w:val="22"/>
        </w:rPr>
        <w:t>Of this amount, approximately $124 was spent during the three months ended June 30, 2026 and approximately $1,483 was spent in prior fiscal years, resulting in an approximate remaining spend as of June 30, 2026, of $928 by the milestone completion in the second half of 2027</w:t>
      </w:r>
      <w:r>
        <w:rPr>
          <w:rFonts w:ascii="Times New Roman;serif" w:hAnsi="Times New Roman;serif"/>
          <w:b w:val="false"/>
          <w:color w:val="000000"/>
          <w:sz w:val="14"/>
        </w:rPr>
        <w:t>23</w:t>
      </w:r>
      <w:r>
        <w:rPr>
          <w:rFonts w:ascii="Times New Roman;serif" w:hAnsi="Times New Roman;serif"/>
          <w:b w:val="false"/>
          <w:color w:val="000000"/>
          <w:sz w:val="22"/>
        </w:rPr>
        <w:t xml:space="preserve">. The Company intends to continue funding the HLP005 program.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u w:val="single"/>
        </w:rPr>
      </w:pPr>
      <w:r>
        <w:rPr>
          <w:rFonts w:ascii="Times New Roman;serif" w:hAnsi="Times New Roman;serif"/>
          <w:b/>
          <w:color w:val="000000"/>
          <w:sz w:val="22"/>
          <w:u w:val="single"/>
        </w:rPr>
        <w:t>Update on Use of Proceeds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i/>
          <w:color w:val="000000"/>
          <w:sz w:val="22"/>
        </w:rPr>
      </w:pPr>
      <w:r>
        <w:rPr>
          <w:rFonts w:ascii="Times New Roman;serif" w:hAnsi="Times New Roman;serif"/>
          <w:b/>
          <w:i/>
          <w:color w:val="000000"/>
          <w:sz w:val="22"/>
        </w:rPr>
        <w:t>October Prospectus Supplement</w:t>
      </w:r>
    </w:p>
    <w:p>
      <w:pPr>
        <w:pStyle w:val="TextBody"/>
        <w:bidi w:val="0"/>
        <w:spacing w:before="0" w:after="0"/>
        <w:jc w:val="left"/>
        <w:rPr/>
      </w:pPr>
      <w:r>
        <w:rPr/>
      </w:r>
    </w:p>
    <w:p>
      <w:pPr>
        <w:pStyle w:val="TextBody"/>
        <w:bidi w:val="0"/>
        <w:spacing w:lineRule="auto" w:line="312" w:before="0" w:after="0"/>
        <w:jc w:val="both"/>
        <w:rPr/>
      </w:pPr>
      <w:r>
        <w:rPr>
          <w:rFonts w:ascii="Times New Roman;serif" w:hAnsi="Times New Roman;serif"/>
          <w:b w:val="false"/>
          <w:color w:val="000000"/>
          <w:sz w:val="22"/>
        </w:rPr>
        <w:t>The table below covers the period beginning October 1, 2025 until December 31, 2026, and describes the differences between the Company’s anticipated use of proceeds of $164,259 as previously disclosed in the Company’s prospectus supplement dated October 28, 2025 (the “</w:t>
      </w:r>
      <w:r>
        <w:rPr>
          <w:rFonts w:ascii="Times New Roman;serif" w:hAnsi="Times New Roman;serif"/>
          <w:b/>
          <w:color w:val="000000"/>
          <w:sz w:val="22"/>
        </w:rPr>
        <w:t>October Prospectus Supplement</w:t>
      </w:r>
      <w:r>
        <w:rPr>
          <w:color w:val="000000"/>
        </w:rPr>
        <w:t>”</w:t>
      </w:r>
      <w:r>
        <w:rPr>
          <w:rFonts w:ascii="Times New Roman;serif" w:hAnsi="Times New Roman;serif"/>
          <w:b w:val="false"/>
          <w:color w:val="000000"/>
          <w:sz w:val="22"/>
        </w:rPr>
        <w:t>) to the Company’s base shelf prospectus dated September 17, 2025, as amended by Amendment No. 1 dated December 19, 2025, (the “</w:t>
      </w:r>
      <w:r>
        <w:rPr>
          <w:rFonts w:ascii="Times New Roman;serif" w:hAnsi="Times New Roman;serif"/>
          <w:b/>
          <w:color w:val="000000"/>
          <w:sz w:val="22"/>
        </w:rPr>
        <w:t>2025 Base Shelf Prospectus</w:t>
      </w:r>
      <w:r>
        <w:rPr>
          <w:color w:val="000000"/>
        </w:rPr>
        <w:t>”</w:t>
      </w:r>
      <w:r>
        <w:rPr>
          <w:rFonts w:ascii="Times New Roman;serif" w:hAnsi="Times New Roman;serif"/>
          <w:b w:val="false"/>
          <w:color w:val="000000"/>
          <w:sz w:val="22"/>
        </w:rPr>
        <w:t>), the revised estimated costs as at June 30, 2026, for the same period, and the actual use of proceeds as at June 30 2026.</w:t>
      </w:r>
    </w:p>
    <w:tbl>
      <w:tblPr>
        <w:tblW w:w="10205" w:type="dxa"/>
        <w:jc w:val="left"/>
        <w:tblInd w:w="0" w:type="dxa"/>
        <w:tblLayout w:type="fixed"/>
        <w:tblCellMar>
          <w:top w:w="28" w:type="dxa"/>
          <w:left w:w="28" w:type="dxa"/>
          <w:bottom w:w="28" w:type="dxa"/>
          <w:right w:w="28" w:type="dxa"/>
        </w:tblCellMar>
      </w:tblPr>
      <w:tblGrid>
        <w:gridCol w:w="1408"/>
        <w:gridCol w:w="1090"/>
        <w:gridCol w:w="1094"/>
        <w:gridCol w:w="855"/>
        <w:gridCol w:w="855"/>
        <w:gridCol w:w="857"/>
        <w:gridCol w:w="707"/>
        <w:gridCol w:w="707"/>
        <w:gridCol w:w="710"/>
        <w:gridCol w:w="559"/>
        <w:gridCol w:w="559"/>
        <w:gridCol w:w="804"/>
      </w:tblGrid>
      <w:tr>
        <w:trPr/>
        <w:tc>
          <w:tcPr>
            <w:tcW w:w="140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3" w:before="0" w:after="0"/>
              <w:jc w:val="center"/>
              <w:rPr/>
            </w:pPr>
            <w:r>
              <w:rPr>
                <w:rFonts w:ascii="Times New Roman;serif" w:hAnsi="Times New Roman;serif"/>
                <w:b/>
                <w:color w:val="000000"/>
                <w:sz w:val="18"/>
              </w:rPr>
              <w:t>Use of Available Funds (USD $000’s)</w:t>
            </w:r>
            <w:r>
              <w:rPr>
                <w:rFonts w:ascii="Times New Roman;serif" w:hAnsi="Times New Roman;serif"/>
                <w:b/>
                <w:color w:val="000000"/>
                <w:sz w:val="12"/>
              </w:rPr>
              <w:t>(1)</w:t>
            </w:r>
          </w:p>
        </w:tc>
        <w:tc>
          <w:tcPr>
            <w:tcW w:w="2567"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color w:val="000000"/>
                <w:sz w:val="18"/>
              </w:rPr>
            </w:pPr>
            <w:r>
              <w:rPr>
                <w:rFonts w:ascii="Times New Roman;serif" w:hAnsi="Times New Roman;serif"/>
                <w:b/>
                <w:color w:val="000000"/>
                <w:sz w:val="18"/>
              </w:rPr>
              <w:t xml:space="preserve">Previous Disclosure Regarding Use </w:t>
            </w:r>
          </w:p>
          <w:p>
            <w:pPr>
              <w:pStyle w:val="TableContents"/>
              <w:bidi w:val="0"/>
              <w:spacing w:lineRule="auto" w:line="348" w:before="0" w:after="0"/>
              <w:jc w:val="center"/>
              <w:rPr>
                <w:rFonts w:ascii="Times New Roman;serif" w:hAnsi="Times New Roman;serif"/>
                <w:b/>
                <w:color w:val="000000"/>
                <w:sz w:val="18"/>
              </w:rPr>
            </w:pPr>
            <w:r>
              <w:rPr>
                <w:rFonts w:ascii="Times New Roman;serif" w:hAnsi="Times New Roman;serif"/>
                <w:b/>
                <w:color w:val="000000"/>
                <w:sz w:val="18"/>
              </w:rPr>
              <w:t>of Proceeds in the October Prospectus Supplement</w:t>
            </w:r>
          </w:p>
        </w:tc>
        <w:tc>
          <w:tcPr>
            <w:tcW w:w="2124"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 Use of Proceeds as of June 30, 2026</w:t>
            </w:r>
          </w:p>
        </w:tc>
        <w:tc>
          <w:tcPr>
            <w:tcW w:w="1922" w:type="dxa"/>
            <w:gridSpan w:val="3"/>
            <w:tcBorders>
              <w:top w:val="single" w:sz="8"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Revised Estimated Use of Proceeds</w:t>
            </w:r>
          </w:p>
        </w:tc>
      </w:tr>
      <w:tr>
        <w:trPr/>
        <w:tc>
          <w:tcPr>
            <w:tcW w:w="35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Repayment of Indebtedness</w:t>
            </w:r>
          </w:p>
        </w:tc>
        <w:tc>
          <w:tcPr>
            <w:tcW w:w="25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$22,765</w:t>
            </w:r>
          </w:p>
        </w:tc>
        <w:tc>
          <w:tcPr>
            <w:tcW w:w="21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$22,765</w:t>
            </w:r>
          </w:p>
        </w:tc>
        <w:tc>
          <w:tcPr>
            <w:tcW w:w="192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$22,765</w:t>
            </w:r>
          </w:p>
        </w:tc>
      </w:tr>
      <w:tr>
        <w:trPr/>
        <w:tc>
          <w:tcPr>
            <w:tcW w:w="10205"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color w:val="000000"/>
                <w:sz w:val="20"/>
              </w:rPr>
              <w:t>HLP003 Program</w:t>
            </w:r>
            <w:r>
              <w:rPr>
                <w:rFonts w:ascii="Times New Roman;serif" w:hAnsi="Times New Roman;serif"/>
                <w:b/>
                <w:color w:val="000000"/>
                <w:sz w:val="13"/>
              </w:rPr>
              <w:t>(3)</w:t>
            </w:r>
          </w:p>
        </w:tc>
      </w:tr>
      <w:tr>
        <w:trPr/>
        <w:tc>
          <w:tcPr>
            <w:tcW w:w="3592" w:type="dxa"/>
            <w:gridSpan w:val="3"/>
            <w:tcBorders>
              <w:top w:val="single" w:sz="8" w:space="0" w:color="000000"/>
              <w:left w:val="single" w:sz="8" w:space="0" w:color="000000"/>
            </w:tcBorders>
            <w:tcMar>
              <w:top w:w="30" w:type="dxa"/>
              <w:left w:w="16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 topline efficacy data readout from the first Phase 3 study, APPROACH</w:t>
            </w:r>
          </w:p>
        </w:tc>
        <w:tc>
          <w:tcPr>
            <w:tcW w:w="2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$30,305</w:t>
            </w:r>
          </w:p>
        </w:tc>
        <w:tc>
          <w:tcPr>
            <w:tcW w:w="21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$22,996</w:t>
            </w:r>
          </w:p>
        </w:tc>
        <w:tc>
          <w:tcPr>
            <w:tcW w:w="192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$30,305</w:t>
            </w:r>
          </w:p>
        </w:tc>
      </w:tr>
      <w:tr>
        <w:trPr/>
        <w:tc>
          <w:tcPr>
            <w:tcW w:w="3592" w:type="dxa"/>
            <w:gridSpan w:val="3"/>
            <w:tcBorders>
              <w:top w:val="single" w:sz="8" w:space="0" w:color="000000"/>
              <w:left w:val="single" w:sz="8" w:space="0" w:color="000000"/>
            </w:tcBorders>
            <w:tcMar>
              <w:top w:w="30" w:type="dxa"/>
              <w:left w:w="16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Initiation of enrollment in the second Phase 3 study, EMBRACE</w:t>
            </w:r>
          </w:p>
        </w:tc>
        <w:tc>
          <w:tcPr>
            <w:tcW w:w="2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$1,196</w:t>
            </w:r>
          </w:p>
        </w:tc>
        <w:tc>
          <w:tcPr>
            <w:tcW w:w="21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$1,196</w:t>
            </w:r>
          </w:p>
        </w:tc>
        <w:tc>
          <w:tcPr>
            <w:tcW w:w="192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$1,196</w:t>
            </w:r>
          </w:p>
        </w:tc>
      </w:tr>
      <w:tr>
        <w:trPr/>
        <w:tc>
          <w:tcPr>
            <w:tcW w:w="3592" w:type="dxa"/>
            <w:gridSpan w:val="3"/>
            <w:tcBorders>
              <w:top w:val="single" w:sz="8" w:space="0" w:color="000000"/>
              <w:left w:val="single" w:sz="8" w:space="0" w:color="000000"/>
            </w:tcBorders>
            <w:tcMar>
              <w:top w:w="30" w:type="dxa"/>
              <w:left w:w="16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Progression of the second Phase 3 study, EMBRACE</w:t>
            </w:r>
          </w:p>
        </w:tc>
        <w:tc>
          <w:tcPr>
            <w:tcW w:w="2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$42,781</w:t>
            </w:r>
          </w:p>
        </w:tc>
        <w:tc>
          <w:tcPr>
            <w:tcW w:w="21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$10,688</w:t>
            </w:r>
          </w:p>
        </w:tc>
        <w:tc>
          <w:tcPr>
            <w:tcW w:w="192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$42,781</w:t>
            </w:r>
          </w:p>
        </w:tc>
      </w:tr>
      <w:tr>
        <w:trPr/>
        <w:tc>
          <w:tcPr>
            <w:tcW w:w="3592" w:type="dxa"/>
            <w:gridSpan w:val="3"/>
            <w:tcBorders>
              <w:top w:val="single" w:sz="8" w:space="0" w:color="000000"/>
              <w:left w:val="single" w:sz="8" w:space="0" w:color="000000"/>
            </w:tcBorders>
            <w:tcMar>
              <w:top w:w="30" w:type="dxa"/>
              <w:left w:w="16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Progression of the third Phase 3 study, EXTEND</w:t>
            </w:r>
          </w:p>
        </w:tc>
        <w:tc>
          <w:tcPr>
            <w:tcW w:w="25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$28,285</w:t>
            </w:r>
          </w:p>
        </w:tc>
        <w:tc>
          <w:tcPr>
            <w:tcW w:w="21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$12,418</w:t>
            </w:r>
          </w:p>
        </w:tc>
        <w:tc>
          <w:tcPr>
            <w:tcW w:w="192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$28,285</w:t>
            </w:r>
          </w:p>
        </w:tc>
      </w:tr>
      <w:tr>
        <w:trPr/>
        <w:tc>
          <w:tcPr>
            <w:tcW w:w="10205"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color w:val="000000"/>
                <w:sz w:val="20"/>
              </w:rPr>
              <w:t>HLP004 Program</w:t>
            </w:r>
            <w:r>
              <w:rPr>
                <w:rFonts w:ascii="Times New Roman;serif" w:hAnsi="Times New Roman;serif"/>
                <w:b/>
                <w:color w:val="000000"/>
                <w:sz w:val="13"/>
              </w:rPr>
              <w:t>(4)</w:t>
            </w:r>
          </w:p>
        </w:tc>
      </w:tr>
      <w:tr>
        <w:trPr/>
        <w:tc>
          <w:tcPr>
            <w:tcW w:w="35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23" w:after="20"/>
              <w:jc w:val="left"/>
              <w:rPr>
                <w:rFonts w:ascii="Times New Roman;serif" w:hAnsi="Times New Roman;serif"/>
                <w:b w:val="false"/>
                <w:color w:val="000000"/>
                <w:sz w:val="18"/>
              </w:rPr>
            </w:pPr>
            <w:r>
              <w:rPr>
                <w:rFonts w:ascii="Times New Roman;serif" w:hAnsi="Times New Roman;serif"/>
                <w:b w:val="false"/>
                <w:color w:val="000000"/>
                <w:sz w:val="18"/>
              </w:rPr>
              <w:t>Complete the Phase 2 GAD study</w:t>
            </w:r>
          </w:p>
        </w:tc>
        <w:tc>
          <w:tcPr>
            <w:tcW w:w="2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$1,292</w:t>
            </w:r>
          </w:p>
        </w:tc>
        <w:tc>
          <w:tcPr>
            <w:tcW w:w="21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$1,292</w:t>
            </w:r>
          </w:p>
        </w:tc>
        <w:tc>
          <w:tcPr>
            <w:tcW w:w="192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$1,292</w:t>
            </w:r>
          </w:p>
        </w:tc>
      </w:tr>
      <w:tr>
        <w:trPr/>
        <w:tc>
          <w:tcPr>
            <w:tcW w:w="3592" w:type="dxa"/>
            <w:gridSpan w:val="3"/>
            <w:tcBorders>
              <w:top w:val="single" w:sz="8" w:space="0" w:color="000000"/>
              <w:left w:val="single" w:sz="8" w:space="0" w:color="000000"/>
            </w:tcBorders>
            <w:tcMar>
              <w:top w:w="30" w:type="dxa"/>
              <w:left w:w="16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Provide topline data readout from the Phase 2 GAD study</w:t>
            </w:r>
          </w:p>
        </w:tc>
        <w:tc>
          <w:tcPr>
            <w:tcW w:w="25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$810</w:t>
            </w:r>
          </w:p>
        </w:tc>
        <w:tc>
          <w:tcPr>
            <w:tcW w:w="21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$810</w:t>
            </w:r>
          </w:p>
        </w:tc>
        <w:tc>
          <w:tcPr>
            <w:tcW w:w="192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$810</w:t>
            </w:r>
          </w:p>
        </w:tc>
      </w:tr>
      <w:tr>
        <w:trPr/>
        <w:tc>
          <w:tcPr>
            <w:tcW w:w="10205"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r>
              <w:rPr>
                <w:rFonts w:ascii="Times New Roman;serif" w:hAnsi="Times New Roman;serif"/>
                <w:b/>
                <w:color w:val="000000"/>
                <w:sz w:val="20"/>
              </w:rPr>
              <w:t>HLP005 Program</w:t>
            </w:r>
            <w:r>
              <w:rPr>
                <w:rFonts w:ascii="Times New Roman;serif" w:hAnsi="Times New Roman;serif"/>
                <w:b/>
                <w:color w:val="000000"/>
                <w:sz w:val="13"/>
              </w:rPr>
              <w:t>(5)</w:t>
            </w:r>
          </w:p>
        </w:tc>
      </w:tr>
      <w:tr>
        <w:trPr/>
        <w:tc>
          <w:tcPr>
            <w:tcW w:w="35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23" w:after="20"/>
              <w:jc w:val="both"/>
              <w:rPr>
                <w:rFonts w:ascii="Times New Roman;serif" w:hAnsi="Times New Roman;serif"/>
                <w:b w:val="false"/>
                <w:color w:val="000000"/>
                <w:sz w:val="18"/>
              </w:rPr>
            </w:pPr>
            <w:r>
              <w:rPr>
                <w:rFonts w:ascii="Times New Roman;serif" w:hAnsi="Times New Roman;serif"/>
                <w:b w:val="false"/>
                <w:color w:val="000000"/>
                <w:sz w:val="18"/>
              </w:rPr>
              <w:t>Deliver a drug development candidate</w:t>
            </w:r>
          </w:p>
        </w:tc>
        <w:tc>
          <w:tcPr>
            <w:tcW w:w="25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$337</w:t>
            </w:r>
          </w:p>
        </w:tc>
        <w:tc>
          <w:tcPr>
            <w:tcW w:w="21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$337</w:t>
            </w:r>
          </w:p>
        </w:tc>
        <w:tc>
          <w:tcPr>
            <w:tcW w:w="192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$337</w:t>
            </w:r>
          </w:p>
        </w:tc>
      </w:tr>
      <w:tr>
        <w:trPr/>
        <w:tc>
          <w:tcPr>
            <w:tcW w:w="10205"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w:t>
            </w:r>
          </w:p>
        </w:tc>
      </w:tr>
      <w:tr>
        <w:trPr/>
        <w:tc>
          <w:tcPr>
            <w:tcW w:w="35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left"/>
              <w:rPr/>
            </w:pPr>
            <w:r>
              <w:rPr>
                <w:rFonts w:ascii="Times New Roman;serif" w:hAnsi="Times New Roman;serif"/>
                <w:b w:val="false"/>
                <w:color w:val="000000"/>
                <w:sz w:val="18"/>
              </w:rPr>
              <w:t>Working Capital, and General Corporate Purposes</w:t>
            </w:r>
            <w:r>
              <w:rPr>
                <w:rFonts w:ascii="Times New Roman;serif" w:hAnsi="Times New Roman;serif"/>
                <w:b w:val="false"/>
                <w:color w:val="000000"/>
                <w:sz w:val="12"/>
              </w:rPr>
              <w:t>(2)</w:t>
            </w:r>
          </w:p>
        </w:tc>
        <w:tc>
          <w:tcPr>
            <w:tcW w:w="256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$36,488</w:t>
            </w:r>
          </w:p>
        </w:tc>
        <w:tc>
          <w:tcPr>
            <w:tcW w:w="21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$36,488</w:t>
            </w:r>
          </w:p>
        </w:tc>
        <w:tc>
          <w:tcPr>
            <w:tcW w:w="192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48" w:before="0" w:after="0"/>
              <w:jc w:val="center"/>
              <w:rPr>
                <w:rFonts w:ascii="Times New Roman;serif" w:hAnsi="Times New Roman;serif"/>
                <w:b w:val="false"/>
                <w:color w:val="000000"/>
                <w:sz w:val="18"/>
              </w:rPr>
            </w:pPr>
            <w:r>
              <w:rPr>
                <w:rFonts w:ascii="Times New Roman;serif" w:hAnsi="Times New Roman;serif"/>
                <w:b w:val="false"/>
                <w:color w:val="000000"/>
                <w:sz w:val="18"/>
              </w:rPr>
              <w:t>$36,488</w:t>
            </w:r>
          </w:p>
        </w:tc>
      </w:tr>
      <w:tr>
        <w:trPr/>
        <w:tc>
          <w:tcPr>
            <w:tcW w:w="3592" w:type="dxa"/>
            <w:gridSpan w:val="3"/>
            <w:tcBorders>
              <w:top w:val="single" w:sz="8" w:space="0" w:color="000000"/>
              <w:left w:val="single" w:sz="8" w:space="0" w:color="000000"/>
              <w:bottom w:val="single" w:sz="8" w:space="0" w:color="000000"/>
            </w:tcBorders>
            <w:tcMar>
              <w:top w:w="30" w:type="dxa"/>
              <w:left w:w="162"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5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0" w:after="0"/>
              <w:jc w:val="center"/>
              <w:rPr>
                <w:rFonts w:ascii="Times New Roman;serif" w:hAnsi="Times New Roman;serif"/>
                <w:b/>
                <w:color w:val="000000"/>
                <w:sz w:val="18"/>
              </w:rPr>
            </w:pPr>
            <w:r>
              <w:rPr>
                <w:rFonts w:ascii="Times New Roman;serif" w:hAnsi="Times New Roman;serif"/>
                <w:b/>
                <w:color w:val="000000"/>
                <w:sz w:val="18"/>
              </w:rPr>
              <w:t>$164,259</w:t>
            </w:r>
          </w:p>
        </w:tc>
        <w:tc>
          <w:tcPr>
            <w:tcW w:w="21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48" w:before="0" w:after="0"/>
              <w:jc w:val="center"/>
              <w:rPr>
                <w:rFonts w:ascii="Times New Roman;serif" w:hAnsi="Times New Roman;serif"/>
                <w:b/>
                <w:color w:val="000000"/>
                <w:sz w:val="18"/>
              </w:rPr>
            </w:pPr>
            <w:r>
              <w:rPr>
                <w:rFonts w:ascii="Times New Roman;serif" w:hAnsi="Times New Roman;serif"/>
                <w:b/>
                <w:color w:val="000000"/>
                <w:sz w:val="18"/>
              </w:rPr>
              <w:t>$108,990</w:t>
            </w:r>
          </w:p>
        </w:tc>
        <w:tc>
          <w:tcPr>
            <w:tcW w:w="192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48" w:before="0" w:after="0"/>
              <w:jc w:val="center"/>
              <w:rPr>
                <w:rFonts w:ascii="Times New Roman;serif" w:hAnsi="Times New Roman;serif"/>
                <w:b/>
                <w:color w:val="000000"/>
                <w:sz w:val="18"/>
              </w:rPr>
            </w:pPr>
            <w:r>
              <w:rPr>
                <w:rFonts w:ascii="Times New Roman;serif" w:hAnsi="Times New Roman;serif"/>
                <w:b/>
                <w:color w:val="000000"/>
                <w:sz w:val="18"/>
              </w:rPr>
              <w:t>$164,259</w:t>
            </w:r>
          </w:p>
        </w:tc>
      </w:tr>
    </w:tbl>
    <w:p>
      <w:pPr>
        <w:pStyle w:val="TextBody"/>
        <w:bidi w:val="0"/>
        <w:spacing w:before="0" w:after="120"/>
        <w:jc w:val="left"/>
        <w:rPr/>
      </w:pPr>
      <w:r>
        <w:rPr/>
      </w:r>
    </w:p>
    <w:p>
      <w:pPr>
        <w:pStyle w:val="TextBody"/>
        <w:bidi w:val="0"/>
        <w:spacing w:lineRule="auto" w:line="333" w:before="0" w:after="2"/>
        <w:jc w:val="left"/>
        <w:rPr>
          <w:rFonts w:ascii="Times New Roman;serif" w:hAnsi="Times New Roman;serif"/>
          <w:b/>
          <w:color w:val="000000"/>
          <w:sz w:val="18"/>
          <w:u w:val="single"/>
        </w:rPr>
      </w:pPr>
      <w:r>
        <w:rPr>
          <w:rFonts w:ascii="Times New Roman;serif" w:hAnsi="Times New Roman;serif"/>
          <w:b/>
          <w:color w:val="000000"/>
          <w:sz w:val="18"/>
          <w:u w:val="single"/>
        </w:rPr>
        <w:t>Notes:</w:t>
      </w:r>
    </w:p>
    <w:p>
      <w:pPr>
        <w:pStyle w:val="TextBody"/>
        <w:bidi w:val="0"/>
        <w:spacing w:lineRule="auto" w:line="333" w:before="0" w:after="2"/>
        <w:ind w:left="0" w:right="0" w:hanging="504"/>
        <w:jc w:val="both"/>
        <w:rPr/>
      </w:pPr>
      <w:r>
        <w:rPr>
          <w:rFonts w:ascii="Times New Roman;serif" w:hAnsi="Times New Roman;serif"/>
          <w:b w:val="false"/>
          <w:color w:val="000000"/>
          <w:sz w:val="18"/>
        </w:rPr>
        <w:t>(1)Such amounts do not reflect the entire anticipated expenditures or budget related to the listed programs. For further information see “</w:t>
      </w:r>
      <w:r>
        <w:rPr>
          <w:rFonts w:ascii="Times New Roman;serif" w:hAnsi="Times New Roman;serif"/>
          <w:b w:val="false"/>
          <w:i/>
          <w:color w:val="000000"/>
          <w:sz w:val="18"/>
        </w:rPr>
        <w:t>Non-Revenue Generating Projects</w:t>
      </w:r>
      <w:r>
        <w:rPr>
          <w:color w:val="000000"/>
        </w:rPr>
        <w:t>”</w:t>
      </w:r>
      <w:r>
        <w:rPr>
          <w:rFonts w:ascii="Times New Roman;serif" w:hAnsi="Times New Roman;serif"/>
          <w:b w:val="false"/>
          <w:color w:val="000000"/>
          <w:sz w:val="18"/>
        </w:rPr>
        <w:t xml:space="preserve">. </w:t>
      </w:r>
    </w:p>
    <w:p>
      <w:pPr>
        <w:pStyle w:val="TextBody"/>
        <w:bidi w:val="0"/>
        <w:spacing w:lineRule="auto" w:line="276" w:before="0" w:after="2"/>
        <w:jc w:val="both"/>
        <w:rPr/>
      </w:pPr>
      <w:r>
        <w:rPr>
          <w:rFonts w:ascii="Times New Roman;serif" w:hAnsi="Times New Roman;serif"/>
          <w:b w:val="false"/>
          <w:color w:val="000000"/>
          <w:sz w:val="12"/>
        </w:rPr>
        <w:t>21</w:t>
      </w:r>
      <w:r>
        <w:rPr>
          <w:color w:val="000000"/>
        </w:rPr>
        <w:t xml:space="preserve"> </w:t>
      </w:r>
      <w:r>
        <w:rPr>
          <w:rFonts w:ascii="Times New Roman;serif" w:hAnsi="Times New Roman;serif"/>
          <w:b w:val="false"/>
          <w:color w:val="000000"/>
          <w:sz w:val="18"/>
        </w:rPr>
        <w:t>See footnote 12.</w:t>
      </w:r>
    </w:p>
    <w:p>
      <w:pPr>
        <w:pStyle w:val="TextBody"/>
        <w:bidi w:val="0"/>
        <w:spacing w:lineRule="auto" w:line="276" w:before="0" w:after="0"/>
        <w:jc w:val="both"/>
        <w:rPr/>
      </w:pPr>
      <w:r>
        <w:rPr>
          <w:rFonts w:ascii="Times New Roman;serif" w:hAnsi="Times New Roman;serif"/>
          <w:b w:val="false"/>
          <w:color w:val="000000"/>
          <w:sz w:val="12"/>
        </w:rPr>
        <w:t>22</w:t>
      </w:r>
      <w:r>
        <w:rPr>
          <w:color w:val="000000"/>
        </w:rPr>
        <w:t xml:space="preserve"> </w:t>
      </w:r>
      <w:r>
        <w:rPr>
          <w:rFonts w:ascii="Times New Roman;serif" w:hAnsi="Times New Roman;serif"/>
          <w:b w:val="false"/>
          <w:color w:val="000000"/>
          <w:sz w:val="18"/>
        </w:rPr>
        <w:t>See footnote 12.</w:t>
      </w:r>
    </w:p>
    <w:p>
      <w:pPr>
        <w:pStyle w:val="TextBody"/>
        <w:bidi w:val="0"/>
        <w:spacing w:lineRule="auto" w:line="276"/>
        <w:jc w:val="left"/>
        <w:rPr/>
      </w:pPr>
      <w:r>
        <w:rPr>
          <w:rFonts w:ascii="Times New Roman;serif" w:hAnsi="Times New Roman;serif"/>
          <w:b w:val="false"/>
          <w:color w:val="000000"/>
          <w:sz w:val="12"/>
        </w:rPr>
        <w:t>23</w:t>
      </w:r>
      <w:r>
        <w:rPr>
          <w:color w:val="000000"/>
        </w:rPr>
        <w:t xml:space="preserve"> </w:t>
      </w:r>
      <w:r>
        <w:rPr>
          <w:rFonts w:ascii="Times New Roman;serif" w:hAnsi="Times New Roman;serif"/>
          <w:b w:val="false"/>
          <w:color w:val="000000"/>
          <w:sz w:val="18"/>
        </w:rPr>
        <w:t>See footnote 12.</w:t>
      </w:r>
    </w:p>
    <w:p>
      <w:pPr>
        <w:pStyle w:val="TextBody"/>
        <w:bidi w:val="0"/>
        <w:spacing w:before="0" w:after="2"/>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0"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lineRule="auto" w:line="333" w:before="0" w:after="2"/>
        <w:ind w:left="0" w:right="0" w:hanging="504"/>
        <w:jc w:val="both"/>
        <w:rPr>
          <w:rFonts w:ascii="Times New Roman;serif" w:hAnsi="Times New Roman;serif"/>
          <w:b w:val="false"/>
          <w:color w:val="000000"/>
          <w:sz w:val="18"/>
        </w:rPr>
      </w:pPr>
      <w:r>
        <w:rPr>
          <w:rFonts w:ascii="Times New Roman;serif" w:hAnsi="Times New Roman;serif"/>
          <w:b w:val="false"/>
          <w:color w:val="000000"/>
          <w:sz w:val="18"/>
        </w:rPr>
        <w:t xml:space="preserve">(2)Includes personnel costs, professional services, overhead expenses and general expenses to be incurred by the Company in the normal course of business. </w:t>
      </w:r>
    </w:p>
    <w:p>
      <w:pPr>
        <w:pStyle w:val="TextBody"/>
        <w:bidi w:val="0"/>
        <w:spacing w:lineRule="auto" w:line="333" w:before="0" w:after="0"/>
        <w:ind w:left="0" w:right="0" w:hanging="504"/>
        <w:jc w:val="both"/>
        <w:rPr>
          <w:rFonts w:ascii="Times New Roman;serif" w:hAnsi="Times New Roman;serif"/>
          <w:b w:val="false"/>
          <w:color w:val="000000"/>
          <w:sz w:val="18"/>
        </w:rPr>
      </w:pPr>
      <w:r>
        <w:rPr>
          <w:rFonts w:ascii="Times New Roman;serif" w:hAnsi="Times New Roman;serif"/>
          <w:b w:val="false"/>
          <w:color w:val="000000"/>
          <w:sz w:val="18"/>
        </w:rPr>
        <w:t>(3)Previously known as Deuterated Psilocin Program (CYB003).</w:t>
      </w:r>
    </w:p>
    <w:p>
      <w:pPr>
        <w:pStyle w:val="TextBody"/>
        <w:bidi w:val="0"/>
        <w:spacing w:lineRule="auto" w:line="333" w:before="0" w:after="0"/>
        <w:ind w:left="0" w:right="0" w:hanging="504"/>
        <w:jc w:val="both"/>
        <w:rPr>
          <w:rFonts w:ascii="Times New Roman;serif" w:hAnsi="Times New Roman;serif"/>
          <w:b w:val="false"/>
          <w:color w:val="000000"/>
          <w:sz w:val="18"/>
        </w:rPr>
      </w:pPr>
      <w:r>
        <w:rPr>
          <w:rFonts w:ascii="Times New Roman;serif" w:hAnsi="Times New Roman;serif"/>
          <w:b w:val="false"/>
          <w:color w:val="000000"/>
          <w:sz w:val="18"/>
        </w:rPr>
        <w:t>(4)Previously known as Deuterated Dimethyltryptamine Program (CYB004).</w:t>
      </w:r>
    </w:p>
    <w:p>
      <w:pPr>
        <w:pStyle w:val="TextBody"/>
        <w:bidi w:val="0"/>
        <w:spacing w:lineRule="auto" w:line="333" w:before="0" w:after="0"/>
        <w:ind w:left="0" w:right="0" w:hanging="504"/>
        <w:jc w:val="both"/>
        <w:rPr>
          <w:rFonts w:ascii="Times New Roman;serif" w:hAnsi="Times New Roman;serif"/>
          <w:b w:val="false"/>
          <w:color w:val="000000"/>
          <w:sz w:val="18"/>
        </w:rPr>
      </w:pPr>
      <w:r>
        <w:rPr>
          <w:rFonts w:ascii="Times New Roman;serif" w:hAnsi="Times New Roman;serif"/>
          <w:b w:val="false"/>
          <w:color w:val="000000"/>
          <w:sz w:val="18"/>
        </w:rPr>
        <w:t>(5)Previously known as Phenethylamine and Tryptamine Derivatives Program (CYB005).</w:t>
      </w:r>
    </w:p>
    <w:p>
      <w:pPr>
        <w:pStyle w:val="TextBody"/>
        <w:bidi w:val="0"/>
        <w:spacing w:before="0" w:after="0"/>
        <w:ind w:left="0" w:right="0" w:hanging="144"/>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expected use of net proceeds from the Company’s financing activities, as presented above,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 </w:t>
      </w:r>
    </w:p>
    <w:p>
      <w:pPr>
        <w:pStyle w:val="TextBody"/>
        <w:bidi w:val="0"/>
        <w:spacing w:before="0" w:after="0"/>
        <w:jc w:val="both"/>
        <w:rPr/>
      </w:pPr>
      <w:r>
        <w:rPr/>
      </w:r>
    </w:p>
    <w:p>
      <w:pPr>
        <w:pStyle w:val="TextBody"/>
        <w:bidi w:val="0"/>
        <w:spacing w:lineRule="auto" w:line="312" w:before="0" w:after="2"/>
        <w:jc w:val="both"/>
        <w:rPr>
          <w:rFonts w:ascii="Times New Roman;serif" w:hAnsi="Times New Roman;serif"/>
          <w:b/>
          <w:color w:val="000000"/>
          <w:sz w:val="22"/>
          <w:u w:val="single"/>
        </w:rPr>
      </w:pPr>
      <w:r>
        <w:rPr>
          <w:rFonts w:ascii="Times New Roman;serif" w:hAnsi="Times New Roman;serif"/>
          <w:b/>
          <w:color w:val="000000"/>
          <w:sz w:val="22"/>
          <w:u w:val="single"/>
        </w:rPr>
        <w:t>Relationships with Third Parties</w:t>
      </w:r>
    </w:p>
    <w:p>
      <w:pPr>
        <w:pStyle w:val="TextBody"/>
        <w:bidi w:val="0"/>
        <w:spacing w:before="0" w:after="0"/>
        <w:jc w:val="both"/>
        <w:rPr/>
      </w:pPr>
      <w:r>
        <w:rPr/>
      </w:r>
    </w:p>
    <w:p>
      <w:pPr>
        <w:pStyle w:val="TextBody"/>
        <w:bidi w:val="0"/>
        <w:spacing w:lineRule="auto" w:line="312"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research and development of its pharmaceutical products is conducted by way of licensed partners. The Company also intends to sponsor clinical and other studies at various clinical trial sites. </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i/>
          <w:color w:val="000000"/>
          <w:sz w:val="22"/>
        </w:rPr>
      </w:pPr>
      <w:r>
        <w:rPr>
          <w:rFonts w:ascii="Times New Roman;serif" w:hAnsi="Times New Roman;serif"/>
          <w:b/>
          <w:i/>
          <w:color w:val="000000"/>
          <w:sz w:val="22"/>
        </w:rPr>
        <w:t>Clinilabs Drug Development Corporation</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On April 21, 2022, the Company announced that it had partnered with Clinilabs, a global, full-service contract research organization with deep expertise in central nervous system drug development, to carry out the Company’s Phase 1/2a clinical trial of HLP003, its proprietary NSA program. </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i/>
          <w:color w:val="000000"/>
          <w:sz w:val="22"/>
        </w:rPr>
      </w:pPr>
      <w:r>
        <w:rPr>
          <w:rFonts w:ascii="Times New Roman;serif" w:hAnsi="Times New Roman;serif"/>
          <w:b/>
          <w:i/>
          <w:color w:val="000000"/>
          <w:sz w:val="22"/>
        </w:rPr>
        <w:t>Entheon Biomedical Corp.</w:t>
      </w:r>
    </w:p>
    <w:p>
      <w:pPr>
        <w:pStyle w:val="TextBody"/>
        <w:bidi w:val="0"/>
        <w:spacing w:before="0" w:after="2"/>
        <w:jc w:val="both"/>
        <w:rPr/>
      </w:pPr>
      <w:r>
        <w:rPr/>
      </w:r>
    </w:p>
    <w:p>
      <w:pPr>
        <w:pStyle w:val="TextBody"/>
        <w:bidi w:val="0"/>
        <w:spacing w:lineRule="auto" w:line="333" w:before="0" w:after="2"/>
        <w:jc w:val="both"/>
        <w:rPr/>
      </w:pPr>
      <w:r>
        <w:rPr>
          <w:rFonts w:ascii="Times New Roman;serif" w:hAnsi="Times New Roman;serif"/>
          <w:b w:val="false"/>
          <w:color w:val="000000"/>
          <w:sz w:val="22"/>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serif" w:hAnsi="Times New Roman;serif"/>
          <w:b/>
          <w:color w:val="000000"/>
          <w:sz w:val="22"/>
        </w:rPr>
        <w:t>CHDR</w:t>
      </w:r>
      <w:r>
        <w:rPr>
          <w:color w:val="000000"/>
        </w:rPr>
        <w:t>”</w:t>
      </w:r>
      <w:r>
        <w:rPr>
          <w:rFonts w:ascii="Times New Roman;serif" w:hAnsi="Times New Roman;serif"/>
          <w:b w:val="false"/>
          <w:color w:val="000000"/>
          <w:sz w:val="22"/>
        </w:rPr>
        <w:t xml:space="preserve">) to the Company. The Company now maintains a direct contractual relationship with CHDR to conduct the HLP004-E trial. CHDR is an independent institute in the Netherlands specializing in innovative early-stage clinical drug research. </w:t>
      </w:r>
    </w:p>
    <w:p>
      <w:pPr>
        <w:pStyle w:val="TextBody"/>
        <w:bidi w:val="0"/>
        <w:spacing w:before="0" w:after="2"/>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1"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lineRule="auto" w:line="333" w:before="0" w:after="2"/>
        <w:jc w:val="both"/>
        <w:rPr>
          <w:rFonts w:ascii="Times New Roman;serif" w:hAnsi="Times New Roman;serif"/>
          <w:b/>
          <w:i/>
          <w:color w:val="000000"/>
          <w:sz w:val="22"/>
        </w:rPr>
      </w:pPr>
      <w:r>
        <w:rPr>
          <w:rFonts w:ascii="Times New Roman;serif" w:hAnsi="Times New Roman;serif"/>
          <w:b/>
          <w:i/>
          <w:color w:val="000000"/>
          <w:sz w:val="22"/>
        </w:rPr>
        <w:t>Mindset Pharma Inc.</w:t>
      </w:r>
    </w:p>
    <w:p>
      <w:pPr>
        <w:pStyle w:val="TextBody"/>
        <w:bidi w:val="0"/>
        <w:spacing w:before="0" w:after="2"/>
        <w:jc w:val="both"/>
        <w:rPr/>
      </w:pPr>
      <w:r>
        <w:rPr/>
      </w:r>
    </w:p>
    <w:p>
      <w:pPr>
        <w:pStyle w:val="TextBody"/>
        <w:bidi w:val="0"/>
        <w:spacing w:lineRule="auto" w:line="333" w:before="0" w:after="2"/>
        <w:jc w:val="both"/>
        <w:rPr/>
      </w:pPr>
      <w:r>
        <w:rPr>
          <w:rFonts w:ascii="Times New Roman;serif" w:hAnsi="Times New Roman;serif"/>
          <w:b w:val="false"/>
          <w:color w:val="000000"/>
          <w:sz w:val="22"/>
        </w:rPr>
        <w:t>On September 27, 2022, the Company entered into an agreement, as amended, with Mindset Pharma Inc. (“</w:t>
      </w:r>
      <w:r>
        <w:rPr>
          <w:rFonts w:ascii="Times New Roman;serif" w:hAnsi="Times New Roman;serif"/>
          <w:b/>
          <w:color w:val="000000"/>
          <w:sz w:val="22"/>
        </w:rPr>
        <w:t>Mindset</w:t>
      </w:r>
      <w:r>
        <w:rPr>
          <w:color w:val="000000"/>
        </w:rPr>
        <w:t>”</w:t>
      </w:r>
      <w:r>
        <w:rPr>
          <w:rFonts w:ascii="Times New Roman;serif" w:hAnsi="Times New Roman;serif"/>
          <w:b w:val="false"/>
          <w:color w:val="000000"/>
          <w:sz w:val="22"/>
        </w:rPr>
        <w:t xml:space="preserve">) to acquire an exclusive license to an extensive targeted class of tryptamine-based molecules. The agreement includes an initial license fee payment by Helus Pharma to Mindset of $500 as well as additional clinical development milestone payments of up to $9,500, with the first milestone payment, in the amount of $500, payable upon completion of a Phase 1 clinical trial. At the sole discretion of Helus Pharma, the milestones may be paid in cash or in Common Shares, or a combination thereof, subject to the approval of the Cboe Canada. There is no assurance that the aforementioned milestones will be met. The agreement also contemplates a sales royalty of approximately 2% for all commercialized licensed products within the scope of the agreement, which is customary for drug licensing agreements of this nature. </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i/>
          <w:color w:val="000000"/>
          <w:sz w:val="22"/>
        </w:rPr>
      </w:pPr>
      <w:r>
        <w:rPr>
          <w:rFonts w:ascii="Times New Roman;serif" w:hAnsi="Times New Roman;serif"/>
          <w:b/>
          <w:i/>
          <w:color w:val="000000"/>
          <w:sz w:val="22"/>
        </w:rPr>
        <w:t>Worldwide Clinical Trials</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On July 26, 2023, the Company announced that it has partnered with Worldwide Clinical Trials, a global, full-service contract research organization with deep expertise managing clinical trials for mental health conditions, including MDD.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Segal Trials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January 15, 2025, the Company launched its first strategic partnership agreement with Segal Trials in furtherance of Helus Pharma’s multinational pivotal Phase 3 program evaluating HLP003 for the potential adjunctive treatment of MDD. Segal Trials is a privately held company with a network of six research sites throughout South Florida. Segal Trials has extensive experience conducting research trials with an emphasis on psychiatry, neurology, addiction, and studies involving serotonergic compounds.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Osmind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April 21, 2025, the Company announced a strategic partnership with Osmind, a leading service provider advancing psychiatry through technology, services, and real-world evidence to bring innovative mental health treatments to patients in need. Through this partnership, the Company will leverage Osmind’s 800-clinic network, point-of-care software, and real-world data to support the commercial preparation for its clinical-stage pipeline.</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C</w:t>
      </w:r>
      <w:r>
        <w:rPr>
          <w:rFonts w:ascii="Times New Roman;serif" w:hAnsi="Times New Roman;serif"/>
          <w:b/>
          <w:i/>
          <w:color w:val="000000"/>
          <w:sz w:val="22"/>
        </w:rPr>
        <w:t>enExel iResearch Atlanta and Cedar Clinical Research</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April 23, 2025, the Company announced the addition of CenExel iResearch Atlanta and Cedar Clinical Research to its SPA program, bringing the total to 18 clinical sites engaged to advance Helus Pharma’s multinational Phase 3 PARADIGM program evaluating HLP003 for the potential adjunctive treatment of MDD. The APPROACH study is expected to include approximately 45 clinical sites.</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Thermo Fisher Scientific</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On May 15, 2025, the Company announced that it has engaged Thermo Fisher Scientific to provide U.S.-based manufacturing for the HLP003 Program. The production of both drug substance and drug </w:t>
      </w:r>
    </w:p>
    <w:p>
      <w:pPr>
        <w:pStyle w:val="TextBody"/>
        <w:bidi w:val="0"/>
        <w:spacing w:before="0" w:after="2"/>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2"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product will be performed at Thermo Fisher’s U.S. pharma services manufacturing sites. The Company is working with Thermo Fisher’s pharma services sites in Florence, South Carolina, for Phase 3 clinical supply and future commercialization, and Cincinnati, Ohio, for Phase 3 capsule production and commercialization.</w:t>
      </w:r>
    </w:p>
    <w:p>
      <w:pPr>
        <w:pStyle w:val="TextBody"/>
        <w:bidi w:val="0"/>
        <w:spacing w:lineRule="auto" w:line="333" w:before="0" w:after="0"/>
        <w:jc w:val="both"/>
        <w:rPr/>
      </w:pPr>
      <w:r>
        <w:rPr>
          <w:rFonts w:ascii="Times New Roman;serif" w:hAnsi="Times New Roman;serif"/>
          <w:b w:val="false"/>
          <w:color w:val="000000"/>
          <w:sz w:val="22"/>
        </w:rPr>
        <w:br/>
      </w:r>
      <w:r>
        <w:rPr>
          <w:rFonts w:ascii="Times New Roman;serif" w:hAnsi="Times New Roman;serif"/>
          <w:b/>
          <w:i/>
          <w:color w:val="000000"/>
          <w:sz w:val="22"/>
        </w:rPr>
        <w:t>Other Third-Party Partners</w:t>
      </w:r>
    </w:p>
    <w:p>
      <w:pPr>
        <w:pStyle w:val="TextBody"/>
        <w:bidi w:val="0"/>
        <w:spacing w:before="0" w:after="0"/>
        <w:jc w:val="both"/>
        <w:rPr/>
      </w:pPr>
      <w:r>
        <w:rPr/>
      </w:r>
    </w:p>
    <w:p>
      <w:pPr>
        <w:pStyle w:val="TextBody"/>
        <w:bidi w:val="0"/>
        <w:spacing w:lineRule="auto" w:line="333" w:before="0" w:after="2"/>
        <w:jc w:val="both"/>
        <w:rPr/>
      </w:pPr>
      <w:r>
        <w:rPr>
          <w:rFonts w:ascii="Times New Roman;serif" w:hAnsi="Times New Roman;serif"/>
          <w:b w:val="false"/>
          <w:color w:val="000000"/>
          <w:sz w:val="22"/>
        </w:rPr>
        <w:t>The Company has established contractual sources of synthetic GMP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serif" w:hAnsi="Times New Roman;serif"/>
          <w:b w:val="false"/>
          <w:color w:val="000000"/>
          <w:sz w:val="14"/>
        </w:rPr>
        <w:t>24</w:t>
      </w:r>
      <w:r>
        <w:rPr>
          <w:color w:val="000000"/>
        </w:rPr>
        <w:t xml:space="preserve"> </w:t>
      </w:r>
      <w:r>
        <w:rPr>
          <w:rFonts w:ascii="Times New Roman;serif" w:hAnsi="Times New Roman;serif"/>
          <w:b w:val="false"/>
          <w:color w:val="000000"/>
          <w:sz w:val="22"/>
        </w:rPr>
        <w:t>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pStyle w:val="TextBody"/>
        <w:bidi w:val="0"/>
        <w:spacing w:before="0" w:after="2"/>
        <w:jc w:val="both"/>
        <w:rPr/>
      </w:pPr>
      <w:r>
        <w:rPr/>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has conducted due diligence on each such third party, including but not limited to the review of necessary licences and the regulatory framework enacted in the jurisdiction of operation.</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pStyle w:val="TextBody"/>
        <w:bidi w:val="0"/>
        <w:spacing w:before="0" w:after="0"/>
        <w:jc w:val="both"/>
        <w:rPr/>
      </w:pPr>
      <w:r>
        <w:rPr/>
      </w:r>
    </w:p>
    <w:p>
      <w:pPr>
        <w:pStyle w:val="TextBody"/>
        <w:bidi w:val="0"/>
        <w:spacing w:lineRule="auto" w:line="312"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The material factors or assumptions used to develop the estimated costs disclosed above are included in the “Cautionary Note Regarding Forward-Looking Information” section above. The actual amount </w:t>
      </w:r>
    </w:p>
    <w:p>
      <w:pPr>
        <w:pStyle w:val="TextBody"/>
        <w:bidi w:val="0"/>
        <w:spacing w:lineRule="auto" w:line="276"/>
        <w:jc w:val="both"/>
        <w:rPr/>
      </w:pPr>
      <w:r>
        <w:rPr>
          <w:rFonts w:ascii="Times New Roman;serif" w:hAnsi="Times New Roman;serif"/>
          <w:b w:val="false"/>
          <w:color w:val="000000"/>
          <w:sz w:val="12"/>
        </w:rPr>
        <w:t>24</w:t>
      </w:r>
      <w:r>
        <w:rPr>
          <w:color w:val="000000"/>
        </w:rPr>
        <w:t xml:space="preserve"> </w:t>
      </w:r>
      <w:r>
        <w:rPr>
          <w:rFonts w:ascii="Times New Roman;serif" w:hAnsi="Times New Roman;serif"/>
          <w:b w:val="false"/>
          <w:color w:val="000000"/>
          <w:sz w:val="18"/>
        </w:rPr>
        <w:t xml:space="preserve">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 </w:t>
      </w:r>
    </w:p>
    <w:p>
      <w:pPr>
        <w:pStyle w:val="TextBody"/>
        <w:bidi w:val="0"/>
        <w:spacing w:before="0" w:after="2"/>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3"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lineRule="auto" w:line="312" w:before="0" w:after="2"/>
        <w:jc w:val="both"/>
        <w:rPr/>
      </w:pPr>
      <w:r>
        <w:rPr>
          <w:rFonts w:ascii="Times New Roman;serif" w:hAnsi="Times New Roman;serif"/>
          <w:b w:val="false"/>
          <w:color w:val="000000"/>
          <w:sz w:val="22"/>
        </w:rPr>
        <w:t>that the Company spends in connection with each of the intended uses of proceeds will depend on a number of factors, including those listed under “</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color w:val="000000"/>
          <w:sz w:val="22"/>
        </w:rPr>
        <w:t xml:space="preserve">in this MD&amp;A or unforeseen events. </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
        <w:jc w:val="both"/>
        <w:rPr>
          <w:rFonts w:ascii="Times New Roman;serif" w:hAnsi="Times New Roman;serif"/>
          <w:b/>
          <w:color w:val="000000"/>
          <w:sz w:val="22"/>
          <w:u w:val="single"/>
        </w:rPr>
      </w:pPr>
      <w:r>
        <w:rPr>
          <w:rFonts w:ascii="Times New Roman;serif" w:hAnsi="Times New Roman;serif"/>
          <w:b/>
          <w:color w:val="000000"/>
          <w:sz w:val="22"/>
          <w:u w:val="single"/>
        </w:rPr>
        <w:t>Intellectual Property</w:t>
      </w:r>
    </w:p>
    <w:p>
      <w:pPr>
        <w:pStyle w:val="TextBody"/>
        <w:bidi w:val="0"/>
        <w:spacing w:before="0" w:after="2"/>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August 11, 2026, Helus Pharma has title to twenty eight granted US patents and ninety seven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 Certain of the Company’s patent rights may be subject to out-license and option arrangements, which may limit Helus Pharma’s ability to use or further out-license such patent rights. </w:t>
      </w:r>
    </w:p>
    <w:p>
      <w:pPr>
        <w:pStyle w:val="TextBody"/>
        <w:bidi w:val="0"/>
        <w:spacing w:before="0" w:after="0"/>
        <w:jc w:val="both"/>
        <w:rPr/>
      </w:pPr>
      <w:r>
        <w:rPr/>
      </w:r>
    </w:p>
    <w:tbl>
      <w:tblPr>
        <w:tblW w:w="3044" w:type="dxa"/>
        <w:jc w:val="left"/>
        <w:tblInd w:w="0" w:type="dxa"/>
        <w:tblLayout w:type="fixed"/>
        <w:tblCellMar>
          <w:top w:w="28" w:type="dxa"/>
          <w:left w:w="28" w:type="dxa"/>
          <w:bottom w:w="28" w:type="dxa"/>
          <w:right w:w="28" w:type="dxa"/>
        </w:tblCellMar>
      </w:tblPr>
      <w:tblGrid>
        <w:gridCol w:w="472"/>
        <w:gridCol w:w="416"/>
        <w:gridCol w:w="417"/>
        <w:gridCol w:w="509"/>
        <w:gridCol w:w="509"/>
        <w:gridCol w:w="721"/>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op w:val="single" w:sz="8" w:space="0" w:color="000000"/>
              <w:left w:val="single" w:sz="8"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Patent Number</w:t>
            </w:r>
          </w:p>
        </w:tc>
        <w:tc>
          <w:tcPr>
            <w:tcW w:w="1739" w:type="dxa"/>
            <w:gridSpan w:val="3"/>
            <w:tcBorders>
              <w:top w:val="single" w:sz="8" w:space="0" w:color="000000"/>
              <w:left w:val="single" w:sz="4" w:space="0" w:color="000000"/>
              <w:bottom w:val="single" w:sz="4" w:space="0" w:color="000000"/>
              <w:right w:val="single" w:sz="8" w:space="0" w:color="000000"/>
            </w:tcBorders>
            <w:shd w:fill="BFBFBF"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Filing</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11,242,318</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11,724,985</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11,746,088</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11,834,410</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11,958,807</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12,110,272</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12,240,813</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12,291,499</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7766623</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7770467</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312785</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Israel</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11202254530T</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Singapore</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12,122,741</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7802769</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2021327136</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12603504</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2022277515</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2022342266</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2022381220</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2023207801</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1305"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2018311307</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1305" w:type="dxa"/>
            <w:gridSpan w:val="3"/>
            <w:tcBorders>
              <w:top w:val="single" w:sz="4"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2020378647</w:t>
            </w:r>
          </w:p>
        </w:tc>
        <w:tc>
          <w:tcPr>
            <w:tcW w:w="1739" w:type="dxa"/>
            <w:gridSpan w:val="3"/>
            <w:tcBorders>
              <w:top w:val="single" w:sz="4" w:space="0" w:color="000000"/>
              <w:left w:val="single" w:sz="4" w:space="0" w:color="000000"/>
              <w:bottom w:val="single" w:sz="4"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4"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tbl>
      <w:tblPr>
        <w:tblW w:w="3390" w:type="dxa"/>
        <w:jc w:val="left"/>
        <w:tblInd w:w="0" w:type="dxa"/>
        <w:tblLayout w:type="fixed"/>
        <w:tblCellMar>
          <w:top w:w="28" w:type="dxa"/>
          <w:left w:w="28" w:type="dxa"/>
          <w:bottom w:w="28" w:type="dxa"/>
          <w:right w:w="28" w:type="dxa"/>
        </w:tblCellMar>
      </w:tblPr>
      <w:tblGrid>
        <w:gridCol w:w="581"/>
        <w:gridCol w:w="512"/>
        <w:gridCol w:w="497"/>
        <w:gridCol w:w="527"/>
        <w:gridCol w:w="527"/>
        <w:gridCol w:w="746"/>
      </w:tblGrid>
      <w:tr>
        <w:trPr/>
        <w:tc>
          <w:tcPr>
            <w:tcW w:w="58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Patent Number</w:t>
            </w:r>
          </w:p>
        </w:tc>
        <w:tc>
          <w:tcPr>
            <w:tcW w:w="1800" w:type="dxa"/>
            <w:gridSpan w:val="3"/>
            <w:tcBorders>
              <w:top w:val="single" w:sz="8" w:space="0" w:color="000000"/>
              <w:left w:val="single" w:sz="4" w:space="0" w:color="000000"/>
              <w:right w:val="single" w:sz="8"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Filing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2020381103</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2021334933</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2021204158</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2020286709</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1120220221983</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3104072</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3160337</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3179161</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3142290</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3160334</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3179335</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ZL202080087091.0</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ZL202080087092.5</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ZL202180044031.5</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ZL202180046463.X</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ZL202080050439.9</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ZL202180090269.1</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046951</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Eurasian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048675</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Eurasian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049402</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Eurasian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049106</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Eurasian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3463323</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3687515</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3532457</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3826632</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3844147</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3873883</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3902541</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4031529</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4062910</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4138818</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4149460</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4275753</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40042383</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40035970</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40056359</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40060666</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40065709</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40064531</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40045846</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40060891</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40078818</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40089095</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507114</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528813</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570120</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592466</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292753</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Israel</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288617</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Israel</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298542</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Israel</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298754</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Israel</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298129</w:t>
            </w:r>
          </w:p>
        </w:tc>
        <w:tc>
          <w:tcPr>
            <w:tcW w:w="1800"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Israel</w:t>
            </w:r>
          </w:p>
        </w:tc>
      </w:tr>
      <w:tr>
        <w:trPr/>
        <w:tc>
          <w:tcPr>
            <w:tcW w:w="1590" w:type="dxa"/>
            <w:gridSpan w:val="3"/>
            <w:tcBorders>
              <w:top w:val="single" w:sz="4"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298541</w:t>
            </w:r>
          </w:p>
        </w:tc>
        <w:tc>
          <w:tcPr>
            <w:tcW w:w="1800" w:type="dxa"/>
            <w:gridSpan w:val="3"/>
            <w:tcBorders>
              <w:top w:val="single" w:sz="4" w:space="0" w:color="000000"/>
              <w:left w:val="single" w:sz="4" w:space="0" w:color="000000"/>
              <w:bottom w:val="single" w:sz="4"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Israel</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5"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tbl>
      <w:tblPr>
        <w:tblW w:w="3329" w:type="dxa"/>
        <w:jc w:val="left"/>
        <w:tblInd w:w="0" w:type="dxa"/>
        <w:tblLayout w:type="fixed"/>
        <w:tblCellMar>
          <w:top w:w="28" w:type="dxa"/>
          <w:left w:w="28" w:type="dxa"/>
          <w:bottom w:w="28" w:type="dxa"/>
          <w:right w:w="28" w:type="dxa"/>
        </w:tblCellMar>
      </w:tblPr>
      <w:tblGrid>
        <w:gridCol w:w="575"/>
        <w:gridCol w:w="506"/>
        <w:gridCol w:w="509"/>
        <w:gridCol w:w="509"/>
        <w:gridCol w:w="509"/>
        <w:gridCol w:w="721"/>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Patent Number</w:t>
            </w:r>
          </w:p>
        </w:tc>
        <w:tc>
          <w:tcPr>
            <w:tcW w:w="1739" w:type="dxa"/>
            <w:gridSpan w:val="3"/>
            <w:tcBorders>
              <w:top w:val="single" w:sz="8" w:space="0" w:color="000000"/>
              <w:left w:val="single" w:sz="4" w:space="0" w:color="000000"/>
              <w:right w:val="single" w:sz="8"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Filing</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7288154</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7422474</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7423131</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7422473</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7523474</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7579888</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7748437</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7834754</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ZL202180044031.5</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Macao</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ZL202080087092.5</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Macao</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ZL202180046463.X</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Macao</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ZL202080050439.9</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Macao</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ZL202180090269.1</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Macao</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404310</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411316</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412331</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415678</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788543</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794833</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793361</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794813</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783166</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2589605</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Republic of Korea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2636385</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Republic of Korea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2023/01086</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 Africa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2024/03906</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South Africa</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I891942</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Taiwan</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I860478</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Taiwan</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2585978</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Kingdom</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2586940</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Kingdom</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2592822</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Kingdom</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2595776</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Kingdom</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11,377,416</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11,771,681</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11,773,062</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11,643,390</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11,471,417</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11,406,619</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11,697,638</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11,660,289</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11,578,039</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12,042,564</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12,076,311</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12,084,417</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12,157,723</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12,251,371</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12,318,477</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12,343,327</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12,521,370</w:t>
            </w:r>
          </w:p>
        </w:tc>
        <w:tc>
          <w:tcPr>
            <w:tcW w:w="1739"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590" w:type="dxa"/>
            <w:gridSpan w:val="3"/>
            <w:tcBorders>
              <w:top w:val="single" w:sz="4"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12,649,718</w:t>
            </w:r>
          </w:p>
        </w:tc>
        <w:tc>
          <w:tcPr>
            <w:tcW w:w="1739" w:type="dxa"/>
            <w:gridSpan w:val="3"/>
            <w:tcBorders>
              <w:top w:val="single" w:sz="4" w:space="0" w:color="000000"/>
              <w:left w:val="single" w:sz="4"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r>
    </w:tbl>
    <w:p>
      <w:pPr>
        <w:pStyle w:val="TextBody"/>
        <w:bidi w:val="0"/>
        <w:spacing w:before="0" w:after="2"/>
        <w:jc w:val="left"/>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as of August 11, 2026, Helus Pharma has title to five provisional patent applications, thirty five US non-provisional patent applications, two hundred and forty seven national (non-US) </w:t>
      </w:r>
    </w:p>
    <w:p>
      <w:pPr>
        <w:pStyle w:val="TextBody"/>
        <w:bidi w:val="0"/>
        <w:spacing w:before="0" w:after="2"/>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6"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patent applications, and three Patent Cooperation Treaty (“</w:t>
      </w:r>
      <w:r>
        <w:rPr>
          <w:rFonts w:ascii="Times New Roman;serif" w:hAnsi="Times New Roman;serif"/>
          <w:b/>
          <w:color w:val="000000"/>
          <w:sz w:val="22"/>
        </w:rPr>
        <w:t>PCT</w:t>
      </w:r>
      <w:r>
        <w:rPr>
          <w:color w:val="000000"/>
        </w:rPr>
        <w:t>”</w:t>
      </w:r>
      <w:r>
        <w:rPr>
          <w:rFonts w:ascii="Times New Roman;serif" w:hAnsi="Times New Roman;serif"/>
          <w:b w:val="false"/>
          <w:color w:val="000000"/>
          <w:sz w:val="22"/>
        </w:rPr>
        <w:t xml:space="preserve">) applications, including claims directed to compositions of matter and methods of use in support of its research and development and preclinical and clinical trial programs. </w:t>
      </w:r>
    </w:p>
    <w:p>
      <w:pPr>
        <w:pStyle w:val="TextBody"/>
        <w:bidi w:val="0"/>
        <w:spacing w:before="0" w:after="0"/>
        <w:jc w:val="both"/>
        <w:rPr/>
      </w:pPr>
      <w:r>
        <w:rPr/>
      </w:r>
    </w:p>
    <w:tbl>
      <w:tblPr>
        <w:tblW w:w="4739" w:type="dxa"/>
        <w:jc w:val="left"/>
        <w:tblInd w:w="0" w:type="dxa"/>
        <w:tblLayout w:type="fixed"/>
        <w:tblCellMar>
          <w:top w:w="28" w:type="dxa"/>
          <w:left w:w="28" w:type="dxa"/>
          <w:bottom w:w="28" w:type="dxa"/>
          <w:right w:w="28" w:type="dxa"/>
        </w:tblCellMar>
      </w:tblPr>
      <w:tblGrid>
        <w:gridCol w:w="815"/>
        <w:gridCol w:w="716"/>
        <w:gridCol w:w="718"/>
        <w:gridCol w:w="584"/>
        <w:gridCol w:w="584"/>
        <w:gridCol w:w="586"/>
        <w:gridCol w:w="215"/>
        <w:gridCol w:w="215"/>
        <w:gridCol w:w="306"/>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left w:val="single" w:sz="8"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Patent Application Number</w:t>
            </w:r>
          </w:p>
        </w:tc>
        <w:tc>
          <w:tcPr>
            <w:tcW w:w="1754" w:type="dxa"/>
            <w:gridSpan w:val="3"/>
            <w:tcBorders>
              <w:top w:val="single" w:sz="8"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Filing</w:t>
            </w:r>
          </w:p>
        </w:tc>
        <w:tc>
          <w:tcPr>
            <w:tcW w:w="736" w:type="dxa"/>
            <w:gridSpan w:val="3"/>
            <w:tcBorders>
              <w:top w:val="single" w:sz="8" w:space="0" w:color="000000"/>
              <w:left w:val="single" w:sz="4" w:space="0" w:color="000000"/>
              <w:bottom w:val="single" w:sz="4" w:space="0" w:color="000000"/>
              <w:right w:val="single" w:sz="8" w:space="0" w:color="000000"/>
            </w:tcBorders>
            <w:shd w:fill="BFBFBF"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Status</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18/027,810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18/547,100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18/561,152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18/576,487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18/588,132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18/688,125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18/707,825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18/720,922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PCT/EP2024/067458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WIPO</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18/730,397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18/730,423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18/825,122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18/883,262 </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18/850,356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18/852,115 </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18/867,231 </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19/020,095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19/106,551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19/119,308 </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19/170,327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19/159,085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19/481,242 </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19/488,218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63/928,477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19/530,573 </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19/629,961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PCT/EP2026/067165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WIPO</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64/093,493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19/752,805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793553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812214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832747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297492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Israel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325449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Israel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3177454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NC2022/0016662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Colombia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NC2026/0005090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Colombia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NC2026/0005091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Colombia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MX/a/2022/014605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MX/a/2024/006467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202203191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Chile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10-2022-7040243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Republic of 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10-2024-7019118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Republic of 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EP21808464.8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24175524.8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202180036163.3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202410728550.9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1120220235658</w:t>
            </w:r>
          </w:p>
        </w:tc>
        <w:tc>
          <w:tcPr>
            <w:tcW w:w="17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bottom w:val="single" w:sz="4"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7"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tbl>
      <w:tblPr>
        <w:tblW w:w="4739" w:type="dxa"/>
        <w:jc w:val="left"/>
        <w:tblInd w:w="0" w:type="dxa"/>
        <w:tblLayout w:type="fixed"/>
        <w:tblCellMar>
          <w:top w:w="28" w:type="dxa"/>
          <w:left w:w="28" w:type="dxa"/>
          <w:bottom w:w="28" w:type="dxa"/>
          <w:right w:w="28" w:type="dxa"/>
        </w:tblCellMar>
      </w:tblPr>
      <w:tblGrid>
        <w:gridCol w:w="815"/>
        <w:gridCol w:w="716"/>
        <w:gridCol w:w="718"/>
        <w:gridCol w:w="584"/>
        <w:gridCol w:w="584"/>
        <w:gridCol w:w="586"/>
        <w:gridCol w:w="215"/>
        <w:gridCol w:w="215"/>
        <w:gridCol w:w="306"/>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Patent Application Number</w:t>
            </w:r>
          </w:p>
        </w:tc>
        <w:tc>
          <w:tcPr>
            <w:tcW w:w="1754" w:type="dxa"/>
            <w:gridSpan w:val="3"/>
            <w:tcBorders>
              <w:top w:val="single" w:sz="8"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Filing</w:t>
            </w:r>
          </w:p>
        </w:tc>
        <w:tc>
          <w:tcPr>
            <w:tcW w:w="736" w:type="dxa"/>
            <w:gridSpan w:val="3"/>
            <w:tcBorders>
              <w:top w:val="single" w:sz="8" w:space="0" w:color="000000"/>
              <w:left w:val="single" w:sz="4" w:space="0" w:color="000000"/>
              <w:right w:val="single" w:sz="8"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Status</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2021276656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2024203974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10202401521X</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Singapore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202213256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 Africa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2201007493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Thailand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1-2022-553135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1-2024-551326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202227065770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2025-181392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2025-185270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62023078320.6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42024099806.2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3186357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10-2023-7003815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10-2026-7007984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2025-185299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21766581.9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62023079716.4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3186359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10-2023-7006128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2021328671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2023-512107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2026-037834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21763068.0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62023079718.0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21786852.0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10-2023-7007858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2021354006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2023-519831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3194558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62023079720.6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802136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305457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Israel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3212563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NC2023/0013714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Colombia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MX/a/2023/010843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202302731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Chile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202501220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Chile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10-2023-7032581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22716857.2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202280022029.2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1120230188946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2022239825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2026202981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11202305618U</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Singapore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202309486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South Africa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2301005753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Thailand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1-2023-552572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202327063524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2023-556906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62024086011.9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2026202771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3216799</w:t>
            </w:r>
          </w:p>
        </w:tc>
        <w:tc>
          <w:tcPr>
            <w:tcW w:w="17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bottom w:val="single" w:sz="4"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8"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tbl>
      <w:tblPr>
        <w:tblW w:w="4739" w:type="dxa"/>
        <w:jc w:val="left"/>
        <w:tblInd w:w="0" w:type="dxa"/>
        <w:tblLayout w:type="fixed"/>
        <w:tblCellMar>
          <w:top w:w="28" w:type="dxa"/>
          <w:left w:w="28" w:type="dxa"/>
          <w:bottom w:w="28" w:type="dxa"/>
          <w:right w:w="28" w:type="dxa"/>
        </w:tblCellMar>
      </w:tblPr>
      <w:tblGrid>
        <w:gridCol w:w="815"/>
        <w:gridCol w:w="716"/>
        <w:gridCol w:w="718"/>
        <w:gridCol w:w="584"/>
        <w:gridCol w:w="584"/>
        <w:gridCol w:w="586"/>
        <w:gridCol w:w="215"/>
        <w:gridCol w:w="215"/>
        <w:gridCol w:w="306"/>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Patent Application Number</w:t>
            </w:r>
          </w:p>
        </w:tc>
        <w:tc>
          <w:tcPr>
            <w:tcW w:w="1754" w:type="dxa"/>
            <w:gridSpan w:val="3"/>
            <w:tcBorders>
              <w:top w:val="single" w:sz="8"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Filing</w:t>
            </w:r>
          </w:p>
        </w:tc>
        <w:tc>
          <w:tcPr>
            <w:tcW w:w="736" w:type="dxa"/>
            <w:gridSpan w:val="3"/>
            <w:tcBorders>
              <w:top w:val="single" w:sz="8" w:space="0" w:color="000000"/>
              <w:left w:val="single" w:sz="4" w:space="0" w:color="000000"/>
              <w:right w:val="single" w:sz="8"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Status</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22729558.1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26189164.2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202327074210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2023-571283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10-2023-7041239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62024089505.7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3231021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22716971.1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2024-515026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10-2024-7008355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62024094405.3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2026204043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1120240088332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3236624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202280073355.6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22783493.4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202417038272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312175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Israel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2024-526529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10-2024-7017594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810005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1120242311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Saudi Arabia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62024097476.1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1120240139522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3259235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202380016531.7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23700949.3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313889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Israel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202417058417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2024-541809</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10-2024-7026687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MX/a/2024/008691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PI2024003160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Malaysia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811765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1120243886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Saudi Arabia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62024099899.2</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2023222397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3244275</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23705529.8</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2024-547671</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10-2024-7028837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62024101488.0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2023222126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3244130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23705530.6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2024-547667</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10-2024-7028843</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62024101490.6</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2023246690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3246274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23715813.4</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2024-557460</w:t>
            </w:r>
          </w:p>
        </w:tc>
        <w:tc>
          <w:tcPr>
            <w:tcW w:w="17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10-2024-7032719</w:t>
            </w:r>
          </w:p>
        </w:tc>
        <w:tc>
          <w:tcPr>
            <w:tcW w:w="17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bottom w:val="single" w:sz="4"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59"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tbl>
      <w:tblPr>
        <w:tblW w:w="4874" w:type="dxa"/>
        <w:jc w:val="left"/>
        <w:tblInd w:w="0" w:type="dxa"/>
        <w:tblLayout w:type="fixed"/>
        <w:tblCellMar>
          <w:top w:w="28" w:type="dxa"/>
          <w:left w:w="28" w:type="dxa"/>
          <w:bottom w:w="28" w:type="dxa"/>
          <w:right w:w="28" w:type="dxa"/>
        </w:tblCellMar>
      </w:tblPr>
      <w:tblGrid>
        <w:gridCol w:w="815"/>
        <w:gridCol w:w="716"/>
        <w:gridCol w:w="718"/>
        <w:gridCol w:w="629"/>
        <w:gridCol w:w="629"/>
        <w:gridCol w:w="631"/>
        <w:gridCol w:w="215"/>
        <w:gridCol w:w="215"/>
        <w:gridCol w:w="306"/>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Patent Application Number</w:t>
            </w:r>
          </w:p>
        </w:tc>
        <w:tc>
          <w:tcPr>
            <w:tcW w:w="1889" w:type="dxa"/>
            <w:gridSpan w:val="3"/>
            <w:tcBorders>
              <w:top w:val="single" w:sz="8"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Filing</w:t>
            </w:r>
          </w:p>
        </w:tc>
        <w:tc>
          <w:tcPr>
            <w:tcW w:w="736" w:type="dxa"/>
            <w:gridSpan w:val="3"/>
            <w:tcBorders>
              <w:top w:val="single" w:sz="8" w:space="0" w:color="000000"/>
              <w:left w:val="single" w:sz="4" w:space="0" w:color="000000"/>
              <w:right w:val="single" w:sz="8"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Status</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815769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62025103102.2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2023242469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3247035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23717049.3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2024-557455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813800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62025103101.4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2023331937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3265884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23764241.8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2025-512678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10-2025-7007259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62025111889.4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2023366306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3271746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202380075041.4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23798713.6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2025-524528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10-2025-7014590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1120253030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Saudi Arabia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62025112197.1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2024229430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1120250180169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3284066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202502558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Chile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202480014984.0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NC2025/0011490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Colombia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24708160.7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322138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Israel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2025-549789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10-2025-7029225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MX/a/2025/010013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Mexico</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PI2025005159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Malaysia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823179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1-2025-552057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1120256479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Saudi Arabia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11202504641X</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Singapore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2501005646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Thailand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2025/06705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South Africa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62026117641.1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2024270296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3290612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202480035033.1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24725094.7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2025-564163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10-2025-7040256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Republic of 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1120258307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Saudi Arabia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62026120459.3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1120220089198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18/921,515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2021391581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3203020</w:t>
            </w:r>
          </w:p>
        </w:tc>
        <w:tc>
          <w:tcPr>
            <w:tcW w:w="18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bottom w:val="single" w:sz="4"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0"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tbl>
      <w:tblPr>
        <w:tblW w:w="4874" w:type="dxa"/>
        <w:jc w:val="left"/>
        <w:tblInd w:w="0" w:type="dxa"/>
        <w:tblLayout w:type="fixed"/>
        <w:tblCellMar>
          <w:top w:w="28" w:type="dxa"/>
          <w:left w:w="28" w:type="dxa"/>
          <w:bottom w:w="28" w:type="dxa"/>
          <w:right w:w="28" w:type="dxa"/>
        </w:tblCellMar>
      </w:tblPr>
      <w:tblGrid>
        <w:gridCol w:w="815"/>
        <w:gridCol w:w="716"/>
        <w:gridCol w:w="718"/>
        <w:gridCol w:w="629"/>
        <w:gridCol w:w="629"/>
        <w:gridCol w:w="631"/>
        <w:gridCol w:w="215"/>
        <w:gridCol w:w="215"/>
        <w:gridCol w:w="306"/>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Patent Application Number</w:t>
            </w:r>
          </w:p>
        </w:tc>
        <w:tc>
          <w:tcPr>
            <w:tcW w:w="1889" w:type="dxa"/>
            <w:gridSpan w:val="3"/>
            <w:tcBorders>
              <w:top w:val="single" w:sz="8"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Filing</w:t>
            </w:r>
          </w:p>
        </w:tc>
        <w:tc>
          <w:tcPr>
            <w:tcW w:w="736" w:type="dxa"/>
            <w:gridSpan w:val="3"/>
            <w:tcBorders>
              <w:top w:val="single" w:sz="8" w:space="0" w:color="000000"/>
              <w:left w:val="single" w:sz="4" w:space="0" w:color="000000"/>
              <w:right w:val="single" w:sz="8"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Status</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42024091001.8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202317043169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303288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Israel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800961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21 816489.5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2022393234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11 2024 009571 1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3238583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22 818741.5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62025102900.0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202417045861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312859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Israel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2024-529536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10-2024-7020007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Republic of 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MX/a/2024/005955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Mexico</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811102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11202403174T</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Singapore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PI 2024002791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Malaysia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1120242659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Saudi Arabia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202401452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Chile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2401003192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Thailand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12024551165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18/711,130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19/192,691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NC2024/0007518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Colombia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202280084101.4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24194778.7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42025103259.5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PI 2023000584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Malaysia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11202300697X</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Singapore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19/202,059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18/619,547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2024242138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BR1120250210513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3,285,080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202480023329.1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24716712.5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323233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Israel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2025-556812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10-2025-7035981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Republic of 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826414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19/469,610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1120257248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Saudi Arabia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202517099658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MX/a/2025/011603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Mexico</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P2025-03094 </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Arab Emirates</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22214748.0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21203394.8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1120220245661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202217076779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1120210243330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122026010760-6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Brazil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18/779,611</w:t>
            </w:r>
          </w:p>
        </w:tc>
        <w:tc>
          <w:tcPr>
            <w:tcW w:w="18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bottom w:val="single" w:sz="4"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1"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tbl>
      <w:tblPr>
        <w:tblW w:w="4874" w:type="dxa"/>
        <w:jc w:val="left"/>
        <w:tblInd w:w="0" w:type="dxa"/>
        <w:tblLayout w:type="fixed"/>
        <w:tblCellMar>
          <w:top w:w="28" w:type="dxa"/>
          <w:left w:w="28" w:type="dxa"/>
          <w:bottom w:w="28" w:type="dxa"/>
          <w:right w:w="28" w:type="dxa"/>
        </w:tblCellMar>
      </w:tblPr>
      <w:tblGrid>
        <w:gridCol w:w="815"/>
        <w:gridCol w:w="716"/>
        <w:gridCol w:w="718"/>
        <w:gridCol w:w="629"/>
        <w:gridCol w:w="629"/>
        <w:gridCol w:w="631"/>
        <w:gridCol w:w="215"/>
        <w:gridCol w:w="215"/>
        <w:gridCol w:w="306"/>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left w:val="single" w:sz="8" w:space="0" w:color="000000"/>
            </w:tcBorders>
            <w:shd w:fill="BFBFB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Patent Application Number</w:t>
            </w:r>
          </w:p>
        </w:tc>
        <w:tc>
          <w:tcPr>
            <w:tcW w:w="1889" w:type="dxa"/>
            <w:gridSpan w:val="3"/>
            <w:tcBorders>
              <w:top w:val="single" w:sz="8"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Jurisdiction of Filing</w:t>
            </w:r>
          </w:p>
        </w:tc>
        <w:tc>
          <w:tcPr>
            <w:tcW w:w="736" w:type="dxa"/>
            <w:gridSpan w:val="3"/>
            <w:tcBorders>
              <w:top w:val="single" w:sz="8" w:space="0" w:color="000000"/>
              <w:left w:val="single" w:sz="4" w:space="0" w:color="000000"/>
              <w:right w:val="single" w:sz="8" w:space="0" w:color="000000"/>
            </w:tcBorders>
            <w:shd w:fill="BFBFB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Status</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2021284861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202217076899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2023361184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3,270,486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202380080887.7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23 790574.0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62026118839.0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2025-521004</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10-2025-7015515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Republic of 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19/119,888</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3118556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202180046533.1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18/748,483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24 215587.7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42025109674.9</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Hong Kong</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PCT/EP2025/069677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WIPO</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114126133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Taiwan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2024212866</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Australia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3280177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Canada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202480014812.3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China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24 702075.3</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European Patent Office</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62026121807.2</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Hong Kong </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322260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Israel</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2025-542221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Japan</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10-2025-7027840</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Republic of Korea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823545</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Zealand</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19/149,911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63/957,091</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63/986,857</w:t>
            </w:r>
          </w:p>
        </w:tc>
        <w:tc>
          <w:tcPr>
            <w:tcW w:w="18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4" w:space="0" w:color="000000"/>
              <w:left w:val="single" w:sz="4"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r>
        <w:trPr/>
        <w:tc>
          <w:tcPr>
            <w:tcW w:w="2249" w:type="dxa"/>
            <w:gridSpan w:val="3"/>
            <w:tcBorders>
              <w:top w:val="single" w:sz="4"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64/093,493</w:t>
            </w:r>
          </w:p>
        </w:tc>
        <w:tc>
          <w:tcPr>
            <w:tcW w:w="1889" w:type="dxa"/>
            <w:gridSpan w:val="3"/>
            <w:tcBorders>
              <w:top w:val="single" w:sz="8" w:space="0" w:color="000000"/>
              <w:left w:val="single" w:sz="4"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United States of America</w:t>
            </w:r>
          </w:p>
        </w:tc>
        <w:tc>
          <w:tcPr>
            <w:tcW w:w="736" w:type="dxa"/>
            <w:gridSpan w:val="3"/>
            <w:tcBorders>
              <w:top w:val="single" w:sz="8" w:space="0" w:color="000000"/>
              <w:left w:val="single" w:sz="4"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Pending</w:t>
            </w:r>
          </w:p>
        </w:tc>
      </w:tr>
    </w:tbl>
    <w:p>
      <w:pPr>
        <w:pStyle w:val="TextBody"/>
        <w:bidi w:val="0"/>
        <w:spacing w:lineRule="auto" w:line="333"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Helus Pharma’s patent applications cover a wide range of NSA compounds from different classes, including those with targeted structural modifications for improved pharmacokinetic characteristics and safety profiles without altering their receptor binding. The patent applications also cover novel synthetic routes, pharmaceutical formulations, methods of use, and methods of administration. </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compounds to support its library of NSA derivative drug candidates.</w:t>
      </w:r>
    </w:p>
    <w:p>
      <w:pPr>
        <w:pStyle w:val="TextBody"/>
        <w:bidi w:val="0"/>
        <w:spacing w:before="0" w:after="0"/>
        <w:jc w:val="both"/>
        <w:rPr/>
      </w:pPr>
      <w:r>
        <w:rPr/>
      </w:r>
    </w:p>
    <w:p>
      <w:pPr>
        <w:pStyle w:val="TextBody"/>
        <w:bidi w:val="0"/>
        <w:spacing w:lineRule="auto" w:line="333" w:before="0" w:after="2"/>
        <w:jc w:val="both"/>
        <w:rPr/>
      </w:pPr>
      <w:r>
        <w:rPr>
          <w:rFonts w:ascii="Times New Roman;serif" w:hAnsi="Times New Roman;serif"/>
          <w:b w:val="false"/>
          <w:color w:val="000000"/>
          <w:sz w:val="22"/>
        </w:rPr>
        <w:t>As of August 11, 2026, the Company owns registrations or applications for forty-nine trademarks, including HELUS PHARMA</w:t>
      </w:r>
      <w:r>
        <w:rPr>
          <w:rFonts w:ascii="Times New Roman;serif" w:hAnsi="Times New Roman;serif"/>
          <w:b w:val="false"/>
          <w:color w:val="000000"/>
          <w:sz w:val="14"/>
        </w:rPr>
        <w:t>TM</w:t>
      </w:r>
      <w:r>
        <w:rPr>
          <w:rFonts w:ascii="Times New Roman;serif" w:hAnsi="Times New Roman;serif"/>
          <w:b w:val="false"/>
          <w:color w:val="000000"/>
          <w:sz w:val="22"/>
        </w:rPr>
        <w:t>, EMBARK</w:t>
      </w:r>
      <w:r>
        <w:rPr>
          <w:rFonts w:ascii="Times New Roman;serif" w:hAnsi="Times New Roman;serif"/>
          <w:b w:val="false"/>
          <w:color w:val="000000"/>
          <w:sz w:val="14"/>
        </w:rPr>
        <w:t>TM</w:t>
      </w:r>
      <w:r>
        <w:rPr>
          <w:rFonts w:ascii="Times New Roman;serif" w:hAnsi="Times New Roman;serif"/>
          <w:b w:val="false"/>
          <w:color w:val="000000"/>
          <w:sz w:val="22"/>
        </w:rPr>
        <w:t>, and HELPING MINDS HEAL</w:t>
      </w:r>
      <w:r>
        <w:rPr>
          <w:rFonts w:ascii="Times New Roman;serif" w:hAnsi="Times New Roman;serif"/>
          <w:b w:val="false"/>
          <w:color w:val="000000"/>
          <w:sz w:val="14"/>
        </w:rPr>
        <w:t>TM</w:t>
      </w:r>
      <w:r>
        <w:rPr>
          <w:rFonts w:ascii="Times New Roman;serif" w:hAnsi="Times New Roman;serif"/>
          <w:b w:val="false"/>
          <w:color w:val="000000"/>
          <w:sz w:val="22"/>
        </w:rPr>
        <w:t>.</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mission is to provide treatments designed to foster durable improvements in mental healthcare by engineering proprietary drug discovery platforms, innovative drug delivery systems, novel formulation approaches and treatment regimens to address the unmet needs of patients across a multitude of mental health issues. As the Company generates new data it will continue to file or acquire additional patent applications throughout the Company’s development program. </w:t>
      </w:r>
    </w:p>
    <w:p>
      <w:pPr>
        <w:pStyle w:val="TextBody"/>
        <w:bidi w:val="0"/>
        <w:spacing w:before="0" w:after="2"/>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2"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color w:val="000000"/>
          <w:sz w:val="22"/>
          <w:u w:val="single"/>
        </w:rPr>
      </w:pPr>
      <w:r>
        <w:rPr>
          <w:rFonts w:ascii="Times New Roman;serif" w:hAnsi="Times New Roman;serif"/>
          <w:b/>
          <w:color w:val="000000"/>
          <w:sz w:val="22"/>
          <w:u w:val="single"/>
        </w:rPr>
        <w:t>Research and Development</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is focused on development of next-generation therapies, through research and development of novel chemical compounds and delivery mechanisms and study of such compounds in clinical environments around the world. The Company anticipates growing its pipeline of pharmaceutical products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NSAs are a class of drug designed to activate serotonin receptors and pathways to improve brain and body function, with some NSAs causing thought, visual and auditory changes, and altered states of consciousness. The pharmacokinetics, pharmacology and human metabolism of the non-deuterated form of HLP003 are well known and well characterized. Once ingested, HLP003 acts on serotonin receptors in the brain to produce its intended effects.</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research and development must be conducted in strict compliance with the regulations of federal, state, local and regulatory agencies in the United States, European Union, the UK, Australia, Poland, Greece, Ireland and Canada, and the equivalent regulatory agencies in any other jurisdictions in which the Company operates. These regulatory authorities regulate, among other things, the research, manufacture, promotion and distribution of drugs in specific jurisdictions under applicable laws and regulations.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40"/>
        <w:jc w:val="both"/>
        <w:rPr>
          <w:rFonts w:ascii="Times New Roman;serif" w:hAnsi="Times New Roman;serif"/>
          <w:b/>
          <w:color w:val="000000"/>
          <w:sz w:val="22"/>
          <w:u w:val="single"/>
        </w:rPr>
      </w:pPr>
      <w:r>
        <w:rPr>
          <w:rFonts w:ascii="Times New Roman;serif" w:hAnsi="Times New Roman;serif"/>
          <w:b/>
          <w:color w:val="000000"/>
          <w:sz w:val="22"/>
          <w:u w:val="single"/>
        </w:rPr>
        <w:t xml:space="preserve">Regulatory Framework </w:t>
      </w:r>
    </w:p>
    <w:p>
      <w:pPr>
        <w:pStyle w:val="TextBody"/>
        <w:bidi w:val="0"/>
        <w:spacing w:lineRule="auto" w:line="333" w:before="0" w:after="0"/>
        <w:jc w:val="left"/>
        <w:rPr>
          <w:rFonts w:ascii="Times New Roman;serif" w:hAnsi="Times New Roman;serif"/>
          <w:b/>
          <w:i/>
          <w:color w:val="000000"/>
          <w:sz w:val="22"/>
        </w:rPr>
      </w:pPr>
      <w:r>
        <w:rPr>
          <w:rFonts w:ascii="Times New Roman;serif" w:hAnsi="Times New Roman;serif"/>
          <w:b/>
          <w:i/>
          <w:color w:val="000000"/>
          <w:sz w:val="22"/>
        </w:rPr>
        <w:t xml:space="preserve">United States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Company. </w:t>
      </w:r>
    </w:p>
    <w:p>
      <w:pPr>
        <w:pStyle w:val="TextBody"/>
        <w:bidi w:val="0"/>
        <w:spacing w:before="0" w:after="0"/>
        <w:jc w:val="left"/>
        <w:rPr/>
      </w:pPr>
      <w:r>
        <w:rPr/>
      </w:r>
    </w:p>
    <w:p>
      <w:pPr>
        <w:pStyle w:val="TextBody"/>
        <w:bidi w:val="0"/>
        <w:spacing w:lineRule="auto" w:line="333"/>
        <w:jc w:val="both"/>
        <w:rPr/>
      </w:pPr>
      <w:r>
        <w:rPr>
          <w:rFonts w:ascii="Times New Roman;serif" w:hAnsi="Times New Roman;serif"/>
          <w:b w:val="false"/>
          <w:color w:val="000000"/>
          <w:sz w:val="22"/>
        </w:rPr>
        <w:t>Certain serotonergic agonists, including certain NSAs, are strictly controlled under the federal Controlled Substances Act, 21 U.S.C. §801, et. seq. (“</w:t>
      </w:r>
      <w:r>
        <w:rPr>
          <w:rFonts w:ascii="Times New Roman;serif" w:hAnsi="Times New Roman;serif"/>
          <w:b/>
          <w:color w:val="000000"/>
          <w:sz w:val="22"/>
        </w:rPr>
        <w:t>CSA</w:t>
      </w:r>
      <w:r>
        <w:rPr>
          <w:color w:val="000000"/>
        </w:rPr>
        <w:t>”</w:t>
      </w:r>
      <w:r>
        <w:rPr>
          <w:rFonts w:ascii="Times New Roman;serif" w:hAnsi="Times New Roman;serif"/>
          <w:b w:val="false"/>
          <w:color w:val="000000"/>
          <w:sz w:val="22"/>
        </w:rPr>
        <w:t xml:space="preserve">)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w:t>
      </w:r>
    </w:p>
    <w:p>
      <w:pPr>
        <w:pStyle w:val="TextBody"/>
        <w:bidi w:val="0"/>
        <w:spacing w:before="0" w:after="2"/>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3"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substances listed in Schedule I under the CSA must register with the DEA and obtain DEA approval of the research proposal. A majority of state laws in the United States also classify certain serotonergic agonists, including certain NSAs, as Schedule I controlled substances. For any product containing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Research and Development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Because HLP003 and HLP004 are treated as Schedule I substances under the CSA, for any product containing HLP003 or HLP004, or any Schedule I substance to be available for commercial marketing in the United States, such substance must be rescheduled, or the product itself must be scheduled, by the DEA to Schedule II, III, IV or V.</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process required before a prescription drug product candidate may be marketed in the United States generally involves:</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completion of extensive non-clinical laboratory tests, animal studies and formulation studies, all performed in accordance with the FDA’s Good Laboratory, Good Clinical and/or Good Manufacturing Practice regulations;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submission to the FDA of an IND Application, which the FDA must approve before human clinical trials may begin;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approval by an IRB or independent ethics committee at each clinical trial site before each trial may be initiated;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submission to the FDA of a NDA;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FDA review and approval of the NDA prior to any commercial marketing, sale or shipment of the drug.</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pStyle w:val="TextBody"/>
        <w:bidi w:val="0"/>
        <w:spacing w:before="0" w:after="0"/>
        <w:jc w:val="left"/>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Non-clinical tests include laboratory evaluations of product chemistry, formulation and stability, as well as studies to evaluate toxicity in animals and other animal studies or through FDA-accepted </w:t>
      </w:r>
    </w:p>
    <w:p>
      <w:pPr>
        <w:pStyle w:val="TextBody"/>
        <w:bidi w:val="0"/>
        <w:spacing w:before="0" w:after="2"/>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4"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w:t>
      </w:r>
    </w:p>
    <w:p>
      <w:pPr>
        <w:pStyle w:val="TextBody"/>
        <w:bidi w:val="0"/>
        <w:spacing w:before="0" w:after="2"/>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5"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advantage in, or shorten the duration of, the development, review and approval process. However, this designation provides an exemption from marketing and authorization fees.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 xml:space="preserve">In the United States, pharmaceutical manufacturers are subject to complex laws and regulations pertaining to healthcare “fraud and abuse,” including, but not limited to, the Anti-Kickback Statute, the federal </w:t>
      </w:r>
      <w:r>
        <w:rPr>
          <w:rFonts w:ascii="Times New Roman;serif" w:hAnsi="Times New Roman;serif"/>
          <w:b w:val="false"/>
          <w:i/>
          <w:color w:val="000000"/>
          <w:sz w:val="22"/>
        </w:rPr>
        <w:t>False Claims Act</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FCA</w:t>
      </w:r>
      <w:r>
        <w:rPr>
          <w:color w:val="000000"/>
        </w:rPr>
        <w:t>”</w:t>
      </w:r>
      <w:r>
        <w:rPr>
          <w:rFonts w:ascii="Times New Roman;serif" w:hAnsi="Times New Roman;serif"/>
          <w:b w:val="false"/>
          <w:color w:val="000000"/>
          <w:sz w:val="22"/>
        </w:rPr>
        <w:t xml:space="preserve">),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w:t>
      </w:r>
    </w:p>
    <w:p>
      <w:pPr>
        <w:pStyle w:val="TextBody"/>
        <w:bidi w:val="0"/>
        <w:spacing w:before="0" w:after="0"/>
        <w:jc w:val="left"/>
        <w:rPr/>
      </w:pPr>
      <w:r>
        <w:rPr/>
      </w:r>
    </w:p>
    <w:p>
      <w:pPr>
        <w:pStyle w:val="TextBody"/>
        <w:bidi w:val="0"/>
        <w:spacing w:lineRule="auto" w:line="333"/>
        <w:jc w:val="both"/>
        <w:rPr/>
      </w:pPr>
      <w:r>
        <w:rPr>
          <w:rFonts w:ascii="Times New Roman;serif" w:hAnsi="Times New Roman;serif"/>
          <w:b w:val="false"/>
          <w:color w:val="000000"/>
          <w:sz w:val="22"/>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w:t>
      </w:r>
      <w:r>
        <w:rPr>
          <w:color w:val="000000"/>
        </w:rPr>
        <w:t xml:space="preserve"> </w:t>
      </w:r>
      <w:r>
        <w:rPr>
          <w:rFonts w:ascii="Times New Roman;serif" w:hAnsi="Times New Roman;serif"/>
          <w:b w:val="false"/>
          <w:color w:val="000000"/>
          <w:sz w:val="22"/>
        </w:rPr>
        <w:t xml:space="preserve">The government has obtained multi-million </w:t>
      </w:r>
    </w:p>
    <w:p>
      <w:pPr>
        <w:pStyle w:val="TextBody"/>
        <w:bidi w:val="0"/>
        <w:spacing w:before="0" w:after="2"/>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6"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r>
        <w:rPr>
          <w:color w:val="000000"/>
        </w:rPr>
        <w:t xml:space="preserve"> </w:t>
      </w:r>
      <w:r>
        <w:rPr>
          <w:rFonts w:ascii="Times New Roman;serif" w:hAnsi="Times New Roman;serif"/>
          <w:b w:val="false"/>
          <w:color w:val="000000"/>
          <w:sz w:val="22"/>
        </w:rPr>
        <w:t>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There are also an increasing number of state laws that require manufacturers to make reports to states on pricing and marketing information.</w:t>
      </w:r>
      <w:r>
        <w:rPr>
          <w:color w:val="000000"/>
        </w:rPr>
        <w:t xml:space="preserve"> </w:t>
      </w:r>
      <w:r>
        <w:rPr>
          <w:rFonts w:ascii="Times New Roman;serif" w:hAnsi="Times New Roman;serif"/>
          <w:b w:val="false"/>
          <w:color w:val="000000"/>
          <w:sz w:val="22"/>
        </w:rPr>
        <w:t>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r>
        <w:rPr>
          <w:color w:val="000000"/>
        </w:rPr>
        <w:t xml:space="preserve">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Controlled Substances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pStyle w:val="TextBody"/>
        <w:bidi w:val="0"/>
        <w:spacing w:before="0" w:after="283"/>
        <w:jc w:val="left"/>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7"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The DEA may inspect all research and manufacturing facilities to review security, recordkeeping, reporting and handling prior to issuing a controlled substance registration and periodically to ensure continued compliance.</w:t>
      </w:r>
      <w:r>
        <w:rPr>
          <w:color w:val="000000"/>
        </w:rPr>
        <w:t xml:space="preserve"> </w:t>
      </w:r>
      <w:r>
        <w:rPr>
          <w:rFonts w:ascii="Times New Roman;serif" w:hAnsi="Times New Roman;serif"/>
          <w:b w:val="false"/>
          <w:color w:val="000000"/>
          <w:sz w:val="22"/>
        </w:rPr>
        <w:t xml:space="preserve">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Individual U.S. states also establish and maintain separate controlled substance laws and regulations, including licensing, recordkeeping, security, distribution, and dispensing requirements. A majority of state laws in the United States also treat HLP003 and HLP004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 xml:space="preserve">European Union/Netherlands </w:t>
      </w:r>
    </w:p>
    <w:p>
      <w:pPr>
        <w:pStyle w:val="TextBody"/>
        <w:bidi w:val="0"/>
        <w:spacing w:before="0" w:after="0"/>
        <w:jc w:val="left"/>
        <w:rPr/>
      </w:pPr>
      <w:r>
        <w:rPr/>
      </w:r>
    </w:p>
    <w:p>
      <w:pPr>
        <w:pStyle w:val="TextBody"/>
        <w:bidi w:val="0"/>
        <w:spacing w:lineRule="auto" w:line="333"/>
        <w:jc w:val="both"/>
        <w:rPr/>
      </w:pPr>
      <w:r>
        <w:rPr>
          <w:rFonts w:ascii="Times New Roman;serif" w:hAnsi="Times New Roman;serif"/>
          <w:b w:val="false"/>
          <w:color w:val="000000"/>
          <w:sz w:val="22"/>
        </w:rPr>
        <w:t>The International Narcotics Control Board (“</w:t>
      </w:r>
      <w:r>
        <w:rPr>
          <w:rFonts w:ascii="Times New Roman;serif" w:hAnsi="Times New Roman;serif"/>
          <w:b/>
          <w:color w:val="000000"/>
          <w:sz w:val="22"/>
        </w:rPr>
        <w:t>INCB</w:t>
      </w:r>
      <w:r>
        <w:rPr>
          <w:color w:val="000000"/>
        </w:rPr>
        <w:t>”</w:t>
      </w:r>
      <w:r>
        <w:rPr>
          <w:rFonts w:ascii="Times New Roman;serif" w:hAnsi="Times New Roman;serif"/>
          <w:b w:val="false"/>
          <w:color w:val="000000"/>
          <w:sz w:val="22"/>
        </w:rPr>
        <w:t>), a United Nations (“</w:t>
      </w:r>
      <w:r>
        <w:rPr>
          <w:rFonts w:ascii="Times New Roman;serif" w:hAnsi="Times New Roman;serif"/>
          <w:b/>
          <w:color w:val="000000"/>
          <w:sz w:val="22"/>
        </w:rPr>
        <w:t>UN</w:t>
      </w:r>
      <w:r>
        <w:rPr>
          <w:color w:val="000000"/>
        </w:rPr>
        <w:t>”</w:t>
      </w:r>
      <w:r>
        <w:rPr>
          <w:rFonts w:ascii="Times New Roman;serif" w:hAnsi="Times New Roman;serif"/>
          <w:b w:val="false"/>
          <w:color w:val="000000"/>
          <w:sz w:val="22"/>
        </w:rPr>
        <w:t xml:space="preserve">) entity, monitors enforcement of restrictions on controlled substances. The INCB’s authority is defined by three international UN treaties – the UN Single Convention on Narcotic Drugs of 1961, the UN </w:t>
      </w:r>
    </w:p>
    <w:p>
      <w:pPr>
        <w:pStyle w:val="TextBody"/>
        <w:bidi w:val="0"/>
        <w:spacing w:before="0" w:after="2"/>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8"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 </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(which applies only in certain limited situations)</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can provoke a Council Decision requiring EU member states to put a drug under national controls equivalent to those of the INCB. HLP004 is currently classified as a Schedule I substance under the UN71; the EU member states that are party to the UN71, including the Netherlands, have agreed to the following in respect of Schedule I substances:</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prohibit all use except for scientific and very limited medical purposes by duly authorized persons, in medical or scientific establishments which are directly under the control of their Governments or specifically approved by them;</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require that manufacture, trade, distribution and possession be under a special licence or prior authorization;</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provide for close supervision of the activities and acts mentioned in paragraphs (a) and (b);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restrict the amount supplied to a duly authorized person to the quantity required for his authorized purpose;</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require that persons performing medical or scientific functions keep records concerning the acquisition of the substances and the details of their use, such records to be preserved for at least two years after the last use recorded therein; and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Helus Pharma will investigate the specific regulatory requirements of such EU member state. As referenced above, a licence is required for individuals and entities who wish to produce, dispense, import, or export Schedule I substances, but the specific requirements vary from country to country. Currently, DMT is classified in the Netherlands as a List 1 Drug under the Dutch Opium Act (Opiumwet) (the </w:t>
      </w:r>
    </w:p>
    <w:p>
      <w:pPr>
        <w:pStyle w:val="TextBody"/>
        <w:bidi w:val="0"/>
        <w:spacing w:lineRule="auto" w:line="240"/>
        <w:jc w:val="both"/>
        <w:rPr/>
      </w:pPr>
      <w:r>
        <w:rPr>
          <w:rFonts w:ascii="Times New Roman;serif" w:hAnsi="Times New Roman;serif"/>
          <w:b w:val="false"/>
          <w:color w:val="000000"/>
          <w:sz w:val="16"/>
        </w:rPr>
        <w:t>25</w:t>
      </w:r>
      <w:r>
        <w:rPr>
          <w:color w:val="000000"/>
        </w:rPr>
        <w:t xml:space="preserve"> </w:t>
      </w:r>
      <w:r>
        <w:rPr>
          <w:rFonts w:ascii="Times New Roman;serif" w:hAnsi="Times New Roman;serif"/>
          <w:b w:val="false"/>
          <w:color w:val="000000"/>
          <w:sz w:val="18"/>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pStyle w:val="TextBody"/>
        <w:bidi w:val="0"/>
        <w:spacing w:before="0" w:after="2"/>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69"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lineRule="auto" w:line="333" w:before="0" w:after="0"/>
        <w:jc w:val="both"/>
        <w:rPr/>
      </w:pPr>
      <w:r>
        <w:rPr>
          <w:color w:val="000000"/>
        </w:rPr>
        <w:t>“</w:t>
      </w:r>
      <w:r>
        <w:rPr>
          <w:rFonts w:ascii="Times New Roman;serif" w:hAnsi="Times New Roman;serif"/>
          <w:b/>
          <w:color w:val="000000"/>
          <w:sz w:val="22"/>
        </w:rPr>
        <w:t>Dutch Opium Act</w:t>
      </w:r>
      <w:r>
        <w:rPr>
          <w:color w:val="000000"/>
        </w:rPr>
        <w:t>”</w:t>
      </w:r>
      <w:r>
        <w:rPr>
          <w:rFonts w:ascii="Times New Roman;serif" w:hAnsi="Times New Roman;serif"/>
          <w:b w:val="false"/>
          <w:color w:val="000000"/>
          <w:sz w:val="22"/>
        </w:rPr>
        <w:t xml:space="preserve">) and as such, subject to express authorization being obtained, the production, trade and possession of DMT are prohibited.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the Dutch Opium Act, two other Dutch Acts may be relevant when it comes to drugs: the Medicines Act and the Commodities Act.</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serif" w:hAnsi="Times New Roman;serif"/>
          <w:b/>
          <w:color w:val="000000"/>
          <w:sz w:val="22"/>
        </w:rPr>
        <w:t>CCMO</w:t>
      </w:r>
      <w:r>
        <w:rPr>
          <w:color w:val="000000"/>
        </w:rPr>
        <w:t>”</w:t>
      </w:r>
      <w:r>
        <w:rPr>
          <w:rFonts w:ascii="Times New Roman;serif" w:hAnsi="Times New Roman;serif"/>
          <w:b w:val="false"/>
          <w:color w:val="000000"/>
          <w:sz w:val="22"/>
        </w:rPr>
        <w:t>), which is also known as the Competent Authority in The Netherlands. In Dutch, the CCMO is called the ‘</w:t>
      </w:r>
      <w:r>
        <w:rPr>
          <w:rFonts w:ascii="Times New Roman;serif" w:hAnsi="Times New Roman;serif"/>
          <w:b w:val="false"/>
          <w:i/>
          <w:color w:val="000000"/>
          <w:sz w:val="22"/>
        </w:rPr>
        <w:t>Centrale Commissie Mensgebonden Onderzoek</w:t>
      </w:r>
      <w:r>
        <w:rPr>
          <w:color w:val="000000"/>
        </w:rPr>
        <w:t>’</w:t>
      </w:r>
      <w:r>
        <w:rPr>
          <w:rFonts w:ascii="Times New Roman;serif" w:hAnsi="Times New Roman;serif"/>
          <w:b w:val="false"/>
          <w:color w:val="000000"/>
          <w:sz w:val="22"/>
        </w:rPr>
        <w:t xml:space="preserve">. In cases where the study involves a substance subject to the Dutch Opium Act (such as DMT), an official exemption by Farmatec is needed, which needs to be included in the CTA.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Research and Development</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Regulation (EU) No 536/2014 on Clinical Trials on Medicinal Products for Human Use ( the “</w:t>
      </w:r>
      <w:r>
        <w:rPr>
          <w:rFonts w:ascii="Times New Roman;serif" w:hAnsi="Times New Roman;serif"/>
          <w:b/>
          <w:color w:val="000000"/>
          <w:sz w:val="22"/>
        </w:rPr>
        <w:t>CTR</w:t>
      </w:r>
      <w:r>
        <w:rPr>
          <w:color w:val="000000"/>
        </w:rPr>
        <w:t>”</w:t>
      </w:r>
      <w:r>
        <w:rPr>
          <w:rFonts w:ascii="Times New Roman;serif" w:hAnsi="Times New Roman;serif"/>
          <w:b w:val="false"/>
          <w:color w:val="000000"/>
          <w:sz w:val="22"/>
        </w:rPr>
        <w:t>) is applicable as of January 31, 2022, harmonizing the laws, regulations and administrative provisions of the EU Member States relating to the implementation of Good Clinical Practice in the conduct of clinical trials on medicinal products for human use.</w:t>
      </w:r>
      <w:r>
        <w:rPr>
          <w:rFonts w:ascii="Times New Roman;serif" w:hAnsi="Times New Roman;serif"/>
          <w:b w:val="false"/>
          <w:color w:val="000000"/>
          <w:sz w:val="14"/>
        </w:rPr>
        <w:t>26</w:t>
      </w:r>
      <w:r>
        <w:rPr>
          <w:color w:val="000000"/>
        </w:rPr>
        <w:t xml:space="preserve"> </w:t>
      </w:r>
      <w:r>
        <w:rPr>
          <w:rFonts w:ascii="Times New Roman;serif" w:hAnsi="Times New Roman;serif"/>
          <w:b w:val="false"/>
          <w:color w:val="000000"/>
          <w:sz w:val="22"/>
        </w:rPr>
        <w:t>The CTR repealed the Clinical Trials Directive, which had previously been transformed into the respective national laws of Member States. The CTR now applies directly in all Member States without transposition being necessary. Pursuant to the CTR, as of January 31, 2023 sponsors are obliged to use the Clinical Trials Information System (“</w:t>
      </w:r>
      <w:r>
        <w:rPr>
          <w:rFonts w:ascii="Times New Roman;serif" w:hAnsi="Times New Roman;serif"/>
          <w:b/>
          <w:color w:val="000000"/>
          <w:sz w:val="22"/>
        </w:rPr>
        <w:t>CTIS</w:t>
      </w:r>
      <w:r>
        <w:rPr>
          <w:color w:val="000000"/>
        </w:rPr>
        <w:t>”</w:t>
      </w:r>
      <w:r>
        <w:rPr>
          <w:rFonts w:ascii="Times New Roman;serif" w:hAnsi="Times New Roman;serif"/>
          <w:b w:val="false"/>
          <w:color w:val="000000"/>
          <w:sz w:val="22"/>
        </w:rPr>
        <w:t xml:space="preserve">) for regularity submission, authorization and supervision of clinical trials in the EU and the EEA. CTIS thus serves as the single-entry point for submissions by sponsors and for regulatory assessment. In addition to this obligation, sponsors have transferred any ongoing (approved) trials under the CTR to CTIS by January 2025. Further, EMA adopted on October 5, 2023, the “Revised CTIS Transparency </w:t>
      </w:r>
    </w:p>
    <w:p>
      <w:pPr>
        <w:pStyle w:val="TextBody"/>
        <w:bidi w:val="0"/>
        <w:spacing w:lineRule="auto" w:line="240"/>
        <w:jc w:val="both"/>
        <w:rPr/>
      </w:pPr>
      <w:r>
        <w:rPr>
          <w:rFonts w:ascii="Times New Roman;serif" w:hAnsi="Times New Roman;serif"/>
          <w:b w:val="false"/>
          <w:color w:val="000000"/>
          <w:sz w:val="16"/>
        </w:rPr>
        <w:t>26</w:t>
      </w:r>
      <w:r>
        <w:rPr>
          <w:color w:val="000000"/>
        </w:rPr>
        <w:t xml:space="preserve"> </w:t>
      </w:r>
      <w:r>
        <w:rPr>
          <w:rFonts w:ascii="Times New Roman;serif" w:hAnsi="Times New Roman;serif"/>
          <w:b w:val="false"/>
          <w:color w:val="000000"/>
          <w:sz w:val="18"/>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pStyle w:val="TextBody"/>
        <w:bidi w:val="0"/>
        <w:spacing w:before="0" w:after="2"/>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0"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 </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serif" w:hAnsi="Times New Roman;serif"/>
          <w:b/>
          <w:color w:val="000000"/>
          <w:sz w:val="22"/>
        </w:rPr>
        <w:t>CTAG</w:t>
      </w:r>
      <w:r>
        <w:rPr>
          <w:color w:val="000000"/>
        </w:rPr>
        <w:t>”</w:t>
      </w:r>
      <w:r>
        <w:rPr>
          <w:rFonts w:ascii="Times New Roman;serif" w:hAnsi="Times New Roman;serif"/>
          <w:b w:val="false"/>
          <w:color w:val="000000"/>
          <w:sz w:val="22"/>
        </w:rPr>
        <w:t>) on December 8, 2023. The current version is dated March, 2024.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European Medicines Agency's (“</w:t>
      </w:r>
      <w:r>
        <w:rPr>
          <w:rFonts w:ascii="Times New Roman;serif" w:hAnsi="Times New Roman;serif"/>
          <w:b/>
          <w:color w:val="000000"/>
          <w:sz w:val="22"/>
        </w:rPr>
        <w:t>EMA</w:t>
      </w:r>
      <w:r>
        <w:rPr>
          <w:color w:val="000000"/>
        </w:rPr>
        <w:t>”</w:t>
      </w:r>
      <w:r>
        <w:rPr>
          <w:rFonts w:ascii="Times New Roman;serif" w:hAnsi="Times New Roman;serif"/>
          <w:b w:val="false"/>
          <w:color w:val="000000"/>
          <w:sz w:val="22"/>
        </w:rPr>
        <w:t>) “Clinical Trials Information System (CTIS): online training modules” in order to gain a better understanding of the legislative changes that are effected by the CTR.</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The Investigational Medicinal Product Dossier (“</w:t>
      </w:r>
      <w:r>
        <w:rPr>
          <w:rFonts w:ascii="Times New Roman;serif" w:hAnsi="Times New Roman;serif"/>
          <w:b/>
          <w:color w:val="000000"/>
          <w:sz w:val="24"/>
        </w:rPr>
        <w:t>IMPD</w:t>
      </w:r>
      <w:r>
        <w:rPr>
          <w:color w:val="000000"/>
        </w:rPr>
        <w:t>”</w:t>
      </w:r>
      <w:r>
        <w:rPr>
          <w:rFonts w:ascii="Times New Roman;serif" w:hAnsi="Times New Roman;serif"/>
          <w:b w:val="false"/>
          <w:color w:val="000000"/>
          <w:sz w:val="22"/>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EMA guidelines, some of which were originally developed under the former Clinical Trials Directive but have since been updated to reflect the requirements of the CTR.</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largely resemble the types of information required in clinical trial applications in Canada and the United States. The IMPD need not be a large document as the amount of information to be contained in the dossier is dependent on various factors such as product type, indication, development phase etc.</w:t>
      </w:r>
    </w:p>
    <w:p>
      <w:pPr>
        <w:pStyle w:val="TextBody"/>
        <w:bidi w:val="0"/>
        <w:spacing w:before="0" w:after="0"/>
        <w:jc w:val="left"/>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pStyle w:val="TextBody"/>
        <w:bidi w:val="0"/>
        <w:spacing w:before="0" w:after="2"/>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1"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w:t>
      </w:r>
      <w:r>
        <w:rPr>
          <w:color w:val="000000"/>
        </w:rPr>
        <w:t xml:space="preserve"> </w:t>
      </w:r>
      <w:r>
        <w:rPr>
          <w:rFonts w:ascii="Times New Roman;serif" w:hAnsi="Times New Roman;serif"/>
          <w:b w:val="false"/>
          <w:color w:val="000000"/>
          <w:sz w:val="22"/>
        </w:rPr>
        <w:t xml:space="preserve">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Pharmaceutical Products</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In accordance with the Dutch Medicines Act (</w:t>
      </w:r>
      <w:r>
        <w:rPr>
          <w:rFonts w:ascii="Times New Roman;serif" w:hAnsi="Times New Roman;serif"/>
          <w:b w:val="false"/>
          <w:i/>
          <w:color w:val="000000"/>
          <w:sz w:val="24"/>
        </w:rPr>
        <w:t>Geneesmiddelenwet</w:t>
      </w:r>
      <w:r>
        <w:rPr>
          <w:rFonts w:ascii="Times New Roman;serif" w:hAnsi="Times New Roman;serif"/>
          <w:b w:val="false"/>
          <w:color w:val="000000"/>
          <w:sz w:val="22"/>
        </w:rPr>
        <w:t xml:space="preserve">),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 </w:t>
      </w:r>
    </w:p>
    <w:p>
      <w:pPr>
        <w:pStyle w:val="TextBody"/>
        <w:bidi w:val="0"/>
        <w:spacing w:before="0" w:after="0"/>
        <w:jc w:val="left"/>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recognized by the competent authorities of the other Member </w:t>
      </w:r>
    </w:p>
    <w:p>
      <w:pPr>
        <w:pStyle w:val="TextBody"/>
        <w:bidi w:val="0"/>
        <w:spacing w:before="0" w:after="2"/>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2"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Only a natural or legal person established in the Netherlands may obtain either a Dutch marketing authorization or a</w:t>
      </w:r>
      <w:r>
        <w:rPr>
          <w:color w:val="000000"/>
        </w:rPr>
        <w:t xml:space="preserve"> </w:t>
      </w:r>
      <w:r>
        <w:rPr>
          <w:rFonts w:ascii="Times New Roman;serif" w:hAnsi="Times New Roman;serif"/>
          <w:b w:val="false"/>
          <w:color w:val="000000"/>
          <w:sz w:val="22"/>
        </w:rPr>
        <w:t>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Marketing Authorization Regulatory Process </w:t>
      </w:r>
    </w:p>
    <w:p>
      <w:pPr>
        <w:pStyle w:val="TextBody"/>
        <w:bidi w:val="0"/>
        <w:spacing w:before="0" w:after="0"/>
        <w:jc w:val="left"/>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w:t>
      </w:r>
    </w:p>
    <w:p>
      <w:pPr>
        <w:pStyle w:val="TextBody"/>
        <w:bidi w:val="0"/>
        <w:spacing w:before="0" w:after="2"/>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3"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e.g. cancer, AIDS, neurodegenerative diseases and diabetes and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serif" w:hAnsi="Times New Roman;serif"/>
          <w:b/>
          <w:color w:val="000000"/>
          <w:sz w:val="22"/>
        </w:rPr>
        <w:t>RMS</w:t>
      </w:r>
      <w:r>
        <w:rPr>
          <w:color w:val="000000"/>
        </w:rPr>
        <w:t>”</w:t>
      </w:r>
      <w:r>
        <w:rPr>
          <w:rFonts w:ascii="Times New Roman;serif" w:hAnsi="Times New Roman;serif"/>
          <w:b w:val="false"/>
          <w:color w:val="000000"/>
          <w:sz w:val="22"/>
        </w:rPr>
        <w:t>) in the procedure. After having shared draft assessment reports to which both the applicant and the competent authorities of other Member States may respond, the Decentralized procedure results in coordinated national marketing authorization in all involved Member States.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serif" w:hAnsi="Times New Roman;serif"/>
          <w:b/>
          <w:color w:val="000000"/>
          <w:sz w:val="22"/>
        </w:rPr>
        <w:t>CMDh</w:t>
      </w:r>
      <w:r>
        <w:rPr>
          <w:color w:val="000000"/>
        </w:rPr>
        <w:t>”</w:t>
      </w:r>
      <w:r>
        <w:rPr>
          <w:rFonts w:ascii="Times New Roman;serif" w:hAnsi="Times New Roman;serif"/>
          <w:b w:val="false"/>
          <w:color w:val="000000"/>
          <w:sz w:val="22"/>
        </w:rPr>
        <w:t>). When all Member States involved decide on a positive opinion on products in the CMDh, Dutch translations of the summary of product characteristics, package leaflet, labelling texts and mock-ups are submitted and a national marketing authorization is issued.</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i/>
          <w:color w:val="000000"/>
          <w:sz w:val="22"/>
        </w:rPr>
      </w:pPr>
      <w:r>
        <w:rPr>
          <w:rFonts w:ascii="Times New Roman;serif" w:hAnsi="Times New Roman;serif"/>
          <w:b/>
          <w:i/>
          <w:color w:val="000000"/>
          <w:sz w:val="22"/>
        </w:rPr>
        <w:t xml:space="preserve">United Kingdom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pStyle w:val="TextBody"/>
        <w:bidi w:val="0"/>
        <w:spacing w:before="0" w:after="0"/>
        <w:jc w:val="both"/>
        <w:rPr/>
      </w:pPr>
      <w:r>
        <w:rPr/>
      </w:r>
    </w:p>
    <w:p>
      <w:pPr>
        <w:pStyle w:val="TextBody"/>
        <w:bidi w:val="0"/>
        <w:spacing w:lineRule="auto" w:line="333"/>
        <w:jc w:val="both"/>
        <w:rPr/>
      </w:pPr>
      <w:r>
        <w:rPr>
          <w:rFonts w:ascii="Times New Roman;serif" w:hAnsi="Times New Roman;serif"/>
          <w:b w:val="false"/>
          <w:color w:val="000000"/>
          <w:sz w:val="22"/>
        </w:rPr>
        <w:t>The main UK controlled drugs legislation is the Misuse of Drugs Act 1971 (the “</w:t>
      </w:r>
      <w:r>
        <w:rPr>
          <w:rFonts w:ascii="Times New Roman;serif" w:hAnsi="Times New Roman;serif"/>
          <w:b/>
          <w:color w:val="000000"/>
          <w:sz w:val="22"/>
        </w:rPr>
        <w:t>MDA</w:t>
      </w:r>
      <w:r>
        <w:rPr>
          <w:color w:val="000000"/>
        </w:rPr>
        <w:t>”</w:t>
      </w:r>
      <w:r>
        <w:rPr>
          <w:rFonts w:ascii="Times New Roman;serif" w:hAnsi="Times New Roman;serif"/>
          <w:b w:val="false"/>
          <w:color w:val="000000"/>
          <w:sz w:val="22"/>
        </w:rPr>
        <w:t>) and the Misuse of Drugs Regulations 2001 (the “</w:t>
      </w:r>
      <w:r>
        <w:rPr>
          <w:rFonts w:ascii="Times New Roman;serif" w:hAnsi="Times New Roman;serif"/>
          <w:b/>
          <w:color w:val="000000"/>
          <w:sz w:val="22"/>
        </w:rPr>
        <w:t>MDR</w:t>
      </w:r>
      <w:r>
        <w:rPr>
          <w:color w:val="000000"/>
        </w:rPr>
        <w:t>”</w:t>
      </w:r>
      <w:r>
        <w:rPr>
          <w:rFonts w:ascii="Times New Roman;serif" w:hAnsi="Times New Roman;serif"/>
          <w:b w:val="false"/>
          <w:color w:val="000000"/>
          <w:sz w:val="22"/>
        </w:rPr>
        <w:t xml:space="preserve">), each as amended. The MDA sets out the penalties for unlawful production, possession and supply of controlled drugs based on three classes of risk (A, </w:t>
      </w:r>
    </w:p>
    <w:p>
      <w:pPr>
        <w:pStyle w:val="TextBody"/>
        <w:bidi w:val="0"/>
        <w:spacing w:before="0" w:after="2"/>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4"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B and C). The MDR sets out the permitted uses of controlled drugs based on which Schedule (1 to 5) they fall within.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the United Kingdom, HLP003 and HLP004 are controlled as a Class A drug under the MDA and Schedule 1 drug under the MDR.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previously mentioned that it intended to file a clinical trial application with the UK Medical and Healthcare Products Regulatory Agency (“</w:t>
      </w:r>
      <w:r>
        <w:rPr>
          <w:rFonts w:ascii="Times New Roman;serif" w:hAnsi="Times New Roman;serif"/>
          <w:b/>
          <w:color w:val="000000"/>
          <w:sz w:val="22"/>
        </w:rPr>
        <w:t>MHRA</w:t>
      </w:r>
      <w:r>
        <w:rPr>
          <w:color w:val="000000"/>
        </w:rPr>
        <w:t>”</w:t>
      </w:r>
      <w:r>
        <w:rPr>
          <w:rFonts w:ascii="Times New Roman;serif" w:hAnsi="Times New Roman;serif"/>
          <w:b w:val="false"/>
          <w:color w:val="000000"/>
          <w:sz w:val="22"/>
        </w:rPr>
        <w:t xml:space="preserve">) related to the HLP003 Program upon completion of its pre-clinical studies and CMC development. The Company had then decided that it would first proceed in the U.S. and would subsequently file a clinical trial application with the MHRA. On July 17, 2025, the Company announced that it has received approval from the MHRA to commence EMBRACE, the second pivotal study in PARADIGM. Anticipated timelines related to regulatory filings are based on reasonable assumptions informed by current knowledge and information available to the Company.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Licensing Requirements </w:t>
      </w:r>
    </w:p>
    <w:p>
      <w:pPr>
        <w:pStyle w:val="TextBody"/>
        <w:bidi w:val="0"/>
        <w:spacing w:before="0" w:after="0"/>
        <w:jc w:val="left"/>
        <w:rPr/>
      </w:pPr>
      <w:r>
        <w:rPr/>
      </w:r>
    </w:p>
    <w:p>
      <w:pPr>
        <w:pStyle w:val="TextBody"/>
        <w:bidi w:val="0"/>
        <w:spacing w:lineRule="auto" w:line="312" w:before="0" w:after="0"/>
        <w:jc w:val="both"/>
        <w:rPr/>
      </w:pPr>
      <w:r>
        <w:rPr>
          <w:rFonts w:ascii="Times New Roman;serif" w:hAnsi="Times New Roman;serif"/>
          <w:b w:val="false"/>
          <w:color w:val="000000"/>
          <w:sz w:val="22"/>
        </w:rPr>
        <w:t>The Company obtains HLP003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sites in the U.S., Europe, the UK and Australia. As a part of the Asset Acquisition, the Company also acquired API. The HLP004-E API was manufactured in the Netherlands by a pharmaceutical ingredient provider that is US FDA-inspected.</w:t>
      </w:r>
      <w:r>
        <w:rPr>
          <w:rFonts w:ascii="Times New Roman;serif" w:hAnsi="Times New Roman;serif"/>
          <w:b w:val="false"/>
          <w:color w:val="000000"/>
          <w:sz w:val="14"/>
        </w:rPr>
        <w:t>27</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2"/>
        </w:rPr>
      </w:pPr>
      <w:r>
        <w:rPr>
          <w:rFonts w:ascii="Times New Roman;serif" w:hAnsi="Times New Roman;serif"/>
          <w:b w:val="false"/>
          <w:color w:val="000000"/>
          <w:sz w:val="22"/>
        </w:rPr>
        <w:t>As mentioned above, in order to produce, possess and supply the API at a UK-based facility, the facility must also hold a domestic license issued by the Home Office covering the manufacture, production, possession and supply of a controlled substance. For export of the API to the United States, an export license is required for each API shipment. The export application must include details of the importer and any import license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pStyle w:val="TextBody"/>
        <w:bidi w:val="0"/>
        <w:spacing w:before="0" w:after="0"/>
        <w:jc w:val="left"/>
        <w:rPr/>
      </w:pPr>
      <w:r>
        <w:rPr/>
      </w:r>
    </w:p>
    <w:p>
      <w:pPr>
        <w:pStyle w:val="TextBody"/>
        <w:bidi w:val="0"/>
        <w:spacing w:lineRule="auto" w:line="252"/>
        <w:jc w:val="both"/>
        <w:rPr/>
      </w:pPr>
      <w:r>
        <w:rPr>
          <w:rFonts w:ascii="Times New Roman;serif" w:hAnsi="Times New Roman;serif"/>
          <w:b w:val="false"/>
          <w:color w:val="000000"/>
          <w:sz w:val="16"/>
        </w:rPr>
        <w:t>27</w:t>
      </w:r>
      <w:r>
        <w:rPr>
          <w:color w:val="000000"/>
        </w:rPr>
        <w:t xml:space="preserve"> </w:t>
      </w:r>
      <w:r>
        <w:rPr>
          <w:rFonts w:ascii="Times New Roman;serif" w:hAnsi="Times New Roman;serif"/>
          <w:b w:val="false"/>
          <w:color w:val="000000"/>
          <w:sz w:val="18"/>
        </w:rPr>
        <w:t>As a result of the Asset Acquisition, including the existing API, the Company did not direct the manufacturing of the API for HLP004-E and proceeded in reliance upon the representations of Entheon and the Company’s acquisition diligence.</w:t>
      </w:r>
      <w:r>
        <w:rPr>
          <w:color w:val="000000"/>
        </w:rPr>
        <w:t xml:space="preserve"> </w:t>
      </w:r>
      <w:r>
        <w:rPr>
          <w:rFonts w:ascii="Times New Roman;serif" w:hAnsi="Times New Roman;serif"/>
          <w:b w:val="false"/>
          <w:color w:val="000000"/>
          <w:sz w:val="18"/>
        </w:rPr>
        <w:t>While the Company believes the HLP004-E API meets all required specifications, the Company did not oversee or direct the manufacture of the DMT API being used in HLP004-E.</w:t>
      </w:r>
    </w:p>
    <w:p>
      <w:pPr>
        <w:pStyle w:val="TextBody"/>
        <w:bidi w:val="0"/>
        <w:spacing w:before="0" w:after="2"/>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5"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lineRule="auto" w:line="312" w:before="0" w:after="0"/>
        <w:jc w:val="both"/>
        <w:rPr/>
      </w:pPr>
      <w:r>
        <w:rPr>
          <w:rFonts w:ascii="Times New Roman;serif" w:hAnsi="Times New Roman;serif"/>
          <w:b w:val="false"/>
          <w:color w:val="000000"/>
          <w:sz w:val="22"/>
        </w:rPr>
        <w:t>All premises that are Home Office licensed, or are intending to be licensed, in connection with the possession, and/or supply and/or production of controlled drugs should consider certain security measures.</w:t>
      </w:r>
      <w:r>
        <w:rPr>
          <w:rFonts w:ascii="Times New Roman;serif" w:hAnsi="Times New Roman;serif"/>
          <w:b w:val="false"/>
          <w:color w:val="000000"/>
          <w:sz w:val="14"/>
        </w:rPr>
        <w:t>28</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UK entity in possession of controlled drugs holds an appropriate Home Office License and under the Home Office guidance, each UK organization involved in the movement of controlled drugs should have a standard operating procedure covering their responsibilities, record keeping, reconciliation and reporting of thefts/losses.</w:t>
      </w:r>
      <w:r>
        <w:rPr>
          <w:rFonts w:ascii="Times New Roman;serif" w:hAnsi="Times New Roman;serif"/>
          <w:b w:val="false"/>
          <w:color w:val="000000"/>
          <w:sz w:val="14"/>
        </w:rPr>
        <w:t>29</w:t>
      </w:r>
    </w:p>
    <w:p>
      <w:pPr>
        <w:pStyle w:val="TextBody"/>
        <w:bidi w:val="0"/>
        <w:spacing w:before="0" w:after="0"/>
        <w:jc w:val="both"/>
        <w:rPr/>
      </w:pPr>
      <w:r>
        <w:rPr/>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Cybin Ireland, the sponsor of clinical trials in the UK, is not required to hold a Controlled Drugs Licence as an Irish entity.</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Pharmaceutical Products</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respect of HLP003 and HLP004, whether a specific product restores, corrects or modifies a physiological function by exerting a pharmacological, immunological or metabolic action will depend on factors such as the concentrations of HLP003 or HLP004 (as applicable) and the mode of action of any HLP003 or HLP004 (as applicable) absorbed in the body. This requires scientific analysis.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w:t>
      </w:r>
    </w:p>
    <w:p>
      <w:pPr>
        <w:pStyle w:val="TextBody"/>
        <w:bidi w:val="0"/>
        <w:spacing w:lineRule="auto" w:line="252" w:before="0" w:after="0"/>
        <w:jc w:val="both"/>
        <w:rPr/>
      </w:pPr>
      <w:r>
        <w:rPr>
          <w:rFonts w:ascii="Times New Roman;serif" w:hAnsi="Times New Roman;serif"/>
          <w:b w:val="false"/>
          <w:color w:val="000000"/>
          <w:sz w:val="16"/>
        </w:rPr>
        <w:t>28</w:t>
      </w:r>
      <w:r>
        <w:rPr>
          <w:color w:val="000000"/>
        </w:rPr>
        <w:t xml:space="preserve"> </w:t>
      </w:r>
      <w:r>
        <w:rPr>
          <w:rFonts w:ascii="Times New Roman;serif" w:hAnsi="Times New Roman;serif"/>
          <w:b w:val="false"/>
          <w:color w:val="000000"/>
          <w:sz w:val="18"/>
        </w:rPr>
        <w:t xml:space="preserve">Home Office guidance; Security guidance for all existing or prospective Home Office Controlled Drug Licensees and/or Precursor Chemical Licensees or Registrants; 2022; https://assets.publishing.service.gov.uk/media/63a1b6c8e90e075874d91825/Security_Guidance_for_all_Businesses_and_Other_Organisations_v1.5_Nov_2022.pdf </w:t>
      </w:r>
    </w:p>
    <w:p>
      <w:pPr>
        <w:pStyle w:val="TextBody"/>
        <w:bidi w:val="0"/>
        <w:spacing w:lineRule="auto" w:line="252"/>
        <w:jc w:val="both"/>
        <w:rPr/>
      </w:pPr>
      <w:r>
        <w:rPr>
          <w:rFonts w:ascii="Times New Roman;serif" w:hAnsi="Times New Roman;serif"/>
          <w:b w:val="false"/>
          <w:color w:val="000000"/>
          <w:sz w:val="16"/>
        </w:rPr>
        <w:t>29</w:t>
      </w:r>
      <w:r>
        <w:rPr>
          <w:color w:val="000000"/>
        </w:rPr>
        <w:t xml:space="preserve"> </w:t>
      </w:r>
      <w:r>
        <w:rPr>
          <w:rFonts w:ascii="Times New Roman;serif" w:hAnsi="Times New Roman;serif"/>
          <w:b w:val="false"/>
          <w:color w:val="000000"/>
          <w:sz w:val="18"/>
        </w:rPr>
        <w:t>Home Office guidance; Guidelines for Standard Operating Procedures (SOPs);</w:t>
      </w:r>
      <w:r>
        <w:rPr>
          <w:color w:val="000000"/>
          <w:u w:val="single"/>
        </w:rPr>
        <w:t xml:space="preserve"> </w:t>
      </w:r>
      <w:r>
        <w:rPr>
          <w:rFonts w:ascii="Times New Roman;serif" w:hAnsi="Times New Roman;serif"/>
          <w:b w:val="false"/>
          <w:color w:val="000000"/>
          <w:sz w:val="18"/>
        </w:rPr>
        <w:t>https://assets.publishing.service.gov.uk/government/uploads/system/uploads/attachment_data/file/480572/StandardOpProcedure.pdf.</w:t>
      </w:r>
    </w:p>
    <w:p>
      <w:pPr>
        <w:pStyle w:val="TextBody"/>
        <w:bidi w:val="0"/>
        <w:spacing w:before="0" w:after="2"/>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6"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serif" w:hAnsi="Times New Roman;serif"/>
          <w:b/>
          <w:color w:val="000000"/>
          <w:sz w:val="22"/>
        </w:rPr>
        <w:t>GMP</w:t>
      </w:r>
      <w:r>
        <w:rPr>
          <w:color w:val="000000"/>
        </w:rPr>
        <w:t>”</w:t>
      </w:r>
      <w:r>
        <w:rPr>
          <w:rFonts w:ascii="Times New Roman;serif" w:hAnsi="Times New Roman;serif"/>
          <w:b w:val="false"/>
          <w:color w:val="000000"/>
          <w:sz w:val="22"/>
        </w:rPr>
        <w:t>)) and/or Good Distribution Practice (“</w:t>
      </w:r>
      <w:r>
        <w:rPr>
          <w:rFonts w:ascii="Times New Roman;serif" w:hAnsi="Times New Roman;serif"/>
          <w:b/>
          <w:color w:val="000000"/>
          <w:sz w:val="22"/>
        </w:rPr>
        <w:t>GDP</w:t>
      </w:r>
      <w:r>
        <w:rPr>
          <w:color w:val="000000"/>
        </w:rPr>
        <w:t>”</w:t>
      </w:r>
      <w:r>
        <w:rPr>
          <w:rFonts w:ascii="Times New Roman;serif" w:hAnsi="Times New Roman;serif"/>
          <w:b w:val="false"/>
          <w:color w:val="000000"/>
          <w:sz w:val="22"/>
        </w:rPr>
        <w:t>) and to hold a related licence from the MHRA.</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How the API is subsequently processed will determine the licences (in addition to any applicable Home Office licences as referred to above) that the UK-based facility must hold. In particular:</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if the API is just one ‘ingredient’ (i.e. active substance) of the investigational medicinal product (the “</w:t>
      </w:r>
      <w:r>
        <w:rPr>
          <w:rFonts w:ascii="Times New Roman;serif" w:hAnsi="Times New Roman;serif"/>
          <w:b/>
          <w:color w:val="000000"/>
          <w:sz w:val="22"/>
        </w:rPr>
        <w:t>IMP</w:t>
      </w:r>
      <w:r>
        <w:rPr>
          <w:color w:val="000000"/>
        </w:rPr>
        <w:t>”</w:t>
      </w:r>
      <w:r>
        <w:rPr>
          <w:rFonts w:ascii="Times New Roman;serif" w:hAnsi="Times New Roman;serif"/>
          <w:b w:val="false"/>
          <w:color w:val="000000"/>
          <w:sz w:val="22"/>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conversely, if the API will itself constitute the IMP, the manufacturer must, except in certain limited circumstances, hold a Manufacturer’s Authorizations for IMPs licence (“</w:t>
      </w:r>
      <w:r>
        <w:rPr>
          <w:rFonts w:ascii="Times New Roman;serif" w:hAnsi="Times New Roman;serif"/>
          <w:b/>
          <w:color w:val="000000"/>
          <w:sz w:val="22"/>
        </w:rPr>
        <w:t>MIA(IMP</w:t>
      </w:r>
      <w:r>
        <w:rPr>
          <w:rFonts w:ascii="Times New Roman;serif" w:hAnsi="Times New Roman;serif"/>
          <w:b w:val="false"/>
          <w:color w:val="000000"/>
          <w:sz w:val="22"/>
        </w:rPr>
        <w:t>)”)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pStyle w:val="TextBody"/>
        <w:bidi w:val="0"/>
        <w:spacing w:before="0" w:after="0"/>
        <w:jc w:val="left"/>
        <w:rPr/>
      </w:pPr>
      <w:r>
        <w:rPr/>
      </w:r>
    </w:p>
    <w:p>
      <w:pPr>
        <w:pStyle w:val="TextBody"/>
        <w:bidi w:val="0"/>
        <w:spacing w:lineRule="auto" w:line="307" w:before="0" w:after="0"/>
        <w:jc w:val="both"/>
        <w:rPr>
          <w:rFonts w:ascii="Times New Roman;serif" w:hAnsi="Times New Roman;serif"/>
          <w:b w:val="false"/>
          <w:color w:val="000000"/>
          <w:sz w:val="22"/>
        </w:rPr>
      </w:pPr>
      <w:r>
        <w:rPr>
          <w:rFonts w:ascii="Times New Roman;serif" w:hAnsi="Times New Roman;serif"/>
          <w:b w:val="false"/>
          <w:color w:val="000000"/>
          <w:sz w:val="22"/>
        </w:rPr>
        <w:t>Some products fall on the borderline between medicines and other categories of regulate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 xml:space="preserve">Australia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Australian regulatory framework for therapeutic goods (i.e. medicines) and clinical trials is overseen by the Therapeutic Goods Administration (the “</w:t>
      </w:r>
      <w:r>
        <w:rPr>
          <w:rFonts w:ascii="Times New Roman;serif" w:hAnsi="Times New Roman;serif"/>
          <w:b/>
          <w:color w:val="000000"/>
          <w:sz w:val="22"/>
        </w:rPr>
        <w:t>TGA</w:t>
      </w:r>
      <w:r>
        <w:rPr>
          <w:color w:val="000000"/>
        </w:rPr>
        <w:t>”</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In most cases, the Therapeutic Goods Act 1989 (Cth) (the “</w:t>
      </w:r>
      <w:r>
        <w:rPr>
          <w:rFonts w:ascii="Times New Roman;serif" w:hAnsi="Times New Roman;serif"/>
          <w:b/>
          <w:color w:val="000000"/>
          <w:sz w:val="22"/>
        </w:rPr>
        <w:t>TG Act</w:t>
      </w:r>
      <w:r>
        <w:rPr>
          <w:color w:val="000000"/>
        </w:rPr>
        <w:t>”</w:t>
      </w:r>
      <w:r>
        <w:rPr>
          <w:rFonts w:ascii="Times New Roman;serif" w:hAnsi="Times New Roman;serif"/>
          <w:b w:val="false"/>
          <w:color w:val="000000"/>
          <w:sz w:val="22"/>
        </w:rPr>
        <w:t xml:space="preserve">) requires that medicines must be entered on the Australian Register of Therapeutic Goods before they can be imported into and/or supplied in Australia. However, in some circumstances the TGA permits access to unapproved therapeutic goods as part of clinical trials, or via a prescription from an authorized clinician.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Australia, the regulations applicable to certain drugs are determined by their classification under the Therapeutic Goods (Poisons Standard—October 2025) Instrument 2025 (Poisons Standard), a legislative instrument made under the TG Act and maintained by the TGA.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Poisons Standard is given legal effect and enforced through State and Territory legislation, regulations and instruments across Australia, including: </w:t>
      </w:r>
    </w:p>
    <w:p>
      <w:pPr>
        <w:pStyle w:val="TextBody"/>
        <w:bidi w:val="0"/>
        <w:spacing w:before="0" w:after="283"/>
        <w:jc w:val="left"/>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7"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Australian Capital Territory: Medicines, Poisons and Therapeutic Goods Act 2008 (ACT); Medicines, Poisons and Therapeutic Goods Regulation 2008 (ACT);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New South Wales: Poisons and Therapeutic Goods Act 1966 (NSW); Poisons and Therapeutic Goods Regulation 2008 (NSW);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Northern Territory: Medicines, Poisons and Therapeutic Goods Act 2012 (NT); Medicines, Poisons and Therapeutic Goods Regulations 2014 (NT);</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Queensland: Medicines and Poisons Act 2019 (Qld); Medicines and Poisons (Poisons and Prohibited Substances) Regulation 2021 (Qld); Medicines and Poisons (Medicines) Regulation 2021 (Qld); Medicines and Poisons (Pest Management Activities) Regulation 2021 (Qld);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South Australia: Controlled Substances Act 1984 (SA); Controlled Substances (Poisons) Regulations 2011 (SA); Controlled Substances (Controlled Drugs, Precursors and Plants) Regulations 2014 (SA);</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Tasmania: Poisons Act 1971 (Tas); Poisons Regulations 2018 (Tas);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Victoria: Drugs, Poisons and Controlled Substances Act 1981 (Vic) and Drugs, Poisons and Controlled Substances Regulations 2017 (Vic); and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Western Australia: Medicines and Poisons Act 2014 (WA); Medicines and Poisons Regulations 2016 (WA).</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Schedule 8 of the Poisons Standard lists controlled drugs which are only available for therapeutic use via a prescription for certain indications. These drugs are subject to more stringent controls than other prescription medicines because of the relatively greater risk of misuse. Schedule 9 of the Poisons Standard contains prohibited substances which cannot be used without regulatory approvals (for example, approvals for use in clinical trials) because these substances have been deemed to have a higher risk of abuse, misuse or diversion.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HLP003 and HLP004 are prohibited substances under Schedule 9 of the Poisons Standard. The use and supply of these substances is only permitted under the TGA’s Authorized Prescriber Scheme, the Special Access Scheme and clinical trials approved by, or notified to, the TGA.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importation of schedule 9 drugs is prohibited and the importation an/or supply of a prohibited substance without the relevant approvals is a criminal offence. Approvals must be obtained from the TGA and the Office of Drug Control to import HLP003 for the purpose of conducting clinical trials. </w:t>
      </w:r>
    </w:p>
    <w:p>
      <w:pPr>
        <w:pStyle w:val="TextBody"/>
        <w:bidi w:val="0"/>
        <w:spacing w:before="0" w:after="0"/>
        <w:jc w:val="left"/>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Under section 19 of the TG Act, the TGA may grant approval for the importation and/or supply of unapproved therapeutic goods to a clinician for use in the treatment of a patient, or solely for experimental purposes in humans. The Office of Drug Control also regulates the importation of psychotropic substances and a licence must be issued by the Narcotics Control Section in order to import HLP003 into Australia. Individual permits must then be obtained for each consignment of HLP003. Further licences and/or permits must be sought from the State or Territory health authority in the State or Territory in which the trial is to be conducted, in order to manufacture, possess, supply or use schedule 9 drugs for clinical trials. The specific regulations applicable will depend on the State or Territory in which these acts occur. </w:t>
      </w:r>
    </w:p>
    <w:p>
      <w:pPr>
        <w:pStyle w:val="TextBody"/>
        <w:bidi w:val="0"/>
        <w:spacing w:before="0" w:after="2"/>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8"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By way of example, in New South Wales section 17D of the Poisons and</w:t>
      </w:r>
      <w:r>
        <w:rPr>
          <w:color w:val="000000"/>
        </w:rPr>
        <w:t xml:space="preserve"> </w:t>
      </w:r>
      <w:r>
        <w:rPr>
          <w:rFonts w:ascii="Times New Roman;serif" w:hAnsi="Times New Roman;serif"/>
          <w:b w:val="false"/>
          <w:color w:val="000000"/>
          <w:sz w:val="22"/>
        </w:rPr>
        <w:t xml:space="preserve">Therapeutic Goods Act 1966 (NSW) enables the Secretary of the New South Wales Ministry of Health to authorize a person to manufacture, possess, use or supply a specified Schedule 9 substance. The conditions of any authorization obtained in New South Wales can also include additional restrictions on the personnel authorized to use Schedule 9 substances in the trial and further storage, handling and disposal requirements. Meanwhile, in the state of Victoria, an additional licence/permit is also required to import schedule 9 drugs.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Clinical trials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All clinical trials conducted in Australia must have a local sponsor (an overseas company cannot be the sponsor of a clinical trial conducted in Australia). The trial sponsor is responsible for the initiation, management and financing of the trial and carries the legal risk arising from the conduct of the trial. The sponsor must also ensure that the use of therapeutic goods in the trial must be in accordance with the Guideline for Good Clinical Practice, the National Statement on Ethical Conduct in Research Involving Humans and the protocol approved by the HREC responsible for monitoring the conduct of the trial.</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Clinical trials involving unapproved therapeutic goods, including products containing HLP003, may be conducted in Australia under two schemes: Clinical Trial Notification (the “</w:t>
      </w:r>
      <w:r>
        <w:rPr>
          <w:rFonts w:ascii="Times New Roman;serif" w:hAnsi="Times New Roman;serif"/>
          <w:b/>
          <w:color w:val="000000"/>
          <w:sz w:val="24"/>
        </w:rPr>
        <w:t>CTN</w:t>
      </w:r>
      <w:r>
        <w:rPr>
          <w:color w:val="000000"/>
        </w:rPr>
        <w:t>”</w:t>
      </w:r>
      <w:r>
        <w:rPr>
          <w:rFonts w:ascii="Times New Roman;serif" w:hAnsi="Times New Roman;serif"/>
          <w:b w:val="false"/>
          <w:color w:val="000000"/>
          <w:sz w:val="22"/>
        </w:rPr>
        <w:t>) or Clinical Trial Approval (the “</w:t>
      </w:r>
      <w:r>
        <w:rPr>
          <w:rFonts w:ascii="Times New Roman;serif" w:hAnsi="Times New Roman;serif"/>
          <w:b/>
          <w:color w:val="000000"/>
          <w:sz w:val="24"/>
        </w:rPr>
        <w:t>CTA</w:t>
      </w:r>
      <w:r>
        <w:rPr>
          <w:color w:val="000000"/>
        </w:rPr>
        <w:t>”</w:t>
      </w:r>
      <w:r>
        <w:rPr>
          <w:rFonts w:ascii="Times New Roman;serif" w:hAnsi="Times New Roman;serif"/>
          <w:b w:val="false"/>
          <w:color w:val="000000"/>
          <w:sz w:val="22"/>
        </w:rPr>
        <w:t xml:space="preserve">). The Australian clinical trial involving HLP003 was approved through the CTN scheme, obtained clearance from multiple Ethics Committees of the TGA, and the study site Research Governance Offices.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Under the CTN scheme the TGA does not review or evaluate any data relating to clinical trials. All material relating to the proposed trial, including the trial protocol is submitted directly to, and reviewed by the HREC and the site where the trial will be conducted. The CTN scheme can be used where a foreign regulator with comparable regulatory requirements has already approved a clinical trial for an equivalent indication.</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 clinical trial is deemed to be notified by the TGA, after the CTN form has been submitted to the TGA and the relevant fee has been paid. Once that occurs, the CTN exemption comes into effect and the trial sponsor can lawfully supply the goods.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Under the CTA scheme, the TGA will review and evaluate relevant, but limited, scientific data (which may be preclinical and early clinical data) prior to the start of a trial. The TGA’s primary responsibility is to review the safety of the product and the HREC is responsible for considering the scientific and ethical issues of the proposed trial protocol. Conduct of a clinical trial under the CTA scheme must also be approved by the responsible HREC.</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Throughout the conduct of the trial, sponsors must ensure that any advertisements and promotional materials relating to the trial do not promote the use of unapproved therapeutic goods. However, materials promoting clinical trials directly to clinicians fall outside of these restrictions.</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79"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Upon the completion of the Australian trial, it will not be possible to make an application to register HLP003 on the Australian Register of Therapeutic Goods because non-deuterated HLP003 is currently listed in schedule 9 of the Poisons Standard. However, this may be possible if an application is made to the TGA to change the scheduling of HLP003 so that it is removed from Schedule 9 of the Poisons Standard.</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In some circumstances it is possible for clinicians to import and then supply unapproved therapeutic goods, including schedule 9 drugs, to patients. The Special Access Scheme (the “</w:t>
      </w:r>
      <w:r>
        <w:rPr>
          <w:rFonts w:ascii="Times New Roman;serif" w:hAnsi="Times New Roman;serif"/>
          <w:b/>
          <w:color w:val="000000"/>
          <w:sz w:val="24"/>
        </w:rPr>
        <w:t>SAS</w:t>
      </w:r>
      <w:r>
        <w:rPr>
          <w:color w:val="000000"/>
        </w:rPr>
        <w:t>”</w:t>
      </w:r>
      <w:r>
        <w:rPr>
          <w:rFonts w:ascii="Times New Roman;serif" w:hAnsi="Times New Roman;serif"/>
          <w:b w:val="false"/>
          <w:color w:val="000000"/>
          <w:sz w:val="22"/>
        </w:rPr>
        <w:t xml:space="preserve">) permits approved clinicians to prescribe Schedule 9 drugs to individual patients in limited circumstances. Category A of the SAS enables medical practitioners to access unapproved therapeutic goods for a patient who is seriously ill. Clinicians who are unable to access HLP003 through the Category A can also seek approval to access HLP003 for patients on a case by case basis under Category B of the SAS.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Meanwhile, medical practitioners who wish to prescribe HLP003 to more than one patient can seek to become an authorized prescriber. The medical practitioner must first obtain approval for the proposed use of HLP003 from a human research ethics committee (because the TGA does not consider that non-deuterated forms of HLP003 have an established history of use) and then make an application to the TGA.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Poland</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The manufacture, trade, processing, possession, use and distribution of narcotic drugs, psychotropic substances and new psychoactive substances in Poland are governed primarily by two legal acts: the Act of July 29, 2005 on Counteracting Drug Addiction (the “</w:t>
      </w:r>
      <w:r>
        <w:rPr>
          <w:rFonts w:ascii="Times New Roman;serif" w:hAnsi="Times New Roman;serif"/>
          <w:b/>
          <w:color w:val="000000"/>
          <w:sz w:val="22"/>
        </w:rPr>
        <w:t>ACDA</w:t>
      </w:r>
      <w:r>
        <w:rPr>
          <w:color w:val="000000"/>
        </w:rPr>
        <w:t>”</w:t>
      </w:r>
      <w:r>
        <w:rPr>
          <w:rFonts w:ascii="Times New Roman;serif" w:hAnsi="Times New Roman;serif"/>
          <w:b w:val="false"/>
          <w:color w:val="000000"/>
          <w:sz w:val="22"/>
        </w:rPr>
        <w:t>), and the Act of September 6, 2001 the Pharmaceutical Law (the “</w:t>
      </w:r>
      <w:r>
        <w:rPr>
          <w:rFonts w:ascii="Times New Roman;serif" w:hAnsi="Times New Roman;serif"/>
          <w:b/>
          <w:color w:val="000000"/>
          <w:sz w:val="22"/>
        </w:rPr>
        <w:t>PLA</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Under the ACDA, psychotropic substances are defined as substances of natural or synthetic origin, in pure form or in the form of a preparation, acting on the central nervous system.</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Psychotropic substances are divided into four groups: I-P, II-P, III-P and IV-P. Narcotic drugs are analogously divided into groups I-N to IV-N. The classification is based on the risk of abuse and dependence and the extent of recognised medical use.</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According to the ACDA narcotic drugs of groups I-N and II-N and psychotropic substances of groups II-P, III-P and IV-P may only be used for medical, industrial or research purposes. Psychotropic substances of group I-P may be used exclusively for scientific research purposes. This is due to the fact that psychotropic substances classified to group I-P substances are considered the most dangerous, with a high potential for abuse and no accepted medical use under current Polish law.</w:t>
      </w:r>
    </w:p>
    <w:p>
      <w:pPr>
        <w:pStyle w:val="TextBody"/>
        <w:bidi w:val="0"/>
        <w:spacing w:before="0" w:after="0"/>
        <w:jc w:val="left"/>
        <w:rPr/>
      </w:pPr>
      <w:r>
        <w:rPr/>
      </w:r>
    </w:p>
    <w:p>
      <w:pPr>
        <w:pStyle w:val="TextBody"/>
        <w:bidi w:val="0"/>
        <w:spacing w:lineRule="auto" w:line="333"/>
        <w:jc w:val="both"/>
        <w:rPr/>
      </w:pPr>
      <w:r>
        <w:rPr>
          <w:rFonts w:ascii="Times New Roman;serif" w:hAnsi="Times New Roman;serif"/>
          <w:b w:val="false"/>
          <w:color w:val="000000"/>
          <w:sz w:val="22"/>
        </w:rPr>
        <w:t xml:space="preserve">HLP003 and HLP004 are strictly controlled substances. According to the Ordinance of the Minister of Health of 17 August </w:t>
      </w:r>
      <w:r>
        <w:rPr>
          <w:rFonts w:ascii="Times New Roman;serif" w:hAnsi="Times New Roman;serif"/>
          <w:b w:val="false"/>
          <w:i/>
          <w:color w:val="000000"/>
          <w:sz w:val="22"/>
        </w:rPr>
        <w:t>2018 on the list of psychotropic substances, narcotic drugs and new psychoactive substances (Rozporządzenie Ministra Zdrowia z dnia 17 sierpnia 2018 r. w sprawie wykazu substancji psychotropowych, środków odurzających oraz nowych substancji psychoaktywnych</w:t>
      </w:r>
      <w:r>
        <w:rPr>
          <w:rFonts w:ascii="Times New Roman;serif" w:hAnsi="Times New Roman;serif"/>
          <w:b w:val="false"/>
          <w:color w:val="000000"/>
          <w:sz w:val="22"/>
        </w:rPr>
        <w:t xml:space="preserve">), HLP003 and HLP004 are classified as group I-P psychotropic substances. Thus, for any product containing </w:t>
      </w:r>
    </w:p>
    <w:p>
      <w:pPr>
        <w:pStyle w:val="TextBody"/>
        <w:bidi w:val="0"/>
        <w:spacing w:before="0" w:after="2"/>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0"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HLP003 or any group I-P psychotropic substances to be available for commercial marketing in Poland, such substance must be first reclassified/reassigned to another group.</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Only strictly defined entities specified in the ACDA may possess narcotic drugs, psychotropic substances and new psychoactive substances or their preparations, i.e. entrepreneurs holding appropriate permits, scientific institutions, or entities additionally specified in Regulation 273/2004 or Regulation 111/2005. Undertaking activities involving the manufacture, processing, conversion, import, or distribution of narcotic drugs or psychotropic substances requires an appropriate authorization issued by the national authorities. Authorization is also required for the manufacture, processing, or conversion of such substances for the purpose of conducting scientific research by scientific institutions within the scope of their statutory activities, in relation to narcotic drugs of groups I-N, II-N, and IV-N, or psychotropic substances of groups I-P, II-P, III-P, and IV-P. A separate authorization is additionally required for the use of narcotic drugs or psychotropic substances for the purpose of conducting scientific research by scientific institutions within the scope of their statutory activities.</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Obtaining the required authorizations involves meeting numerous criteria set out in detail in the ACDA and in the Ordinance of the Minister of Health of 9 November 2015 on the issuance of permits for the manufacture, processing, conversion, import, distribution or use for scientific research purposes of narcotic drugs, psychotropic substances or category 1 precursors (</w:t>
      </w:r>
      <w:r>
        <w:rPr>
          <w:rFonts w:ascii="Times New Roman;serif" w:hAnsi="Times New Roman;serif"/>
          <w:b w:val="false"/>
          <w:i/>
          <w:color w:val="000000"/>
          <w:sz w:val="22"/>
        </w:rPr>
        <w:t>Rozporządzenie Ministra Zdrowia z dnia 9 listopada 2015 r. w sprawie wydawania zezwoleń na wytwarzanie, przetwarzanie, przerabianie, przywóz, dystrybucję albo stosowanie w celu prowadzenia badań naukowych środków odurzających, substancji psychotropowych lub prekursorów kategorii 1</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criteria include, among others: maintaining adequate procedures and internal control systems, employing a qualified person responsible for supervision of narcotics and psychotropics, ensuring physical security of premises (two-lock doors, alarm system, reinforced windows, safes or fixed metal cabinets), maintaining inventory and turnover records. In the case of conducting scientific research, it is also necessary to:</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define the purpose and scope of the research, as well as the methods for sample preparation and analysis of research results;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submit to the regulatory authority a copy of the institution’s statute and a commitment to provide copies of any amendments to the statute;</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specify the planned start and end dates of the research; and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in the case of manufacture, processing, or conversion of narcotic drugs of groups I-N, II-N, and IV-N or psychotropic substances of groups I-P, II-P, III-P, and IV-P, maintain documentation of technically justified standards for the consumption of raw materials used in the process, as well as the acceptable loss rates at each stage of production.</w:t>
      </w:r>
    </w:p>
    <w:p>
      <w:pPr>
        <w:pStyle w:val="TextBody"/>
        <w:bidi w:val="0"/>
        <w:spacing w:before="0" w:after="0"/>
        <w:jc w:val="left"/>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records of narcotic drugs, psychotropic substances, and precursors must be kept in a way that allows easy tracking of all events and transactions related to them, especially those involving the receipt and release of these substances. A separate control book must be kept for each narcotic and psychotropic substance (by group and dosage), recording receipts, issues, stock levels, and remarks. </w:t>
      </w:r>
    </w:p>
    <w:p>
      <w:pPr>
        <w:pStyle w:val="TextBody"/>
        <w:bidi w:val="0"/>
        <w:spacing w:before="0" w:after="2"/>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1"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Entries are made by qualified person. The control book is retained for five years from the beginning of the year following the last entry.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Unlawful manufacturing, processing or conversion of narcotic drugs or psychotropic substances is subject to imprisonment for up to three years. In the case of significant quantities of narcotic drugs or psychotropic substances, the perpetrator is liable to a fine and imprisonment for three to 20 years. Narcotic drugs, psychotropic substances, new psychoactive substances, or their preparations, as well as category 1 precursors, possessed without authorization, are subject to seizure by law enforcement or customs authorities in the manner specified in criminal procedure. Sized products are subject to forfeiture of the goods to the benefit of the State Treasury.</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Clinical (scientific) research involving psychotropic substances is regulated by several legal acts, including the ACDA, the PLA, the Act of March 9, 2023, on clinical trials of medicinal products used in humans, Regulation (EU) No 536/2014 of April 16, 2014, on clinical trials on medicinal products for human use and repealing Directive 2001/20/EC, as well as implementing acts and regulations, including the Ordinance of the Minister of Health of November 9, 2015, on the issuance of permits for the manufacture, processing, conversion, import, distribution, or use for scientific research purposes of narcotic drugs, psychotropic substances, or category 1 precursors. Only entities authorized for this purpose may conduct scientific studies involving psychotropic substances from group I-P, including, for example, universities, scientific institutes and research institutes.</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Clinical trials involving psychotropic substance are legally possible only as scientific research, and only after obtaining all of the following approvals, including authorization to use the I-P psychotropic substance for research, positive opinion of a Bioethics Committee, clinical-trial authorization, as well as all permits required for handling a controlled substance, such as authorizations for manufacture, processing, conversion, import, export, intra-EU acquisition, and intra-EU supply of narcotic drugs and psychotropic substances.</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All stages of the study must comply with the Good Clinical Practice (“</w:t>
      </w:r>
      <w:r>
        <w:rPr>
          <w:rFonts w:ascii="Times New Roman;serif" w:hAnsi="Times New Roman;serif"/>
          <w:b/>
          <w:color w:val="000000"/>
          <w:sz w:val="22"/>
        </w:rPr>
        <w:t>GCP</w:t>
      </w:r>
      <w:r>
        <w:rPr>
          <w:color w:val="000000"/>
        </w:rPr>
        <w:t>”</w:t>
      </w:r>
      <w:r>
        <w:rPr>
          <w:rFonts w:ascii="Times New Roman;serif" w:hAnsi="Times New Roman;serif"/>
          <w:b w:val="false"/>
          <w:color w:val="000000"/>
          <w:sz w:val="22"/>
        </w:rPr>
        <w:t>) standards, relevant EU and national data protection, pharmacovigilance, and biosafety regulations, and the ethical principles set out in the Declaration of Helsinki. Given the high risk of abuse of group I-P substances, the scientific institution must maintain secure storage conditions (in line with the standards included in the Ordinance of the Minister of Health of November 9, 2015), keep detailed logs of the quantity, source, and use of each psychotropic substance, and report any discrepancies or losses immediately to the competent authorities.</w:t>
      </w:r>
    </w:p>
    <w:p>
      <w:pPr>
        <w:pStyle w:val="TextBody"/>
        <w:bidi w:val="0"/>
        <w:spacing w:before="0" w:after="0"/>
        <w:jc w:val="left"/>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Under the current ACDA, medicinal products containing group I-P substances cannot be granted marketing authorization, as the use of such substances is permitted only for research purposes. This prohibition effectively prevents them from being included in authorized medicinal products. Obtaining a marketing authorization would thus require first a reclassification of the substance (from group I-P to II-P or lower). Medicinal products containing psychotropic substances may be authorized and marketed in Poland only if they meet the definition of a medicinal product under the PLA and comply with all ACDA restrictions applicable to controlled substances. According to the PLA, a medicinal product is any substance or combination of substances presented for preventing or treating disease in humans or animals, or administered with a view to making a diagnosis or restoring, </w:t>
      </w:r>
    </w:p>
    <w:p>
      <w:pPr>
        <w:pStyle w:val="TextBody"/>
        <w:bidi w:val="0"/>
        <w:spacing w:before="0" w:after="2"/>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2"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correcting or modifying physiological functions by exerting a pharmacological, immunological or metabolic action.</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Marketing authorization of a medicinal product can be obtained through several procedures, depending on the product type and the geographical scope:</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National Procedure – authorization is granted by the national authority - the Office for Registration of Medicinal Products. The authorization is valid only in Poland.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Decentralised Procedure – used for products not yet authorized in any EU Member State. The applicant applies simultaneously in several countries, with one acting as the Reference Member State (“</w:t>
      </w:r>
      <w:r>
        <w:rPr>
          <w:rFonts w:ascii="Times New Roman;serif" w:hAnsi="Times New Roman;serif"/>
          <w:b/>
          <w:color w:val="000000"/>
          <w:sz w:val="22"/>
        </w:rPr>
        <w:t>RMS</w:t>
      </w:r>
      <w:r>
        <w:rPr>
          <w:color w:val="000000"/>
        </w:rPr>
        <w:t>”</w:t>
      </w:r>
      <w:r>
        <w:rPr>
          <w:rFonts w:ascii="Times New Roman;serif" w:hAnsi="Times New Roman;serif"/>
          <w:b w:val="false"/>
          <w:color w:val="000000"/>
          <w:sz w:val="22"/>
        </w:rPr>
        <w:t>).</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Mutual Recognition Procedure – used when a product is already authorized in one EU Member State. Other countries recognize this authorization based on the RMS assessment.</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 xml:space="preserve">Centralised Procedure – conducted by the EMA. Once approved by the European Commission, the authorization is valid across all EU and EFTA countries.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Medicinal products that have obtained a marketing authorization issued by the President of the Office for Registration of Medicinal Products, Medical Devices and Biocidal Products may be lawfully placed on the market.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application for a marketing authorization of a medicinal product must include documentation confirming its manufacturing process, quality control, safety, and efficacy. Specifically:</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description of manufacturing process and quality control methods,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written confirmation of GMP audit for the active substance manufacturer,</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information on storage, dispensing, and disposal, including environmental risk assessment,</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results and summaries of pharmaceutical, non-clinical, and clinical studies,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summary of the pharmacovigilance system, including declarations from the marketing authorization holder and details of the qualified person,</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risk management plan for the product’s use,</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ethical compliance statement for clinical trials conducted outside the EU/EFTA,</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expert declarations of qualifications,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summary of Product Characteristics,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mock-ups of packaging and patient leaflet, with a readability test report,</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copies of authorizations, decisions, and related documents from EU, EFTA, or third countries,</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list of countries where the application is under review, and</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copy of the manufacturing authorization from the production site.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By way of a separate national regulation, the Minister of Health indicates psychoactive substances and their maximum content in medicinal products necessary for effective treatment within the acceptable period of safe treatment for one person. This obligation is intended to limit the dispensing of medicinal products in single sales, with a view to protecting public health and the safety and efficacy of medicinal products, as well as their dosage.</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3"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Greece</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development activities in Greece relate to its multinational pivotal clinical program evaluating HLP003 for the potential adjunctive treatment of MDD (EMBRACE). The Company has received European approval to initiate the EMBRACE study in selected EU Member States, including Greece, and will conduct any activities in Greece in accordance with applicable EU and Greek legal and regulatory frameworks governing investigational medicinal products and controlled substances.</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In Greece, controlled substances are regulated under national legislation implementing the UN Single Convention on Narcotic Drugs (1961), the UN Convention on Psychotropic Substances (1971) and related EU law, including Greek Law 4139/2013 on addictive substances and Presidential Decree 148/2007 (codification of provisions of national drugs legislation). HLP003, as a controlled substance, is subject to strict prohibitions on manufacture, possession, distribution, import and export, unless expressly authorized for scientific or very limited medical purposes by duly authorized persons or entities, operating under licence and subject to stringent security, recordkeeping and oversight requirements. Licensing and enforcement responsibilities are shared between the Ministry of Health (Department for Narcotic and Psychotropic Substances) and the Greek National Organization for Medicines (the “</w:t>
      </w:r>
      <w:r>
        <w:rPr>
          <w:rFonts w:ascii="Times New Roman;serif" w:hAnsi="Times New Roman;serif"/>
          <w:b/>
          <w:color w:val="000000"/>
          <w:sz w:val="22"/>
        </w:rPr>
        <w:t>EOF</w:t>
      </w:r>
      <w:r>
        <w:rPr>
          <w:color w:val="000000"/>
        </w:rPr>
        <w:t>”</w:t>
      </w:r>
      <w:r>
        <w:rPr>
          <w:rFonts w:ascii="Times New Roman;serif" w:hAnsi="Times New Roman;serif"/>
          <w:b w:val="false"/>
          <w:color w:val="000000"/>
          <w:sz w:val="22"/>
        </w:rPr>
        <w:t>). As an EU Member State, Greece applies Regulation (EU) No. 536/2014 on clinical trials of medicinal products for human use (the Clinical Trials Regulation; “CTR”), including the Clinical Trials Information System for submissions, supervision and transparency. The EOF and the competent National Ethics Committee are responsible, within their respective remits, for authorization and ethical review of clinical trials conducted in Greece.</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Clinical trials in Greece involving controlled substances require all standard clinical trial approvals under the EU Clinical Trials Regulation, together with any specific national licences and permits applicable to the handling, storage, receipt, use, transport, import and export of the relevant controlled substances at trial sites and other facilities involved in the conduct of the study. Compliance includes, among other obligations, appropriate physical security, access controls, inventory reconciliation, documentation and retention, diversion prevention and incident reporting. Additionally, import and export of controlled substances are subject to prior authorization and documentation by the competent authorities pursuant to Law 4139/2013 and the relevant codified provisions under Presidential Decree 148/2007, as well as the requirements of the exporting and importing jurisdictions.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Helus Pharma does not itself manufacture, handle or distribute controlled substances in Greece. The Company sponsors and oversees clinical research conducted by licensed third-party institutions and clinical sites, that are responsible for obtaining and maintaining all applicable Greek licences, permits and authorizations for controlled substances and investigational medicinal products, and for ensuring site-level compliance with the Clinical Trials Regulation, current GCP standards, and Greek controlled drug requirements under Law 4139/2013, including security, storage, documentation, and reporting obligations. Helus Pharma continues to monitor compliance through its quality and clinical governance systems and relies on contractual undertakings, ongoing oversight, and representations and warranties from its partners and vendors with respect to regulatory compliance. </w:t>
      </w:r>
    </w:p>
    <w:p>
      <w:pPr>
        <w:pStyle w:val="TextBody"/>
        <w:bidi w:val="0"/>
        <w:spacing w:before="0" w:after="0"/>
        <w:jc w:val="left"/>
        <w:rPr/>
      </w:pPr>
      <w:r>
        <w:rPr/>
      </w:r>
    </w:p>
    <w:p>
      <w:pPr>
        <w:pStyle w:val="TextBody"/>
        <w:bidi w:val="0"/>
        <w:spacing w:lineRule="auto" w:line="333"/>
        <w:jc w:val="both"/>
        <w:rPr/>
      </w:pPr>
      <w:r>
        <w:rPr>
          <w:rFonts w:ascii="Times New Roman;serif" w:hAnsi="Times New Roman;serif"/>
          <w:b w:val="false"/>
          <w:color w:val="000000"/>
          <w:sz w:val="22"/>
        </w:rPr>
        <w:t>Any future commercialization of the HLP003 product would require marketing authorization (“</w:t>
      </w:r>
      <w:r>
        <w:rPr>
          <w:rFonts w:ascii="Times New Roman;serif" w:hAnsi="Times New Roman;serif"/>
          <w:b/>
          <w:color w:val="000000"/>
          <w:sz w:val="22"/>
        </w:rPr>
        <w:t>MA</w:t>
      </w:r>
      <w:r>
        <w:rPr>
          <w:color w:val="000000"/>
        </w:rPr>
        <w:t>”</w:t>
      </w:r>
      <w:r>
        <w:rPr>
          <w:rFonts w:ascii="Times New Roman;serif" w:hAnsi="Times New Roman;serif"/>
          <w:b w:val="false"/>
          <w:color w:val="000000"/>
          <w:sz w:val="22"/>
        </w:rPr>
        <w:t xml:space="preserve">) and continued compliance with applicable controlled-substance controls, pharmacovigilance, labelling, GDP/GMP and other requirements. Pharmaceutical products in Greece are regulated </w:t>
      </w:r>
    </w:p>
    <w:p>
      <w:pPr>
        <w:pStyle w:val="TextBody"/>
        <w:bidi w:val="0"/>
        <w:spacing w:before="0" w:after="2"/>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4"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primarily under the EU and national frameworks implementing Directive 2001/83/EC and Regulation No. 726/2004. Products authorized through the EU centralized procedure receive a single marketing authorization issued by the European Commission, which is automatically valid in all EU Member States, including Greece.</w:t>
      </w:r>
      <w:r>
        <w:rPr>
          <w:color w:val="000000"/>
        </w:rPr>
        <w:t xml:space="preserve">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While the centralized MA permits marketing throughout the EU, national-level compliance obligations remain in place, including:</w:t>
      </w:r>
      <w:r>
        <w:rPr>
          <w:color w:val="000000"/>
        </w:rPr>
        <w:t xml:space="preserve"> </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Pricing and reimbursement procedures overseen by the Ministry of Health and EOF;</w:t>
      </w:r>
      <w:r>
        <w:rPr>
          <w:color w:val="000000"/>
        </w:rPr>
        <w:t xml:space="preserve">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Notification to EOF prior to product launch in the national market;</w:t>
      </w:r>
      <w:r>
        <w:rPr>
          <w:color w:val="000000"/>
        </w:rPr>
        <w:t xml:space="preserve">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Pharmacovigilance and safety reporting obligations in accordance with Regulation (EU) No. 1235/2010 and Directive 2010/84/EU;</w:t>
      </w:r>
      <w:r>
        <w:rPr>
          <w:color w:val="000000"/>
        </w:rPr>
        <w:t xml:space="preserve">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GMP and GDP requirements, implemented through Greek secondary legislation (Ministerial Decision ΔΥΓ3α/Γ.Π. 32221/2013);</w:t>
      </w:r>
      <w:r>
        <w:rPr>
          <w:color w:val="000000"/>
        </w:rPr>
        <w:t xml:space="preserve">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Greek-language labelling and patient information leaflet requirements; and</w:t>
      </w:r>
      <w:r>
        <w:rPr>
          <w:color w:val="000000"/>
        </w:rPr>
        <w:t xml:space="preserve"> </w:t>
      </w:r>
    </w:p>
    <w:p>
      <w:pPr>
        <w:pStyle w:val="TextBody"/>
        <w:bidi w:val="0"/>
        <w:spacing w:lineRule="auto" w:line="333" w:before="0" w:after="0"/>
        <w:ind w:left="0" w:right="0" w:hanging="360"/>
        <w:jc w:val="both"/>
        <w:rPr/>
      </w:pPr>
      <w:r>
        <w:rPr>
          <w:color w:val="000000"/>
        </w:rPr>
        <w:t>•</w:t>
      </w:r>
      <w:r>
        <w:rPr>
          <w:rFonts w:ascii="Times New Roman;serif" w:hAnsi="Times New Roman;serif"/>
          <w:b w:val="false"/>
          <w:color w:val="000000"/>
          <w:sz w:val="22"/>
        </w:rPr>
        <w:t>Restrictions on advertising and promotion, as applicable.</w:t>
      </w:r>
      <w:r>
        <w:rPr>
          <w:color w:val="000000"/>
        </w:rPr>
        <w:t xml:space="preserve">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For centrally authorized medicinal products containing controlled substances, additional Greek licensing and notification requirements apply for importation, distribution, and storage, consistent with the national controlled substance framework under Law 4139/2013. EOF may require confirmation of appropriate site licences prior to allowing local supply chain activities. To be noted that changes to Greek or EU legislation, regulations, scheduling or enforcement priorities could increase compliance burdens, delay clinical timelines, or adversely affect the Company’s operations in Greece.</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the date of this MD&amp;A, the Company is in compliance with applicable EU and Greek laws and the related licensing frameworks, as they pertain to the Company’s activities in Greece conducted through authorized third parties. The Company and, to its knowledge, its third party researchers and suppliers have not received any notices of violation that may have a material impact on the Company’s licences, business activities or operations in Greece.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 xml:space="preserve">Ireland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 xml:space="preserve">In Ireland, HLP003 is a controlled substance under the </w:t>
      </w:r>
      <w:r>
        <w:rPr>
          <w:rFonts w:ascii="Times New Roman;serif" w:hAnsi="Times New Roman;serif"/>
          <w:b w:val="false"/>
          <w:i/>
          <w:color w:val="000000"/>
          <w:sz w:val="22"/>
        </w:rPr>
        <w:t>Misuse of Drugs Act, 1977, 1984 and 2015</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Ireland</w:t>
      </w:r>
      <w:r>
        <w:rPr>
          <w:color w:val="000000"/>
        </w:rPr>
        <w:t xml:space="preserve"> </w:t>
      </w:r>
      <w:r>
        <w:rPr>
          <w:rFonts w:ascii="Times New Roman;serif" w:hAnsi="Times New Roman;serif"/>
          <w:b/>
          <w:color w:val="000000"/>
          <w:sz w:val="22"/>
        </w:rPr>
        <w:t>MDA</w:t>
      </w:r>
      <w:r>
        <w:rPr>
          <w:color w:val="000000"/>
        </w:rPr>
        <w:t>”</w:t>
      </w:r>
      <w:r>
        <w:rPr>
          <w:rFonts w:ascii="Times New Roman;serif" w:hAnsi="Times New Roman;serif"/>
          <w:b w:val="false"/>
          <w:color w:val="000000"/>
          <w:sz w:val="22"/>
        </w:rPr>
        <w:t xml:space="preserve">), the </w:t>
      </w:r>
      <w:r>
        <w:rPr>
          <w:rFonts w:ascii="Times New Roman;serif" w:hAnsi="Times New Roman;serif"/>
          <w:b w:val="false"/>
          <w:i/>
          <w:color w:val="000000"/>
          <w:sz w:val="22"/>
        </w:rPr>
        <w:t>Misuse of Drugs Regulations 2017</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Ireland</w:t>
      </w:r>
      <w:r>
        <w:rPr>
          <w:color w:val="000000"/>
        </w:rPr>
        <w:t xml:space="preserve"> </w:t>
      </w:r>
      <w:r>
        <w:rPr>
          <w:rFonts w:ascii="Times New Roman;serif" w:hAnsi="Times New Roman;serif"/>
          <w:b/>
          <w:color w:val="000000"/>
          <w:sz w:val="22"/>
        </w:rPr>
        <w:t>MDR</w:t>
      </w:r>
      <w:r>
        <w:rPr>
          <w:color w:val="000000"/>
        </w:rPr>
        <w:t>”</w:t>
      </w:r>
      <w:r>
        <w:rPr>
          <w:rFonts w:ascii="Times New Roman;serif" w:hAnsi="Times New Roman;serif"/>
          <w:b w:val="false"/>
          <w:color w:val="000000"/>
          <w:sz w:val="22"/>
        </w:rPr>
        <w:t xml:space="preserve">) and the </w:t>
      </w:r>
      <w:r>
        <w:rPr>
          <w:rFonts w:ascii="Times New Roman;serif" w:hAnsi="Times New Roman;serif"/>
          <w:b w:val="false"/>
          <w:i/>
          <w:color w:val="000000"/>
          <w:sz w:val="22"/>
        </w:rPr>
        <w:t xml:space="preserve">Criminal Justice (Psychoactive Substances) Act 2010 </w:t>
      </w:r>
      <w:r>
        <w:rPr>
          <w:rFonts w:ascii="Times New Roman;serif" w:hAnsi="Times New Roman;serif"/>
          <w:b w:val="false"/>
          <w:color w:val="000000"/>
          <w:sz w:val="22"/>
        </w:rPr>
        <w:t>(the “</w:t>
      </w:r>
      <w:r>
        <w:rPr>
          <w:rFonts w:ascii="Times New Roman;serif" w:hAnsi="Times New Roman;serif"/>
          <w:b/>
          <w:color w:val="000000"/>
          <w:sz w:val="22"/>
        </w:rPr>
        <w:t>2010 Act</w:t>
      </w:r>
      <w:r>
        <w:rPr>
          <w:color w:val="000000"/>
        </w:rPr>
        <w:t>”</w:t>
      </w:r>
      <w:r>
        <w:rPr>
          <w:rFonts w:ascii="Times New Roman;serif" w:hAnsi="Times New Roman;serif"/>
          <w:b w:val="false"/>
          <w:color w:val="000000"/>
          <w:sz w:val="22"/>
        </w:rPr>
        <w:t xml:space="preserve">).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Any substance, product or preparation (whether natural or otherwise) containing HLP003 is classed as a Schedule 1 controlled substance under the Ireland MDA and the Ireland MDR. Accordingly, HLP003 is subject to the strict regime of control that applies. </w:t>
      </w:r>
    </w:p>
    <w:p>
      <w:pPr>
        <w:pStyle w:val="TextBody"/>
        <w:bidi w:val="0"/>
        <w:spacing w:before="0" w:after="283"/>
        <w:jc w:val="left"/>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5"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As a Schedule 1 controlled substance under the Ireland MDA, unlawful manufacturing, production, preparation, importation, exportation, supply, or distribution of Schedule 1 controlled substances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section 14 of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“substance, product, preparation, plant, fungus or natural organism” as specified in the order.</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Irish Government’s Legislative Programme for Autumn 2025 does not contain any proposed amendments to the above-mentioned legislation which currently govern controlled substances.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has received European Clinical Trial Application approval to initiate the EMBRACE study in Ireland and, as such, will have to abide by the regulations governing clinical trials in Ireland. EU Regulation 536/2014 (the “</w:t>
      </w:r>
      <w:r>
        <w:rPr>
          <w:rFonts w:ascii="Times New Roman;serif" w:hAnsi="Times New Roman;serif"/>
          <w:b/>
          <w:color w:val="000000"/>
          <w:sz w:val="22"/>
        </w:rPr>
        <w:t>CTR</w:t>
      </w:r>
      <w:r>
        <w:rPr>
          <w:color w:val="000000"/>
        </w:rPr>
        <w:t>”</w:t>
      </w:r>
      <w:r>
        <w:rPr>
          <w:rFonts w:ascii="Times New Roman;serif" w:hAnsi="Times New Roman;serif"/>
          <w:b w:val="false"/>
          <w:color w:val="000000"/>
          <w:sz w:val="22"/>
        </w:rPr>
        <w:t>) is implemented in Ireland via the EU (Clinical Trials on Medicinal Products for Human Use) (Principal) Regulations 2022 (S.I. No. 99 of 2022), the EU (Clinical Trials on Medicinal Products for Human Use) (National Research Ethics Committees) Regulations 2022 (S.I. No. 41 of 2022), and the EU (Clinical Trials on Medicinal Products for Human Use) Regulations 2022 (S.I. No. 40 of 2022), (together, the “2022 Regulations”).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Clinical trials taking place in Ireland must be conducted in accordance with the CTR, the 2022 Regulations, the Declaration of Helsinki, clinical trial authorization (which has been granted), CT protocol(s), any accompanying documentation relevant to the clinical trial and the conditions and principles of good clinical practice. The manufacturing and importation of an investigational medicinal product in Ireland requires a manufacturer’s authorization.</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Schedule 1 controlled substances can be used for “research, forensic analysis or use as an essential intermediate or starting material in an industrial manufacturing process” once a Ministerial licence under section 14 of the MDA has been obtained. Where the controlled substance is so licensed and the</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proposed trial is fully compliant with the CTR and the 2022 Regulations, it is possible for a Schedule 1 controlled substance to be used in clinical trials in Ireland.</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clinical trial sponsor (i.e., the Company) must also upload the clinical trial protocol, the investigator’s brochure, the assessment report and any inspection reports to the EU-wide Clinical Trials Information System (“</w:t>
      </w:r>
      <w:r>
        <w:rPr>
          <w:rFonts w:ascii="Times New Roman;serif" w:hAnsi="Times New Roman;serif"/>
          <w:b/>
          <w:color w:val="000000"/>
          <w:sz w:val="22"/>
        </w:rPr>
        <w:t>CTIS</w:t>
      </w:r>
      <w:r>
        <w:rPr>
          <w:color w:val="000000"/>
        </w:rPr>
        <w:t>”</w:t>
      </w:r>
      <w:r>
        <w:rPr>
          <w:rFonts w:ascii="Times New Roman;serif" w:hAnsi="Times New Roman;serif"/>
          <w:b w:val="false"/>
          <w:color w:val="000000"/>
          <w:sz w:val="22"/>
        </w:rPr>
        <w:t>). Personal and commercially sensitive/confidential information may be redacted from these documents prior to upload as once they are posted to the CTIS they will be publicly available on the CTIS website.</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6"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lineRule="auto" w:line="333" w:before="0" w:after="0"/>
        <w:jc w:val="left"/>
        <w:rPr>
          <w:rFonts w:ascii="Times New Roman;serif" w:hAnsi="Times New Roman;serif"/>
          <w:b/>
          <w:i/>
          <w:color w:val="000000"/>
          <w:sz w:val="22"/>
        </w:rPr>
      </w:pPr>
      <w:r>
        <w:rPr>
          <w:rFonts w:ascii="Times New Roman;serif" w:hAnsi="Times New Roman;serif"/>
          <w:b/>
          <w:i/>
          <w:color w:val="000000"/>
          <w:sz w:val="22"/>
        </w:rPr>
        <w:t>Canada</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Canada, oversight of healthcare is divided between the federal and provincial governments. The federal government is responsible for regulating, among other things, the approval, import, sale, and marketing of drugs,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 xml:space="preserve">Certain compounds, such as HLP003, are considered controlled substances under Schedule III of the </w:t>
      </w:r>
      <w:r>
        <w:rPr>
          <w:rFonts w:ascii="Times New Roman;serif" w:hAnsi="Times New Roman;serif"/>
          <w:b w:val="false"/>
          <w:i/>
          <w:color w:val="000000"/>
          <w:sz w:val="22"/>
        </w:rPr>
        <w:t>Controlled Drugs and Substances Act</w:t>
      </w:r>
      <w:r>
        <w:rPr>
          <w:color w:val="000000"/>
        </w:rPr>
        <w:t xml:space="preserve"> </w:t>
      </w:r>
      <w:r>
        <w:rPr>
          <w:rFonts w:ascii="Times New Roman;serif" w:hAnsi="Times New Roman;serif"/>
          <w:b w:val="false"/>
          <w:color w:val="000000"/>
          <w:sz w:val="22"/>
        </w:rPr>
        <w:t>(Canada) (the “</w:t>
      </w:r>
      <w:r>
        <w:rPr>
          <w:rFonts w:ascii="Times New Roman;serif" w:hAnsi="Times New Roman;serif"/>
          <w:b/>
          <w:color w:val="000000"/>
          <w:sz w:val="22"/>
        </w:rPr>
        <w:t>CDSA</w:t>
      </w:r>
      <w:r>
        <w:rPr>
          <w:color w:val="000000"/>
        </w:rPr>
        <w:t>”</w:t>
      </w:r>
      <w:r>
        <w:rPr>
          <w:rFonts w:ascii="Times New Roman;serif" w:hAnsi="Times New Roman;serif"/>
          <w:b w:val="false"/>
          <w:color w:val="000000"/>
          <w:sz w:val="22"/>
        </w:rPr>
        <w:t>). In order to conduct any scientific research, including preclinical and clinical trials, using compounds listed as controlled substances under Schedule III of the CDSA, an exemption under Section 56 of the CDSA (“</w:t>
      </w:r>
      <w:r>
        <w:rPr>
          <w:rFonts w:ascii="Times New Roman;serif" w:hAnsi="Times New Roman;serif"/>
          <w:b/>
          <w:color w:val="000000"/>
          <w:sz w:val="22"/>
        </w:rPr>
        <w:t>Section 56 Exemption</w:t>
      </w:r>
      <w:r>
        <w:rPr>
          <w:color w:val="000000"/>
        </w:rPr>
        <w:t>”</w:t>
      </w:r>
      <w:r>
        <w:rPr>
          <w:rFonts w:ascii="Times New Roman;serif" w:hAnsi="Times New Roman;serif"/>
          <w:b w:val="false"/>
          <w:color w:val="000000"/>
          <w:sz w:val="22"/>
        </w:rPr>
        <w:t xml:space="preserve">) is required.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Health Canada has not approved HLP003 as a drug for any indication. However, there are legal routes through which HLP003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serif" w:hAnsi="Times New Roman;serif"/>
          <w:b/>
          <w:color w:val="000000"/>
          <w:sz w:val="22"/>
        </w:rPr>
        <w:t>SAP</w:t>
      </w:r>
      <w:r>
        <w:rPr>
          <w:color w:val="000000"/>
        </w:rPr>
        <w:t>”</w:t>
      </w:r>
      <w:r>
        <w:rPr>
          <w:rFonts w:ascii="Times New Roman;serif" w:hAnsi="Times New Roman;serif"/>
          <w:b w:val="false"/>
          <w:color w:val="000000"/>
          <w:sz w:val="22"/>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HLP003 through the SAP. The Company has not applied for access under the SAP.</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HLP003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HLP003) (see s. J.01.009 (1) of the Food and Drug Regulations).</w:t>
      </w:r>
    </w:p>
    <w:p>
      <w:pPr>
        <w:pStyle w:val="TextBody"/>
        <w:bidi w:val="0"/>
        <w:spacing w:before="0" w:after="0"/>
        <w:jc w:val="left"/>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intends to sponsor and work with licensed third parties to conduct any clinical trials and research and does not handle controlled substances. If the Company were to conduct this work </w:t>
      </w:r>
    </w:p>
    <w:p>
      <w:pPr>
        <w:pStyle w:val="TextBody"/>
        <w:bidi w:val="0"/>
        <w:spacing w:before="0" w:after="2"/>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7"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without the reliance on third parties, it would need to obtain additional licences and approvals described above.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Research and Development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process required before a prescription drug product candidate may be marketed in Canada generally involves: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i/>
          <w:color w:val="000000"/>
          <w:sz w:val="22"/>
        </w:rPr>
        <w:t>Chemical and Biological Research –</w:t>
      </w:r>
      <w:r>
        <w:rPr>
          <w:color w:val="000000"/>
        </w:rPr>
        <w:t xml:space="preserve"> </w:t>
      </w:r>
      <w:r>
        <w:rPr>
          <w:rFonts w:ascii="Times New Roman;serif" w:hAnsi="Times New Roman;serif"/>
          <w:b w:val="false"/>
          <w:color w:val="000000"/>
          <w:sz w:val="22"/>
        </w:rPr>
        <w:t>Laboratory tests are carried out on tissue cultures and with a variety of small animals to determine the effects of the drug. If the results are promising, the manufacturer will proceed to the next step of development.</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i/>
          <w:color w:val="000000"/>
          <w:sz w:val="22"/>
        </w:rPr>
        <w:t xml:space="preserve">Preclinical Development – </w:t>
      </w:r>
      <w:r>
        <w:rPr>
          <w:rFonts w:ascii="Times New Roman;serif" w:hAnsi="Times New Roman;serif"/>
          <w:b w:val="false"/>
          <w:color w:val="000000"/>
          <w:sz w:val="22"/>
        </w:rPr>
        <w:t>Animals are given the drug in varying amounts over differing periods of time. If it can be shown that the drug causes no serious or unexpected harm at the doses required to have an effect, the manufacturer will proceed to clinical trials.</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i/>
          <w:color w:val="000000"/>
          <w:sz w:val="22"/>
        </w:rPr>
        <w:t xml:space="preserve">Clinical Trials – Phase 1 - </w:t>
      </w:r>
      <w:r>
        <w:rPr>
          <w:rFonts w:ascii="Times New Roman;serif" w:hAnsi="Times New Roman;serif"/>
          <w:b w:val="false"/>
          <w:color w:val="000000"/>
          <w:sz w:val="22"/>
        </w:rPr>
        <w:t>The first administration in humans is to test if people can tolerate the drug. If this testing is to take place in Canada, the manufacturer must prepare a clinical trial application for the Therapeutic Products Directorate of Health Canada (the “</w:t>
      </w:r>
      <w:r>
        <w:rPr>
          <w:rFonts w:ascii="Times New Roman;serif" w:hAnsi="Times New Roman;serif"/>
          <w:b/>
          <w:color w:val="000000"/>
          <w:sz w:val="22"/>
        </w:rPr>
        <w:t>TPD</w:t>
      </w:r>
      <w:r>
        <w:rPr>
          <w:color w:val="000000"/>
        </w:rPr>
        <w:t>”</w:t>
      </w:r>
      <w:r>
        <w:rPr>
          <w:rFonts w:ascii="Times New Roman;serif" w:hAnsi="Times New Roman;serif"/>
          <w:b w:val="false"/>
          <w:color w:val="000000"/>
          <w:sz w:val="22"/>
        </w:rPr>
        <w:t>). This includes the results of the first two steps and a proposal for testing in humans. If the information is sufficient, the Health Products and Food Branch of Health Canada (the “</w:t>
      </w:r>
      <w:r>
        <w:rPr>
          <w:rFonts w:ascii="Times New Roman;serif" w:hAnsi="Times New Roman;serif"/>
          <w:b/>
          <w:color w:val="000000"/>
          <w:sz w:val="22"/>
        </w:rPr>
        <w:t>HPFB</w:t>
      </w:r>
      <w:r>
        <w:rPr>
          <w:color w:val="000000"/>
        </w:rPr>
        <w:t>”</w:t>
      </w:r>
      <w:r>
        <w:rPr>
          <w:rFonts w:ascii="Times New Roman;serif" w:hAnsi="Times New Roman;serif"/>
          <w:b w:val="false"/>
          <w:color w:val="000000"/>
          <w:sz w:val="22"/>
        </w:rPr>
        <w:t>) grants permission to start testing the drug, generally first on healthy volunteers.</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i/>
          <w:color w:val="000000"/>
          <w:sz w:val="22"/>
        </w:rPr>
        <w:t>Clinical Trials – Phase 2 - Phase 2</w:t>
      </w:r>
      <w:r>
        <w:rPr>
          <w:color w:val="000000"/>
        </w:rPr>
        <w:t xml:space="preserve"> </w:t>
      </w:r>
      <w:r>
        <w:rPr>
          <w:rFonts w:ascii="Times New Roman;serif" w:hAnsi="Times New Roman;serif"/>
          <w:b w:val="false"/>
          <w:color w:val="000000"/>
          <w:sz w:val="22"/>
        </w:rPr>
        <w:t>trials are carried out on people with the target condition, who are usually otherwise healthy, with no other medical condition. Trials carried out in Canada must be approved by the TPD. In phase II, the objective of the trials is to continue to gather information on the safety of the drug and begin to determine its effectiveness.</w:t>
      </w:r>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i/>
          <w:color w:val="000000"/>
          <w:sz w:val="22"/>
        </w:rPr>
        <w:t xml:space="preserve">Clinical Trials – Phase 3 - </w:t>
      </w:r>
      <w:r>
        <w:rPr>
          <w:rFonts w:ascii="Times New Roman;serif" w:hAnsi="Times New Roman;serif"/>
          <w:b w:val="false"/>
          <w:color w:val="000000"/>
          <w:sz w:val="22"/>
        </w:rPr>
        <w:t>If the results from phase II show promise, the manufacturer provides an updated clinical trial 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erif" w:hAnsi="Times New Roman;serif"/>
          <w:b w:val="false"/>
          <w:i/>
          <w:color w:val="000000"/>
          <w:sz w:val="22"/>
        </w:rPr>
        <w:t xml:space="preserve">New Drug Submission – </w:t>
      </w:r>
      <w:r>
        <w:rPr>
          <w:rFonts w:ascii="Times New Roman;serif" w:hAnsi="Times New Roman;serif"/>
          <w:b w:val="false"/>
          <w:color w:val="000000"/>
          <w:sz w:val="22"/>
        </w:rPr>
        <w:t>If the results from phase III continue to be favourable, the drug manufacturer can submit a new drug submission (“</w:t>
      </w:r>
      <w:r>
        <w:rPr>
          <w:rFonts w:ascii="Times New Roman;serif" w:hAnsi="Times New Roman;serif"/>
          <w:b/>
          <w:color w:val="000000"/>
          <w:sz w:val="22"/>
        </w:rPr>
        <w:t>NDS</w:t>
      </w:r>
      <w:r>
        <w:rPr>
          <w:color w:val="000000"/>
        </w:rPr>
        <w:t>”</w:t>
      </w:r>
      <w:r>
        <w:rPr>
          <w:rFonts w:ascii="Times New Roman;serif" w:hAnsi="Times New Roman;serif"/>
          <w:b w:val="false"/>
          <w:color w:val="000000"/>
          <w:sz w:val="22"/>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8"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lineRule="auto" w:line="333" w:before="0" w:after="240"/>
        <w:jc w:val="both"/>
        <w:rPr>
          <w:rFonts w:ascii="Times New Roman;serif" w:hAnsi="Times New Roman;serif"/>
          <w:b/>
          <w:color w:val="000000"/>
          <w:sz w:val="22"/>
          <w:u w:val="single"/>
        </w:rPr>
      </w:pPr>
      <w:r>
        <w:rPr>
          <w:rFonts w:ascii="Times New Roman;serif" w:hAnsi="Times New Roman;serif"/>
          <w:b/>
          <w:color w:val="000000"/>
          <w:sz w:val="22"/>
          <w:u w:val="single"/>
        </w:rPr>
        <w:t>Compliance with Applicable Laws</w:t>
      </w:r>
    </w:p>
    <w:p>
      <w:pPr>
        <w:pStyle w:val="TextBody"/>
        <w:bidi w:val="0"/>
        <w:spacing w:lineRule="auto" w:line="312"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 </w:t>
      </w:r>
    </w:p>
    <w:p>
      <w:pPr>
        <w:pStyle w:val="TextBody"/>
        <w:bidi w:val="0"/>
        <w:spacing w:before="0" w:after="2"/>
        <w:jc w:val="both"/>
        <w:rPr/>
      </w:pPr>
      <w:r>
        <w:rPr/>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Additionally, the Company has established a Medical &amp; Clinical Advisory Team, a Research, Clinical and Regulatory Team and a Government Relations and Communications Team with cross-functional expertise in business, neuroscience, pharmaceuticals, mental health and serotonergic agonists to advise management. </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and, to its knowledge, each of its third-party researchers, suppliers and manufacturers have not received any non-compliance, citations or notices of violation which may have an impact on the Company’s licences, business activities or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89"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lineRule="auto" w:line="333" w:before="0" w:after="2"/>
        <w:jc w:val="both"/>
        <w:rPr>
          <w:rFonts w:ascii="Times New Roman;serif" w:hAnsi="Times New Roman;serif"/>
          <w:b/>
          <w:i/>
          <w:color w:val="000000"/>
          <w:sz w:val="22"/>
        </w:rPr>
      </w:pPr>
      <w:r>
        <w:rPr>
          <w:rFonts w:ascii="Times New Roman;serif" w:hAnsi="Times New Roman;serif"/>
          <w:b/>
          <w:i/>
          <w:color w:val="000000"/>
          <w:sz w:val="22"/>
        </w:rPr>
        <w:t xml:space="preserve">Patent Cooperation Treaty </w:t>
      </w:r>
    </w:p>
    <w:p>
      <w:pPr>
        <w:pStyle w:val="TextBody"/>
        <w:bidi w:val="0"/>
        <w:spacing w:before="0" w:after="2"/>
        <w:jc w:val="both"/>
        <w:rPr/>
      </w:pPr>
      <w:r>
        <w:rPr/>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PCT facilitates filing for patent recognition in multiple jurisdictions simultaneously using a single uniform patent application. 158 countries, including Canada and the United States have ratified the PCT.</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Ultimately, patents are still granted in each country individually. As such, the PCT procedure consists of two phases: filing of an international application, and national evaluation under the patent laws in force in each country where a patent is sought.</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 </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While the Company is focused on programs using compounds that are regulated as controlled substances in many jurisdictions,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Selected Quarterly Information</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2"/>
        </w:rPr>
      </w:pPr>
      <w:r>
        <w:rPr>
          <w:rFonts w:ascii="Times New Roman;serif" w:hAnsi="Times New Roman;serif"/>
          <w:b w:val="false"/>
          <w:color w:val="000000"/>
          <w:sz w:val="22"/>
        </w:rPr>
        <w:t>Effective April 1, 2025, the Company changed its presentation currency from the Canadian Dollar to the United States dollar to better reflect the Company’s operations, align with the currency in which the majority of cash based expenses are denominated, and improve comparability of its financial results with other publicly traded businesses in the industry. All amounts in the MD&amp;A are therefore presented in USD unless otherwise indicated.</w:t>
      </w:r>
    </w:p>
    <w:p>
      <w:pPr>
        <w:pStyle w:val="TextBody"/>
        <w:bidi w:val="0"/>
        <w:spacing w:before="0" w:after="0"/>
        <w:jc w:val="both"/>
        <w:rPr/>
      </w:pPr>
      <w:r>
        <w:rPr/>
      </w:r>
    </w:p>
    <w:p>
      <w:pPr>
        <w:pStyle w:val="TextBody"/>
        <w:bidi w:val="0"/>
        <w:spacing w:lineRule="auto" w:line="312" w:before="0" w:after="0"/>
        <w:jc w:val="both"/>
        <w:rPr/>
      </w:pPr>
      <w:r>
        <w:rPr>
          <w:rFonts w:ascii="Times New Roman;serif" w:hAnsi="Times New Roman;serif"/>
          <w:b w:val="false"/>
          <w:color w:val="000000"/>
          <w:sz w:val="22"/>
        </w:rPr>
        <w:t>The following table sets forth selected consolidated financial information for the periods indicated that are derived</w:t>
      </w:r>
      <w:r>
        <w:rPr>
          <w:color w:val="000000"/>
        </w:rPr>
        <w:t xml:space="preserve"> </w:t>
      </w:r>
      <w:r>
        <w:rPr>
          <w:rFonts w:ascii="Times New Roman;serif" w:hAnsi="Times New Roman;serif"/>
          <w:b w:val="false"/>
          <w:color w:val="000000"/>
          <w:sz w:val="24"/>
        </w:rPr>
        <w:t>f</w:t>
      </w:r>
      <w:r>
        <w:rPr>
          <w:rFonts w:ascii="Times New Roman;serif" w:hAnsi="Times New Roman;serif"/>
          <w:b w:val="false"/>
          <w:color w:val="000000"/>
          <w:sz w:val="22"/>
        </w:rPr>
        <w:t>rom, and should be read in conjunction with, the Financial Statements and related notes thereto. As a result of the change in reporting currency, the dollar amounts in the table below have been restated from CAD to USD for the periods prior to April 1, 2025. Assets and liabilities at each balance sheet date were translated at the closing rate on those dates. Expense items for prior periods were translated using the average rate for the respective periods.</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0"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tbl>
      <w:tblPr>
        <w:tblW w:w="10671" w:type="dxa"/>
        <w:jc w:val="left"/>
        <w:tblInd w:w="0" w:type="dxa"/>
        <w:tblLayout w:type="fixed"/>
        <w:tblCellMar>
          <w:top w:w="28" w:type="dxa"/>
          <w:left w:w="28" w:type="dxa"/>
          <w:bottom w:w="28" w:type="dxa"/>
          <w:right w:w="28" w:type="dxa"/>
        </w:tblCellMar>
      </w:tblPr>
      <w:tblGrid>
        <w:gridCol w:w="510"/>
        <w:gridCol w:w="277"/>
        <w:gridCol w:w="279"/>
        <w:gridCol w:w="543"/>
        <w:gridCol w:w="418"/>
        <w:gridCol w:w="151"/>
        <w:gridCol w:w="609"/>
        <w:gridCol w:w="352"/>
        <w:gridCol w:w="196"/>
        <w:gridCol w:w="499"/>
        <w:gridCol w:w="462"/>
        <w:gridCol w:w="276"/>
        <w:gridCol w:w="514"/>
        <w:gridCol w:w="447"/>
        <w:gridCol w:w="291"/>
        <w:gridCol w:w="543"/>
        <w:gridCol w:w="418"/>
        <w:gridCol w:w="151"/>
        <w:gridCol w:w="609"/>
        <w:gridCol w:w="352"/>
        <w:gridCol w:w="196"/>
        <w:gridCol w:w="499"/>
        <w:gridCol w:w="462"/>
        <w:gridCol w:w="276"/>
        <w:gridCol w:w="571"/>
        <w:gridCol w:w="390"/>
        <w:gridCol w:w="380"/>
      </w:tblGrid>
      <w:tr>
        <w:trPr/>
        <w:tc>
          <w:tcPr>
            <w:tcW w:w="51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7"/>
              </w:rPr>
            </w:pPr>
            <w:r>
              <w:rPr>
                <w:rFonts w:ascii="Times New Roman;serif" w:hAnsi="Times New Roman;serif"/>
                <w:b w:val="false"/>
                <w:i/>
                <w:color w:val="000000"/>
                <w:sz w:val="17"/>
              </w:rPr>
              <w:t>(United States dollars in thousands, except per share and share figures)</w:t>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June 30, 2026</w:t>
            </w:r>
          </w:p>
        </w:tc>
        <w:tc>
          <w:tcPr>
            <w:tcW w:w="11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March 31, 2026</w:t>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December 31, 2025</w:t>
            </w:r>
          </w:p>
        </w:tc>
        <w:tc>
          <w:tcPr>
            <w:tcW w:w="12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September 30, 2025</w:t>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June 30, 2025</w:t>
            </w:r>
          </w:p>
        </w:tc>
        <w:tc>
          <w:tcPr>
            <w:tcW w:w="11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March 31, 2025</w:t>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December 31, 2024</w:t>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 ($)</w:t>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Operating Expenses ($)</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49,082 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47,579 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41,210 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28,894 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24,624 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23,183 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22,388 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42,705 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loss ($)</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(47,819)</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(46,995)</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(42,668)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(33,722)</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(24,613)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(21,307)</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(7,539)</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(41,927)</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340"/>
              <w:jc w:val="left"/>
              <w:rPr/>
            </w:pPr>
            <w:r>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Weighted Average Shares - Basic</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52,318,151 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50,285,080 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42,521,329 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24,205,871 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22,401,197 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20,898,038 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20,001,406 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20,001,406 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per share ($)</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(0.91)</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(0.93)</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Weighted Average Shares - Diluted</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52,318,151 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50,285,080 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42,521,329 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24,205,871 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22,401,197 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20,898,038 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20,001,406 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20,001,406 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per share ($)</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(0.91)</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(0.93)</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(0.38)</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and cash equivalents</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166,365 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157,258 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195,128 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83,752 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118,692 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93,922 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94,718 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114,318 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 ($)</w:t>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259,655 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251,166 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290,122 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181,246 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210,813 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179,897 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176,208 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194,378 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Non-Current Liabilities ($)</w:t>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28,888 </w:t>
            </w:r>
          </w:p>
        </w:tc>
        <w:tc>
          <w:tcPr>
            <w:tcW w:w="29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44,500 </w:t>
            </w:r>
          </w:p>
        </w:tc>
        <w:tc>
          <w:tcPr>
            <w:tcW w:w="15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both"/>
        <w:rPr>
          <w:rFonts w:ascii="Times New Roman;serif" w:hAnsi="Times New Roman;serif"/>
          <w:b/>
          <w:i/>
          <w:color w:val="000000"/>
          <w:sz w:val="14"/>
          <w:shd w:fill="FFFF00" w:val="clear"/>
        </w:rPr>
      </w:pPr>
      <w:r>
        <w:rPr>
          <w:rFonts w:ascii="Times New Roman;serif" w:hAnsi="Times New Roman;serif"/>
          <w:b/>
          <w:i/>
          <w:color w:val="000000"/>
          <w:sz w:val="14"/>
          <w:shd w:fill="FFFF00" w:val="clear"/>
        </w:rPr>
        <w:t>\</w:t>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Assets</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Total assets increased by $8,489 from March 31, 2026 to June 30, 2026, mainly as a result of an increase in cash due to the 2026 June Offering (as defined below), offset by operating activities. As at June 30, 2026, the Company had prepaid expenses related to future clinical work of $19,287 (March 31, 2026 - $20,289).</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i/>
          <w:color w:val="000000"/>
          <w:sz w:val="22"/>
        </w:rPr>
      </w:pPr>
      <w:r>
        <w:rPr>
          <w:rFonts w:ascii="Times New Roman;serif" w:hAnsi="Times New Roman;serif"/>
          <w:b/>
          <w:i/>
          <w:color w:val="000000"/>
          <w:sz w:val="22"/>
        </w:rPr>
        <w:t xml:space="preserve">Results of Operations </w:t>
      </w:r>
    </w:p>
    <w:p>
      <w:pPr>
        <w:pStyle w:val="TextBody"/>
        <w:bidi w:val="0"/>
        <w:spacing w:before="0" w:after="2"/>
        <w:jc w:val="both"/>
        <w:rPr/>
      </w:pPr>
      <w:r>
        <w:rPr/>
      </w:r>
    </w:p>
    <w:tbl>
      <w:tblPr>
        <w:tblW w:w="9037" w:type="dxa"/>
        <w:jc w:val="left"/>
        <w:tblInd w:w="0" w:type="dxa"/>
        <w:tblLayout w:type="fixed"/>
        <w:tblCellMar>
          <w:top w:w="28" w:type="dxa"/>
          <w:left w:w="28" w:type="dxa"/>
          <w:bottom w:w="28" w:type="dxa"/>
          <w:right w:w="28" w:type="dxa"/>
        </w:tblCellMar>
      </w:tblPr>
      <w:tblGrid>
        <w:gridCol w:w="2016"/>
        <w:gridCol w:w="1770"/>
        <w:gridCol w:w="1778"/>
        <w:gridCol w:w="808"/>
        <w:gridCol w:w="326"/>
        <w:gridCol w:w="326"/>
        <w:gridCol w:w="613"/>
        <w:gridCol w:w="468"/>
        <w:gridCol w:w="932"/>
      </w:tblGrid>
      <w:tr>
        <w:trPr/>
        <w:tc>
          <w:tcPr>
            <w:tcW w:w="201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5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(U.S. dollars in thousands)</w:t>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2026</w:t>
            </w:r>
          </w:p>
        </w:tc>
        <w:tc>
          <w:tcPr>
            <w:tcW w:w="2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2025</w:t>
            </w:r>
          </w:p>
        </w:tc>
      </w:tr>
      <w:tr>
        <w:trPr/>
        <w:tc>
          <w:tcPr>
            <w:tcW w:w="5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Research</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30,761</w:t>
            </w: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14,995 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costs </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6,747</w:t>
            </w: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11,574</w:t>
            </w: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11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49,082</w:t>
            </w:r>
            <w:r>
              <w:rPr>
                <w:color w:val="000000"/>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24,624 </w:t>
            </w:r>
          </w:p>
        </w:tc>
        <w:tc>
          <w:tcPr>
            <w:tcW w:w="9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w:t>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1,282</w:t>
            </w: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93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32"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OTHER INCOME </w:t>
            </w:r>
          </w:p>
        </w:tc>
        <w:tc>
          <w:tcPr>
            <w:tcW w:w="11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1,263</w:t>
            </w:r>
            <w:r>
              <w:rPr>
                <w:color w:val="000000"/>
              </w:rPr>
              <w:t>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shd w:fill="D9D9D9"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FOR THE PERIOD</w:t>
            </w:r>
          </w:p>
        </w:tc>
        <w:tc>
          <w:tcPr>
            <w:tcW w:w="113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(47,819)</w:t>
            </w:r>
          </w:p>
        </w:tc>
        <w:tc>
          <w:tcPr>
            <w:tcW w:w="32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(24,613)</w:t>
            </w:r>
          </w:p>
        </w:tc>
        <w:tc>
          <w:tcPr>
            <w:tcW w:w="93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loss per share for the period</w:t>
            </w:r>
          </w:p>
        </w:tc>
        <w:tc>
          <w:tcPr>
            <w:tcW w:w="11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(0.91)</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 - basic</w:t>
            </w:r>
          </w:p>
        </w:tc>
        <w:tc>
          <w:tcPr>
            <w:tcW w:w="113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52,318,151</w:t>
            </w:r>
            <w:r>
              <w:rPr>
                <w:color w:val="000000"/>
              </w:rPr>
              <w:t> </w:t>
            </w:r>
          </w:p>
        </w:tc>
        <w:tc>
          <w:tcPr>
            <w:tcW w:w="3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22,401,197 </w:t>
            </w:r>
          </w:p>
        </w:tc>
        <w:tc>
          <w:tcPr>
            <w:tcW w:w="9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1"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before="0" w:after="2"/>
        <w:jc w:val="both"/>
        <w:rPr/>
      </w:pPr>
      <w:r>
        <w:rPr/>
      </w:r>
    </w:p>
    <w:p>
      <w:pPr>
        <w:pStyle w:val="TextBody"/>
        <w:bidi w:val="0"/>
        <w:spacing w:lineRule="auto" w:line="333" w:before="0" w:after="0"/>
        <w:jc w:val="both"/>
        <w:rPr/>
      </w:pPr>
      <w:r>
        <w:rPr>
          <w:rFonts w:ascii="Times New Roman;serif" w:hAnsi="Times New Roman;serif"/>
          <w:b w:val="false"/>
          <w:color w:val="000000"/>
          <w:sz w:val="22"/>
        </w:rPr>
        <w:t>For t</w:t>
      </w:r>
      <w:r>
        <w:rPr>
          <w:rFonts w:ascii="Times New Roman;serif" w:hAnsi="Times New Roman;serif"/>
          <w:b w:val="false"/>
          <w:color w:val="000000"/>
          <w:sz w:val="22"/>
          <w:shd w:fill="FFFFFF" w:val="clear"/>
        </w:rPr>
        <w:t>he three month period ended June 30, 2026, Helus Pharma incurred a net loss of $47,819 compared to a net loss of $24,613 d</w:t>
      </w:r>
      <w:r>
        <w:rPr>
          <w:rFonts w:ascii="Times New Roman;serif" w:hAnsi="Times New Roman;serif"/>
          <w:b w:val="false"/>
          <w:color w:val="000000"/>
          <w:sz w:val="22"/>
        </w:rPr>
        <w:t>uring the same period in prior year. The net loss for the three month period June 30, 2026, includes a non-cash component related to share-based compensation of $11,574, compared to $753 during the same period in prior year.</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During the three months ended June 30, 2026, the Company was focused on progressing its various research programs, with a focus on its HLP003 Program as it neared completion of enrollment of its APPROACH trial. During such period, both the HLP003 and the HLP004 clinical programs have progressed towards the milestones noted above. See “</w:t>
      </w:r>
      <w:r>
        <w:rPr>
          <w:rFonts w:ascii="Times New Roman;serif" w:hAnsi="Times New Roman;serif"/>
          <w:b w:val="false"/>
          <w:i/>
          <w:color w:val="000000"/>
          <w:sz w:val="22"/>
        </w:rPr>
        <w:t>Non-Revenue Generating Projects</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333" w:before="40" w:after="240"/>
        <w:jc w:val="both"/>
        <w:rPr>
          <w:rFonts w:ascii="Times New Roman;serif" w:hAnsi="Times New Roman;serif"/>
          <w:b/>
          <w:i/>
          <w:color w:val="000000"/>
          <w:sz w:val="22"/>
        </w:rPr>
      </w:pPr>
      <w:r>
        <w:rPr>
          <w:rFonts w:ascii="Times New Roman;serif" w:hAnsi="Times New Roman;serif"/>
          <w:b/>
          <w:i/>
          <w:color w:val="000000"/>
          <w:sz w:val="22"/>
        </w:rPr>
        <w:t>Operating expenses</w:t>
      </w:r>
    </w:p>
    <w:p>
      <w:pPr>
        <w:pStyle w:val="TextBody"/>
        <w:bidi w:val="0"/>
        <w:spacing w:lineRule="auto" w:line="333" w:before="0" w:after="240"/>
        <w:jc w:val="both"/>
        <w:rPr/>
      </w:pPr>
      <w:r>
        <w:rPr>
          <w:rFonts w:ascii="Times New Roman;serif" w:hAnsi="Times New Roman;serif"/>
          <w:b w:val="false"/>
          <w:color w:val="000000"/>
          <w:sz w:val="22"/>
          <w:shd w:fill="FFFFFF" w:val="clear"/>
        </w:rPr>
        <w:t xml:space="preserve">For the three month period ended </w:t>
      </w:r>
      <w:r>
        <w:rPr>
          <w:rFonts w:ascii="Times New Roman;serif" w:hAnsi="Times New Roman;serif"/>
          <w:b w:val="false"/>
          <w:color w:val="000000"/>
          <w:sz w:val="22"/>
        </w:rPr>
        <w:t>June 30, 2026</w:t>
      </w:r>
      <w:r>
        <w:rPr>
          <w:rFonts w:ascii="Times New Roman;serif" w:hAnsi="Times New Roman;serif"/>
          <w:b w:val="false"/>
          <w:color w:val="000000"/>
          <w:sz w:val="22"/>
          <w:shd w:fill="FFFFFF" w:val="clear"/>
        </w:rPr>
        <w:t>, operating expenses totaled $</w:t>
      </w:r>
      <w:r>
        <w:rPr>
          <w:rFonts w:ascii="Times New Roman;serif" w:hAnsi="Times New Roman;serif"/>
          <w:b w:val="false"/>
          <w:color w:val="000000"/>
          <w:sz w:val="22"/>
        </w:rPr>
        <w:t>49,082</w:t>
      </w:r>
      <w:r>
        <w:rPr>
          <w:color w:val="000000"/>
          <w:shd w:fill="FFFFFF" w:val="clear"/>
        </w:rPr>
        <w:t xml:space="preserve"> </w:t>
      </w:r>
      <w:r>
        <w:rPr>
          <w:rFonts w:ascii="Times New Roman;serif" w:hAnsi="Times New Roman;serif"/>
          <w:b w:val="false"/>
          <w:color w:val="000000"/>
          <w:sz w:val="22"/>
          <w:shd w:fill="FFFFFF" w:val="clear"/>
        </w:rPr>
        <w:t>(2025 - $</w:t>
      </w:r>
      <w:r>
        <w:rPr>
          <w:rFonts w:ascii="Times New Roman;serif" w:hAnsi="Times New Roman;serif"/>
          <w:b w:val="false"/>
          <w:color w:val="000000"/>
          <w:sz w:val="22"/>
        </w:rPr>
        <w:t>24,624</w:t>
      </w:r>
      <w:r>
        <w:rPr>
          <w:rFonts w:ascii="Times New Roman;serif" w:hAnsi="Times New Roman;serif"/>
          <w:b w:val="false"/>
          <w:color w:val="000000"/>
          <w:sz w:val="22"/>
          <w:shd w:fill="FFFFFF" w:val="clear"/>
        </w:rPr>
        <w:t>). The operating expenses include a non-cash compon</w:t>
      </w:r>
      <w:r>
        <w:rPr>
          <w:rFonts w:ascii="Times New Roman;serif" w:hAnsi="Times New Roman;serif"/>
          <w:b w:val="false"/>
          <w:color w:val="000000"/>
          <w:sz w:val="22"/>
        </w:rPr>
        <w:t xml:space="preserve">ent of $11,574 (2025 - $753) related to share-based compensation. The remaining operating expenses were incurred to support research activities, raising capital, and the overall development of the Company. </w:t>
      </w:r>
    </w:p>
    <w:p>
      <w:pPr>
        <w:pStyle w:val="TextBody"/>
        <w:bidi w:val="0"/>
        <w:spacing w:lineRule="auto" w:line="333" w:before="0" w:after="2"/>
        <w:jc w:val="both"/>
        <w:rPr/>
      </w:pPr>
      <w:r>
        <w:rPr>
          <w:rFonts w:ascii="Times New Roman;serif" w:hAnsi="Times New Roman;serif"/>
          <w:b/>
          <w:i/>
          <w:color w:val="000000"/>
          <w:sz w:val="22"/>
        </w:rPr>
        <w:t>Research</w:t>
      </w:r>
      <w:r>
        <w:rPr>
          <w:color w:val="000000"/>
        </w:rPr>
        <w:t xml:space="preserve"> </w:t>
      </w:r>
    </w:p>
    <w:p>
      <w:pPr>
        <w:pStyle w:val="TextBody"/>
        <w:bidi w:val="0"/>
        <w:spacing w:before="0" w:after="2"/>
        <w:jc w:val="both"/>
        <w:rPr/>
      </w:pPr>
      <w:r>
        <w:rPr/>
      </w:r>
    </w:p>
    <w:p>
      <w:pPr>
        <w:pStyle w:val="TextBody"/>
        <w:bidi w:val="0"/>
        <w:spacing w:lineRule="auto" w:line="333" w:before="0" w:after="240"/>
        <w:jc w:val="both"/>
        <w:rPr/>
      </w:pPr>
      <w:r>
        <w:rPr>
          <w:rFonts w:ascii="Times New Roman;serif" w:hAnsi="Times New Roman;serif"/>
          <w:b w:val="false"/>
          <w:color w:val="000000"/>
          <w:sz w:val="22"/>
          <w:shd w:fill="FFFFFF" w:val="clear"/>
        </w:rPr>
        <w:t>For the three month period ende</w:t>
      </w:r>
      <w:r>
        <w:rPr>
          <w:rFonts w:ascii="Times New Roman;serif" w:hAnsi="Times New Roman;serif"/>
          <w:b w:val="false"/>
          <w:color w:val="000000"/>
          <w:sz w:val="22"/>
        </w:rPr>
        <w:t>d June 30, 2026, the Company’s research expenses totaled $30,761 compared to $14,995 during the same period in the prior year. Research expenses for the three month period are comprised of advancement of the development programs of $25,289 (2025 - $12,095), payroll related expenses of $4,206 (2025 - $2,596), professional and consulting fees of $756 (2025 - $24) and lab and administration expenses of $510 (2025 - $280)</w:t>
      </w:r>
    </w:p>
    <w:p>
      <w:pPr>
        <w:pStyle w:val="TextBody"/>
        <w:bidi w:val="0"/>
        <w:spacing w:lineRule="auto" w:line="333" w:before="0" w:after="240"/>
        <w:jc w:val="both"/>
        <w:rPr/>
      </w:pPr>
      <w:r>
        <w:rPr>
          <w:rFonts w:ascii="Times New Roman;serif" w:hAnsi="Times New Roman;serif"/>
          <w:b w:val="false"/>
          <w:color w:val="000000"/>
          <w:sz w:val="22"/>
          <w:shd w:fill="FFFFFF" w:val="clear"/>
        </w:rPr>
        <w:t>The overall increase for the three mo</w:t>
      </w:r>
      <w:r>
        <w:rPr>
          <w:rFonts w:ascii="Times New Roman;serif" w:hAnsi="Times New Roman;serif"/>
          <w:b w:val="false"/>
          <w:color w:val="000000"/>
          <w:sz w:val="22"/>
        </w:rPr>
        <w:t xml:space="preserve">nth period ended June 30, 2026 </w:t>
      </w:r>
      <w:r>
        <w:rPr>
          <w:rFonts w:ascii="Times New Roman;serif" w:hAnsi="Times New Roman;serif"/>
          <w:b w:val="false"/>
          <w:color w:val="000000"/>
          <w:sz w:val="22"/>
          <w:shd w:fill="FFFFFF" w:val="clear"/>
        </w:rPr>
        <w:t>in research ex</w:t>
      </w:r>
      <w:r>
        <w:rPr>
          <w:rFonts w:ascii="Times New Roman;serif" w:hAnsi="Times New Roman;serif"/>
          <w:b w:val="false"/>
          <w:color w:val="000000"/>
          <w:sz w:val="22"/>
        </w:rPr>
        <w:t xml:space="preserve">penses was primarily attributable to the continued advancement of the Company's clinical development programs, particularly its HLP003 Phase 3 clinical trials. The PARADIGM trials progressed throughout the quarter, with the APPROACH trial nearing enrollment completion. In addition, the Company continued activities related to the design and planning of the next HLP004 clinical trial. Refer to </w:t>
      </w:r>
      <w:r>
        <w:rPr>
          <w:rFonts w:ascii="Times New Roman;serif" w:hAnsi="Times New Roman;serif"/>
          <w:b w:val="false"/>
          <w:i/>
          <w:color w:val="000000"/>
          <w:sz w:val="22"/>
        </w:rPr>
        <w:t>Non-Revenue Generating Projects</w:t>
      </w:r>
      <w:r>
        <w:rPr>
          <w:color w:val="000000"/>
        </w:rPr>
        <w:t xml:space="preserve"> </w:t>
      </w:r>
      <w:r>
        <w:rPr>
          <w:rFonts w:ascii="Times New Roman;serif" w:hAnsi="Times New Roman;serif"/>
          <w:b w:val="false"/>
          <w:color w:val="000000"/>
          <w:sz w:val="22"/>
        </w:rPr>
        <w:t>for additional information on the advancement of the Company's proprietary clinical programs.</w:t>
      </w:r>
    </w:p>
    <w:p>
      <w:pPr>
        <w:pStyle w:val="TextBody"/>
        <w:bidi w:val="0"/>
        <w:spacing w:lineRule="auto" w:line="333"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 xml:space="preserve">General and Administration Costs </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For the three month period ended June 30, 2026, general and administrative expenses were $6,747 compared to $8,876 during the same period in the prior year. General and administrative expenses for the three month period are comprised of payroll and benefits of $3,014 (2025 - $1,607), investor relations and marketing media of $1,316 (2025 - $381), professional and consulting fees of $1,197 (2025 - $2,908), office and administration expenses of $1,053 (2025 - $770),Capital markets expenses $145 (2025 - $2,059), listing fees of $14 (2025 - $26) and business development expenses of $8 (2025 - $1,125).</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The overall decrease in general and administrative expenses for the three months ended June 30, 2026 was primarily driven by lower capital markets, professional and consulting, and business development expenses compared to the prior year period. These decreases were partially offset by higher payroll </w:t>
      </w:r>
    </w:p>
    <w:p>
      <w:pPr>
        <w:pStyle w:val="TextBody"/>
        <w:bidi w:val="0"/>
        <w:spacing w:before="0" w:after="2"/>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2"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and benefits and investor relations and marketing expenses. The period-over-period variance primarily reflects the timing and nature of corporate development, financing and professional services activities incurred during each period.</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Share-Based Compensation</w:t>
      </w:r>
    </w:p>
    <w:p>
      <w:pPr>
        <w:pStyle w:val="TextBody"/>
        <w:bidi w:val="0"/>
        <w:spacing w:before="0" w:after="2"/>
        <w:jc w:val="both"/>
        <w:rPr/>
      </w:pPr>
      <w:r>
        <w:rPr/>
      </w:r>
    </w:p>
    <w:p>
      <w:pPr>
        <w:pStyle w:val="TextBody"/>
        <w:bidi w:val="0"/>
        <w:spacing w:lineRule="auto" w:line="333" w:before="0" w:after="0"/>
        <w:jc w:val="both"/>
        <w:rPr/>
      </w:pPr>
      <w:r>
        <w:rPr>
          <w:rFonts w:ascii="Times New Roman;serif" w:hAnsi="Times New Roman;serif"/>
          <w:b w:val="false"/>
          <w:color w:val="000000"/>
          <w:sz w:val="22"/>
          <w:shd w:fill="FFFFFF" w:val="clear"/>
        </w:rPr>
        <w:t>For the three mo</w:t>
      </w:r>
      <w:r>
        <w:rPr>
          <w:rFonts w:ascii="Times New Roman;serif" w:hAnsi="Times New Roman;serif"/>
          <w:b w:val="false"/>
          <w:color w:val="000000"/>
          <w:sz w:val="22"/>
        </w:rPr>
        <w:t>nth period ended June 30, 2026 , the Company recorded a share-based compensation expense of $11,574 compared to $753 during the same period in prior year. The variance is largely related to the timing and amount of new restricted share units ("</w:t>
      </w:r>
      <w:r>
        <w:rPr>
          <w:rFonts w:ascii="Times New Roman;serif" w:hAnsi="Times New Roman;serif"/>
          <w:b/>
          <w:color w:val="000000"/>
          <w:sz w:val="22"/>
        </w:rPr>
        <w:t>RSUs</w:t>
      </w:r>
      <w:r>
        <w:rPr>
          <w:rFonts w:ascii="Times New Roman;serif" w:hAnsi="Times New Roman;serif"/>
          <w:b w:val="false"/>
          <w:color w:val="000000"/>
          <w:sz w:val="22"/>
        </w:rPr>
        <w:t>") issued to consultants, officers, directors, and employees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share-based compensation expense related to options and warrants granted was recorded based on the fair value using a Black Scholes Model. On exercise of warrants and options the equity reserve balances will be moved to share capital. The share-based compensation expense related to RSUs was recorded based on the grant-date fair value of the underlying Common Shares. In the absence of transfer restrictions, grant-date fair value is generally based on the closing price of the Common Shares on the grant date. Where RSUs or the underlying Common Shares are subject to substantive contractual lock-up, transfer, or resale restrictions, grant-date fair value may be adjusted to reflect the impact of those restrictions on the holder’s ability to sell, monetize, diversify, or hedge the shares. Grant-date fair value reflects market-based vesting conditions, if applicable, but excludes the effect of non-market performance and service vesting conditions. Upon issuance of Common Shares on vested RSUs, the related amounts are transferred from the RSU reserve to share capital.</w:t>
      </w:r>
    </w:p>
    <w:p>
      <w:pPr>
        <w:pStyle w:val="TextBody"/>
        <w:bidi w:val="0"/>
        <w:spacing w:before="0" w:after="0"/>
        <w:jc w:val="both"/>
        <w:rPr/>
      </w:pPr>
      <w:r>
        <w:rPr/>
      </w:r>
    </w:p>
    <w:p>
      <w:pPr>
        <w:pStyle w:val="TextBody"/>
        <w:bidi w:val="0"/>
        <w:spacing w:lineRule="auto" w:line="333" w:before="40" w:after="240"/>
        <w:jc w:val="both"/>
        <w:rPr>
          <w:rFonts w:ascii="Times New Roman;serif" w:hAnsi="Times New Roman;serif"/>
          <w:b/>
          <w:i/>
          <w:color w:val="000000"/>
          <w:sz w:val="22"/>
          <w:shd w:fill="FFFFFF" w:val="clear"/>
        </w:rPr>
      </w:pPr>
      <w:r>
        <w:rPr>
          <w:rFonts w:ascii="Times New Roman;serif" w:hAnsi="Times New Roman;serif"/>
          <w:b/>
          <w:i/>
          <w:color w:val="000000"/>
          <w:sz w:val="22"/>
          <w:shd w:fill="FFFFFF" w:val="clear"/>
        </w:rPr>
        <w:t xml:space="preserve">Other Income </w:t>
      </w:r>
    </w:p>
    <w:p>
      <w:pPr>
        <w:pStyle w:val="TextBody"/>
        <w:bidi w:val="0"/>
        <w:spacing w:lineRule="auto" w:line="333" w:before="0" w:after="2"/>
        <w:jc w:val="both"/>
        <w:rPr>
          <w:rFonts w:ascii="Times New Roman;serif" w:hAnsi="Times New Roman;serif"/>
          <w:b w:val="false"/>
          <w:color w:val="000000"/>
          <w:sz w:val="22"/>
          <w:u w:val="single"/>
          <w:shd w:fill="FFFFFF" w:val="clear"/>
        </w:rPr>
      </w:pPr>
      <w:r>
        <w:rPr>
          <w:rFonts w:ascii="Times New Roman;serif" w:hAnsi="Times New Roman;serif"/>
          <w:b w:val="false"/>
          <w:color w:val="000000"/>
          <w:sz w:val="22"/>
          <w:u w:val="single"/>
          <w:shd w:fill="FFFFFF" w:val="clear"/>
        </w:rPr>
        <w:t xml:space="preserve">Foreign Currency Translation Gain (Loss) </w:t>
      </w:r>
    </w:p>
    <w:p>
      <w:pPr>
        <w:pStyle w:val="TextBody"/>
        <w:bidi w:val="0"/>
        <w:spacing w:before="0" w:after="2"/>
        <w:jc w:val="both"/>
        <w:rPr/>
      </w:pPr>
      <w:r>
        <w:rPr/>
      </w:r>
    </w:p>
    <w:p>
      <w:pPr>
        <w:pStyle w:val="TextBody"/>
        <w:bidi w:val="0"/>
        <w:spacing w:lineRule="auto" w:line="333" w:before="0" w:after="240"/>
        <w:jc w:val="both"/>
        <w:rPr/>
      </w:pPr>
      <w:r>
        <w:rPr>
          <w:rFonts w:ascii="Times New Roman;serif" w:hAnsi="Times New Roman;serif"/>
          <w:b w:val="false"/>
          <w:color w:val="000000"/>
          <w:sz w:val="22"/>
          <w:shd w:fill="FFFFFF" w:val="clear"/>
        </w:rPr>
        <w:t>For the three mo</w:t>
      </w:r>
      <w:r>
        <w:rPr>
          <w:rFonts w:ascii="Times New Roman;serif" w:hAnsi="Times New Roman;serif"/>
          <w:b w:val="false"/>
          <w:color w:val="000000"/>
          <w:sz w:val="22"/>
        </w:rPr>
        <w:t>nth period ended June 30, 2026,</w:t>
      </w:r>
      <w:r>
        <w:rPr>
          <w:color w:val="000000"/>
          <w:shd w:fill="FFFFFF" w:val="clear"/>
        </w:rPr>
        <w:t xml:space="preserve"> </w:t>
      </w:r>
      <w:r>
        <w:rPr>
          <w:rFonts w:ascii="Times New Roman;serif" w:hAnsi="Times New Roman;serif"/>
          <w:b w:val="false"/>
          <w:color w:val="000000"/>
          <w:sz w:val="22"/>
          <w:shd w:fill="FFFFFF" w:val="clear"/>
        </w:rPr>
        <w:t>the Company incurred a foreign currency translation loss from operations and revaluations of balance sheet assets and liabilities held in foreign currencies of $</w:t>
      </w:r>
      <w:r>
        <w:rPr>
          <w:rFonts w:ascii="Times New Roman;serif" w:hAnsi="Times New Roman;serif"/>
          <w:b w:val="false"/>
          <w:color w:val="000000"/>
          <w:sz w:val="22"/>
        </w:rPr>
        <w:t xml:space="preserve">19. </w:t>
      </w:r>
      <w:r>
        <w:rPr>
          <w:rFonts w:ascii="Times New Roman;serif" w:hAnsi="Times New Roman;serif"/>
          <w:b w:val="false"/>
          <w:color w:val="000000"/>
          <w:sz w:val="22"/>
          <w:shd w:fill="FFFFFF" w:val="clear"/>
        </w:rPr>
        <w:t xml:space="preserve">The Company holds assets and liabilities in Canadian dollars, United States dollars, Euros, and British pounds. </w:t>
      </w:r>
    </w:p>
    <w:p>
      <w:pPr>
        <w:pStyle w:val="TextBody"/>
        <w:bidi w:val="0"/>
        <w:spacing w:lineRule="auto" w:line="333" w:before="0" w:after="240"/>
        <w:jc w:val="both"/>
        <w:rPr>
          <w:rFonts w:ascii="Times New Roman;serif" w:hAnsi="Times New Roman;serif"/>
          <w:b w:val="false"/>
          <w:color w:val="000000"/>
          <w:sz w:val="22"/>
          <w:u w:val="single"/>
          <w:shd w:fill="FFFFFF" w:val="clear"/>
        </w:rPr>
      </w:pPr>
      <w:r>
        <w:rPr>
          <w:rFonts w:ascii="Times New Roman;serif" w:hAnsi="Times New Roman;serif"/>
          <w:b w:val="false"/>
          <w:color w:val="000000"/>
          <w:sz w:val="22"/>
          <w:u w:val="single"/>
          <w:shd w:fill="FFFFFF" w:val="clear"/>
        </w:rPr>
        <w:t>Interest Income</w:t>
      </w:r>
    </w:p>
    <w:p>
      <w:pPr>
        <w:pStyle w:val="TextBody"/>
        <w:bidi w:val="0"/>
        <w:spacing w:lineRule="auto" w:line="333" w:before="0" w:after="0"/>
        <w:jc w:val="both"/>
        <w:rPr/>
      </w:pPr>
      <w:r>
        <w:rPr>
          <w:rFonts w:ascii="Times New Roman;serif" w:hAnsi="Times New Roman;serif"/>
          <w:b w:val="false"/>
          <w:color w:val="000000"/>
          <w:sz w:val="22"/>
          <w:shd w:fill="FFFFFF" w:val="clear"/>
        </w:rPr>
        <w:t>For the three mo</w:t>
      </w:r>
      <w:r>
        <w:rPr>
          <w:rFonts w:ascii="Times New Roman;serif" w:hAnsi="Times New Roman;serif"/>
          <w:b w:val="false"/>
          <w:color w:val="000000"/>
          <w:sz w:val="22"/>
        </w:rPr>
        <w:t>nth period ended June 30, 2026 the Company recorded interest income of $1,282,</w:t>
      </w:r>
      <w:r>
        <w:rPr>
          <w:color w:val="000000"/>
          <w:shd w:fill="FFFFFF" w:val="clear"/>
        </w:rPr>
        <w:t xml:space="preserve"> </w:t>
      </w:r>
      <w:r>
        <w:rPr>
          <w:rFonts w:ascii="Times New Roman;serif" w:hAnsi="Times New Roman;serif"/>
          <w:b w:val="false"/>
          <w:color w:val="000000"/>
          <w:sz w:val="22"/>
          <w:shd w:fill="FFFFFF" w:val="clear"/>
        </w:rPr>
        <w:t>compared to $</w:t>
      </w:r>
      <w:r>
        <w:rPr>
          <w:rFonts w:ascii="Times New Roman;serif" w:hAnsi="Times New Roman;serif"/>
          <w:b w:val="false"/>
          <w:color w:val="000000"/>
          <w:sz w:val="22"/>
        </w:rPr>
        <w:t>955</w:t>
      </w:r>
      <w:r>
        <w:rPr>
          <w:color w:val="000000"/>
          <w:shd w:fill="FFFFFF" w:val="clear"/>
        </w:rPr>
        <w:t xml:space="preserve"> </w:t>
      </w:r>
      <w:r>
        <w:rPr>
          <w:rFonts w:ascii="Times New Roman;serif" w:hAnsi="Times New Roman;serif"/>
          <w:b w:val="false"/>
          <w:color w:val="000000"/>
          <w:sz w:val="22"/>
          <w:shd w:fill="FFFFFF" w:val="clear"/>
        </w:rPr>
        <w:t>during the same period in prior year. The Company earns interest on certain cash balances, and the resulting interest income will fluctuate in line with both the level of average interest</w:t>
        <w:noBreakHyphen/>
        <w:t>bearing cash and movements in market interest rates.</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3"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Liquidity, Capital Resources and Cash Flows</w:t>
      </w:r>
    </w:p>
    <w:tbl>
      <w:tblPr>
        <w:tblW w:w="7112" w:type="dxa"/>
        <w:jc w:val="left"/>
        <w:tblInd w:w="0" w:type="dxa"/>
        <w:tblLayout w:type="fixed"/>
        <w:tblCellMar>
          <w:top w:w="28" w:type="dxa"/>
          <w:left w:w="28" w:type="dxa"/>
          <w:bottom w:w="28" w:type="dxa"/>
          <w:right w:w="28" w:type="dxa"/>
        </w:tblCellMar>
      </w:tblPr>
      <w:tblGrid>
        <w:gridCol w:w="1250"/>
        <w:gridCol w:w="1097"/>
        <w:gridCol w:w="1103"/>
        <w:gridCol w:w="504"/>
        <w:gridCol w:w="282"/>
        <w:gridCol w:w="282"/>
        <w:gridCol w:w="493"/>
        <w:gridCol w:w="282"/>
        <w:gridCol w:w="284"/>
        <w:gridCol w:w="358"/>
        <w:gridCol w:w="362"/>
        <w:gridCol w:w="109"/>
        <w:gridCol w:w="201"/>
        <w:gridCol w:w="204"/>
        <w:gridCol w:w="301"/>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 June 30</w:t>
            </w:r>
          </w:p>
        </w:tc>
        <w:tc>
          <w:tcPr>
            <w:tcW w:w="15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(U.S. dollars in thousands)</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2026</w:t>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2025</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7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(37,070)</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(29,548)</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(320)</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flows provided by financing activities</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46,533</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54,633 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w:t>
            </w:r>
          </w:p>
        </w:tc>
        <w:tc>
          <w:tcPr>
            <w:tcW w:w="7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9,143</w:t>
            </w:r>
            <w:r>
              <w:rPr>
                <w:color w:val="000000"/>
              </w:rPr>
              <w:t> </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24,864 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foreign exchange difference</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br/>
              <w:t> beginning of period</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157,258</w:t>
            </w: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93,922 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br/>
              <w:t>end of period</w:t>
            </w:r>
          </w:p>
        </w:tc>
        <w:tc>
          <w:tcPr>
            <w:tcW w:w="78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166,365</w:t>
            </w:r>
            <w:r>
              <w:rPr>
                <w:color w:val="000000"/>
              </w:rPr>
              <w:t> </w:t>
            </w:r>
          </w:p>
        </w:tc>
        <w:tc>
          <w:tcPr>
            <w:tcW w:w="28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118,692 </w:t>
            </w:r>
          </w:p>
        </w:tc>
        <w:tc>
          <w:tcPr>
            <w:tcW w:w="28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47,673 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2"/>
        <w:gridCol w:w="484"/>
        <w:gridCol w:w="487"/>
        <w:gridCol w:w="916"/>
        <w:gridCol w:w="916"/>
        <w:gridCol w:w="916"/>
        <w:gridCol w:w="916"/>
        <w:gridCol w:w="916"/>
        <w:gridCol w:w="916"/>
        <w:gridCol w:w="916"/>
        <w:gridCol w:w="916"/>
        <w:gridCol w:w="1354"/>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8682"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64"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Primarily relates to cash used for operating expenses including research expenses, salaries, and other general and administration expenses. Cash flows from operating activities exclude expenses not affecting cash, such as share based compensation expense, depreciation and amortization, unrealized foreign exchange gains or losses and net changes in non-cash balances relating to operations. </w:t>
            </w:r>
          </w:p>
        </w:tc>
      </w:tr>
      <w:tr>
        <w:trPr/>
        <w:tc>
          <w:tcPr>
            <w:tcW w:w="1523" w:type="dxa"/>
            <w:gridSpan w:val="3"/>
            <w:tcBorders>
              <w:left w:val="single" w:sz="8" w:space="0" w:color="000000"/>
            </w:tcBorders>
            <w:shd w:fill="DBDBDB"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82"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64"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June 30, 2026, cash used in operating activities was $37,070 driven by a net loss for the period of $47,819 and an increase in working capital of $875, partially offset by the following non-cash items: share-based compensation of $11,574, foreign translation loss of $19 and depreciation and amortization of $31.</w:t>
            </w:r>
          </w:p>
        </w:tc>
      </w:tr>
      <w:tr>
        <w:trPr/>
        <w:tc>
          <w:tcPr>
            <w:tcW w:w="1523" w:type="dxa"/>
            <w:gridSpan w:val="3"/>
            <w:tcBorders>
              <w:top w:val="single" w:sz="4"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8682"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64"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June 30, 2026, cash used in investing activities was driven by the purchase of intangible assets and equipment of $320.</w:t>
            </w:r>
          </w:p>
        </w:tc>
      </w:tr>
      <w:tr>
        <w:trPr/>
        <w:tc>
          <w:tcPr>
            <w:tcW w:w="1523" w:type="dxa"/>
            <w:gridSpan w:val="3"/>
            <w:tcBorders>
              <w:top w:val="single" w:sz="4"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8682" w:type="dxa"/>
            <w:gridSpan w:val="9"/>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64"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June 30, 2026, cash from financing activities was driven by net proceeds on the issuance of common shares of share issuance costs of $46,533.</w:t>
            </w:r>
          </w:p>
        </w:tc>
      </w:tr>
    </w:tbl>
    <w:p>
      <w:pPr>
        <w:pStyle w:val="TextBody"/>
        <w:bidi w:val="0"/>
        <w:spacing w:before="0" w:after="2"/>
        <w:jc w:val="both"/>
        <w:rPr/>
      </w:pPr>
      <w:r>
        <w:rPr/>
      </w:r>
    </w:p>
    <w:p>
      <w:pPr>
        <w:pStyle w:val="TextBody"/>
        <w:bidi w:val="0"/>
        <w:spacing w:lineRule="auto" w:line="240" w:before="0" w:after="0"/>
        <w:jc w:val="both"/>
        <w:rPr>
          <w:rFonts w:ascii="Times New Roman;serif" w:hAnsi="Times New Roman;serif"/>
          <w:b w:val="false"/>
          <w:i/>
          <w:color w:val="000000"/>
          <w:sz w:val="24"/>
        </w:rPr>
      </w:pPr>
      <w:r>
        <w:rPr>
          <w:rFonts w:ascii="Times New Roman;serif" w:hAnsi="Times New Roman;serif"/>
          <w:b w:val="false"/>
          <w:i/>
          <w:color w:val="000000"/>
          <w:sz w:val="24"/>
        </w:rPr>
        <w:t>LPC Agreement</w:t>
      </w:r>
    </w:p>
    <w:p>
      <w:pPr>
        <w:pStyle w:val="TextBody"/>
        <w:bidi w:val="0"/>
        <w:spacing w:before="0" w:after="0"/>
        <w:jc w:val="both"/>
        <w:rPr/>
      </w:pPr>
      <w:r>
        <w:rPr/>
      </w:r>
    </w:p>
    <w:p>
      <w:pPr>
        <w:pStyle w:val="TextBody"/>
        <w:bidi w:val="0"/>
        <w:spacing w:lineRule="auto" w:line="333"/>
        <w:jc w:val="both"/>
        <w:rPr/>
      </w:pPr>
      <w:r>
        <w:rPr>
          <w:rFonts w:ascii="Times New Roman;serif" w:hAnsi="Times New Roman;serif"/>
          <w:b w:val="false"/>
          <w:color w:val="000000"/>
          <w:sz w:val="22"/>
        </w:rPr>
        <w:t>On May 30, 2023, the Company entered into a Common Share purchase agreement (the “</w:t>
      </w:r>
      <w:r>
        <w:rPr>
          <w:rFonts w:ascii="Times New Roman;serif" w:hAnsi="Times New Roman;serif"/>
          <w:b/>
          <w:color w:val="000000"/>
          <w:sz w:val="22"/>
        </w:rPr>
        <w:t>LPC Purchase Agreement</w:t>
      </w:r>
      <w:r>
        <w:rPr>
          <w:color w:val="000000"/>
        </w:rPr>
        <w:t>”</w:t>
      </w:r>
      <w:r>
        <w:rPr>
          <w:rFonts w:ascii="Times New Roman;serif" w:hAnsi="Times New Roman;serif"/>
          <w:b w:val="false"/>
          <w:color w:val="000000"/>
          <w:sz w:val="22"/>
        </w:rPr>
        <w:t>) with Lincoln Park Capital Fund, LLC (“</w:t>
      </w:r>
      <w:r>
        <w:rPr>
          <w:rFonts w:ascii="Times New Roman;serif" w:hAnsi="Times New Roman;serif"/>
          <w:b/>
          <w:color w:val="000000"/>
          <w:sz w:val="22"/>
        </w:rPr>
        <w:t>LPC</w:t>
      </w:r>
      <w:r>
        <w:rPr>
          <w:color w:val="000000"/>
        </w:rPr>
        <w:t>”</w:t>
      </w:r>
      <w:r>
        <w:rPr>
          <w:rFonts w:ascii="Times New Roman;serif" w:hAnsi="Times New Roman;serif"/>
          <w:b w:val="false"/>
          <w:color w:val="000000"/>
          <w:sz w:val="22"/>
        </w:rPr>
        <w:t xml:space="preserve">). Subject to the terms and conditions of the LPC Purchase Agreement, the Company has the right to sell, and LPC is obligated to purchase, up to $30,000 of Common Shares over a 36-month period at prices that are based on the market price at the time of each sale to LPC. Helus Pharma, in its sole discretion, controls the timing and amount of all sales of Common Shares under the LPC Purchase Agreement. Helus Pharma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Helus Pharma issued 66,812 Common Shares to LPC as a commitment fee on May 30, 2023. The LPC Purchase Agreement provides that Helus Pharma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Helus Pharma announced that it had suspended all sales under the LPC Purchase Agreement in connection with the August 2023 Offering (as defined herein). On August 23, 2023, the Company also announced the filing of a prospectus supplement under the Company’s base shelf prospectus dated </w:t>
      </w:r>
    </w:p>
    <w:p>
      <w:pPr>
        <w:pStyle w:val="TextBody"/>
        <w:bidi w:val="0"/>
        <w:spacing w:before="0" w:after="2"/>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4"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August 17, 2023, as amended on December 22, 2023, April 8, 2024 and January 6, 2025, requalifying the LPC Purchase Agreement on the same terms as those entered into on May 30, 2023, with LPC. On November 9, 2023, the Company announced that it has, again, suspended all sales under the LPC Agreement.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 xml:space="preserve">During the </w:t>
      </w:r>
      <w:r>
        <w:rPr>
          <w:rFonts w:ascii="Times New Roman;serif" w:hAnsi="Times New Roman;serif"/>
          <w:b w:val="false"/>
          <w:color w:val="000000"/>
          <w:sz w:val="22"/>
          <w:shd w:fill="FFFFFF" w:val="clear"/>
        </w:rPr>
        <w:t>three mo</w:t>
      </w:r>
      <w:r>
        <w:rPr>
          <w:rFonts w:ascii="Times New Roman;serif" w:hAnsi="Times New Roman;serif"/>
          <w:b w:val="false"/>
          <w:color w:val="000000"/>
          <w:sz w:val="22"/>
        </w:rPr>
        <w:t>nth period ended June 30, 2026, no Common Shares were issued under the LPC Purchase Agreement.</w:t>
      </w:r>
    </w:p>
    <w:p>
      <w:pPr>
        <w:pStyle w:val="TextBody"/>
        <w:bidi w:val="0"/>
        <w:spacing w:before="0" w:after="2"/>
        <w:jc w:val="both"/>
        <w:rPr/>
      </w:pPr>
      <w:r>
        <w:rPr/>
      </w:r>
    </w:p>
    <w:p>
      <w:pPr>
        <w:pStyle w:val="TextBody"/>
        <w:bidi w:val="0"/>
        <w:spacing w:lineRule="auto" w:line="240" w:before="0" w:after="0"/>
        <w:jc w:val="both"/>
        <w:rPr>
          <w:rFonts w:ascii="Times New Roman;serif" w:hAnsi="Times New Roman;serif"/>
          <w:b w:val="false"/>
          <w:i/>
          <w:color w:val="000000"/>
          <w:sz w:val="24"/>
        </w:rPr>
      </w:pPr>
      <w:r>
        <w:rPr>
          <w:rFonts w:ascii="Times New Roman;serif" w:hAnsi="Times New Roman;serif"/>
          <w:b w:val="false"/>
          <w:i/>
          <w:color w:val="000000"/>
          <w:sz w:val="24"/>
        </w:rPr>
        <w:t>2025 ATM Program</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On February 10, 2025, the Company launched a new at-the-market equity program (the “</w:t>
      </w:r>
      <w:r>
        <w:rPr>
          <w:rFonts w:ascii="Times New Roman;serif" w:hAnsi="Times New Roman;serif"/>
          <w:b/>
          <w:color w:val="000000"/>
          <w:sz w:val="22"/>
        </w:rPr>
        <w:t>2025 ATM Program</w:t>
      </w:r>
      <w:r>
        <w:rPr>
          <w:color w:val="000000"/>
        </w:rPr>
        <w:t>”</w:t>
      </w:r>
      <w:r>
        <w:rPr>
          <w:rFonts w:ascii="Times New Roman;serif" w:hAnsi="Times New Roman;serif"/>
          <w:b w:val="false"/>
          <w:color w:val="000000"/>
          <w:sz w:val="22"/>
        </w:rPr>
        <w:t>) to allow the Company to issue and sell up to $100,000 of Common Shares from treasury to the public. In connection with the 2025 ATM Program, the Company entered into an at-the-market equity distribution agreement (the “</w:t>
      </w:r>
      <w:r>
        <w:rPr>
          <w:rFonts w:ascii="Times New Roman;serif" w:hAnsi="Times New Roman;serif"/>
          <w:b/>
          <w:color w:val="000000"/>
          <w:sz w:val="22"/>
        </w:rPr>
        <w:t>2025 Distribution Agreement</w:t>
      </w:r>
      <w:r>
        <w:rPr>
          <w:color w:val="000000"/>
        </w:rPr>
        <w:t>”</w:t>
      </w:r>
      <w:r>
        <w:rPr>
          <w:rFonts w:ascii="Times New Roman;serif" w:hAnsi="Times New Roman;serif"/>
          <w:b w:val="false"/>
          <w:color w:val="000000"/>
          <w:sz w:val="22"/>
        </w:rPr>
        <w:t xml:space="preserve">) dated February 10, 2025, among the Company, Cantor Fitzgerald Canada Corporation and Cantor Fitzgerald &amp; Co. The 2025 ATM Program was effective until September 17, 2025, when it was terminated in accordance with the terms of the 2025 Distribution Agreement. </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From February 10, 2025, being the date of the launch of the 2025 ATM Program to September 17, 2025, the Company sold 1,997,205 Common Shares under the 2025 ATM Program, at an average price of $7.83 per Common Share, for aggregate gross proceeds of $15,631. Share issuance costs related to the 2025 ATM Program were $470. </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val="false"/>
          <w:i/>
          <w:color w:val="000000"/>
          <w:sz w:val="24"/>
        </w:rPr>
      </w:pPr>
      <w:r>
        <w:rPr>
          <w:rFonts w:ascii="Times New Roman;serif" w:hAnsi="Times New Roman;serif"/>
          <w:b w:val="false"/>
          <w:i/>
          <w:color w:val="000000"/>
          <w:sz w:val="24"/>
        </w:rPr>
        <w:t>Convertible Debentures</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On June 30, 2025, the Company entered into a securities purchase agreement with High Trail Special Situations LLC ("</w:t>
      </w:r>
      <w:r>
        <w:rPr>
          <w:rFonts w:ascii="Times New Roman;serif" w:hAnsi="Times New Roman;serif"/>
          <w:b/>
          <w:color w:val="000000"/>
          <w:sz w:val="22"/>
        </w:rPr>
        <w:t>High Trail</w:t>
      </w:r>
      <w:r>
        <w:rPr>
          <w:rFonts w:ascii="Times New Roman;serif" w:hAnsi="Times New Roman;serif"/>
          <w:b w:val="false"/>
          <w:color w:val="000000"/>
          <w:sz w:val="22"/>
        </w:rPr>
        <w:t>") pursuant to which it issued a $50,000 unsecured convertible debenture (the "</w:t>
      </w:r>
      <w:r>
        <w:rPr>
          <w:rFonts w:ascii="Times New Roman;serif" w:hAnsi="Times New Roman;serif"/>
          <w:b/>
          <w:color w:val="000000"/>
          <w:sz w:val="22"/>
        </w:rPr>
        <w:t>Convertible Debentures</w:t>
      </w:r>
      <w:r>
        <w:rPr>
          <w:rFonts w:ascii="Times New Roman;serif" w:hAnsi="Times New Roman;serif"/>
          <w:b w:val="false"/>
          <w:color w:val="000000"/>
          <w:sz w:val="22"/>
        </w:rPr>
        <w:t xml:space="preserve">"). The Convertible Debentures had a two-year term from the closing date and were convertible into Common Shares at a price based on the trading price of the Common Shares. On closing, the Company pre-paid guaranteed interest of $5,500, equal to 11% of the amount issued for the term of the Convertible Debentures. During the year ended March 31, 2026, High Trail converted $29,850 of the outstanding principal into 4,584,856 Common Shares. On November 3, 2025, the Company paid $22,765, which included repayment of the remaining principal of $20,150, as well as early repayment fees of $2,615. The Convertible Debentures were accounted for at fair value through profit or loss, resulting in fair value adjustments and financing-related costs recognized during fiscal 2026. Following the repayment, the Convertible Debentures were fully extinguished and derecognized prior to March 31, 2026.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Base Shelf Prospectus</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September 17, 2025, the Company filed the 2025 Base Shelf Prospectus in each of the provinces and territories of Canada. The 2025 Base Shelf Prospectus qualifies for distribution, from time to time during the 25-month period from the date of the 2025 Base Shelf Prospectus, of up to C$1,700,000 in the aggregate of Common Shares, warrants, units, debt securities and subscription receipts of the Company. </w:t>
      </w:r>
    </w:p>
    <w:p>
      <w:pPr>
        <w:pStyle w:val="TextBody"/>
        <w:bidi w:val="0"/>
        <w:spacing w:before="0" w:after="283"/>
        <w:jc w:val="left"/>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5"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In determining that the Company has a reasonable expectation to distribute, during the 25-month period that the 2025 Base Shelf Prospectus, including any amendments hereto, remains valid, up to C$1,700,000 in the aggregate of securities, management of the Company considered its ongoing contractual commitments amounting to (i) approximately C$60,083 which will be used to qualify, in the United States pursuant to prospectus supplements to the Company’s registration statement on Form F-10, the Common Shares issuable from time to time upon the exercise of certain Common Share purchase warrants issued by the Company on August 4, 2023 and November 14, 2023 in connection with unit offerings of the Company, and (ii) approximately C$238,408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serif" w:hAnsi="Times New Roman;serif"/>
          <w:b/>
          <w:color w:val="000000"/>
          <w:sz w:val="22"/>
        </w:rPr>
        <w:t>Commitment Amount</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Further, under the Registered Direct Offering, the Company qualified, in the United States pursuant to a prospectus supplement to the Company’s registration statement on Form F-10, as amended (File No. 333-289139) (the “</w:t>
      </w:r>
      <w:r>
        <w:rPr>
          <w:rFonts w:ascii="Times New Roman;serif" w:hAnsi="Times New Roman;serif"/>
          <w:b/>
          <w:color w:val="000000"/>
          <w:sz w:val="22"/>
        </w:rPr>
        <w:t>Registration Statement</w:t>
      </w:r>
      <w:r>
        <w:rPr>
          <w:color w:val="000000"/>
        </w:rPr>
        <w:t>”</w:t>
      </w:r>
      <w:r>
        <w:rPr>
          <w:rFonts w:ascii="Times New Roman;serif" w:hAnsi="Times New Roman;serif"/>
          <w:b w:val="false"/>
          <w:color w:val="000000"/>
          <w:sz w:val="22"/>
        </w:rPr>
        <w:t>), the Offered Securities (as defined below). Given the Commitment Amount and the closing of the Registered Direct Offering, as of the date hereof, the Company will have approximately C$842,200 available under the 2025 Base Shelf Prospectus, which management of the Company reasonably expects to distribute during the 25-month period that the 2025 Base Shelf Prospectus, including any amendments hereto, remains valid.</w:t>
      </w:r>
      <w:r>
        <w:rPr>
          <w:rFonts w:ascii="Times New Roman;serif" w:hAnsi="Times New Roman;serif"/>
          <w:b w:val="false"/>
          <w:color w:val="000000"/>
          <w:sz w:val="14"/>
        </w:rPr>
        <w:t>30</w:t>
      </w:r>
      <w:r>
        <w:rPr>
          <w:color w:val="000000"/>
        </w:rPr>
        <w:t xml:space="preserve">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believes that the size of its the 2025 Base Shelf Prospectus is reasonable having regard to its current liquidity position, working capital of $175,127 as at June 30, 2026, cash balance of $166,365, its anticipated cash needs over the next 12–24 months (see “Non-Revenue Generating Projects”) and its historical and expected access to the public capital markets. The Company’s future funding strategy contemplates continued access to both public and private sources of capital as required to advance its non-revenue-generating research and development programs, fund capital expenditures and meet ongoing operating obligations. The Company will continue to assess, on a prospective basis, its liquidity, capital resources and market conditions to ensure that the total amount of securities qualified under its base shelf prospectus remains appropriate in relation to its business, growth plans and financial condition.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Registered Direct Offering</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On October 31, 2025, the Company completed a registered direct offering of 22,277,750 Common Shares and, in lieu of Common Shares to certain investors, 4,605,500 pre-funded Common Share purchase warrants (the "</w:t>
      </w:r>
      <w:r>
        <w:rPr>
          <w:rFonts w:ascii="Times New Roman;serif" w:hAnsi="Times New Roman;serif"/>
          <w:b/>
          <w:color w:val="000000"/>
          <w:sz w:val="22"/>
        </w:rPr>
        <w:t>Pre-Funded Warrant</w:t>
      </w:r>
      <w:r>
        <w:rPr>
          <w:rFonts w:ascii="Times New Roman;serif" w:hAnsi="Times New Roman;serif"/>
          <w:b w:val="false"/>
          <w:color w:val="000000"/>
          <w:sz w:val="22"/>
        </w:rPr>
        <w:t>") at a price of $6.51 per Common Share or Pre-Funded Warrant for aggregate gross proceeds of approximately $175,010 (the “</w:t>
      </w:r>
      <w:r>
        <w:rPr>
          <w:rFonts w:ascii="Times New Roman;serif" w:hAnsi="Times New Roman;serif"/>
          <w:b/>
          <w:color w:val="000000"/>
          <w:sz w:val="22"/>
        </w:rPr>
        <w:t>Registered Direct Offering</w:t>
      </w:r>
      <w:r>
        <w:rPr>
          <w:color w:val="000000"/>
        </w:rPr>
        <w:t>”</w:t>
      </w:r>
      <w:r>
        <w:rPr>
          <w:rFonts w:ascii="Times New Roman;serif" w:hAnsi="Times New Roman;serif"/>
          <w:b w:val="false"/>
          <w:color w:val="000000"/>
          <w:sz w:val="22"/>
        </w:rPr>
        <w:t>). Common Share issuance costs related to the Registered Direct Offering was $10,992, of which $9,109 was allocated to Common Shares and $1,883 allocated to the Pre-Funded Warrants.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Each Pre-Funded Warrant entitles the holder thereof to acquire one Common Share at a nominal exercise price. The Pre-Funded Warrants do not expire. </w:t>
      </w:r>
    </w:p>
    <w:p>
      <w:pPr>
        <w:pStyle w:val="TextBody"/>
        <w:bidi w:val="0"/>
        <w:spacing w:before="0" w:after="0"/>
        <w:jc w:val="both"/>
        <w:rPr/>
      </w:pPr>
      <w:r>
        <w:rPr/>
      </w:r>
    </w:p>
    <w:p>
      <w:pPr>
        <w:pStyle w:val="TextBody"/>
        <w:bidi w:val="0"/>
        <w:spacing w:lineRule="auto" w:line="240"/>
        <w:jc w:val="both"/>
        <w:rPr/>
      </w:pPr>
      <w:r>
        <w:rPr>
          <w:rFonts w:ascii="Times New Roman;serif" w:hAnsi="Times New Roman;serif"/>
          <w:b w:val="false"/>
          <w:color w:val="000000"/>
          <w:sz w:val="12"/>
        </w:rPr>
        <w:t>30</w:t>
      </w:r>
      <w:r>
        <w:rPr>
          <w:color w:val="000000"/>
        </w:rPr>
        <w:t xml:space="preserve"> </w:t>
      </w:r>
      <w:r>
        <w:rPr>
          <w:rFonts w:ascii="Times New Roman;serif" w:hAnsi="Times New Roman;serif"/>
          <w:b w:val="false"/>
          <w:color w:val="000000"/>
          <w:sz w:val="18"/>
        </w:rPr>
        <w:t>This is a forward-looking statement that involves material assumptions by the Company. There is no certainty as to the Company’s ability to distribute securities or to raise additional funding to support operations. See “</w:t>
      </w:r>
      <w:r>
        <w:rPr>
          <w:rFonts w:ascii="Times New Roman;serif" w:hAnsi="Times New Roman;serif"/>
          <w:b w:val="false"/>
          <w:i/>
          <w:color w:val="000000"/>
          <w:sz w:val="18"/>
        </w:rPr>
        <w:t>Risk Factors</w:t>
      </w:r>
      <w:r>
        <w:rPr>
          <w:color w:val="000000"/>
        </w:rPr>
        <w:t>”</w:t>
      </w:r>
      <w:r>
        <w:rPr>
          <w:rFonts w:ascii="Times New Roman;serif" w:hAnsi="Times New Roman;serif"/>
          <w:b w:val="false"/>
          <w:color w:val="000000"/>
          <w:sz w:val="18"/>
        </w:rPr>
        <w:t xml:space="preserve">. </w:t>
      </w:r>
    </w:p>
    <w:p>
      <w:pPr>
        <w:pStyle w:val="TextBody"/>
        <w:bidi w:val="0"/>
        <w:spacing w:before="0" w:after="2"/>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6"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Each Common Share and each Pre-Funded Warrant is accompanied by 0.35 of one Common Share purchase warrant (each whole warrant, a “Warrant” and together with the Common Shares and Pre-Funded Warrants, the “</w:t>
      </w:r>
      <w:r>
        <w:rPr>
          <w:rFonts w:ascii="Times New Roman;serif" w:hAnsi="Times New Roman;serif"/>
          <w:b/>
          <w:color w:val="000000"/>
          <w:sz w:val="22"/>
        </w:rPr>
        <w:t>Offered</w:t>
      </w:r>
      <w:r>
        <w:rPr>
          <w:color w:val="000000"/>
        </w:rPr>
        <w:t xml:space="preserve"> </w:t>
      </w:r>
      <w:r>
        <w:rPr>
          <w:rFonts w:ascii="Times New Roman;serif" w:hAnsi="Times New Roman;serif"/>
          <w:b/>
          <w:color w:val="000000"/>
          <w:sz w:val="22"/>
        </w:rPr>
        <w:t>Securities</w:t>
      </w:r>
      <w:r>
        <w:rPr>
          <w:color w:val="000000"/>
        </w:rPr>
        <w:t>”</w:t>
      </w:r>
      <w:r>
        <w:rPr>
          <w:rFonts w:ascii="Times New Roman;serif" w:hAnsi="Times New Roman;serif"/>
          <w:b w:val="false"/>
          <w:color w:val="000000"/>
          <w:sz w:val="22"/>
        </w:rPr>
        <w:t xml:space="preserve">). Each Warrant is exercisable to acquire one Common Share at a price of $8.14 per Common Share at any time prior to the earlier of: (i) June 30, 2027; (ii) thirty days following the publication by press release of topline data for the APPROACH trial of HLP003 in major depressive disorder; and (iii) thirty days following the date a press release is issued by the Company announcing exercise of its acceleration right, which right can only be exercised if the closing price of the Common Share on the Nasdaq is equal to or exceeds $19.53 per Common Share for any five consecutive trading days. The Company used a portion of the net proceeds from the Registered Direct Offering to repay the outstanding Convertible Debentures, and intends to use the remaining net proceeds to progress the Company’s HLP003, HLP004, and HLP005 programs, and for working capital and general corporate purposes.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 xml:space="preserve">During the </w:t>
      </w:r>
      <w:r>
        <w:rPr>
          <w:rFonts w:ascii="Times New Roman;serif" w:hAnsi="Times New Roman;serif"/>
          <w:b w:val="false"/>
          <w:color w:val="000000"/>
          <w:sz w:val="22"/>
          <w:shd w:fill="FFFFFF" w:val="clear"/>
        </w:rPr>
        <w:t>three mo</w:t>
      </w:r>
      <w:r>
        <w:rPr>
          <w:rFonts w:ascii="Times New Roman;serif" w:hAnsi="Times New Roman;serif"/>
          <w:b w:val="false"/>
          <w:color w:val="000000"/>
          <w:sz w:val="22"/>
        </w:rPr>
        <w:t>nth period ended June 30, 2026, 42,997 Pre-Funded Warrants were converted into 42,994 Common Shares of the Company. As at June 30, 2026, a total of 4,605,500 Pre-Funded Warrants have been converted into 4,605,488 Common Shares of the Company.</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2026 ATM Program</w:t>
      </w:r>
    </w:p>
    <w:p>
      <w:pPr>
        <w:pStyle w:val="TextBody"/>
        <w:bidi w:val="0"/>
        <w:spacing w:before="0" w:after="0"/>
        <w:jc w:val="left"/>
        <w:rPr/>
      </w:pPr>
      <w:r>
        <w:rPr/>
      </w:r>
    </w:p>
    <w:p>
      <w:pPr>
        <w:pStyle w:val="TextBody"/>
        <w:bidi w:val="0"/>
        <w:spacing w:lineRule="auto" w:line="333" w:before="0" w:after="0"/>
        <w:jc w:val="both"/>
        <w:rPr/>
      </w:pPr>
      <w:r>
        <w:rPr>
          <w:rFonts w:ascii="Times New Roman;serif" w:hAnsi="Times New Roman;serif"/>
          <w:b w:val="false"/>
          <w:color w:val="000000"/>
          <w:sz w:val="22"/>
        </w:rPr>
        <w:t>On December 30, 2025, the Company established a new at-the-market equity program (the “</w:t>
      </w:r>
      <w:r>
        <w:rPr>
          <w:rFonts w:ascii="Times New Roman;serif" w:hAnsi="Times New Roman;serif"/>
          <w:b/>
          <w:color w:val="000000"/>
          <w:sz w:val="22"/>
        </w:rPr>
        <w:t>2026 ATM Program</w:t>
      </w:r>
      <w:r>
        <w:rPr>
          <w:color w:val="000000"/>
        </w:rPr>
        <w:t>”</w:t>
      </w:r>
      <w:r>
        <w:rPr>
          <w:rFonts w:ascii="Times New Roman;serif" w:hAnsi="Times New Roman;serif"/>
          <w:b w:val="false"/>
          <w:color w:val="000000"/>
          <w:sz w:val="22"/>
        </w:rPr>
        <w:t>) that allows the Company to issue and sell up to $100,000 of Common Shares from treasury to the public, from time to time. Distributions of Common Shares under the 2026 ATM Program are made pursuant to the terms and conditions of an at-the-market equity distribution agreement (the “</w:t>
      </w:r>
      <w:r>
        <w:rPr>
          <w:rFonts w:ascii="Times New Roman;serif" w:hAnsi="Times New Roman;serif"/>
          <w:b/>
          <w:color w:val="000000"/>
          <w:sz w:val="22"/>
        </w:rPr>
        <w:t>2026 Distribution Agreement</w:t>
      </w:r>
      <w:r>
        <w:rPr>
          <w:color w:val="000000"/>
        </w:rPr>
        <w:t>”</w:t>
      </w:r>
      <w:r>
        <w:rPr>
          <w:rFonts w:ascii="Times New Roman;serif" w:hAnsi="Times New Roman;serif"/>
          <w:b w:val="false"/>
          <w:color w:val="000000"/>
          <w:sz w:val="22"/>
        </w:rPr>
        <w:t>) dated December 30, 2025, among the Company, Cantor Fitzgerald Canada Corporation and Cantor Fitzgerald &amp; Co. The 2026 ATM Program is to be effective until the earlier of the issuance and sale of all of the Common Shares issuable pursuant to the 2026 ATM Program and October 17, 2027, unless earlier terminated in accordance with the terms of the 2026 Distribution Agreement. As at June 30, 2026, the Company has not sold any shares under the 2026 ATM Program. During the year ended March 31, 2026, the Company incurred professional fees of $205 related to establishing the 2026 ATM Program.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June 2026 Underwritten Offering</w:t>
      </w:r>
    </w:p>
    <w:p>
      <w:pPr>
        <w:pStyle w:val="TextBody"/>
        <w:bidi w:val="0"/>
        <w:spacing w:lineRule="auto" w:line="333" w:before="200" w:after="283"/>
        <w:jc w:val="both"/>
        <w:rPr/>
      </w:pPr>
      <w:r>
        <w:rPr>
          <w:rFonts w:ascii="Times New Roman;serif" w:hAnsi="Times New Roman;serif"/>
          <w:b w:val="false"/>
          <w:color w:val="000000"/>
          <w:sz w:val="22"/>
        </w:rPr>
        <w:t>On June 25, 2026, the Company completed an underwritten offering of 10,309,280 Common Shares at an offering price of $4.85 per Common Share, for aggregate gross proceeds of $50,000 (the “</w:t>
      </w:r>
      <w:r>
        <w:rPr>
          <w:rFonts w:ascii="Times New Roman;serif" w:hAnsi="Times New Roman;serif"/>
          <w:b/>
          <w:color w:val="000000"/>
          <w:sz w:val="22"/>
        </w:rPr>
        <w:t>2026 June Offering</w:t>
      </w:r>
      <w:r>
        <w:rPr>
          <w:color w:val="000000"/>
        </w:rPr>
        <w:t>”</w:t>
      </w:r>
      <w:r>
        <w:rPr>
          <w:rFonts w:ascii="Times New Roman;serif" w:hAnsi="Times New Roman;serif"/>
          <w:b w:val="false"/>
          <w:color w:val="000000"/>
          <w:sz w:val="22"/>
        </w:rPr>
        <w:t>), pursuant to an underwriting agreement dated June 23, 2026, between the Company and Cantor Fitzgerald &amp; Co., Barclays Capital Inc., Bloom Burton Securities Inc., and Lucid Capital Markets. The Company intends to use the net proceeds from the Offering to progress the Company’s HLP003 for MDD with Phase 3 APPROACH data expected in the fourth quarter of 2026, HLP004 for generalized anxiety disorder, and HLP005 programs, and for working capital and general corporate purposes. In consideration for their services, the Company paid to the underwriters a cash commission of $3,000 and incurred additional share issuance costs, being professional fees of $467.</w:t>
      </w:r>
    </w:p>
    <w:p>
      <w:pPr>
        <w:pStyle w:val="TextBody"/>
        <w:bidi w:val="0"/>
        <w:spacing w:lineRule="auto" w:line="333" w:before="200" w:after="283"/>
        <w:jc w:val="both"/>
        <w:rPr>
          <w:rFonts w:ascii="Times New Roman;serif" w:hAnsi="Times New Roman;serif"/>
          <w:b w:val="false"/>
          <w:i/>
          <w:color w:val="000000"/>
          <w:sz w:val="24"/>
        </w:rPr>
      </w:pPr>
      <w:r>
        <w:rPr>
          <w:rFonts w:ascii="Times New Roman;serif" w:hAnsi="Times New Roman;serif"/>
          <w:b w:val="false"/>
          <w:i/>
          <w:color w:val="000000"/>
          <w:sz w:val="24"/>
        </w:rPr>
        <w:t>Overview</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w:t>
      </w:r>
    </w:p>
    <w:p>
      <w:pPr>
        <w:pStyle w:val="TextBody"/>
        <w:bidi w:val="0"/>
        <w:spacing w:before="0" w:after="2"/>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7"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the future operating performance and cash flows, which are subject to prevailing economic conditions, regulatory and financial, business and other factors, some of which are beyond the Company’s control.</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As at June 30, 2026, the Company had working capital of $175,127. The Company is in a pre-operative stage as it researches and develops its IP portfolio in anticipation of manufacturing in the near future. Therefore the Company will not be able to generate sufficient amounts of cash and cash equivalents from its operations in the short term. </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pStyle w:val="TextBody"/>
        <w:bidi w:val="0"/>
        <w:spacing w:before="0" w:after="2"/>
        <w:jc w:val="both"/>
        <w:rPr/>
      </w:pPr>
      <w:r>
        <w:rPr/>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pStyle w:val="TextBody"/>
        <w:bidi w:val="0"/>
        <w:spacing w:lineRule="auto" w:line="333" w:before="0" w:after="240"/>
        <w:jc w:val="both"/>
        <w:rPr/>
      </w:pPr>
      <w:r>
        <w:rPr>
          <w:rFonts w:ascii="Times New Roman;serif" w:hAnsi="Times New Roman;serif"/>
          <w:b w:val="false"/>
          <w:color w:val="000000"/>
          <w:sz w:val="22"/>
        </w:rPr>
        <w:t>The Company’s current expenditure obligations include commitments for those projects described in the section entitled “</w:t>
      </w:r>
      <w:r>
        <w:rPr>
          <w:rFonts w:ascii="Times New Roman;serif" w:hAnsi="Times New Roman;serif"/>
          <w:b w:val="false"/>
          <w:i/>
          <w:color w:val="000000"/>
          <w:sz w:val="22"/>
        </w:rPr>
        <w:t>Non-Revenue Generating Projects</w:t>
      </w:r>
      <w:r>
        <w:rPr>
          <w:color w:val="000000"/>
        </w:rPr>
        <w:t xml:space="preserve">” </w:t>
      </w:r>
      <w:r>
        <w:rPr>
          <w:rFonts w:ascii="Times New Roman;serif" w:hAnsi="Times New Roman;serif"/>
          <w:b w:val="false"/>
          <w:color w:val="000000"/>
          <w:sz w:val="22"/>
        </w:rPr>
        <w:t>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constantly monitors and manages its capital resources to assess the liquidity necessary to fund operations and capacity expansion. As at June 30, 2026, the Company had a cash balance of $166,365 and current liabilities of $17,568. The Company’s current resources are sufficient to settle its current liabilities. </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continues to raise the capital necessary to become a fully operational enterprise. </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has negative cash flow from operating activities and has historically incurred net losses. To the extent that the Company has negative operating cash flows in future periods, it may </w:t>
      </w:r>
    </w:p>
    <w:p>
      <w:pPr>
        <w:pStyle w:val="TextBody"/>
        <w:bidi w:val="0"/>
        <w:spacing w:before="0" w:after="2"/>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8"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 </w:t>
      </w:r>
    </w:p>
    <w:p>
      <w:pPr>
        <w:pStyle w:val="TextBody"/>
        <w:bidi w:val="0"/>
        <w:spacing w:lineRule="auto" w:line="333" w:before="0" w:after="0"/>
        <w:jc w:val="both"/>
        <w:rPr/>
      </w:pPr>
      <w:r>
        <w:rPr>
          <w:rFonts w:ascii="Times New Roman;serif" w:hAnsi="Times New Roman;serif"/>
          <w:b w:val="false"/>
          <w:color w:val="000000"/>
          <w:sz w:val="22"/>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serif" w:hAnsi="Times New Roman;serif"/>
          <w:b w:val="false"/>
          <w:i/>
          <w:color w:val="000000"/>
          <w:sz w:val="22"/>
        </w:rPr>
        <w:t>Risk Factors”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The Company believes it has sufficient working capital to manage its short- and long-term cash flow needs as it continues to invest into its intellectual property.</w:t>
      </w:r>
    </w:p>
    <w:p>
      <w:pPr>
        <w:pStyle w:val="TextBody"/>
        <w:bidi w:val="0"/>
        <w:spacing w:before="0" w:after="2"/>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Contractual Obligations and Commitments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As at June 30, 2026, the Company had also entered into agreements for various studies which may require the Company to spend up to an additional $82,713. The Company expects to pay this amount within the next 24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 </w:t>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$9,500. At the sole discretion of Helus Pharma, the milestones may be paid in cash or in Common Shares, or a combination thereof, subject to the approval of the Cboe Canada. There is no assurance that the aforementioned milestones will be met.</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The Company is party to certain employee and management contracts that contain severance obligations. These contracts contain clauses requiring additional payments to be made upon the occurrence of involuntary termination. As the likelihood of these events taking place is not determinable, no contingent liabilities have been recorded in the consolidated financial statements.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no litigation or class proceedings have been commenced or certified. Should any litigation or class actions that the Company becomes involved in be unable to be resolved favourably </w:t>
      </w:r>
    </w:p>
    <w:p>
      <w:pPr>
        <w:pStyle w:val="TextBody"/>
        <w:bidi w:val="0"/>
        <w:spacing w:before="0" w:after="2"/>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99"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or if any claims or litigation are determined against the Company, the Company’s financial position, operating results and the trading price of the Common Shares could be materially adversely affected. </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In the normal course of business, the Company may be subject to legal proceedings and claims. As at June 30, 2026, there was no ongoing litigation and therefore no contingent liabilities have been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erif" w:hAnsi="Times New Roman;serif"/>
          <w:b/>
          <w:color w:val="000000"/>
          <w:sz w:val="22"/>
          <w:u w:val="single"/>
        </w:rPr>
      </w:pPr>
      <w:r>
        <w:rPr>
          <w:rFonts w:ascii="Times New Roman;serif" w:hAnsi="Times New Roman;serif"/>
          <w:b/>
          <w:color w:val="000000"/>
          <w:sz w:val="22"/>
          <w:u w:val="single"/>
        </w:rPr>
        <w:t xml:space="preserve">Outstanding Share Data </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On September 19, 2024, the Company completed the Consolidation. As a result, all figures related to shares, warrants, options, restricted share units, performance share units and earnings per share presented in this MD&amp;A have been restated retrospectively for all periods to reflect the Consolidation.</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table below sets out the outstanding share capital of the Company as at June 30, 2026, and as of the date of this MD&amp;A: </w:t>
      </w:r>
    </w:p>
    <w:p>
      <w:pPr>
        <w:pStyle w:val="TextBody"/>
        <w:bidi w:val="0"/>
        <w:spacing w:before="0" w:after="0"/>
        <w:jc w:val="both"/>
        <w:rPr/>
      </w:pPr>
      <w:r>
        <w:rPr/>
      </w:r>
    </w:p>
    <w:tbl>
      <w:tblPr>
        <w:tblW w:w="7379" w:type="dxa"/>
        <w:jc w:val="left"/>
        <w:tblInd w:w="0" w:type="dxa"/>
        <w:tblLayout w:type="fixed"/>
        <w:tblCellMar>
          <w:top w:w="28" w:type="dxa"/>
          <w:left w:w="28" w:type="dxa"/>
          <w:bottom w:w="28" w:type="dxa"/>
          <w:right w:w="28" w:type="dxa"/>
        </w:tblCellMar>
      </w:tblPr>
      <w:tblGrid>
        <w:gridCol w:w="1234"/>
        <w:gridCol w:w="1084"/>
        <w:gridCol w:w="1087"/>
        <w:gridCol w:w="534"/>
        <w:gridCol w:w="534"/>
        <w:gridCol w:w="536"/>
        <w:gridCol w:w="694"/>
        <w:gridCol w:w="694"/>
        <w:gridCol w:w="982"/>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of Security</w:t>
            </w:r>
          </w:p>
        </w:tc>
        <w:tc>
          <w:tcPr>
            <w:tcW w:w="1604"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2370"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the date of this MD&amp;A</w:t>
            </w:r>
          </w:p>
        </w:tc>
      </w:tr>
      <w:tr>
        <w:trPr/>
        <w:tc>
          <w:tcPr>
            <w:tcW w:w="34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61,984,078</w:t>
            </w:r>
          </w:p>
        </w:tc>
        <w:tc>
          <w:tcPr>
            <w:tcW w:w="23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73,060,172</w:t>
            </w:r>
          </w:p>
        </w:tc>
      </w:tr>
      <w:tr>
        <w:trPr/>
        <w:tc>
          <w:tcPr>
            <w:tcW w:w="34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Pre-funded Common Share purchase warrants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2,997,253</w:t>
            </w:r>
          </w:p>
        </w:tc>
        <w:tc>
          <w:tcPr>
            <w:tcW w:w="23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34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2,045,232</w:t>
            </w:r>
          </w:p>
        </w:tc>
        <w:tc>
          <w:tcPr>
            <w:tcW w:w="23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1,111,967</w:t>
            </w:r>
          </w:p>
        </w:tc>
      </w:tr>
      <w:tr>
        <w:trPr/>
        <w:tc>
          <w:tcPr>
            <w:tcW w:w="34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RSUs </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4,256,550</w:t>
            </w:r>
          </w:p>
        </w:tc>
        <w:tc>
          <w:tcPr>
            <w:tcW w:w="23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1,645,678</w:t>
            </w:r>
          </w:p>
        </w:tc>
      </w:tr>
      <w:tr>
        <w:trPr/>
        <w:tc>
          <w:tcPr>
            <w:tcW w:w="34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PSUs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7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425,000</w:t>
            </w:r>
          </w:p>
        </w:tc>
      </w:tr>
      <w:tr>
        <w:trPr/>
        <w:tc>
          <w:tcPr>
            <w:tcW w:w="34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 purchase warrants</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12,205,335</w:t>
            </w:r>
          </w:p>
        </w:tc>
        <w:tc>
          <w:tcPr>
            <w:tcW w:w="237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12,016,335</w:t>
            </w:r>
          </w:p>
        </w:tc>
      </w:tr>
    </w:tbl>
    <w:p>
      <w:pPr>
        <w:pStyle w:val="TextBody"/>
        <w:bidi w:val="0"/>
        <w:spacing w:before="120" w:after="283"/>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Common Shares</w:t>
      </w:r>
    </w:p>
    <w:p>
      <w:pPr>
        <w:pStyle w:val="TextBody"/>
        <w:bidi w:val="0"/>
        <w:spacing w:lineRule="auto" w:line="333" w:before="0" w:after="0"/>
        <w:jc w:val="both"/>
        <w:rPr/>
      </w:pPr>
      <w:r>
        <w:rPr>
          <w:rFonts w:ascii="Times New Roman;serif" w:hAnsi="Times New Roman;serif"/>
          <w:b w:val="false"/>
          <w:color w:val="000000"/>
          <w:sz w:val="22"/>
        </w:rPr>
        <w:t>The authorized capital of the Company consists of an unlimited number of Common Shares without par value and an unlimited number of preferred shares. As of June 30, 2026, 61,984,078 Common Shares were outstanding and no preferred shares were issued and outstanding. As of the date of this MD&amp;A 73,060,172</w:t>
      </w:r>
      <w:r>
        <w:rPr>
          <w:color w:val="000000"/>
        </w:rPr>
        <w:t xml:space="preserve"> </w:t>
      </w:r>
      <w:r>
        <w:rPr>
          <w:rFonts w:ascii="Times New Roman;serif" w:hAnsi="Times New Roman;serif"/>
          <w:b w:val="false"/>
          <w:color w:val="000000"/>
          <w:sz w:val="22"/>
        </w:rPr>
        <w:t>Common Shares were outstanding and no preferred shares were issued and outstanding.</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Pre-funded Common Share Purchase Warrants</w:t>
      </w:r>
    </w:p>
    <w:p>
      <w:pPr>
        <w:pStyle w:val="TextBody"/>
        <w:bidi w:val="0"/>
        <w:spacing w:lineRule="auto" w:line="333" w:before="0" w:after="240"/>
        <w:jc w:val="both"/>
        <w:rPr/>
      </w:pPr>
      <w:r>
        <w:rPr>
          <w:rFonts w:ascii="Times New Roman;serif" w:hAnsi="Times New Roman;serif"/>
          <w:b w:val="false"/>
          <w:color w:val="000000"/>
          <w:sz w:val="22"/>
        </w:rPr>
        <w:t>As of June 30, 2026, pre-funded warrants to purchase up to 2,997,253 Common Shares are outstanding, exercisable at an exercise price of $0.00001. As of the date of this MD&amp;A, no pre-funded warrants are outstanding. See “</w:t>
      </w:r>
      <w:r>
        <w:rPr>
          <w:rFonts w:ascii="Times New Roman;serif" w:hAnsi="Times New Roman;serif"/>
          <w:b w:val="false"/>
          <w:i/>
          <w:color w:val="000000"/>
          <w:sz w:val="22"/>
        </w:rPr>
        <w:t>Subsequent Events</w:t>
      </w:r>
      <w:r>
        <w:rPr>
          <w:color w:val="000000"/>
        </w:rPr>
        <w:t>”</w:t>
      </w:r>
      <w:r>
        <w:rPr>
          <w:rFonts w:ascii="Times New Roman;serif" w:hAnsi="Times New Roman;serif"/>
          <w:b w:val="false"/>
          <w:color w:val="000000"/>
          <w:sz w:val="22"/>
        </w:rPr>
        <w:t>.</w: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Stock Options</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As of June 30, 2026, options to purchase up to 2,045,232 Common Shares were outstanding under Helus Pharma’s equity incentive plan. As of the date of this MD&amp;A, options to purchase up to 1,111,967 Common Shares are outstanding under Helus Pharma’s equity incentive plan.</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Restricted Share Units</w:t>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4,256,550 RSUs were outstanding. Furthermore, as at June 30, 2026, the Company had the obligation to grant 1,656,362 RSUs to certain officers of the Company pursuant to </w:t>
      </w:r>
    </w:p>
    <w:p>
      <w:pPr>
        <w:pStyle w:val="TextBody"/>
        <w:bidi w:val="0"/>
        <w:spacing w:before="0" w:after="2"/>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0"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contractual arrangements. As of the date of this MD&amp;A, 1,645,678</w:t>
      </w:r>
      <w:r>
        <w:rPr>
          <w:color w:val="000000"/>
        </w:rPr>
        <w:t xml:space="preserve"> </w:t>
      </w:r>
      <w:r>
        <w:rPr>
          <w:rFonts w:ascii="Times New Roman;serif" w:hAnsi="Times New Roman;serif"/>
          <w:b w:val="false"/>
          <w:color w:val="000000"/>
          <w:sz w:val="22"/>
        </w:rPr>
        <w:t>RSUs are outstanding, of which 675,678 were issued under Helus Pharma’s equity incentive plan, and 970,000 were issued outside of the equity incentive plan. Furthermore, as of the date of this MD&amp;A, the Company has the obligation to grant 509,798 RSUs to certain officers of the Company pursuant to contractual arrangements. See “</w:t>
      </w:r>
      <w:r>
        <w:rPr>
          <w:rFonts w:ascii="Times New Roman;serif" w:hAnsi="Times New Roman;serif"/>
          <w:b w:val="false"/>
          <w:i/>
          <w:color w:val="000000"/>
          <w:sz w:val="22"/>
        </w:rPr>
        <w:t>Subsequent Events</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Performance Share Units</w:t>
      </w:r>
    </w:p>
    <w:p>
      <w:pPr>
        <w:pStyle w:val="TextBody"/>
        <w:bidi w:val="0"/>
        <w:spacing w:lineRule="auto" w:line="333" w:before="0" w:after="0"/>
        <w:jc w:val="both"/>
        <w:rPr/>
      </w:pPr>
      <w:r>
        <w:rPr>
          <w:rFonts w:ascii="Times New Roman;serif" w:hAnsi="Times New Roman;serif"/>
          <w:b w:val="false"/>
          <w:color w:val="000000"/>
          <w:sz w:val="22"/>
        </w:rPr>
        <w:t>As of June 30, 2026, no performance share units (“</w:t>
      </w:r>
      <w:r>
        <w:rPr>
          <w:rFonts w:ascii="Times New Roman;serif" w:hAnsi="Times New Roman;serif"/>
          <w:b/>
          <w:color w:val="000000"/>
          <w:sz w:val="22"/>
        </w:rPr>
        <w:t>PSUs</w:t>
      </w:r>
      <w:r>
        <w:rPr>
          <w:color w:val="000000"/>
        </w:rPr>
        <w:t>”</w:t>
      </w:r>
      <w:r>
        <w:rPr>
          <w:rFonts w:ascii="Times New Roman;serif" w:hAnsi="Times New Roman;serif"/>
          <w:b w:val="false"/>
          <w:color w:val="000000"/>
          <w:sz w:val="22"/>
        </w:rPr>
        <w:t>) were outstanding. As of the date of this MD&amp;A, 425,000 PSUs are outstanding, which were issued outside of Helus Pharma’s equity incentive plan. See “</w:t>
      </w:r>
      <w:r>
        <w:rPr>
          <w:rFonts w:ascii="Times New Roman;serif" w:hAnsi="Times New Roman;serif"/>
          <w:b w:val="false"/>
          <w:i/>
          <w:color w:val="000000"/>
          <w:sz w:val="22"/>
        </w:rPr>
        <w:t>Subsequent Events</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68" w:before="0" w:after="240"/>
        <w:jc w:val="both"/>
        <w:rPr>
          <w:rFonts w:ascii="Times New Roman;serif" w:hAnsi="Times New Roman;serif"/>
          <w:b/>
          <w:i/>
          <w:color w:val="000000"/>
          <w:sz w:val="22"/>
        </w:rPr>
      </w:pPr>
      <w:r>
        <w:rPr>
          <w:rFonts w:ascii="Times New Roman;serif" w:hAnsi="Times New Roman;serif"/>
          <w:b/>
          <w:i/>
          <w:color w:val="000000"/>
          <w:sz w:val="22"/>
        </w:rPr>
        <w:t>Common Share Purchase Warrants</w:t>
      </w:r>
    </w:p>
    <w:p>
      <w:pPr>
        <w:pStyle w:val="TextBody"/>
        <w:bidi w:val="0"/>
        <w:spacing w:lineRule="auto" w:line="333" w:before="0" w:after="240"/>
        <w:jc w:val="both"/>
        <w:rPr/>
      </w:pPr>
      <w:r>
        <w:rPr>
          <w:rFonts w:ascii="Times New Roman;serif" w:hAnsi="Times New Roman;serif"/>
          <w:b w:val="false"/>
          <w:color w:val="000000"/>
          <w:sz w:val="22"/>
        </w:rPr>
        <w:t>As of June 30, 2026, warrants to purchase up to 12,205,335 Common Shares were outstanding, exercisable at a weighted average exercise price of $10.11</w:t>
      </w:r>
      <w:r>
        <w:rPr>
          <w:color w:val="000000"/>
        </w:rPr>
        <w:t xml:space="preserve"> </w:t>
      </w:r>
      <w:r>
        <w:rPr>
          <w:rFonts w:ascii="Times New Roman;serif" w:hAnsi="Times New Roman;serif"/>
          <w:b w:val="false"/>
          <w:color w:val="000000"/>
          <w:sz w:val="22"/>
        </w:rPr>
        <w:t>per Common Share. As of the date of this MD&amp;A, warrants to purchase up to 12,016,335 were outstanding, exercisable at a weighted average exercise price of $10.11</w:t>
      </w:r>
      <w:r>
        <w:rPr>
          <w:color w:val="000000"/>
        </w:rPr>
        <w:t xml:space="preserve"> </w:t>
      </w:r>
      <w:r>
        <w:rPr>
          <w:rFonts w:ascii="Times New Roman;serif" w:hAnsi="Times New Roman;serif"/>
          <w:b w:val="false"/>
          <w:color w:val="000000"/>
          <w:sz w:val="22"/>
        </w:rPr>
        <w:t>per Common Share.</w:t>
      </w:r>
    </w:p>
    <w:p>
      <w:pPr>
        <w:pStyle w:val="TextBody"/>
        <w:bidi w:val="0"/>
        <w:spacing w:lineRule="auto" w:line="333" w:before="0" w:after="240"/>
        <w:jc w:val="both"/>
        <w:rPr>
          <w:rFonts w:ascii="Times New Roman;serif" w:hAnsi="Times New Roman;serif"/>
          <w:b/>
          <w:color w:val="000000"/>
          <w:sz w:val="22"/>
          <w:u w:val="single"/>
        </w:rPr>
      </w:pPr>
      <w:r>
        <w:rPr>
          <w:rFonts w:ascii="Times New Roman;serif" w:hAnsi="Times New Roman;serif"/>
          <w:b/>
          <w:color w:val="000000"/>
          <w:sz w:val="22"/>
          <w:u w:val="single"/>
        </w:rPr>
        <w:t xml:space="preserve">Adelia Acquisition </w:t>
      </w:r>
    </w:p>
    <w:p>
      <w:pPr>
        <w:pStyle w:val="TextBody"/>
        <w:bidi w:val="0"/>
        <w:spacing w:lineRule="auto" w:line="333" w:before="0" w:after="0"/>
        <w:jc w:val="both"/>
        <w:rPr/>
      </w:pPr>
      <w:r>
        <w:rPr>
          <w:rFonts w:ascii="Times New Roman;serif" w:hAnsi="Times New Roman;serif"/>
          <w:b w:val="false"/>
          <w:color w:val="000000"/>
          <w:sz w:val="22"/>
        </w:rPr>
        <w:t>On December 4, 2020, Helus Pharma entered into a contribution agreement, as amended on September 24, 2021, (the “</w:t>
      </w:r>
      <w:r>
        <w:rPr>
          <w:rFonts w:ascii="Times New Roman;serif" w:hAnsi="Times New Roman;serif"/>
          <w:b/>
          <w:color w:val="000000"/>
          <w:sz w:val="22"/>
        </w:rPr>
        <w:t>Contribution Agreement</w:t>
      </w:r>
      <w:r>
        <w:rPr>
          <w:color w:val="000000"/>
        </w:rPr>
        <w:t>”</w:t>
      </w:r>
      <w:r>
        <w:rPr>
          <w:rFonts w:ascii="Times New Roman;serif" w:hAnsi="Times New Roman;serif"/>
          <w:b w:val="false"/>
          <w:color w:val="000000"/>
          <w:sz w:val="22"/>
        </w:rPr>
        <w:t>) with Helus Pharma Corp., Helus US Inc. (formerly Cybin US Holdings Inc.) (the “</w:t>
      </w:r>
      <w:r>
        <w:rPr>
          <w:rFonts w:ascii="Times New Roman;serif" w:hAnsi="Times New Roman;serif"/>
          <w:b/>
          <w:color w:val="000000"/>
          <w:sz w:val="22"/>
        </w:rPr>
        <w:t>Acquiror</w:t>
      </w:r>
      <w:r>
        <w:rPr>
          <w:color w:val="000000"/>
        </w:rPr>
        <w:t>”</w:t>
      </w:r>
      <w:r>
        <w:rPr>
          <w:rFonts w:ascii="Times New Roman;serif" w:hAnsi="Times New Roman;serif"/>
          <w:b w:val="false"/>
          <w:color w:val="000000"/>
          <w:sz w:val="22"/>
        </w:rPr>
        <w:t>), a newly formed fully-controlled subsidiary of Helus Pharma created for the purposes of the Adelia Transaction, and all of the shareholders of Adelia (the “</w:t>
      </w:r>
      <w:r>
        <w:rPr>
          <w:rFonts w:ascii="Times New Roman;serif" w:hAnsi="Times New Roman;serif"/>
          <w:b/>
          <w:color w:val="000000"/>
          <w:sz w:val="22"/>
        </w:rPr>
        <w:t>Adelia Shareholders</w:t>
      </w:r>
      <w:r>
        <w:rPr>
          <w:color w:val="000000"/>
        </w:rPr>
        <w:t>”</w:t>
      </w:r>
      <w:r>
        <w:rPr>
          <w:rFonts w:ascii="Times New Roman;serif" w:hAnsi="Times New Roman;serif"/>
          <w:b w:val="false"/>
          <w:color w:val="000000"/>
          <w:sz w:val="22"/>
        </w:rPr>
        <w:t>) whereby the Acquiror has agreed to purchase from the Adelia Shareholders all of the issued and outstanding common shares of Adelia (the “</w:t>
      </w:r>
      <w:r>
        <w:rPr>
          <w:rFonts w:ascii="Times New Roman;serif" w:hAnsi="Times New Roman;serif"/>
          <w:b/>
          <w:color w:val="000000"/>
          <w:sz w:val="22"/>
        </w:rPr>
        <w:t>Adelia Shares</w:t>
      </w:r>
      <w:r>
        <w:rPr>
          <w:color w:val="000000"/>
        </w:rPr>
        <w:t>”</w:t>
      </w:r>
      <w:r>
        <w:rPr>
          <w:rFonts w:ascii="Times New Roman;serif" w:hAnsi="Times New Roman;serif"/>
          <w:b w:val="false"/>
          <w:color w:val="000000"/>
          <w:sz w:val="22"/>
        </w:rPr>
        <w:t>) in exchange for non-voting Class B common shares in the capital of the Acquiror (the “</w:t>
      </w:r>
      <w:r>
        <w:rPr>
          <w:rFonts w:ascii="Times New Roman;serif" w:hAnsi="Times New Roman;serif"/>
          <w:b/>
          <w:color w:val="000000"/>
          <w:sz w:val="22"/>
        </w:rPr>
        <w:t>Class B Shares</w:t>
      </w:r>
      <w:r>
        <w:rPr>
          <w:color w:val="000000"/>
        </w:rPr>
        <w:t>”</w:t>
      </w:r>
      <w:r>
        <w:rPr>
          <w:rFonts w:ascii="Times New Roman;serif" w:hAnsi="Times New Roman;serif"/>
          <w:b w:val="false"/>
          <w:color w:val="000000"/>
          <w:sz w:val="22"/>
        </w:rPr>
        <w:t>) (the “</w:t>
      </w:r>
      <w:r>
        <w:rPr>
          <w:rFonts w:ascii="Times New Roman;serif" w:hAnsi="Times New Roman;serif"/>
          <w:b/>
          <w:color w:val="000000"/>
          <w:sz w:val="22"/>
        </w:rPr>
        <w:t>Adelia Transaction</w:t>
      </w:r>
      <w:r>
        <w:rPr>
          <w:color w:val="000000"/>
        </w:rPr>
        <w:t>”</w:t>
      </w:r>
      <w:r>
        <w:rPr>
          <w:rFonts w:ascii="Times New Roman;serif" w:hAnsi="Times New Roman;serif"/>
          <w:b w:val="false"/>
          <w:color w:val="000000"/>
          <w:sz w:val="22"/>
        </w:rPr>
        <w:t>). The Adelia Transaction closed on December 14, 2020 (the “</w:t>
      </w:r>
      <w:r>
        <w:rPr>
          <w:rFonts w:ascii="Times New Roman;serif" w:hAnsi="Times New Roman;serif"/>
          <w:b/>
          <w:color w:val="000000"/>
          <w:sz w:val="22"/>
        </w:rPr>
        <w:t>Closing</w:t>
      </w:r>
      <w:r>
        <w:rPr>
          <w:color w:val="000000"/>
        </w:rPr>
        <w:t>”</w:t>
      </w:r>
      <w:r>
        <w:rPr>
          <w:rFonts w:ascii="Times New Roman;serif" w:hAnsi="Times New Roman;serif"/>
          <w:b w:val="false"/>
          <w:color w:val="000000"/>
          <w:sz w:val="22"/>
        </w:rPr>
        <w:t>).</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C$12.40 (approximately $9.69). The aggregate value of the Class B Shares to be issued to the Adelia Shareholders on the Closing was C$19,549 (approximately $15.28 million).</w:t>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Class B Shares issued by the Acquiror to the Adelia Shareholders are exchangeable for Common Shares on a 0.26316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w:t>
      </w:r>
    </w:p>
    <w:p>
      <w:pPr>
        <w:pStyle w:val="TextBody"/>
        <w:bidi w:val="0"/>
        <w:spacing w:before="0" w:after="2"/>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101"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73</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 xml:space="preserve">the Closing are exchangeable for a total of </w:t>
      </w:r>
      <w:r>
        <w:rPr>
          <w:rFonts w:ascii="Times New Roman;serif" w:hAnsi="Times New Roman;serif"/>
          <w:b w:val="false"/>
          <w:color w:val="000000"/>
          <w:sz w:val="24"/>
        </w:rPr>
        <w:t>228,640</w:t>
      </w:r>
      <w:r>
        <w:rPr>
          <w:color w:val="000000"/>
        </w:rPr>
        <w:t xml:space="preserve"> </w:t>
      </w:r>
      <w:r>
        <w:rPr>
          <w:rFonts w:ascii="Times New Roman;serif" w:hAnsi="Times New Roman;serif"/>
          <w:b w:val="false"/>
          <w:color w:val="000000"/>
          <w:sz w:val="22"/>
        </w:rPr>
        <w:t>Common Shares, resulting in an effective issue price of C</w:t>
      </w:r>
      <w:r>
        <w:rPr>
          <w:rFonts w:ascii="Times New Roman;serif" w:hAnsi="Times New Roman;serif"/>
          <w:b w:val="false"/>
          <w:color w:val="000000"/>
          <w:sz w:val="24"/>
        </w:rPr>
        <w:t>$47.12</w:t>
      </w:r>
      <w:r>
        <w:rPr>
          <w:color w:val="000000"/>
        </w:rPr>
        <w:t xml:space="preserve"> </w:t>
      </w:r>
      <w:r>
        <w:rPr>
          <w:rFonts w:ascii="Times New Roman;serif" w:hAnsi="Times New Roman;serif"/>
          <w:b w:val="false"/>
          <w:color w:val="000000"/>
          <w:sz w:val="22"/>
        </w:rPr>
        <w:t>per Helus Pharma Share.</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On the occurrence of certain milestones as set out in the Contribution Agreement (each a “</w:t>
      </w:r>
      <w:r>
        <w:rPr>
          <w:rFonts w:ascii="Times New Roman;serif" w:hAnsi="Times New Roman;serif"/>
          <w:b/>
          <w:color w:val="000000"/>
          <w:sz w:val="22"/>
        </w:rPr>
        <w:t>Milestone</w:t>
      </w:r>
      <w:r>
        <w:rPr>
          <w:color w:val="000000"/>
        </w:rPr>
        <w:t>”</w:t>
      </w:r>
      <w:r>
        <w:rPr>
          <w:rFonts w:ascii="Times New Roman;serif" w:hAnsi="Times New Roman;serif"/>
          <w:b w:val="false"/>
          <w:color w:val="000000"/>
          <w:sz w:val="22"/>
        </w:rPr>
        <w:t>), the Acquiror will issue to the Adelia Shareholders in accordance with their pro rata percentage, within five business days following the relevant date at which there is agreement as to the achievement of the Milestone (the “</w:t>
      </w:r>
      <w:r>
        <w:rPr>
          <w:rFonts w:ascii="Times New Roman;serif" w:hAnsi="Times New Roman;serif"/>
          <w:b/>
          <w:color w:val="000000"/>
          <w:sz w:val="22"/>
        </w:rPr>
        <w:t>Milestone Determination Date</w:t>
      </w:r>
      <w:r>
        <w:rPr>
          <w:color w:val="000000"/>
        </w:rPr>
        <w:t>”</w:t>
      </w:r>
      <w:r>
        <w:rPr>
          <w:rFonts w:ascii="Times New Roman;serif" w:hAnsi="Times New Roman;serif"/>
          <w:b w:val="false"/>
          <w:color w:val="000000"/>
          <w:sz w:val="22"/>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C$28.50; (ii) the 10 day volume weighted average trading price of the Common Shares on the Cboe Canada (or, in the event that the Common Shares are no longer traded on the Cboe Canada, such other nationally recognized exchange as the Common Shares may at the applicable time be trading); and (iii) the closing market price of the Common Shares on the Cboe Canada (or, in the event that the Common Shares are no longer traded on the Cboe Canada,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C$9,388 (approximately $7.33 million). Pursuant to the Contribution Agreement, Helus Pharma, the Acquiror and the Adelia Shareholders also entered into a support agreement dated December 14, 2020 (the “</w:t>
      </w:r>
      <w:r>
        <w:rPr>
          <w:rFonts w:ascii="Times New Roman;serif" w:hAnsi="Times New Roman;serif"/>
          <w:b/>
          <w:color w:val="000000"/>
          <w:sz w:val="22"/>
        </w:rPr>
        <w:t>Support Agreement</w:t>
      </w:r>
      <w:r>
        <w:rPr>
          <w:color w:val="000000"/>
        </w:rPr>
        <w:t>”</w:t>
      </w:r>
      <w:r>
        <w:rPr>
          <w:rFonts w:ascii="Times New Roman;serif" w:hAnsi="Times New Roman;serif"/>
          <w:b w:val="false"/>
          <w:color w:val="000000"/>
          <w:sz w:val="22"/>
        </w:rPr>
        <w:t xml:space="preserve">), which for the purpose of Canadian securities law, is deemed a “security” as it is a document evidencing an interest in or to a security (i.e. the Common Shares), and, as such, constitutes a security of Helus Pharma.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August 31, 2022, all of the Milestones contemplated by the terms of the Adelia Contribution Agreement were successfully achieved and as a result 1,591,625.3 Class B Shares have been issued and 1,555,540.6 Class B Shares have been exchanged into Common Shares. Effective August 20, 2025, the remaining 36,084.7 Class B Shares were cancelled. The Milestones focused on bringing Helus Pharma’s NSA programs from the lab to the clinic. As Helus Pharma has advanced its research and development pipeline, these milestone achievements have contributed to discovering potential new drug formulations and delivery methods, creating clinical protocols for certain of its NSA compounds, and most recently, supporting clinical-stage development of the Company’s HLP003 and HLP004 programs for MDD and anxiety disorders, respectively. </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Pursuant to the Contribution Agreement certain members of Adelia entered into advisory and/or executive employment arrangements with Helus Pharma upon the Closing and, in such capacity, received, in the aggregate, a grant of options to purchase up to 59,055 Common Shares, pursuant to </w:t>
      </w:r>
    </w:p>
    <w:p>
      <w:pPr>
        <w:pStyle w:val="TextBody"/>
        <w:bidi w:val="0"/>
        <w:spacing w:before="0" w:after="2"/>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102"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74</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Pharma’s equity incentive plan, exercisable for a period of five (5) years and subject to vesting, at an exercise price of $66.12 per Helus Pharma Share. An additional 14,629 options to acquire Common Shares were issued to eligible participants at the direction of the Adelia Shareholders following the Closing.</w:t>
      </w:r>
    </w:p>
    <w:p>
      <w:pPr>
        <w:pStyle w:val="TextBody"/>
        <w:bidi w:val="0"/>
        <w:spacing w:before="0" w:after="2"/>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 and transitioned into advisory roles at the Company. Alex Nivorozhkin Ph.D., one of Adelia’s founders, is continuing in his role as Chief Scientific Officer of Helus Pharma.</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Small Pharma Acquisition</w:t>
      </w:r>
    </w:p>
    <w:p>
      <w:pPr>
        <w:pStyle w:val="TextBody"/>
        <w:bidi w:val="0"/>
        <w:spacing w:lineRule="auto" w:line="333" w:before="0" w:after="0"/>
        <w:jc w:val="both"/>
        <w:rPr/>
      </w:pPr>
      <w:r>
        <w:rPr>
          <w:rFonts w:ascii="Times New Roman;serif" w:hAnsi="Times New Roman;serif"/>
          <w:b w:val="false"/>
          <w:color w:val="000000"/>
          <w:sz w:val="22"/>
        </w:rPr>
        <w:t>On August 28, 2023, the Company entered into the Arrangement Agreement with Small Pharma pursuant to which Helus Pharma agreed to acquire all of the issued and outstanding shares of Small Pharma (each, a “</w:t>
      </w:r>
      <w:r>
        <w:rPr>
          <w:rFonts w:ascii="Times New Roman;serif" w:hAnsi="Times New Roman;serif"/>
          <w:b/>
          <w:color w:val="000000"/>
          <w:sz w:val="22"/>
        </w:rPr>
        <w:t>Small Pharma Share</w:t>
      </w:r>
      <w:r>
        <w:rPr>
          <w:color w:val="000000"/>
        </w:rPr>
        <w:t>”</w:t>
      </w:r>
      <w:r>
        <w:rPr>
          <w:rFonts w:ascii="Times New Roman;serif" w:hAnsi="Times New Roman;serif"/>
          <w:b w:val="false"/>
          <w:color w:val="000000"/>
          <w:sz w:val="22"/>
        </w:rPr>
        <w:t xml:space="preserve">) in an all-equity business combination transaction to be completed by way the Arrangement. </w:t>
      </w:r>
    </w:p>
    <w:p>
      <w:pPr>
        <w:pStyle w:val="TextBody"/>
        <w:bidi w:val="0"/>
        <w:spacing w:before="0" w:after="2"/>
        <w:jc w:val="both"/>
        <w:rPr/>
      </w:pPr>
      <w:r>
        <w:rPr/>
      </w:r>
    </w:p>
    <w:p>
      <w:pPr>
        <w:pStyle w:val="TextBody"/>
        <w:bidi w:val="0"/>
        <w:spacing w:lineRule="auto" w:line="333" w:before="0" w:after="2"/>
        <w:jc w:val="both"/>
        <w:rPr/>
      </w:pPr>
      <w:r>
        <w:rPr>
          <w:rFonts w:ascii="Times New Roman;serif" w:hAnsi="Times New Roman;serif"/>
          <w:b w:val="false"/>
          <w:color w:val="000000"/>
          <w:sz w:val="22"/>
        </w:rPr>
        <w:t>On September 13, 2023, Small Pharma was granted an interim order (the “</w:t>
      </w:r>
      <w:r>
        <w:rPr>
          <w:rFonts w:ascii="Times New Roman;serif" w:hAnsi="Times New Roman;serif"/>
          <w:b/>
          <w:color w:val="000000"/>
          <w:sz w:val="22"/>
        </w:rPr>
        <w:t>Interim Order</w:t>
      </w:r>
      <w:r>
        <w:rPr>
          <w:color w:val="000000"/>
        </w:rPr>
        <w:t>”</w:t>
      </w:r>
      <w:r>
        <w:rPr>
          <w:rFonts w:ascii="Times New Roman;serif" w:hAnsi="Times New Roman;serif"/>
          <w:b w:val="false"/>
          <w:color w:val="000000"/>
          <w:sz w:val="22"/>
        </w:rPr>
        <w:t>) by the Supreme Court of British Columbia (the “</w:t>
      </w:r>
      <w:r>
        <w:rPr>
          <w:rFonts w:ascii="Times New Roman;serif" w:hAnsi="Times New Roman;serif"/>
          <w:b/>
          <w:color w:val="000000"/>
          <w:sz w:val="22"/>
        </w:rPr>
        <w:t>Court</w:t>
      </w:r>
      <w:r>
        <w:rPr>
          <w:color w:val="000000"/>
        </w:rPr>
        <w:t>”</w:t>
      </w:r>
      <w:r>
        <w:rPr>
          <w:rFonts w:ascii="Times New Roman;serif" w:hAnsi="Times New Roman;serif"/>
          <w:b w:val="false"/>
          <w:color w:val="000000"/>
          <w:sz w:val="22"/>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pStyle w:val="TextBody"/>
        <w:bidi w:val="0"/>
        <w:spacing w:before="0" w:after="2"/>
        <w:jc w:val="both"/>
        <w:rPr/>
      </w:pPr>
      <w:r>
        <w:rPr/>
      </w:r>
    </w:p>
    <w:p>
      <w:pPr>
        <w:pStyle w:val="TextBody"/>
        <w:bidi w:val="0"/>
        <w:spacing w:lineRule="auto" w:line="333" w:before="0" w:after="2"/>
        <w:jc w:val="both"/>
        <w:rPr/>
      </w:pPr>
      <w:r>
        <w:rPr>
          <w:rFonts w:ascii="Times New Roman;serif" w:hAnsi="Times New Roman;serif"/>
          <w:b w:val="false"/>
          <w:color w:val="000000"/>
          <w:sz w:val="22"/>
        </w:rPr>
        <w:t>On October 12, 2023, the Company held an annual and special meeting of shareholders (the “</w:t>
      </w:r>
      <w:r>
        <w:rPr>
          <w:rFonts w:ascii="Times New Roman;serif" w:hAnsi="Times New Roman;serif"/>
          <w:b/>
          <w:color w:val="000000"/>
          <w:sz w:val="22"/>
        </w:rPr>
        <w:t>Special</w:t>
      </w:r>
      <w:r>
        <w:rPr>
          <w:color w:val="000000"/>
        </w:rPr>
        <w:t xml:space="preserve"> </w:t>
      </w:r>
      <w:r>
        <w:rPr>
          <w:rFonts w:ascii="Times New Roman;serif" w:hAnsi="Times New Roman;serif"/>
          <w:b/>
          <w:color w:val="000000"/>
          <w:sz w:val="22"/>
        </w:rPr>
        <w:t>Meeting</w:t>
      </w:r>
      <w:r>
        <w:rPr>
          <w:color w:val="000000"/>
        </w:rPr>
        <w:t>”</w:t>
      </w:r>
      <w:r>
        <w:rPr>
          <w:rFonts w:ascii="Times New Roman;serif" w:hAnsi="Times New Roman;serif"/>
          <w:b w:val="false"/>
          <w:color w:val="000000"/>
          <w:sz w:val="22"/>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pStyle w:val="TextBody"/>
        <w:bidi w:val="0"/>
        <w:spacing w:before="0" w:after="2"/>
        <w:jc w:val="both"/>
        <w:rPr/>
      </w:pPr>
      <w:r>
        <w:rPr/>
      </w:r>
    </w:p>
    <w:p>
      <w:pPr>
        <w:pStyle w:val="TextBody"/>
        <w:bidi w:val="0"/>
        <w:spacing w:lineRule="auto" w:line="312"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23, 2023, the Company completed the Arrangement and issued 0.00634 Common Shares for every one Small Pharma Share outstanding, resulting in a total of 2,130,138 Common Shares being issued to Small Pharma shareholders. As a result of the Arrangement, Small Pharma became a wholly-owned subsidiary of Helus Pharma. On April 1, 2024, pursuant to the provisions of the OBCA, Small Pharma completed a horizontal amalgamation with Helus Pharma Corp., with Helus Pharma Corp. being the resulting entity. As a result of this amalgamation, Cybin UK Ltd. T/A Helus is now a wholly-owned subsidiary of Helus Pharma Corp. </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Off-Balance Sheet Arrangements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As at June 30, 2026, and the date of this MD&amp;A, other than those contractual obligations and commitments disclosed in note 10 of the Financial Statements, the Company does not have any off-</w:t>
      </w:r>
    </w:p>
    <w:p>
      <w:pPr>
        <w:pStyle w:val="TextBody"/>
        <w:bidi w:val="0"/>
        <w:spacing w:before="0" w:after="2"/>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103"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75</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balance sheet arrangements that have or are reasonably likely to have a current or future effect on the results of operations or financial condition of the Company. </w: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Transactions Between Related Parties</w:t>
      </w:r>
    </w:p>
    <w:p>
      <w:pPr>
        <w:pStyle w:val="TextBody"/>
        <w:bidi w:val="0"/>
        <w:spacing w:lineRule="auto" w:line="324" w:before="0" w:after="0"/>
        <w:jc w:val="both"/>
        <w:rPr/>
      </w:pPr>
      <w:r>
        <w:rPr>
          <w:rFonts w:ascii="Times New Roman;serif" w:hAnsi="Times New Roman;serif"/>
          <w:b w:val="false"/>
          <w:color w:val="000000"/>
          <w:sz w:val="22"/>
        </w:rPr>
        <w:t>Key management personnel of the Company are the board of directors of the Company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xml:space="preserve">), the President, Chief Executive Officer, Chief Financial Officer, Chief Operating Officer, Chief Growth Officer, Chief Legal Officer, and Chief Business Officer. </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Compensation for key management personnel of the Company for the three month period ended June 30, 2026, consisted of payroll, consulting fees, short term benefits and other compensation of $12,479 (three month period ended June 30, 2025 - $1,229)</w:t>
      </w:r>
    </w:p>
    <w:p>
      <w:pPr>
        <w:pStyle w:val="TextBody"/>
        <w:bidi w:val="0"/>
        <w:spacing w:lineRule="auto" w:line="333" w:before="0" w:after="240"/>
        <w:jc w:val="both"/>
        <w:rPr/>
      </w:pPr>
      <w:r>
        <w:rPr>
          <w:rFonts w:ascii="Times New Roman;serif" w:hAnsi="Times New Roman;serif"/>
          <w:b w:val="false"/>
          <w:color w:val="000000"/>
          <w:sz w:val="22"/>
        </w:rPr>
        <w:t>The Board formed a committee to conduct a formal search for a Chief Executive Officer to guide the Company through its next phase of growth and clinical advancement. On February 10, 2026, the Company announced the appointment of Michael Cola as Chief Executive Officer, effective immediately. Michael Cola served as Chief Executive Officer from February 10, 2026 to April 20, 2026. The Board appointed Co-founder and Executive Chairman Eric So to resume his role as Interim Chief Executive Officer for a short period of time while a search was conducted for a successor (see “</w:t>
      </w:r>
      <w:r>
        <w:rPr>
          <w:rFonts w:ascii="Times New Roman;serif" w:hAnsi="Times New Roman;serif"/>
          <w:b w:val="false"/>
          <w:i/>
          <w:color w:val="000000"/>
          <w:sz w:val="22"/>
        </w:rPr>
        <w:t>Subsequent Events</w:t>
      </w:r>
      <w:r>
        <w:rPr>
          <w:color w:val="000000"/>
        </w:rPr>
        <w:t>”</w:t>
      </w:r>
      <w:r>
        <w:rPr>
          <w:rFonts w:ascii="Times New Roman;serif" w:hAnsi="Times New Roman;serif"/>
          <w:b w:val="false"/>
          <w:color w:val="000000"/>
          <w:sz w:val="22"/>
        </w:rPr>
        <w:t xml:space="preserve">). </w:t>
      </w:r>
    </w:p>
    <w:p>
      <w:pPr>
        <w:pStyle w:val="TextBody"/>
        <w:bidi w:val="0"/>
        <w:spacing w:lineRule="auto" w:line="333" w:before="0" w:after="0"/>
        <w:jc w:val="both"/>
        <w:rPr/>
      </w:pPr>
      <w:r>
        <w:rPr>
          <w:rFonts w:ascii="Times New Roman;serif" w:hAnsi="Times New Roman;serif"/>
          <w:b w:val="false"/>
          <w:color w:val="000000"/>
          <w:sz w:val="22"/>
        </w:rPr>
        <w:t>On September 26, 2025, the Board authorized the Company to enter into amended consulting agreements with the Company’s President and Interim Chief Executive Officer, Eric So, and Chief Growth Officer, Paul Glavine (each, an “</w:t>
      </w:r>
      <w:r>
        <w:rPr>
          <w:rFonts w:ascii="Times New Roman;serif" w:hAnsi="Times New Roman;serif"/>
          <w:b/>
          <w:color w:val="000000"/>
          <w:sz w:val="22"/>
        </w:rPr>
        <w:t>Executive</w:t>
      </w:r>
      <w:r>
        <w:rPr>
          <w:color w:val="000000"/>
        </w:rPr>
        <w:t>”</w:t>
      </w:r>
      <w:r>
        <w:rPr>
          <w:rFonts w:ascii="Times New Roman;serif" w:hAnsi="Times New Roman;serif"/>
          <w:b w:val="false"/>
          <w:color w:val="000000"/>
          <w:sz w:val="22"/>
        </w:rPr>
        <w:t xml:space="preserve">), through their respective consulting corporation, pursuant to which each Executive would be entitled to receive, subject to the approval of the Board and the terms of the Helus Pharma’s equity incentive plan, performance-based awards within the available equity pool on or prior to December 31, 2026 or cash payments in lieu thereof. Such performance awards would vest into Common Shares over a three-year period following the grant date, subject to acceleration upon satisfaction of certain performance-related conditions or other customary events.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Shareholder Rights Plan</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Board has adopted a shareholder rights plan (the “</w:t>
      </w:r>
      <w:r>
        <w:rPr>
          <w:rFonts w:ascii="Times New Roman;serif" w:hAnsi="Times New Roman;serif"/>
          <w:b/>
          <w:color w:val="000000"/>
          <w:sz w:val="22"/>
        </w:rPr>
        <w:t>Rights Plan</w:t>
      </w:r>
      <w:r>
        <w:rPr>
          <w:color w:val="000000"/>
        </w:rPr>
        <w:t>”</w:t>
      </w:r>
      <w:r>
        <w:rPr>
          <w:rFonts w:ascii="Times New Roman;serif" w:hAnsi="Times New Roman;serif"/>
          <w:b w:val="false"/>
          <w:color w:val="000000"/>
          <w:sz w:val="22"/>
        </w:rPr>
        <w:t xml:space="preserve">) to ensure, to the extent possible, that all shareholders of the Company and the Board have adequate time to consider and evaluate any unsolicited take-over bid for the Company, provide the Board with adequate time to evaluate any such take-over bid and explore and develop value-enhancing alternatives to any such take-over bid, encourage the fair treatment of the Company’s shareholders in connection with any such take-over bid, and generally assist the Board in enhancing shareholder value. The Rights Plan was approved by the Company’s shareholders on, and took effect as of, August 16, 2021. An amended and restated Rights Plan was approved by shareholders at the Company’s annual and special meeting of shareholders held on August 27, 2024. </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Critical Accounting Estimates</w:t>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The preparation of the Financial Statements requires management to make certain estimates, judgments and assumptions that affect the reported amounts of assets and liabilities at the date of the </w:t>
      </w:r>
    </w:p>
    <w:p>
      <w:pPr>
        <w:pStyle w:val="TextBody"/>
        <w:bidi w:val="0"/>
        <w:spacing w:before="0" w:after="2"/>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4"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76</w:t>
                      </w:r>
                    </w:p>
                  </w:txbxContent>
                </v:textbox>
                <w10:wrap type="none"/>
              </v:rect>
            </w:pict>
          </mc:Fallback>
        </mc:AlternateContent>
      </w:r>
    </w:p>
    <w:p>
      <w:pPr>
        <w:pStyle w:val="TextBody"/>
        <w:bidi w:val="0"/>
        <w:spacing w:lineRule="auto" w:line="333" w:before="0" w:after="2"/>
        <w:jc w:val="both"/>
        <w:rPr/>
      </w:pPr>
      <w:r>
        <w:rPr>
          <w:rFonts w:ascii="Times New Roman;serif" w:hAnsi="Times New Roman;serif"/>
          <w:b w:val="false"/>
          <w:color w:val="000000"/>
          <w:sz w:val="22"/>
        </w:rPr>
        <w:t>financial statements and reported amounts of expenses during the reporting year. Actual outcomes could differ from these estimates. The Financial Statements include estimates which, by their nature, are uncertain. The impacts of such estimates are pervasive throughout the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w:t>
      </w:r>
      <w:r>
        <w:rPr>
          <w:color w:val="000000"/>
          <w:shd w:fill="FFFFFF" w:val="clear"/>
        </w:rPr>
        <w:t xml:space="preserve"> </w:t>
      </w:r>
      <w:r>
        <w:rPr>
          <w:rFonts w:ascii="Times New Roman;serif" w:hAnsi="Times New Roman;serif"/>
          <w:b w:val="false"/>
          <w:color w:val="000000"/>
          <w:sz w:val="22"/>
          <w:shd w:fill="FFFFFF" w:val="clear"/>
        </w:rPr>
        <w:t>note 2</w:t>
      </w:r>
      <w:r>
        <w:rPr>
          <w:color w:val="000000"/>
        </w:rPr>
        <w:t xml:space="preserve"> </w:t>
      </w:r>
      <w:r>
        <w:rPr>
          <w:rFonts w:ascii="Times New Roman;serif" w:hAnsi="Times New Roman;serif"/>
          <w:b w:val="false"/>
          <w:color w:val="000000"/>
          <w:sz w:val="22"/>
        </w:rPr>
        <w:t>of the Financial Statements and in note 3 of the Company’s annual consolidated financial statements for the year ended March 31, 2026 found on SEDAR+ at www.sedarplus.ca.</w:t>
      </w:r>
    </w:p>
    <w:p>
      <w:pPr>
        <w:pStyle w:val="TextBody"/>
        <w:bidi w:val="0"/>
        <w:spacing w:before="0" w:after="0"/>
        <w:jc w:val="left"/>
        <w:rPr/>
      </w:pPr>
      <w:r>
        <w:rPr/>
      </w:r>
    </w:p>
    <w:p>
      <w:pPr>
        <w:pStyle w:val="TextBody"/>
        <w:bidi w:val="0"/>
        <w:spacing w:lineRule="auto" w:line="333" w:before="0" w:after="2"/>
        <w:jc w:val="both"/>
        <w:rPr>
          <w:rFonts w:ascii="Times New Roman;serif" w:hAnsi="Times New Roman;serif"/>
          <w:b/>
          <w:i/>
          <w:color w:val="000000"/>
          <w:sz w:val="22"/>
        </w:rPr>
      </w:pPr>
      <w:r>
        <w:rPr>
          <w:rFonts w:ascii="Times New Roman;serif" w:hAnsi="Times New Roman;serif"/>
          <w:b/>
          <w:i/>
          <w:color w:val="000000"/>
          <w:sz w:val="22"/>
        </w:rPr>
        <w:t>Summary of Significant Accounting Policies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 xml:space="preserve">The Company’s significant accounting policies are set out in </w:t>
      </w:r>
      <w:r>
        <w:rPr>
          <w:rFonts w:ascii="Times New Roman;serif" w:hAnsi="Times New Roman;serif"/>
          <w:b w:val="false"/>
          <w:color w:val="000000"/>
          <w:sz w:val="22"/>
          <w:shd w:fill="FFFFFF" w:val="clear"/>
        </w:rPr>
        <w:t>note 2</w:t>
      </w:r>
      <w:r>
        <w:rPr>
          <w:color w:val="000000"/>
        </w:rPr>
        <w:t xml:space="preserve"> </w:t>
      </w:r>
      <w:r>
        <w:rPr>
          <w:rFonts w:ascii="Times New Roman;serif" w:hAnsi="Times New Roman;serif"/>
          <w:b w:val="false"/>
          <w:color w:val="000000"/>
          <w:sz w:val="22"/>
        </w:rPr>
        <w:t xml:space="preserve">of the Company’s annual consolidated financial statements for the year ended March 31, 2026, found on SEDAR+ at </w:t>
      </w:r>
      <w:r>
        <w:rPr>
          <w:rFonts w:ascii="Times New Roman;serif" w:hAnsi="Times New Roman;serif"/>
          <w:b w:val="false"/>
          <w:i/>
          <w:color w:val="000000"/>
          <w:sz w:val="22"/>
        </w:rPr>
        <w:t>www.sedarplus.ca</w:t>
      </w:r>
      <w:r>
        <w:rPr>
          <w:rFonts w:ascii="Times New Roman;serif" w:hAnsi="Times New Roman;serif"/>
          <w:b w:val="false"/>
          <w:color w:val="000000"/>
          <w:sz w:val="22"/>
        </w:rPr>
        <w:t xml:space="preserve">.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Disclosure Controls and Procedures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Management maintains appropriate information systems, procedures and controls to provide reasonable assurance that information that is publicly disclosed is complete, reliable and timely. The Chief Executive Officer (the “</w:t>
      </w:r>
      <w:r>
        <w:rPr>
          <w:rFonts w:ascii="Times New Roman;serif" w:hAnsi="Times New Roman;serif"/>
          <w:b/>
          <w:color w:val="000000"/>
          <w:sz w:val="22"/>
        </w:rPr>
        <w:t>CEO</w:t>
      </w:r>
      <w:r>
        <w:rPr>
          <w:color w:val="000000"/>
        </w:rPr>
        <w:t>”</w:t>
      </w:r>
      <w:r>
        <w:rPr>
          <w:rFonts w:ascii="Times New Roman;serif" w:hAnsi="Times New Roman;serif"/>
          <w:b w:val="false"/>
          <w:color w:val="000000"/>
          <w:sz w:val="22"/>
        </w:rPr>
        <w:t>) and Chief Financial Officer (the “</w:t>
      </w:r>
      <w:r>
        <w:rPr>
          <w:rFonts w:ascii="Times New Roman;serif" w:hAnsi="Times New Roman;serif"/>
          <w:b/>
          <w:color w:val="000000"/>
          <w:sz w:val="22"/>
        </w:rPr>
        <w:t>CFO</w:t>
      </w:r>
      <w:r>
        <w:rPr>
          <w:color w:val="000000"/>
        </w:rPr>
        <w:t>”</w:t>
      </w:r>
      <w:r>
        <w:rPr>
          <w:rFonts w:ascii="Times New Roman;serif" w:hAnsi="Times New Roman;serif"/>
          <w:b w:val="false"/>
          <w:color w:val="000000"/>
          <w:sz w:val="22"/>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i/>
          <w:color w:val="000000"/>
          <w:sz w:val="22"/>
        </w:rPr>
      </w:pPr>
      <w:r>
        <w:rPr>
          <w:rFonts w:ascii="Times New Roman;serif" w:hAnsi="Times New Roman;serif"/>
          <w:b/>
          <w:i/>
          <w:color w:val="000000"/>
          <w:sz w:val="22"/>
        </w:rPr>
        <w:t>Internal Control Over Financial Reporting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maintenance of records in reasonable detail, that accurately and fairly reflect the transactions and dispositions of assets;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reasonable assurance that transactions are recorded as necessary to permit preparation of financial statements in accordance with applicable IFRS;</w:t>
      </w:r>
    </w:p>
    <w:p>
      <w:pPr>
        <w:pStyle w:val="TextBody"/>
        <w:bidi w:val="0"/>
        <w:spacing w:lineRule="auto" w:line="333"/>
        <w:ind w:left="0" w:right="0" w:hanging="357"/>
        <w:jc w:val="both"/>
        <w:rPr/>
      </w:pPr>
      <w:r>
        <w:rPr>
          <w:color w:val="000000"/>
        </w:rPr>
        <w:t>•</w:t>
      </w:r>
      <w:r>
        <w:rPr>
          <w:rFonts w:ascii="Times New Roman;serif" w:hAnsi="Times New Roman;serif"/>
          <w:b w:val="false"/>
          <w:color w:val="000000"/>
          <w:sz w:val="22"/>
        </w:rPr>
        <w:t>receipts and expenditures are only being made in accordance with authorizations of management or the Board; and</w:t>
      </w:r>
    </w:p>
    <w:p>
      <w:pPr>
        <w:pStyle w:val="TextBody"/>
        <w:bidi w:val="0"/>
        <w:spacing w:before="0" w:after="2"/>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5"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77</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reasonable assurance regarding prevention or timely detection of unauthorized acquisition, use or disposition of the Company’s assets that could have a material effect on the financial instruments.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period ended June 30, 2026, the Company did not make any significant changes to its internal controls over financial reporting that would have materially affected, or reasonably likely to materially affect, its internal controls over financial reporting.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Limitations of Disclosure Controls and Procedures and Internal Control Over Financial Reporting</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w:t>
      </w:r>
      <w:r>
        <w:rPr>
          <w:color w:val="000000"/>
        </w:rPr>
        <w:t xml:space="preserve"> </w:t>
      </w:r>
      <w:r>
        <w:rPr>
          <w:rFonts w:ascii="Times New Roman;serif" w:hAnsi="Times New Roman;serif"/>
          <w:b w:val="false"/>
          <w:color w:val="000000"/>
          <w:sz w:val="22"/>
        </w:rPr>
        <w:t xml:space="preserve">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 </w:t>
      </w:r>
    </w:p>
    <w:p>
      <w:pPr>
        <w:pStyle w:val="TextBody"/>
        <w:bidi w:val="0"/>
        <w:spacing w:lineRule="auto" w:line="312" w:before="200" w:after="283"/>
        <w:ind w:left="0" w:right="0" w:hanging="360"/>
        <w:jc w:val="both"/>
        <w:rPr>
          <w:rFonts w:ascii="Times New Roman;serif" w:hAnsi="Times New Roman;serif"/>
          <w:b/>
          <w:i/>
          <w:color w:val="000000"/>
          <w:sz w:val="22"/>
          <w:u w:val="single"/>
        </w:rPr>
      </w:pPr>
      <w:r>
        <w:rPr>
          <w:rFonts w:ascii="Times New Roman;serif" w:hAnsi="Times New Roman;serif"/>
          <w:b/>
          <w:i/>
          <w:color w:val="000000"/>
          <w:sz w:val="22"/>
          <w:u w:val="single"/>
        </w:rPr>
        <w:t>New standards and interpretations</w:t>
      </w:r>
    </w:p>
    <w:p>
      <w:pPr>
        <w:pStyle w:val="TextBody"/>
        <w:bidi w:val="0"/>
        <w:spacing w:lineRule="auto" w:line="312" w:before="200" w:after="283"/>
        <w:jc w:val="both"/>
        <w:rPr>
          <w:rFonts w:ascii="Times New Roman;serif" w:hAnsi="Times New Roman;serif"/>
          <w:b/>
          <w:color w:val="000000"/>
          <w:sz w:val="22"/>
        </w:rPr>
      </w:pPr>
      <w:r>
        <w:rPr>
          <w:rFonts w:ascii="Times New Roman;serif" w:hAnsi="Times New Roman;serif"/>
          <w:b/>
          <w:color w:val="000000"/>
          <w:sz w:val="22"/>
        </w:rPr>
        <w:t>IFRS 9, Financial Instruments (“IFRS 9”) and IFRS 7, Financial Instruments: Disclosures (“IFRS 7”)</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May 2024, the IASB issued targeted amendments to IFRS 9 and IFRS 7 in response to practical implementation issues and to introduce new requirements applicable to both financial institutions and corporate entities. These amendments aim to enhance the clarity and consistency of financial reporting for various types of financial instruments and their related disclosures by (i) clarifying the date of recognition and derecognition for certain financial assets and liabilities, including a new exception for financial liabilities settled through an electronic cash transfer system (ii) providing help to determine whether a financial asset meets the Solely Payments of Principal and Interest criterion (iii) introducing new disclosures for instruments with contractual terms that may alter cash flows, such as financial instruments linked to the achievement of environmental, social, and governance targets, and (iv) updating the disclosure requirements for equity instruments designated at fair value through other comprehensive income. The new standard is to be effective for annual periods beginning on or after January 1, 2026. The Company has determined that adoption of these amendments has no significant effect on the Company's consolidated financial statements.</w:t>
      </w:r>
    </w:p>
    <w:p>
      <w:pPr>
        <w:pStyle w:val="TextBody"/>
        <w:bidi w:val="0"/>
        <w:spacing w:before="0" w:after="0"/>
        <w:jc w:val="both"/>
        <w:rPr/>
      </w:pPr>
      <w:r>
        <w:rPr/>
      </w:r>
    </w:p>
    <w:p>
      <w:pPr>
        <w:pStyle w:val="TextBody"/>
        <w:bidi w:val="0"/>
        <w:spacing w:lineRule="auto" w:line="312" w:before="0" w:after="0"/>
        <w:ind w:left="0" w:right="0" w:hanging="360"/>
        <w:jc w:val="both"/>
        <w:rPr>
          <w:rFonts w:ascii="Times New Roman;serif" w:hAnsi="Times New Roman;serif"/>
          <w:b/>
          <w:i/>
          <w:color w:val="000000"/>
          <w:sz w:val="22"/>
          <w:u w:val="single"/>
        </w:rPr>
      </w:pPr>
      <w:r>
        <w:rPr>
          <w:rFonts w:ascii="Times New Roman;serif" w:hAnsi="Times New Roman;serif"/>
          <w:b/>
          <w:i/>
          <w:color w:val="000000"/>
          <w:sz w:val="22"/>
          <w:u w:val="single"/>
        </w:rPr>
        <w:t xml:space="preserve">New standards and interpretations not yet adopted </w:t>
      </w:r>
    </w:p>
    <w:p>
      <w:pPr>
        <w:pStyle w:val="TextBody"/>
        <w:bidi w:val="0"/>
        <w:spacing w:before="0" w:after="0"/>
        <w:ind w:left="0" w:right="0" w:hanging="360"/>
        <w:jc w:val="both"/>
        <w:rPr/>
      </w:pPr>
      <w:r>
        <w:rPr/>
      </w:r>
    </w:p>
    <w:p>
      <w:pPr>
        <w:pStyle w:val="TextBody"/>
        <w:bidi w:val="0"/>
        <w:spacing w:lineRule="auto" w:line="312" w:before="0" w:after="0"/>
        <w:ind w:left="0" w:right="0" w:hanging="360"/>
        <w:jc w:val="both"/>
        <w:rPr>
          <w:rFonts w:ascii="Times New Roman;serif" w:hAnsi="Times New Roman;serif"/>
          <w:b/>
          <w:color w:val="000000"/>
          <w:sz w:val="22"/>
        </w:rPr>
      </w:pPr>
      <w:r>
        <w:rPr>
          <w:rFonts w:ascii="Times New Roman;serif" w:hAnsi="Times New Roman;serif"/>
          <w:b/>
          <w:color w:val="000000"/>
          <w:sz w:val="22"/>
        </w:rPr>
        <w:t>IFRS 18, Presentation and Disclosure in Financial Statements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In April 2024, the IASB issued IFRS 18 that is to replace IAS 1, Presentation of Financial Statements. The new standard aims to improve the quality of financial reporting by: (i) requiring defined subtotals in the statement of profit or loss; (ii) requiring disclosure about management defined performance </w:t>
      </w:r>
    </w:p>
    <w:p>
      <w:pPr>
        <w:pStyle w:val="TextBody"/>
        <w:bidi w:val="0"/>
        <w:spacing w:before="0" w:after="2"/>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6"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78</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measures; and (iii) adding new principles for aggregation and disaggregation of information. The standard is effective for the annual reporting periods beginning on or after January 1, 2027, with early application permitted. The Company is in the process of assessing the impact of this new standard on its consolidated financial statements.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All other IFRSs and amendments issued but not yet effective have been assessed by the Company and are not expected to have a material impact on the Company's consolidated financial statements.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u w:val="single"/>
        </w:rPr>
      </w:pPr>
      <w:r>
        <w:rPr>
          <w:rFonts w:ascii="Times New Roman;serif" w:hAnsi="Times New Roman;serif"/>
          <w:b/>
          <w:color w:val="000000"/>
          <w:sz w:val="22"/>
          <w:u w:val="single"/>
        </w:rPr>
        <w:t>Financial and Risk Management</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14, </w:t>
      </w:r>
      <w:r>
        <w:rPr>
          <w:rFonts w:ascii="Times New Roman;serif" w:hAnsi="Times New Roman;serif"/>
          <w:b w:val="false"/>
          <w:i/>
          <w:color w:val="000000"/>
          <w:sz w:val="22"/>
        </w:rPr>
        <w:t>Financial Instruments</w:t>
      </w:r>
      <w:r>
        <w:rPr>
          <w:color w:val="000000"/>
        </w:rPr>
        <w:t xml:space="preserve"> </w:t>
      </w:r>
      <w:r>
        <w:rPr>
          <w:rFonts w:ascii="Times New Roman;serif" w:hAnsi="Times New Roman;serif"/>
          <w:b w:val="false"/>
          <w:color w:val="000000"/>
          <w:sz w:val="22"/>
        </w:rPr>
        <w:t>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the Company noted the following risks specific to the pharmaceutical industry that it is exposed to:</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Liquidity Risk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reviews and approves the Company’s operating and capital budgets, as well as any material transactions not in the ordinary course of business.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i/>
          <w:color w:val="000000"/>
          <w:sz w:val="22"/>
        </w:rPr>
      </w:pPr>
      <w:r>
        <w:rPr>
          <w:rFonts w:ascii="Times New Roman;serif" w:hAnsi="Times New Roman;serif"/>
          <w:b/>
          <w:i/>
          <w:color w:val="000000"/>
          <w:sz w:val="22"/>
        </w:rPr>
        <w:t>Regulatory Risk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routinely monitors regulatory changes occurring in the regulation of serotonergic agonists as controlled substances at the city, state, and national levels as it relates to the pharmaceutical industry. Although the general regulatory outlook for the industry has been moving in a positive direction, unforeseen regulatory changes could have a material adverse effect on the business as a whole.</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7"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79</w:t>
                      </w:r>
                    </w:p>
                  </w:txbxContent>
                </v:textbox>
                <w10:wrap type="none"/>
              </v:rect>
            </w:pict>
          </mc:Fallback>
        </mc:AlternateContent>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Currency Risk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is exposed to currency risk related to the fluctuation of foreign exchange rates and the degree of volatility of those rates. Currency risk is limited to the portion of the Company’s business transactions and balances denominated in currencies other than the United States dollar.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u w:val="single"/>
        </w:rPr>
      </w:pPr>
      <w:r>
        <w:rPr>
          <w:rFonts w:ascii="Times New Roman;serif" w:hAnsi="Times New Roman;serif"/>
          <w:b/>
          <w:color w:val="000000"/>
          <w:sz w:val="22"/>
          <w:u w:val="single"/>
        </w:rPr>
        <w:t>Subsequent Events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July 1, 2026, the Company granted options to certain employees of the Company to purchase up to 90,456 Common Shares at an exercise price of $6.61.</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July 1, 2026, the Company cancelled options (price range from C$8.39 to C$21.28) to purchase up to 1,023,721 Common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July 1, 2026, the Company granted 4,103,974 RSUs to certain directors, officers, employees and consultants. Included in this amount were 1,656,362 RSUs relating to obligations that arose on June 17, 2026 and June 25, 2026 pursuant to pre-existing contractual arrangements. Each RSU entitles the holder to receive one Common Share upon vesting. Of the RSUs granted, 4,033,304 vested immediately upon grant and the underlying Common Shares are subject to lock-up agreements dated July 1, 2026, with varying terms and conditions. Certain of these lock-up agreements contained acceleration provisions that were subsequently triggered on August 13, 2026, resulting in the early release of the applicable lock-up restrictions in respect of 1,916,362 Common Shares. The holders of 2,116,942 Common Shares continue to be subject to their respective lock-up arrangements. In addition, 70,670 RSUs vest over a three-year period.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1, 2026, the Company amended the terms of certain RSU awards, resulting in the acceleration of vesting.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July 1, 2026, the Company issued 7,889,846 Common Shares upon vesting of RSUs.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21, 2026, the Company announced that it has completed enrollment of 223 participants in APPROACH.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3, 2026, the Company announced that it had appointed Michael Halstead as Chief Executive Officer of the Company.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August 3, 2026, the Company granted a total of 1,175,000 RSUs and 425,000 PSUs to two new officers of the Company. The RSUs vest in annual tranches over three years. The PSUs vest based on the achievement of specified Common Share price targets during the three years following the grant date. Each RSU and PSU entitles the holder to receive one Common Share upon vesting.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On August 10, 2026, the Company issued 189,000 Common Shares upon the exercise of Common Share purchase warrants, resulting in gross proceeds of $1,538.</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On August 10, 2026, the Company issued 2,997,248 Common Shares upon the exercise of 2,997,253 Pre-Funded Warrants.</w:t>
      </w:r>
    </w:p>
    <w:p>
      <w:pPr>
        <w:pStyle w:val="TextBody"/>
        <w:bidi w:val="0"/>
        <w:spacing w:before="0" w:after="2"/>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8"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80</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10, 2026, the Company's obligation to grant 509,798 RSUs to certain officers of the Company crystallized pursuant to contractual arrangements.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40"/>
        <w:jc w:val="center"/>
        <w:rPr>
          <w:rFonts w:ascii="Times New Roman;serif" w:hAnsi="Times New Roman;serif"/>
          <w:b/>
          <w:color w:val="000000"/>
          <w:sz w:val="22"/>
        </w:rPr>
      </w:pPr>
      <w:r>
        <w:rPr>
          <w:rFonts w:ascii="Times New Roman;serif" w:hAnsi="Times New Roman;serif"/>
          <w:b/>
          <w:color w:val="000000"/>
          <w:sz w:val="22"/>
        </w:rPr>
        <w:t>RISK FACTORS</w:t>
      </w:r>
    </w:p>
    <w:p>
      <w:pPr>
        <w:pStyle w:val="TextBody"/>
        <w:bidi w:val="0"/>
        <w:spacing w:lineRule="auto" w:line="333" w:before="0" w:after="0"/>
        <w:jc w:val="both"/>
        <w:rPr/>
      </w:pPr>
      <w:r>
        <w:rPr>
          <w:rFonts w:ascii="Times New Roman;serif" w:hAnsi="Times New Roman;serif"/>
          <w:b w:val="false"/>
          <w:color w:val="000000"/>
          <w:sz w:val="22"/>
        </w:rPr>
        <w:t>In addition to the risks described herein, reference is made to the section entitled “</w:t>
      </w:r>
      <w:r>
        <w:rPr>
          <w:rFonts w:ascii="Times New Roman;serif" w:hAnsi="Times New Roman;serif"/>
          <w:b w:val="false"/>
          <w:i/>
          <w:color w:val="000000"/>
          <w:sz w:val="22"/>
        </w:rPr>
        <w:t>Risk Factors</w:t>
      </w:r>
      <w:r>
        <w:rPr>
          <w:color w:val="000000"/>
        </w:rPr>
        <w:t xml:space="preserve">” </w:t>
      </w:r>
      <w:r>
        <w:rPr>
          <w:rFonts w:ascii="Times New Roman;serif" w:hAnsi="Times New Roman;serif"/>
          <w:b w:val="false"/>
          <w:color w:val="000000"/>
          <w:sz w:val="22"/>
        </w:rPr>
        <w:t>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u w:val="single"/>
        </w:rPr>
      </w:pPr>
      <w:r>
        <w:rPr>
          <w:rFonts w:ascii="Times New Roman;serif" w:hAnsi="Times New Roman;serif"/>
          <w:b/>
          <w:color w:val="000000"/>
          <w:sz w:val="22"/>
          <w:u w:val="single"/>
        </w:rPr>
        <w:t>Risks Related to the Company’s Business and Industry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Limited Operating History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Common Shares commenced trading on Cboe Canada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09"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81</w:t>
                      </w:r>
                    </w:p>
                  </w:txbxContent>
                </v:textbox>
                <w10:wrap type="none"/>
              </v:rect>
            </w:pict>
          </mc:Fallback>
        </mc:AlternateContent>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Achieving Publicly Announced Milestones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Speculative Nature of Investment Risk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 xml:space="preserve">Early Stage of the Industry and Product Development </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serif" w:hAnsi="Times New Roman;serif"/>
          <w:b/>
          <w:color w:val="000000"/>
          <w:sz w:val="22"/>
        </w:rPr>
        <w:t>PDD</w:t>
      </w:r>
      <w:r>
        <w:rPr>
          <w:color w:val="000000"/>
        </w:rPr>
        <w:t>”</w:t>
      </w:r>
      <w:r>
        <w:rPr>
          <w:rFonts w:ascii="Times New Roman;serif" w:hAnsi="Times New Roman;serif"/>
          <w:b w:val="false"/>
          <w:color w:val="000000"/>
          <w:sz w:val="22"/>
        </w:rPr>
        <w:t xml:space="preserve">)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 </w:t>
      </w:r>
    </w:p>
    <w:p>
      <w:pPr>
        <w:pStyle w:val="TextBody"/>
        <w:bidi w:val="0"/>
        <w:spacing w:before="0" w:after="0"/>
        <w:jc w:val="both"/>
        <w:rPr/>
      </w:pPr>
      <w:r>
        <w:rPr/>
      </w:r>
    </w:p>
    <w:p>
      <w:pPr>
        <w:pStyle w:val="TextBody"/>
        <w:bidi w:val="0"/>
        <w:spacing w:lineRule="auto" w:line="333"/>
        <w:jc w:val="both"/>
        <w:rPr/>
      </w:pPr>
      <w:r>
        <w:rPr>
          <w:rFonts w:ascii="Times New Roman;serif" w:hAnsi="Times New Roman;serif"/>
          <w:b w:val="false"/>
          <w:color w:val="000000"/>
          <w:sz w:val="22"/>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w:t>
      </w:r>
      <w:r>
        <w:rPr>
          <w:color w:val="000000"/>
        </w:rPr>
        <w:t xml:space="preserve"> </w:t>
      </w:r>
      <w:r>
        <w:rPr>
          <w:rFonts w:ascii="Times New Roman;serif" w:hAnsi="Times New Roman;serif"/>
          <w:b w:val="false"/>
          <w:color w:val="000000"/>
          <w:sz w:val="22"/>
        </w:rPr>
        <w:t xml:space="preserve">benefits equal to or better than the current standard of treatment at the time of testing. Unsatisfactory results obtained from a particular study relating to a research and development program may cause the Company or its </w:t>
      </w:r>
    </w:p>
    <w:p>
      <w:pPr>
        <w:pStyle w:val="TextBody"/>
        <w:bidi w:val="0"/>
        <w:spacing w:before="0" w:after="2"/>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0"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82</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business relies on its ability to access, develop, and sell HLP003, HLP004, HLP005 and any other compounds the Company is developing or may develop. HLP003, HLP004, certain compounds being developed under the HLP005 Program, and other compounds being developed by the Company are controlled substances in many jurisdictions, including in Canada under Schedule III </w:t>
      </w:r>
    </w:p>
    <w:p>
      <w:pPr>
        <w:pStyle w:val="TextBody"/>
        <w:bidi w:val="0"/>
        <w:spacing w:before="0" w:after="2"/>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1"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83</w:t>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2"/>
        </w:rPr>
        <w:t xml:space="preserve">of the </w:t>
      </w:r>
      <w:r>
        <w:rPr>
          <w:rFonts w:ascii="Times New Roman;serif" w:hAnsi="Times New Roman;serif"/>
          <w:b w:val="false"/>
          <w:i/>
          <w:color w:val="000000"/>
          <w:sz w:val="22"/>
        </w:rPr>
        <w:t xml:space="preserve">Controlled Drugs and Substances Act </w:t>
      </w:r>
      <w:r>
        <w:rPr>
          <w:rFonts w:ascii="Times New Roman;serif" w:hAnsi="Times New Roman;serif"/>
          <w:b w:val="false"/>
          <w:color w:val="000000"/>
          <w:sz w:val="22"/>
        </w:rPr>
        <w:t>and in the United States. The Company may face difficulty accessing the public capital markets in Canada or the United States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HLP003, HLP004 and other compounds being developed under the HLP005 Program has not been confirmed and requires further study and scientific rigour.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Regulatory Risks and Uncertainties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Canada, certain drugs, including HLP003 and HLP004, are classified as Schedule III drugs under the CDSA and as such, medical and recreational use is illegal under Canadian federal laws. In the United States, certain serotonergic agonists, including HLP003 and HLP004,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HLP003 and HLP004 as a Schedule I substance under the UN 71 and, as such, a licence is required to produce, dispense, import or export any Schedule I substances, but the specific requirements vary from country to country. Currently in the Netherlands, HLP004 is classified as a List 1 Drug under the Dutch Opium Act and, as such, subject to express authorization being obtained, the production, trade and possession of HLP004 are prohibited. In the United Kingdom, HLP003 and HLP004 are controlled as a Class A drug under the MDA and Schedule 1 drug under the MDR. Schedule 1 drugs can only be lawfully manufactured, produced, possessed and supplied under a controlled drugs domestic licence issued by the UK Home Office.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There is no guarantee that HLP003, HLP004, compounds being developed under the HLP005 Program or any other compounds the Company may develop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serotonergic agonist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 </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2"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84</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loss of the necessary licences and permits for any of the above scheduled drugs could have an adverse effect on the Company’s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NSA segment of the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success of the Company’s business is dependent on the reform of controlled substances laws pertaining to HLP003 and HLP004. If controlled substances laws are not favourably reformed in the United States, the UK, the EU, and other global jurisdictions, the commercial opportunity that the Company is pursuing may be highly limited.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makes no medical, treatment or health benefit claims about the Company’s proposed products. The FDA, Health Canada, the EMA or other similar regulatory authorities have not evaluated claims regarding HLP003, HLP004, or compounds being developed under the HLP005 Program. The efficacy of such products have not been confirmed by approved research. There is no assurance that the use of HLP003, HLP004, or compounds being developed under the HLP005 Program can diagnose, treat, cure or prevent any disease or condition. Vigorous scientific research and clinical trials are needed. The Company is currently conducting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 </w:t>
      </w:r>
    </w:p>
    <w:p>
      <w:pPr>
        <w:pStyle w:val="TextBody"/>
        <w:bidi w:val="0"/>
        <w:spacing w:before="0" w:after="0"/>
        <w:jc w:val="both"/>
        <w:rPr/>
      </w:pPr>
      <w:r>
        <w:rPr/>
      </w:r>
    </w:p>
    <w:p>
      <w:pPr>
        <w:pStyle w:val="TextBody"/>
        <w:bidi w:val="0"/>
        <w:spacing w:lineRule="auto" w:line="292" w:before="0" w:after="0"/>
        <w:jc w:val="both"/>
        <w:rPr>
          <w:rFonts w:ascii="Times New Roman;serif" w:hAnsi="Times New Roman;serif"/>
          <w:b/>
          <w:i/>
          <w:color w:val="000000"/>
          <w:sz w:val="22"/>
        </w:rPr>
      </w:pPr>
      <w:r>
        <w:rPr>
          <w:rFonts w:ascii="Times New Roman;serif" w:hAnsi="Times New Roman;serif"/>
          <w:b/>
          <w:i/>
          <w:color w:val="000000"/>
          <w:sz w:val="22"/>
        </w:rPr>
        <w:t>Risks of Operating in Australia and European Countries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is subject to additional risks related to operating in Australia and certain countries in Europe including: (i) differing regulatory requirements in Australia and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Australia and those European countries that do not respect and protect intellectual property rights to the same extent as Canada or the United States; (xi) production shortages resulting from any events affecting raw material supply or manufacturing </w:t>
      </w:r>
    </w:p>
    <w:p>
      <w:pPr>
        <w:pStyle w:val="TextBody"/>
        <w:bidi w:val="0"/>
        <w:spacing w:before="0" w:after="2"/>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3"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85</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capabilities abroad; and (xii) business interruptions resulting from geo-political actions, including war and terrorism.</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These and other risks associated with the Company’s international operations may materially adversely affect its ability to attain or maintain profitable operations.</w:t>
      </w:r>
    </w:p>
    <w:p>
      <w:pPr>
        <w:pStyle w:val="TextBody"/>
        <w:bidi w:val="0"/>
        <w:spacing w:before="0" w:after="0"/>
        <w:jc w:val="both"/>
        <w:rPr/>
      </w:pPr>
      <w:r>
        <w:rPr/>
      </w:r>
    </w:p>
    <w:p>
      <w:pPr>
        <w:pStyle w:val="TextBody"/>
        <w:bidi w:val="0"/>
        <w:spacing w:lineRule="auto" w:line="333" w:before="0" w:after="0"/>
        <w:jc w:val="both"/>
        <w:rPr>
          <w:color w:val="000000"/>
        </w:rPr>
      </w:pPr>
      <w:r>
        <w:rPr>
          <w:color w:val="000000"/>
        </w:rPr>
        <w:t>“</w:t>
      </w:r>
      <w:r>
        <w:rPr>
          <w:rFonts w:ascii="Times New Roman;serif" w:hAnsi="Times New Roman;serif"/>
          <w:b/>
          <w:i/>
          <w:color w:val="000000"/>
          <w:sz w:val="22"/>
        </w:rPr>
        <w:t>Foreign Private Issuer” Status Under the U.S. Securities Laws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is a “foreign private issuer”, under applicable U.S. federal securities laws, and is, therefore, not subject to the same requirements that are imposed upon U.S. domestic issuers by the SEC.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United States Securities and Exchange Commission (the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 the continuous disclosure documents that it is required to file in Canada under Canadian 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i/>
          <w:color w:val="000000"/>
          <w:sz w:val="22"/>
        </w:rPr>
      </w:pPr>
      <w:r>
        <w:rPr>
          <w:rFonts w:ascii="Times New Roman;serif" w:hAnsi="Times New Roman;serif"/>
          <w:b/>
          <w:i/>
          <w:color w:val="000000"/>
          <w:sz w:val="22"/>
        </w:rPr>
        <w:t>The Company May Lose “Foreign Private Issuer” Status in the Future</w:t>
      </w:r>
    </w:p>
    <w:p>
      <w:pPr>
        <w:pStyle w:val="TextBody"/>
        <w:bidi w:val="0"/>
        <w:spacing w:before="0" w:after="0"/>
        <w:jc w:val="left"/>
        <w:rPr/>
      </w:pPr>
      <w:r>
        <w:rPr/>
      </w:r>
    </w:p>
    <w:p>
      <w:pPr>
        <w:pStyle w:val="TextBody"/>
        <w:bidi w:val="0"/>
        <w:spacing w:lineRule="auto" w:line="333"/>
        <w:jc w:val="both"/>
        <w:rPr/>
      </w:pPr>
      <w:r>
        <w:rPr>
          <w:rFonts w:ascii="Times New Roman;serif" w:hAnsi="Times New Roman;serif"/>
          <w:b w:val="false"/>
          <w:color w:val="000000"/>
          <w:sz w:val="22"/>
        </w:rPr>
        <w:t>In order to maintain the Company’s current status as a “foreign private issuer”, a majority of the Common Shares must be either directly or indirectly held of record by non-residents of the United States unless the Company also satisfies one of the additional requirements necessary to preserve this status. The Company may in the future lose its foreign private issuer status if a majority of the Common Shares are held of record by United States residents and the Company fails to meet the additional requirements necessary to avoid loss of foreign private issuer status. The regulatory and compliance costs to the Company under U.S. federal securities laws as a U.S. domestic issuer may be significantly more than the costs it incurs as a Canadian foreign private issuer eligible to use the Multijurisdictional Disclosure System established between Canada and the United States (the “</w:t>
      </w:r>
      <w:r>
        <w:rPr>
          <w:rFonts w:ascii="Times New Roman;serif" w:hAnsi="Times New Roman;serif"/>
          <w:b/>
          <w:color w:val="000000"/>
          <w:sz w:val="22"/>
        </w:rPr>
        <w:t>MJDS</w:t>
      </w:r>
      <w:r>
        <w:rPr>
          <w:color w:val="000000"/>
        </w:rPr>
        <w:t>”</w:t>
      </w:r>
      <w:r>
        <w:rPr>
          <w:rFonts w:ascii="Times New Roman;serif" w:hAnsi="Times New Roman;serif"/>
          <w:b w:val="false"/>
          <w:color w:val="000000"/>
          <w:sz w:val="22"/>
        </w:rPr>
        <w:t xml:space="preserve">). If the Company is not a foreign private issuer, it would not be eligible to use the MJDS or other foreign issuer forms and would be required to file periodic and current reports and registration statements on U.S. domestic issuer forms with the SEC, which are more detailed and extensive than </w:t>
      </w:r>
    </w:p>
    <w:p>
      <w:pPr>
        <w:pStyle w:val="TextBody"/>
        <w:bidi w:val="0"/>
        <w:spacing w:before="0" w:after="2"/>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4"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86</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forms available to a foreign private issuer. Additionally, the Company may lose the ability to rely upon exemptions from Nasdaq corporate governance requirements that are available to foreign private issuers.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 xml:space="preserve">Plans for Growth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Limited Products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will be heavily reliant on the production and distribution of NSAs and related products. If they do not achieve sufficient market acceptance, it will be difficult for the Company to achieve profitability.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revenue will be derived almost exclusively from sales of NSA pharmaceutical products, and the Company expects that its NSA pharmaceutical products will account for substantially all of its revenue for the foreseeable future. If the NSA pharmaceutical market segment declines or fails to achieve substantially greater market acceptance than it currently enjoys, the Company will not be able to grow its revenues sufficiently for it to achieve consistent profitability.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Even if products to be distributed by the Company conform to international safety and quality standards, sales could be adversely affected if consumers in target markets lose confidence in the safety, efficacy, and quality of NSA pharmaceutical products. Adverse publicity about serotonergic agonist pharmaceutical products, similar to those that the Company may sell or the NSAs that the Company may sell could discourage consumers from buying products distributed by the Company.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Limited Marketing and Sales Capabilities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w:t>
      </w:r>
    </w:p>
    <w:p>
      <w:pPr>
        <w:pStyle w:val="TextBody"/>
        <w:bidi w:val="0"/>
        <w:spacing w:before="0" w:after="2"/>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5"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87</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production, and marketing or sale, as applicable, of the Company’s products could have a material adverse effect on the Company’s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No Assurance of Commercial Success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No Profits or Significant Revenues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Reliance on Third Parties for Clinical Development Activities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Risks Related to Third Party Relationships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w:t>
      </w:r>
    </w:p>
    <w:p>
      <w:pPr>
        <w:pStyle w:val="TextBody"/>
        <w:bidi w:val="0"/>
        <w:spacing w:before="0" w:after="2"/>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6"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88</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the foregoing, the success of the Company’s business will depend, in large part, on the Company’s ability to enter into, and maintain collaborative arrangements with various participants in the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Reliance on Contract Manufacturers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has limited manufacturing experience and relies on contract manufacturing organizations (“</w:t>
      </w:r>
      <w:r>
        <w:rPr>
          <w:rFonts w:ascii="Times New Roman;serif" w:hAnsi="Times New Roman;serif"/>
          <w:b/>
          <w:color w:val="000000"/>
          <w:sz w:val="22"/>
        </w:rPr>
        <w:t>CMOs</w:t>
      </w:r>
      <w:r>
        <w:rPr>
          <w:color w:val="000000"/>
        </w:rPr>
        <w:t>”</w:t>
      </w:r>
      <w:r>
        <w:rPr>
          <w:rFonts w:ascii="Times New Roman;serif" w:hAnsi="Times New Roman;serif"/>
          <w:b w:val="false"/>
          <w:color w:val="000000"/>
          <w:sz w:val="22"/>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 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 xml:space="preserve">Safety and Efficacy of Products </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w:t>
      </w:r>
    </w:p>
    <w:p>
      <w:pPr>
        <w:pStyle w:val="TextBody"/>
        <w:bidi w:val="0"/>
        <w:spacing w:before="0" w:after="2"/>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7"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89</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 the PDD or other regulatory authorities, resulting in the Company being unable to derive any commercial revenue from them after investing significant amounts of capital in their development.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 xml:space="preserve">Clinical Testing and Commercializing Products </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w:t>
      </w:r>
    </w:p>
    <w:p>
      <w:pPr>
        <w:pStyle w:val="TextBody"/>
        <w:bidi w:val="0"/>
        <w:spacing w:before="0" w:after="2"/>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8"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90</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commencement and completion of clinical trials for the Company’s prescription drug product candidates may be delayed for a number of reasons, including but not limited, to:</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failure by regulatory authorities to grant permission to proceed or placing clinical trials on hold;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suspension or termination of clinical trials by regulators for many reasons, including concerns about patient safety or failure of the Company’s CMOs to comply with cGMP requirements or latent defects in product quality;</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any changes to the Company’s manufacturing process that may be necessary or desired, delays or failure to obtain clinical supply from CMOs of the Company’s products necessary to conduct clinical trials;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prescription drug product candidates demonstrating a lack of safety or efficacy during clinical trials, reports of clinical testing on similar technologies and products raising safety or efficacy concerns;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failure of the Company’s contract research organizations to satisfy their contractual duties or meet expected deadlines;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inspections of clinical trial sites by regulatory authorities;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regulatory authorities or ethics committees finding regulatory violations that require the Company to undertake corrective action, resulting in suspension or termination of one or more sites or the imposition of a clinical hold on the entire study;</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one or more regulatory authorities or ethics committees rejecting, suspending or terminating the study at an investigational site, precluding enrollment of additional subjects, or withdrawing its approval of the trial; or</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failure to reach agreement on acceptable terms with prospective clinical trial sites.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product development costs will increase if it experiences delays in testing or approval or if the Company needs to perform more or larger clinical trials than planned. Additionally, changes </w:t>
      </w:r>
    </w:p>
    <w:p>
      <w:pPr>
        <w:pStyle w:val="TextBody"/>
        <w:bidi w:val="0"/>
        <w:spacing w:before="0" w:after="2"/>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19"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91</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Completion of Clinical Trials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 xml:space="preserve">Commercial Grade Product Manufacturing </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w:t>
      </w:r>
    </w:p>
    <w:p>
      <w:pPr>
        <w:pStyle w:val="TextBody"/>
        <w:bidi w:val="0"/>
        <w:spacing w:before="0" w:after="2"/>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0"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92</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 xml:space="preserve">Nature of Regulatory Approvals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w:t>
      </w:r>
    </w:p>
    <w:p>
      <w:pPr>
        <w:pStyle w:val="TextBody"/>
        <w:bidi w:val="0"/>
        <w:spacing w:before="0" w:after="2"/>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1"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93</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 the PDD or other regulatory authorities may impose a risk evaluation and mitigation strategy, thereby imposing certain restrictions on the sale and marketability of such products.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Market Access and Acceptance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serotonergic agonist substances, including those resulting in non-ordinary states of consciousness.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 number of factors, many of which are beyond the Company’s control, including, but not limited to, the following:</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acceptance by healthcare professionals, patients and healthcare payors of each product as safe, effective and cost-effective;</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changes in the standard of care for the targeted indications for any product;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strength of sales, marketing and distribution support;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potential product liability claims;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product’s relative convenience, ease of use, ease of administration and other perceived advantages over alternatives;</w:t>
      </w:r>
    </w:p>
    <w:p>
      <w:pPr>
        <w:pStyle w:val="TextBody"/>
        <w:bidi w:val="0"/>
        <w:spacing w:lineRule="auto" w:line="333"/>
        <w:ind w:left="0" w:right="0" w:hanging="357"/>
        <w:jc w:val="both"/>
        <w:rPr/>
      </w:pPr>
      <w:r>
        <w:rPr>
          <w:color w:val="000000"/>
        </w:rPr>
        <w:t>•</w:t>
      </w:r>
      <w:r>
        <w:rPr>
          <w:rFonts w:ascii="Times New Roman;serif" w:hAnsi="Times New Roman;serif"/>
          <w:b w:val="false"/>
          <w:color w:val="000000"/>
          <w:sz w:val="22"/>
        </w:rPr>
        <w:t>the prevalence and severity of adverse events or publicity;</w:t>
      </w:r>
    </w:p>
    <w:p>
      <w:pPr>
        <w:pStyle w:val="TextBody"/>
        <w:bidi w:val="0"/>
        <w:spacing w:before="0" w:after="2"/>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2"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94</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limitations, precautions or warnings listed in the summary of product characteristics, patient information leaflet, package labeling or instructions for use;</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cost of treatment with the Company’s product in relation to alternatives;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steps that prescribers and dispensers must take, as well as the perceived risks based upon its controlled substance status;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ability to manufacture the Company’s product in sufficient quantities and yields with adequate purity;</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availability and amount of coverage and reimbursement from healthcare payors, and the willingness of patients to pay out of pocket in the absence of healthcare payor coverage or adequate reimbursement;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willingness of the target patient population to try, and of healthcare professionals to prescribe, the product;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any potential unfavorable publicity, including negative publicity associated with recreational use or abuse of non-deuterated forms of the Company's NSAs or other serotonergic agonist compounds; and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any restrictions on the use, sale or distribution of the Company’s future products.</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pStyle w:val="TextBody"/>
        <w:bidi w:val="0"/>
        <w:spacing w:before="0" w:after="2"/>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The Company must rely largely on its own market research to forecast sales as detailed forecasts are not generally obtainable from other sources at this early stage of the industry segment. A failure in the demand for the Company’s products to materialize as a result of competition, technological change or other factors could have a material adverse effect on the business, results of operations and financial condition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Unfavourable Publicity or Consumer Perception</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believes that the serotonergic agonist pharmaceutical industry segment is highly dependent upon consumer perception regarding the safety, efficacy and quality of the pharmaceutical products. Consumer perception of the Company’s pharmaceutical products can be significantly influenced by scientific research or findings, regulatory investigations, litigation, media attention and other publicity regarding the consumption of serotonergic agonists. There can be no assurance that future scientific research, findings, regulatory proceedings, litigation, media attention or other research findings or publicity will be favourable to the serotonergic agonist pharmaceutical industry segment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NSA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NSA products, and the </w:t>
      </w:r>
    </w:p>
    <w:p>
      <w:pPr>
        <w:pStyle w:val="TextBody"/>
        <w:bidi w:val="0"/>
        <w:spacing w:before="0" w:after="2"/>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3"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95</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business, results of operations, financial condition and cash flows of the Company. Further, adverse publicity reports or other media attention regarding the safety, efficacy and quality of serotonergic agonist products in general, or the Company’s NSA products and services specifically or associating the consumption of serotonergic agonists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serotonergic agonist pharmaceutical industry segment is highly dependent upon consumer perception regarding the medical benefits, safety, efficacy and quality of the medicine distributed for medical purposes to such consumers. There can be no assurance that future scientific research or findings on the medical benefits, viability, safety, efficacy and dosing of HLP003, HLP004, or compounds being developed under the HLP005 Program,, regulatory proceedings, litigation, media attention or other research findings or publicity will be favourable to the industry or the Company or any particular product, or consistent with earlier publicity.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Social Media</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Biotechnology and Pharmaceutical Market Competition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4"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96</w:t>
                      </w:r>
                    </w:p>
                  </w:txbxContent>
                </v:textbox>
                <w10:wrap type="none"/>
              </v:rect>
            </w:pict>
          </mc:Fallback>
        </mc:AlternateConten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efficacy and safety profile of its prescription drug product candidates relative to marketed products and other prescription drug product candidates in development;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Company’s ability to develop and maintain a competitive position in the product categories and technologies on which it focuses;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time it takes for the Company’s prescription drug product candidates to complete clinical development and receive marketing approval;</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Company’s ability to obtain required regulatory approvals;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Company’s ability to commercialize any of its prescription drug product candidates that receive regulatory approval;</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Company’s ability to establish, maintain and protect intellectual property rights related to its prescription drug product candidates; and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acceptance of any of the Company’s prescription drug product candidates that receive regulatory approval by physicians and other healthcare providers and payers.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serotonergic agonist based compounds.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If the Company is not able to compete effectively against its current and future competitors, the Company’s business will not grow, and its financial condition and operations will substantially suffer.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Reliance on Key Executives and Scientists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loss of key members of the Company’s staff, could harm the Company. The Company has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w:t>
      </w:r>
    </w:p>
    <w:p>
      <w:pPr>
        <w:pStyle w:val="TextBody"/>
        <w:bidi w:val="0"/>
        <w:spacing w:before="0" w:after="2"/>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5"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97</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Employee Misconduct</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Notwithstanding having established a code of ethics and business conduct (see the AIF for further details), the Company is exposed to the risk of employee fraud or other misconduct. Misconduct by employees could include failures to comply with Health Canada, the FDA the MHRA the EMA the Pharmaceutical Drugs Directorate (“</w:t>
      </w:r>
      <w:r>
        <w:rPr>
          <w:rFonts w:ascii="Times New Roman;serif" w:hAnsi="Times New Roman;serif"/>
          <w:b/>
          <w:color w:val="000000"/>
          <w:sz w:val="22"/>
        </w:rPr>
        <w:t>PDD</w:t>
      </w:r>
      <w:r>
        <w:rPr>
          <w:color w:val="000000"/>
        </w:rPr>
        <w:t>”</w:t>
      </w:r>
      <w:r>
        <w:rPr>
          <w:rFonts w:ascii="Times New Roman;serif" w:hAnsi="Times New Roman;serif"/>
          <w:b w:val="false"/>
          <w:color w:val="000000"/>
          <w:sz w:val="22"/>
        </w:rPr>
        <w:t>),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Business Expansion and Growth</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w:t>
      </w:r>
    </w:p>
    <w:p>
      <w:pPr>
        <w:pStyle w:val="TextBody"/>
        <w:bidi w:val="0"/>
        <w:spacing w:before="0" w:after="2"/>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6"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98</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experience, and potential loss of the Company’s key employees or key employees of the acquired companies or businesses.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Negative Results of External Clinical Trials or Studies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Product Liability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Some of the Company’s agreements with third parties might require it to maintain product liability insurance. If the Company cannot obtain acceptable amounts of coverage on commercially reasonable </w:t>
      </w:r>
    </w:p>
    <w:p>
      <w:pPr>
        <w:pStyle w:val="TextBody"/>
        <w:bidi w:val="0"/>
        <w:spacing w:before="0" w:after="2"/>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7"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99</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terms in accordance with the terms set forth in these agreements, the corresponding agreements would be subject to termination, which could have a material adverse impact on its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Enforcing Contracts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Due to the nature of the business of the Company and the fact that certain of its contracts involve HLP003 and HLP004,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Product and Material Recalls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Distribution and Supply Chain Interruption</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w:t>
      </w:r>
    </w:p>
    <w:p>
      <w:pPr>
        <w:pStyle w:val="TextBody"/>
        <w:bidi w:val="0"/>
        <w:spacing w:before="0" w:after="2"/>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8"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100</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Difficulty to Forecast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must rely largely on its own market research to forecast sales as detailed forecasts are not generally obtainable from other sources at this early stage of the serotonergic agonist pharmaceutical industry segment. A failure in the demand for the Company’s NSA pharmaceutical industry products to materialize as a result of competition, technological change or other factors could have a material adverse effect on the business, results of operations and financial condition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Promoting the Brand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Promoting the Company’s brand will be critical to creating and expanding a customer base. Promoting the brand will depend largely on the Company’s ability to provide NSA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i/>
          <w:color w:val="000000"/>
          <w:sz w:val="22"/>
        </w:rPr>
      </w:pPr>
      <w:r>
        <w:rPr>
          <w:rFonts w:ascii="Times New Roman;serif" w:hAnsi="Times New Roman;serif"/>
          <w:b/>
          <w:i/>
          <w:color w:val="000000"/>
          <w:sz w:val="22"/>
        </w:rPr>
        <w:t>Product Viability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If the Company’s pharmaceutical products are not perceived to have the effects intended by the end user, the Company’s business may suffer. In general, pharmaceutical products in the class of drugs including HLP003 and HLP004 have minimal long-term data with respect to efficacy, unknown side effects and/or interaction with individual human biochemistry or other supplements or medications. As a result, the Company’s pharmaceutical products could have certain side effects if not used as directed or if taken by an end user that has certain known or unknown medical conditions.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Success of Quality Control Systems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w:t>
      </w:r>
    </w:p>
    <w:p>
      <w:pPr>
        <w:pStyle w:val="TextBody"/>
        <w:bidi w:val="0"/>
        <w:spacing w:before="0" w:after="2"/>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29"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101</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employees to quality control guidelines. Any significant failure or deterioration of such quality control systems could have a material adverse effect on the Company’s business and operating results.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Reliance on Key Inputs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Liability Arising from Fraudulent or Illegal Activity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i/>
          <w:color w:val="000000"/>
          <w:sz w:val="22"/>
        </w:rPr>
      </w:pPr>
      <w:r>
        <w:rPr>
          <w:rFonts w:ascii="Times New Roman;serif" w:hAnsi="Times New Roman;serif"/>
          <w:b/>
          <w:i/>
          <w:color w:val="000000"/>
          <w:sz w:val="22"/>
        </w:rPr>
        <w:t>Operating Risk and Insurance Coverage</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has directors and officers insurance to protect its assets, operations and employees. The Company’s insurance is subject to coverage limits and exclusions and may not be available for the </w:t>
      </w:r>
    </w:p>
    <w:p>
      <w:pPr>
        <w:pStyle w:val="TextBody"/>
        <w:bidi w:val="0"/>
        <w:spacing w:before="0" w:after="2"/>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0"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102</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Costs of Operating as Public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Management of Growth</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Conflicts of Interest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1"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103</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Foreign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differences in the regulatory requirements for drug approvals;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differing requirements for securing, maintaining or obtaining freedom to operate;</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the potential for reduced protection for intellectual property rights;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challenges with compliance to different regulations and court systems of multiple jurisdictions and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compliance with a wide variety of foreign laws, treaties and regulations;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differing reimbursement regimes and price controls in certain international markets;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differing labor relations that create challenges with staffing and managing international operations; and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impacts on manufacturing capabilities leading to production shortages.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Exchange Rate Fluctuations</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Due to the international scope of the Company’s current and future operations, the Company’s assets, future earnings and cash flows may be influenced by movements in exchange rates of several currencies, particularly the British Pound, the United States dollar, Canadian Dollar and the Euro. The Company’s reporting currency is denominated in United States dollars and the Company’s functional currency is the United States dollar and the majority of the Company’s operating expenses are paid in United States dollars. The Company may also regularly acquire services, consumables and materials </w:t>
      </w:r>
    </w:p>
    <w:p>
      <w:pPr>
        <w:pStyle w:val="TextBody"/>
        <w:bidi w:val="0"/>
        <w:spacing w:before="0" w:after="2"/>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2"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104</w:t>
                      </w:r>
                    </w:p>
                  </w:txbxContent>
                </v:textbox>
                <w10:wrap type="none"/>
              </v:rect>
            </w:pict>
          </mc:Fallback>
        </mc:AlternateContent>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in British Pounds, United States dollars, Canadian dollars and other currencies. Further, future revenue may be derived from abroad. As a result, the Company’s business and the price of the Company’s products may be affected by fluctuations in foreign exchange rates between the British Pound, the United States dollar, the Canadian dollar and other currencies, which may also have a significant impact on the Company’s results of operations and cash flows from period to period. Currently, the Company does not have any exchange rate hedging arrangements in place.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Cybersecurity and Privacy Risk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 </w:t>
      </w:r>
    </w:p>
    <w:p>
      <w:pPr>
        <w:pStyle w:val="TextBody"/>
        <w:bidi w:val="0"/>
        <w:spacing w:before="0" w:after="0"/>
        <w:jc w:val="both"/>
        <w:rPr/>
      </w:pPr>
      <w:r>
        <w:rPr/>
      </w:r>
    </w:p>
    <w:p>
      <w:pPr>
        <w:pStyle w:val="TextBody"/>
        <w:bidi w:val="0"/>
        <w:spacing w:lineRule="auto" w:line="333"/>
        <w:jc w:val="both"/>
        <w:rPr/>
      </w:pPr>
      <w:r>
        <w:rPr>
          <w:rFonts w:ascii="Times New Roman;serif" w:hAnsi="Times New Roman;serif"/>
          <w:b w:val="false"/>
          <w:color w:val="000000"/>
          <w:sz w:val="22"/>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serif" w:hAnsi="Times New Roman;serif"/>
          <w:b w:val="false"/>
          <w:i/>
          <w:color w:val="000000"/>
          <w:sz w:val="22"/>
        </w:rPr>
        <w:t>Personal Information Protection and Electronics Documents Act</w:t>
      </w:r>
      <w:r>
        <w:rPr>
          <w:color w:val="000000"/>
        </w:rPr>
        <w:t xml:space="preserve"> </w:t>
      </w:r>
      <w:r>
        <w:rPr>
          <w:rFonts w:ascii="Times New Roman;serif" w:hAnsi="Times New Roman;serif"/>
          <w:b w:val="false"/>
          <w:color w:val="000000"/>
          <w:sz w:val="22"/>
        </w:rPr>
        <w:t>(Canada) (“</w:t>
      </w:r>
      <w:r>
        <w:rPr>
          <w:rFonts w:ascii="Times New Roman;serif" w:hAnsi="Times New Roman;serif"/>
          <w:b/>
          <w:color w:val="000000"/>
          <w:sz w:val="22"/>
        </w:rPr>
        <w:t>PIPEDA</w:t>
      </w:r>
      <w:r>
        <w:rPr>
          <w:color w:val="000000"/>
        </w:rPr>
        <w:t>”</w:t>
      </w:r>
      <w:r>
        <w:rPr>
          <w:rFonts w:ascii="Times New Roman;serif" w:hAnsi="Times New Roman;serif"/>
          <w:b w:val="false"/>
          <w:color w:val="000000"/>
          <w:sz w:val="22"/>
        </w:rPr>
        <w:t>) and where applicable, provincial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pStyle w:val="TextBody"/>
        <w:bidi w:val="0"/>
        <w:spacing w:before="0" w:after="2"/>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3"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105</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Risks Related to Artificial Intelligence</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uses, and may further adopt, artificial intelligence (“</w:t>
      </w:r>
      <w:r>
        <w:rPr>
          <w:rFonts w:ascii="Times New Roman;serif" w:hAnsi="Times New Roman;serif"/>
          <w:b/>
          <w:color w:val="000000"/>
          <w:sz w:val="22"/>
        </w:rPr>
        <w:t>AI</w:t>
      </w:r>
      <w:r>
        <w:rPr>
          <w:color w:val="000000"/>
        </w:rPr>
        <w:t>”</w:t>
      </w:r>
      <w:r>
        <w:rPr>
          <w:rFonts w:ascii="Times New Roman;serif" w:hAnsi="Times New Roman;serif"/>
          <w:b w:val="false"/>
          <w:color w:val="000000"/>
          <w:sz w:val="22"/>
        </w:rPr>
        <w:t>) technologies to support research, development, data analysis, and operational activities. The use of AI involves risks, including potential errors, biases, or limitations in AI outputs and the underlying data sets, which could adversely affect research results, development decisions, or regulatory submissions. The regulatory framework governing AI, particularly in healthcare and life sciences, is evolving and may impose additional compliance requirements or restrict certain AI applications, increasing costs or delaying development. The Company may also rely on third-party AI tools, which may present risks related to data security, intellectual property rights, and service availability. Any failure to effectively manage these risks could have a material adverse effect on the Company’s business and prospects.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i/>
          <w:color w:val="000000"/>
          <w:sz w:val="22"/>
        </w:rPr>
      </w:pPr>
      <w:r>
        <w:rPr>
          <w:rFonts w:ascii="Times New Roman;serif" w:hAnsi="Times New Roman;serif"/>
          <w:b/>
          <w:i/>
          <w:color w:val="000000"/>
          <w:sz w:val="22"/>
        </w:rPr>
        <w:t>Environmental Regulation and Risks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Amendments to current laws, regulations and permits governing NSAs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Legalization of Scheduled Serotonergic Agonists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Despite the current status of many psychotropic substances as a Schedule II and Schedule I controlled substances in the United States and Canada, respectively, there may be changes in the status of some of these substances under the laws of certain jurisdictions. The legalization of scheduled serotonergic agonists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serotonergic agonist industry, leading to challenges for the Company to achieve regulatory approval. The legalization of psychotropic compounds in the future may also impact </w:t>
      </w:r>
    </w:p>
    <w:p>
      <w:pPr>
        <w:pStyle w:val="TextBody"/>
        <w:bidi w:val="0"/>
        <w:spacing w:before="0" w:after="2"/>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4"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106</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commercial sales for the Company due to a reduced barrier to entry for serotonergic agonists leading to a risk of increasing competition.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 xml:space="preserve">Forward-Looking Statements May Prove to be Inaccurate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Effects of Inflation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Political and Economic Conditions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pStyle w:val="TextBody"/>
        <w:bidi w:val="0"/>
        <w:spacing w:before="0" w:after="0"/>
        <w:jc w:val="both"/>
        <w:rPr/>
      </w:pPr>
      <w:r>
        <w:rPr/>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inflation;</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fluctuations in exchange rates;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exchange controls and restrictions on remittances abroad;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interest rates and monetary policies;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import and export controls;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liquidity of domestic capital, credit and financial markets;</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expansion or contraction of foreign economies, as measured by rates of growth in gross domestic product;</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fiscal policies; and</w:t>
      </w:r>
    </w:p>
    <w:p>
      <w:pPr>
        <w:pStyle w:val="TextBody"/>
        <w:bidi w:val="0"/>
        <w:spacing w:lineRule="auto" w:line="333" w:before="0" w:after="0"/>
        <w:ind w:left="0" w:right="0" w:hanging="357"/>
        <w:jc w:val="both"/>
        <w:rPr/>
      </w:pPr>
      <w:r>
        <w:rPr>
          <w:color w:val="000000"/>
        </w:rPr>
        <w:t>•</w:t>
      </w:r>
      <w:r>
        <w:rPr>
          <w:rFonts w:ascii="Times New Roman;serif" w:hAnsi="Times New Roman;serif"/>
          <w:b w:val="false"/>
          <w:color w:val="000000"/>
          <w:sz w:val="22"/>
        </w:rPr>
        <w:t>other political, social and economic developments in or affecting foreign markets.</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5"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107</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 xml:space="preserve">Litigation Risk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the date hereof, no litigation or class proceedings have been commenced or certified. Should any litigation or class actions that the Company becomes involved in be unable to be resolved favourably or if any claims or litigation are determined against the Company, the Company’s financial position, operating results and the trading price of the Common Shares could be materially adversely affected. </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faces the risk of various claims, legal proceedings, and class actions. Such actions could result in liabilities or necessitate operational changes, negatively impacting results. Even favorable resolutions can divert resources, generate substantial legal costs, and harm reputation.</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may be exposed to securities class action investigations or proceedings, especially following share price volatility or public disclosures. These proceedings could allege violations of securities laws or misrepresentations. Defending such claims are potentially costly and time-consuming and may lead to significant monetary judgments, settlements, or regulatory penalties. Any liability exceeding insurance coverage could materially and adversely affect the Company’s business, financial condition, and results.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Application and Interpretation of Tax Laws</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w:t>
      </w:r>
    </w:p>
    <w:p>
      <w:pPr>
        <w:pStyle w:val="TextBody"/>
        <w:bidi w:val="0"/>
        <w:spacing w:before="0" w:after="2"/>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6"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108</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Enforcement of Civil Liabilities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Pandemics, Epidemics and Other Health Risks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Pandemics, epidemics and other health risks could have an adverse effect on the economy and financial markets, resulting in a decline of commercial activity. Any of these events could have an adverse effect on the Company’s business and financial performance.</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color w:val="000000"/>
          <w:sz w:val="22"/>
          <w:u w:val="single"/>
        </w:rPr>
      </w:pPr>
      <w:r>
        <w:rPr>
          <w:rFonts w:ascii="Times New Roman;serif" w:hAnsi="Times New Roman;serif"/>
          <w:b/>
          <w:color w:val="000000"/>
          <w:sz w:val="22"/>
          <w:u w:val="single"/>
        </w:rPr>
        <w:t>Risks Related to Intellectual Property</w:t>
      </w:r>
    </w:p>
    <w:p>
      <w:pPr>
        <w:pStyle w:val="TextBody"/>
        <w:bidi w:val="0"/>
        <w:spacing w:before="0" w:after="2"/>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Trademark Protection</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Failure to register or maintain trademarks for the Company or its products could require the Company to rebrand its products resulting in a material adverse impact on its business.</w:t>
      </w:r>
    </w:p>
    <w:p>
      <w:pPr>
        <w:pStyle w:val="TextBody"/>
        <w:bidi w:val="0"/>
        <w:spacing w:before="0" w:after="2"/>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7"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109</w:t>
                      </w:r>
                    </w:p>
                  </w:txbxContent>
                </v:textbox>
                <w10:wrap type="none"/>
              </v:rect>
            </w:pict>
          </mc:Fallback>
        </mc:AlternateConten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Trade Secrets</w:t>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pStyle w:val="TextBody"/>
        <w:bidi w:val="0"/>
        <w:spacing w:before="0" w:after="2"/>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Patent Law Reform</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2"/>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serif" w:hAnsi="Times New Roman;serif"/>
          <w:b/>
          <w:color w:val="000000"/>
          <w:sz w:val="22"/>
        </w:rPr>
        <w:t>CIPO</w:t>
      </w:r>
      <w:r>
        <w:rPr>
          <w:color w:val="000000"/>
        </w:rPr>
        <w:t>”</w:t>
      </w:r>
      <w:r>
        <w:rPr>
          <w:rFonts w:ascii="Times New Roman;serif" w:hAnsi="Times New Roman;serif"/>
          <w:b w:val="false"/>
          <w:color w:val="000000"/>
          <w:sz w:val="22"/>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8"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110</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 </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w:t>
      </w:r>
    </w:p>
    <w:p>
      <w:pPr>
        <w:pStyle w:val="TextBody"/>
        <w:bidi w:val="0"/>
        <w:spacing w:before="0" w:after="2"/>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39"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111</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pStyle w:val="TextBody"/>
        <w:bidi w:val="0"/>
        <w:spacing w:before="0" w:after="2"/>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0"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112</w:t>
                      </w:r>
                    </w:p>
                  </w:txbxContent>
                </v:textbox>
                <w10:wrap type="none"/>
              </v:rect>
            </w:pict>
          </mc:Fallback>
        </mc:AlternateConten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Patent Litigation and Intellectual Property</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pStyle w:val="TextBody"/>
        <w:bidi w:val="0"/>
        <w:spacing w:before="0" w:after="2"/>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1"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113</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Protection of Intellectual Property</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 </w:t>
      </w:r>
    </w:p>
    <w:p>
      <w:pPr>
        <w:pStyle w:val="TextBody"/>
        <w:bidi w:val="0"/>
        <w:spacing w:before="0" w:after="0"/>
        <w:jc w:val="both"/>
        <w:rPr/>
      </w:pPr>
      <w:r>
        <w:rPr/>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w:t>
      </w:r>
    </w:p>
    <w:p>
      <w:pPr>
        <w:pStyle w:val="TextBody"/>
        <w:bidi w:val="0"/>
        <w:spacing w:before="0" w:after="2"/>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2"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114</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pStyle w:val="TextBody"/>
        <w:bidi w:val="0"/>
        <w:spacing w:before="0" w:after="0"/>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Third-Party Licences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pStyle w:val="TextBody"/>
        <w:bidi w:val="0"/>
        <w:spacing w:lineRule="auto" w:line="333"/>
        <w:jc w:val="both"/>
        <w:rPr>
          <w:rFonts w:ascii="Times New Roman;serif" w:hAnsi="Times New Roman;serif"/>
          <w:b w:val="false"/>
          <w:color w:val="000000"/>
          <w:sz w:val="22"/>
        </w:rPr>
      </w:pPr>
      <w:r>
        <w:rPr>
          <w:rFonts w:ascii="Times New Roman;serif" w:hAnsi="Times New Roman;serif"/>
          <w:b w:val="false"/>
          <w:color w:val="000000"/>
          <w:sz w:val="22"/>
        </w:rPr>
        <w:t xml:space="preserve">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w:t>
      </w:r>
    </w:p>
    <w:p>
      <w:pPr>
        <w:pStyle w:val="TextBody"/>
        <w:bidi w:val="0"/>
        <w:spacing w:before="0" w:after="2"/>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3"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115</w:t>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2"/>
          <w:u w:val="single"/>
        </w:rPr>
      </w:pPr>
      <w:r>
        <w:rPr>
          <w:rFonts w:ascii="Times New Roman;serif" w:hAnsi="Times New Roman;serif"/>
          <w:b/>
          <w:color w:val="000000"/>
          <w:sz w:val="22"/>
          <w:u w:val="single"/>
        </w:rPr>
        <w:t>Financial and Accounting Risks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Substantial Number of Authorized but Unissued Common Shares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an unlimited number of Common Shares that may be issued by the Board without further action or approval of the Shareholders. While the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Dilution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 including as a result of issuances under Helus Pharma’s equity incentive plan, convertible or exchangeable securities, or other corporate arrangements, including the Rights Plan.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Negative Cash Flow from Operating Activities</w:t>
      </w:r>
    </w:p>
    <w:p>
      <w:pPr>
        <w:pStyle w:val="TextBody"/>
        <w:bidi w:val="0"/>
        <w:spacing w:before="0" w:after="0"/>
        <w:jc w:val="both"/>
        <w:rPr/>
      </w:pPr>
      <w:r>
        <w:rPr/>
      </w:r>
    </w:p>
    <w:p>
      <w:pPr>
        <w:pStyle w:val="TextBody"/>
        <w:bidi w:val="0"/>
        <w:spacing w:lineRule="auto" w:line="333"/>
        <w:jc w:val="both"/>
        <w:rPr/>
      </w:pPr>
      <w:r>
        <w:rPr>
          <w:rFonts w:ascii="Times New Roman;serif" w:hAnsi="Times New Roman;serif"/>
          <w:b w:val="false"/>
          <w:color w:val="000000"/>
          <w:sz w:val="22"/>
        </w:rPr>
        <w:t>The Company has had negative cash flow from operating activities since inception. Drug development involves long lead times, is very expensive and involves many variables of uncertainty.</w:t>
      </w:r>
      <w:r>
        <w:rPr>
          <w:color w:val="000000"/>
        </w:rPr>
        <w:t xml:space="preserve"> </w:t>
      </w:r>
      <w:r>
        <w:rPr>
          <w:rFonts w:ascii="Times New Roman;serif" w:hAnsi="Times New Roman;serif"/>
          <w:b w:val="false"/>
          <w:color w:val="000000"/>
          <w:sz w:val="22"/>
        </w:rPr>
        <w:t xml:space="preserve">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 </w:t>
      </w:r>
    </w:p>
    <w:p>
      <w:pPr>
        <w:pStyle w:val="TextBody"/>
        <w:bidi w:val="0"/>
        <w:spacing w:before="0" w:after="2"/>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4"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116</w:t>
                      </w:r>
                    </w:p>
                  </w:txbxContent>
                </v:textbox>
                <w10:wrap type="none"/>
              </v:rect>
            </w:pict>
          </mc:Fallback>
        </mc:AlternateConten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Additional Capital Requirements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 Company’s business and operations, including without limitation, the Company’s ability to raise additional capital.</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val="false"/>
          <w:color w:val="000000"/>
          <w:sz w:val="22"/>
        </w:rPr>
      </w:pPr>
      <w:r>
        <w:rPr>
          <w:rFonts w:ascii="Times New Roman;serif" w:hAnsi="Times New Roman;serif"/>
          <w:b w:val="false"/>
          <w:color w:val="000000"/>
          <w:sz w:val="22"/>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pStyle w:val="TextBody"/>
        <w:bidi w:val="0"/>
        <w:spacing w:before="0" w:after="2"/>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Lack of Significant Product Revenue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pStyle w:val="TextBody"/>
        <w:bidi w:val="0"/>
        <w:jc w:val="both"/>
        <w:rPr/>
      </w:pPr>
      <w:r>
        <w:rPr/>
      </w:r>
    </w:p>
    <w:p>
      <w:pPr>
        <w:pStyle w:val="TextBody"/>
        <w:bidi w:val="0"/>
        <w:spacing w:before="0" w:after="2"/>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5"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117</w:t>
                      </w:r>
                    </w:p>
                  </w:txbxContent>
                </v:textbox>
                <w10:wrap type="none"/>
              </v:rect>
            </w:pict>
          </mc:Fallback>
        </mc:AlternateContent>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Estimates or Judgments Relating to Critical Accounting Policies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i/>
          <w:color w:val="000000"/>
          <w:sz w:val="22"/>
        </w:rPr>
      </w:pPr>
      <w:r>
        <w:rPr>
          <w:rFonts w:ascii="Times New Roman;serif" w:hAnsi="Times New Roman;serif"/>
          <w:b/>
          <w:i/>
          <w:color w:val="000000"/>
          <w:sz w:val="22"/>
        </w:rPr>
        <w:t>Inadequate Internal Controls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pStyle w:val="TextBody"/>
        <w:bidi w:val="0"/>
        <w:spacing w:before="0" w:after="0"/>
        <w:jc w:val="both"/>
        <w:rPr/>
      </w:pPr>
      <w:r>
        <w:rPr/>
      </w:r>
    </w:p>
    <w:p>
      <w:pPr>
        <w:pStyle w:val="TextBody"/>
        <w:bidi w:val="0"/>
        <w:spacing w:lineRule="auto" w:line="333" w:before="0" w:after="2"/>
        <w:jc w:val="both"/>
        <w:rPr>
          <w:rFonts w:ascii="Times New Roman;serif" w:hAnsi="Times New Roman;serif"/>
          <w:b/>
          <w:color w:val="000000"/>
          <w:sz w:val="22"/>
          <w:u w:val="single"/>
        </w:rPr>
      </w:pPr>
      <w:r>
        <w:rPr>
          <w:rFonts w:ascii="Times New Roman;serif" w:hAnsi="Times New Roman;serif"/>
          <w:b/>
          <w:color w:val="000000"/>
          <w:sz w:val="22"/>
          <w:u w:val="single"/>
        </w:rPr>
        <w:t>Risks Related to the Common Shares</w:t>
      </w:r>
    </w:p>
    <w:p>
      <w:pPr>
        <w:pStyle w:val="TextBody"/>
        <w:bidi w:val="0"/>
        <w:spacing w:before="0" w:after="2"/>
        <w:jc w:val="both"/>
        <w:rPr/>
      </w:pPr>
      <w:r>
        <w:rPr/>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Market for the Common Shares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serotonergic agonist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w:t>
      </w:r>
    </w:p>
    <w:p>
      <w:pPr>
        <w:pStyle w:val="TextBody"/>
        <w:bidi w:val="0"/>
        <w:spacing w:before="0" w:after="2"/>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6"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118</w:t>
                      </w:r>
                    </w:p>
                  </w:txbxContent>
                </v:textbox>
                <w10:wrap type="none"/>
              </v:rect>
            </w:pict>
          </mc:Fallback>
        </mc:AlternateConten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or members of management; or (xiv) an adverse impact on the Company from any of the other risks cited herein.</w: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Significant Sales of the Common Shares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Although Common Shares held by existing shareholders of the Company will be freely tradable under applicable securities legislation, the Common Shares held by the Company’s directors, executive officers, Control persons and certain other security holders may be subject to contractual lock-up restrictions and may also be subject to escrow restrictions pursuant to the policies of Cboe Canada.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Volatile Market Price for the Common Shares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Cboe Canada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pStyle w:val="TextBody"/>
        <w:bidi w:val="0"/>
        <w:spacing w:before="0" w:after="2"/>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7"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119</w:t>
                      </w:r>
                    </w:p>
                  </w:txbxContent>
                </v:textbox>
                <w10:wrap type="none"/>
              </v:rect>
            </w:pict>
          </mc:Fallback>
        </mc:AlternateConten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Tax Issues</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There may be income tax consequences in relation to the Common Shares, which will vary according to circumstances. Independent advice from tax and legal advisers should be obtained.</w:t>
      </w:r>
    </w:p>
    <w:p>
      <w:pPr>
        <w:pStyle w:val="TextBody"/>
        <w:bidi w:val="0"/>
        <w:spacing w:lineRule="auto" w:line="333" w:before="0" w:after="240"/>
        <w:jc w:val="both"/>
        <w:rPr>
          <w:rFonts w:ascii="Times New Roman;serif" w:hAnsi="Times New Roman;serif"/>
          <w:b/>
          <w:i/>
          <w:color w:val="000000"/>
          <w:sz w:val="22"/>
        </w:rPr>
      </w:pPr>
      <w:r>
        <w:rPr>
          <w:rFonts w:ascii="Times New Roman;serif" w:hAnsi="Times New Roman;serif"/>
          <w:b/>
          <w:i/>
          <w:color w:val="000000"/>
          <w:sz w:val="22"/>
        </w:rPr>
        <w:t>No Dividends</w:t>
      </w:r>
    </w:p>
    <w:p>
      <w:pPr>
        <w:pStyle w:val="TextBody"/>
        <w:bidi w:val="0"/>
        <w:spacing w:lineRule="auto" w:line="333"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2"/>
        <w:jc w:val="center"/>
        <w:rPr>
          <w:rFonts w:ascii="Times New Roman;serif" w:hAnsi="Times New Roman;serif"/>
          <w:b/>
          <w:color w:val="000000"/>
          <w:sz w:val="22"/>
        </w:rPr>
      </w:pPr>
      <w:r>
        <w:rPr>
          <w:rFonts w:ascii="Times New Roman;serif" w:hAnsi="Times New Roman;serif"/>
          <w:b/>
          <w:color w:val="000000"/>
          <w:sz w:val="22"/>
        </w:rPr>
        <w:t>ADDITIONAL INFORMATION</w:t>
      </w:r>
    </w:p>
    <w:p>
      <w:pPr>
        <w:pStyle w:val="TextBody"/>
        <w:bidi w:val="0"/>
        <w:spacing w:before="0" w:after="2"/>
        <w:jc w:val="both"/>
        <w:rPr/>
      </w:pPr>
      <w:r>
        <w:rPr/>
      </w:r>
    </w:p>
    <w:p>
      <w:pPr>
        <w:pStyle w:val="TextBody"/>
        <w:bidi w:val="0"/>
        <w:spacing w:lineRule="auto" w:line="333" w:before="0" w:after="240"/>
        <w:jc w:val="both"/>
        <w:rPr/>
      </w:pPr>
      <w:r>
        <w:rPr>
          <w:rFonts w:ascii="Times New Roman;serif" w:hAnsi="Times New Roman;serif"/>
          <w:b w:val="false"/>
          <w:color w:val="000000"/>
          <w:sz w:val="22"/>
        </w:rPr>
        <w:t xml:space="preserve">Additional information on the Company has been filed electronically through SEDAR+ and is available online at </w:t>
      </w:r>
      <w:r>
        <w:rPr>
          <w:rFonts w:ascii="Times New Roman;serif" w:hAnsi="Times New Roman;serif"/>
          <w:b w:val="false"/>
          <w:i/>
          <w:color w:val="000000"/>
          <w:sz w:val="22"/>
        </w:rPr>
        <w:t>www.sedarplus.ca</w:t>
      </w:r>
      <w:r>
        <w:rPr>
          <w:rFonts w:ascii="Times New Roman;serif" w:hAnsi="Times New Roman;serif"/>
          <w:b w:val="false"/>
          <w:color w:val="000000"/>
          <w:sz w:val="22"/>
        </w:rPr>
        <w:t>.</w:t>
      </w:r>
    </w:p>
    <w:p>
      <w:pPr>
        <w:pStyle w:val="TextBody"/>
        <w:bidi w:val="0"/>
        <w:spacing w:lineRule="auto" w:line="333" w:before="0" w:after="240"/>
        <w:jc w:val="both"/>
        <w:rPr>
          <w:rFonts w:ascii="Times New Roman;serif" w:hAnsi="Times New Roman;serif"/>
          <w:b/>
          <w:color w:val="000000"/>
          <w:sz w:val="22"/>
          <w:u w:val="single"/>
        </w:rPr>
      </w:pPr>
      <w:r>
        <w:rPr>
          <w:rFonts w:ascii="Times New Roman;serif" w:hAnsi="Times New Roman;serif"/>
          <w:b/>
          <w:color w:val="000000"/>
          <w:sz w:val="22"/>
          <w:u w:val="single"/>
        </w:rPr>
        <w:t>Approval</w:t>
      </w:r>
    </w:p>
    <w:p>
      <w:pPr>
        <w:pStyle w:val="TextBody"/>
        <w:bidi w:val="0"/>
        <w:spacing w:lineRule="auto" w:line="333" w:before="0" w:after="240"/>
        <w:jc w:val="both"/>
        <w:rPr>
          <w:rFonts w:ascii="Times New Roman;serif" w:hAnsi="Times New Roman;serif"/>
          <w:b w:val="false"/>
          <w:color w:val="000000"/>
          <w:sz w:val="22"/>
        </w:rPr>
      </w:pPr>
      <w:r>
        <w:rPr>
          <w:rFonts w:ascii="Times New Roman;serif" w:hAnsi="Times New Roman;serif"/>
          <w:b w:val="false"/>
          <w:color w:val="000000"/>
          <w:sz w:val="22"/>
        </w:rPr>
        <w:t>The Board has approved the disclosure in this MD&amp;A.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8"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2"/>
                        </w:rPr>
                      </w:pPr>
                      <w:r>
                        <w:rPr>
                          <w:rFonts w:ascii="Times New Roman;serif" w:hAnsi="Times New Roman;serif"/>
                          <w:b w:val="false"/>
                          <w:color w:val="000000"/>
                          <w:sz w:val="22"/>
                        </w:rPr>
                        <w:t>120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FORM 52-109F2</w:t>
        <w:br/>
        <w:t>CERTIFICATION OF INTERIM FILINGS</w:t>
        <w:br/>
        <w:t>FULL CERTIFICATE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Michael Halstead, as Chief Executive Officer of Cybin Inc., certify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i/>
          <w:color w:val="000000"/>
          <w:sz w:val="20"/>
          <w:shd w:fill="FFFFFF" w:val="clear"/>
        </w:rPr>
        <w:t>Review:</w:t>
      </w:r>
      <w:r>
        <w:rPr>
          <w:color w:val="000000"/>
          <w:shd w:fill="FFFFFF" w:val="clear"/>
        </w:rPr>
        <w:t xml:space="preserve"> </w:t>
      </w:r>
      <w:r>
        <w:rPr>
          <w:rFonts w:ascii="Times New Roman;serif" w:hAnsi="Times New Roman;serif"/>
          <w:b w:val="false"/>
          <w:color w:val="000000"/>
          <w:sz w:val="20"/>
          <w:shd w:fill="FFFFFF" w:val="clear"/>
        </w:rPr>
        <w:t>I have reviewed the interim financial statements and interim MD&amp;A (together, the “interim filings”) of Cybin Inc. (the “issuer”) for the interim period ended June 30, 2026.</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i/>
          <w:color w:val="000000"/>
          <w:sz w:val="20"/>
          <w:shd w:fill="FFFFFF" w:val="clear"/>
        </w:rPr>
        <w:t>No misrepresentations</w:t>
      </w:r>
      <w:r>
        <w:rPr>
          <w:rFonts w:ascii="Times New Roman;serif" w:hAnsi="Times New Roman;serif"/>
          <w:b w:val="false"/>
          <w:color w:val="000000"/>
          <w:sz w:val="20"/>
          <w:shd w:fill="FFFFFF" w:val="clear"/>
        </w:rPr>
        <w:t>: Based on my knowledge, having exercised reasonable diligence, the interim filings do not contain any untrue statement of a material fact or omit to state a material fact required to be stated or that is necessary to make a statement not misleading in light of the circumstances under which it was made, with respect to the period covered by the interim filings.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i/>
          <w:color w:val="000000"/>
          <w:sz w:val="20"/>
          <w:shd w:fill="FFFFFF" w:val="clear"/>
        </w:rPr>
        <w:t>Fair presentation:</w:t>
      </w:r>
      <w:r>
        <w:rPr>
          <w:color w:val="000000"/>
          <w:shd w:fill="FFFFFF" w:val="clear"/>
        </w:rPr>
        <w:t xml:space="preserve"> </w:t>
      </w:r>
      <w:r>
        <w:rPr>
          <w:rFonts w:ascii="Times New Roman;serif" w:hAnsi="Times New Roman;serif"/>
          <w:b w:val="false"/>
          <w:color w:val="000000"/>
          <w:sz w:val="20"/>
          <w:shd w:fill="FFFFFF" w:val="clear"/>
        </w:rPr>
        <w:t>Based on my knowledge, having exercised reasonable diligence, the interim financial statements together with the other financial information included in the interim filings fairly present in all material respects the financial condition, results of operations and cash flows of the issuer, as of the date of and for the periods presented in the interim filings.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4.</w:t>
      </w:r>
      <w:r>
        <w:rPr>
          <w:rFonts w:ascii="Times New Roman;serif" w:hAnsi="Times New Roman;serif"/>
          <w:b/>
          <w:i/>
          <w:color w:val="000000"/>
          <w:sz w:val="20"/>
          <w:shd w:fill="FFFFFF" w:val="clear"/>
        </w:rPr>
        <w:t>Responsibility:</w:t>
      </w:r>
      <w:r>
        <w:rPr>
          <w:color w:val="000000"/>
          <w:shd w:fill="FFFFFF" w:val="clear"/>
        </w:rPr>
        <w:t xml:space="preserve"> </w:t>
      </w:r>
      <w:r>
        <w:rPr>
          <w:rFonts w:ascii="Times New Roman;serif" w:hAnsi="Times New Roman;serif"/>
          <w:b w:val="false"/>
          <w:color w:val="000000"/>
          <w:sz w:val="20"/>
          <w:shd w:fill="FFFFFF" w:val="clear"/>
        </w:rPr>
        <w:t>The issuer’s other certifying officer(s) and I are responsible for establishing and maintaining disclosure controls and procedures (DC&amp;P) and internal control over financial reporting (ICFR), as those terms are defined in National Instrument 52-109 Certification of Disclosure in Issuers’ Annual and Interim Filings, for the issuer.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5.</w:t>
      </w:r>
      <w:r>
        <w:rPr>
          <w:rFonts w:ascii="Times New Roman;serif" w:hAnsi="Times New Roman;serif"/>
          <w:b/>
          <w:i/>
          <w:color w:val="000000"/>
          <w:sz w:val="20"/>
          <w:shd w:fill="FFFFFF" w:val="clear"/>
        </w:rPr>
        <w:t>Design:</w:t>
      </w:r>
      <w:r>
        <w:rPr>
          <w:color w:val="000000"/>
          <w:shd w:fill="FFFFFF" w:val="clear"/>
        </w:rPr>
        <w:t xml:space="preserve"> </w:t>
      </w:r>
      <w:r>
        <w:rPr>
          <w:rFonts w:ascii="Times New Roman;serif" w:hAnsi="Times New Roman;serif"/>
          <w:b w:val="false"/>
          <w:color w:val="000000"/>
          <w:sz w:val="20"/>
          <w:shd w:fill="FFFFFF" w:val="clear"/>
        </w:rPr>
        <w:t>Subject to the limitations, if any, described in paragraphs 5.2 and 5.3, the issuer’s other certifying officer(s) and I have, as at the end of the period covered by the interim filings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designed DC&amp;P, or caused it to be designed under our supervision, to provide reasonable assurance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material information relating to the issuer is made known to us by others, particularly during the period in which the interim filings are being prepared;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designed ICFR, or caused it to be designed under our supervision, to provide reasonable assurance regarding the reliability of financial reporting and the preparation of financial statements for external purposes in accordance with the issuer’s GAAP.</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5.1     </w:t>
      </w:r>
      <w:r>
        <w:rPr>
          <w:rFonts w:ascii="Times New Roman;serif" w:hAnsi="Times New Roman;serif"/>
          <w:b/>
          <w:i/>
          <w:color w:val="000000"/>
          <w:sz w:val="20"/>
          <w:shd w:fill="FFFFFF" w:val="clear"/>
        </w:rPr>
        <w:t>Control framework:</w:t>
      </w:r>
      <w:r>
        <w:rPr>
          <w:color w:val="000000"/>
          <w:shd w:fill="FFFFFF" w:val="clear"/>
        </w:rPr>
        <w:t xml:space="preserve"> </w:t>
      </w:r>
      <w:r>
        <w:rPr>
          <w:rFonts w:ascii="Times New Roman;serif" w:hAnsi="Times New Roman;serif"/>
          <w:b w:val="false"/>
          <w:color w:val="000000"/>
          <w:sz w:val="20"/>
          <w:shd w:fill="FFFFFF" w:val="clear"/>
        </w:rPr>
        <w:t>The control framework the issuer’s other certifying officer(s) and I used to design the issuer’s ICFR is the</w:t>
      </w:r>
      <w:r>
        <w:rPr>
          <w:color w:val="000000"/>
          <w:shd w:fill="FFFFFF" w:val="clear"/>
        </w:rPr>
        <w:t xml:space="preserve"> </w:t>
      </w:r>
      <w:r>
        <w:rPr>
          <w:rFonts w:ascii="Times New Roman;serif" w:hAnsi="Times New Roman;serif"/>
          <w:b w:val="false"/>
          <w:i/>
          <w:color w:val="000000"/>
          <w:sz w:val="20"/>
          <w:shd w:fill="FFFFFF" w:val="clear"/>
        </w:rPr>
        <w:t>Internal Control – Integrated Framework (2013) issued by The Committee of Sponsoring Organization of the Treadway Commission (COSO).</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5.2    </w:t>
      </w:r>
      <w:r>
        <w:rPr>
          <w:rFonts w:ascii="Times New Roman;serif" w:hAnsi="Times New Roman;serif"/>
          <w:b/>
          <w:i/>
          <w:color w:val="000000"/>
          <w:sz w:val="20"/>
          <w:shd w:fill="FFFFFF" w:val="clear"/>
        </w:rPr>
        <w:t>N/A.</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5.3    </w:t>
      </w:r>
      <w:r>
        <w:rPr>
          <w:rFonts w:ascii="Times New Roman;serif" w:hAnsi="Times New Roman;serif"/>
          <w:b/>
          <w:i/>
          <w:color w:val="000000"/>
          <w:sz w:val="20"/>
          <w:shd w:fill="FFFFFF" w:val="clear"/>
        </w:rPr>
        <w:t>N/A.</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0"/>
        </w:rPr>
        <w:t>6.</w:t>
      </w:r>
      <w:r>
        <w:rPr>
          <w:rFonts w:ascii="Times New Roman;serif" w:hAnsi="Times New Roman;serif"/>
          <w:b/>
          <w:i/>
          <w:color w:val="000000"/>
          <w:sz w:val="20"/>
          <w:shd w:fill="FFFFFF" w:val="clear"/>
        </w:rPr>
        <w:t>Reporting changes in ICFR:</w:t>
      </w:r>
      <w:r>
        <w:rPr>
          <w:color w:val="000000"/>
          <w:shd w:fill="FFFFFF" w:val="clear"/>
        </w:rPr>
        <w:t xml:space="preserve"> </w:t>
      </w:r>
      <w:r>
        <w:rPr>
          <w:rFonts w:ascii="Times New Roman;serif" w:hAnsi="Times New Roman;serif"/>
          <w:b w:val="false"/>
          <w:color w:val="000000"/>
          <w:sz w:val="20"/>
          <w:shd w:fill="FFFFFF" w:val="clear"/>
        </w:rPr>
        <w:t>The issuer has disclosed in its interim MD&amp;A any change in the issuer’s ICFR that occurred during the period beginning on April 1, 2026 and ended on June 30, 2026 that has materially affected, or is reasonably likely to materially affect, the issuer’s ICFR.</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br/>
        <w:br/>
        <w:br/>
        <w:t xml:space="preserve">Date: August 14,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 Michael Halstead</w:t>
      </w:r>
    </w:p>
    <w:tbl>
      <w:tblPr>
        <w:tblW w:w="2084" w:type="dxa"/>
        <w:jc w:val="left"/>
        <w:tblInd w:w="0" w:type="dxa"/>
        <w:tblLayout w:type="fixed"/>
        <w:tblCellMar>
          <w:top w:w="28" w:type="dxa"/>
          <w:left w:w="28" w:type="dxa"/>
          <w:bottom w:w="28" w:type="dxa"/>
          <w:right w:w="28" w:type="dxa"/>
        </w:tblCellMar>
      </w:tblPr>
      <w:tblGrid>
        <w:gridCol w:w="668"/>
        <w:gridCol w:w="586"/>
        <w:gridCol w:w="830"/>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Halstead</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br/>
        <w:b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52-109F2</w:t>
        <w:br/>
        <w:t>CERTIFICATION OF INTERIM FILINGS</w:t>
        <w:br/>
        <w:t>FULL CERTIFICATE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Greg Cavers, as Chief Financial Officer of Cybin Inc., certify the following:</w:t>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i/>
          <w:color w:val="000000"/>
          <w:sz w:val="20"/>
          <w:shd w:fill="FFFFFF" w:val="clear"/>
        </w:rPr>
        <w:t>Review:</w:t>
      </w:r>
      <w:r>
        <w:rPr>
          <w:color w:val="000000"/>
          <w:shd w:fill="FFFFFF" w:val="clear"/>
        </w:rPr>
        <w:t xml:space="preserve"> </w:t>
      </w:r>
      <w:r>
        <w:rPr>
          <w:rFonts w:ascii="Times New Roman;serif" w:hAnsi="Times New Roman;serif"/>
          <w:b w:val="false"/>
          <w:color w:val="000000"/>
          <w:sz w:val="20"/>
          <w:shd w:fill="FFFFFF" w:val="clear"/>
        </w:rPr>
        <w:t>I have reviewed the interim financial statements and interim MD&amp;A (together, the “interim filings”) of Cybin Inc. (the “issuer”) for the interim period ended June 30, 2026.</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i/>
          <w:color w:val="000000"/>
          <w:sz w:val="20"/>
          <w:shd w:fill="FFFFFF" w:val="clear"/>
        </w:rPr>
        <w:t>No misrepresentations</w:t>
      </w:r>
      <w:r>
        <w:rPr>
          <w:rFonts w:ascii="Times New Roman;serif" w:hAnsi="Times New Roman;serif"/>
          <w:b w:val="false"/>
          <w:color w:val="000000"/>
          <w:sz w:val="20"/>
          <w:shd w:fill="FFFFFF" w:val="clear"/>
        </w:rPr>
        <w:t>: Based on my knowledge, having exercised reasonable diligence, the interim filings do not contain any untrue statement of a material fact or omit to state a material fact required to be stated or that is necessary to make a statement not misleading in light of the circumstances under which it was made, with respect to the period covered by the interim filings.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i/>
          <w:color w:val="000000"/>
          <w:sz w:val="20"/>
          <w:shd w:fill="FFFFFF" w:val="clear"/>
        </w:rPr>
        <w:t>Fair presentation:</w:t>
      </w:r>
      <w:r>
        <w:rPr>
          <w:color w:val="000000"/>
          <w:shd w:fill="FFFFFF" w:val="clear"/>
        </w:rPr>
        <w:t xml:space="preserve"> </w:t>
      </w:r>
      <w:r>
        <w:rPr>
          <w:rFonts w:ascii="Times New Roman;serif" w:hAnsi="Times New Roman;serif"/>
          <w:b w:val="false"/>
          <w:color w:val="000000"/>
          <w:sz w:val="20"/>
          <w:shd w:fill="FFFFFF" w:val="clear"/>
        </w:rPr>
        <w:t>Based on my knowledge, having exercised reasonable diligence, the interim financial statements together with the other financial information included in the interim filings fairly present in all material respects the financial condition, results of operations and cash flows of the issuer, as of the date of and for the periods presented in the interim filings.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4.</w:t>
      </w:r>
      <w:r>
        <w:rPr>
          <w:rFonts w:ascii="Times New Roman;serif" w:hAnsi="Times New Roman;serif"/>
          <w:b/>
          <w:i/>
          <w:color w:val="000000"/>
          <w:sz w:val="20"/>
          <w:shd w:fill="FFFFFF" w:val="clear"/>
        </w:rPr>
        <w:t>Responsibility:</w:t>
      </w:r>
      <w:r>
        <w:rPr>
          <w:color w:val="000000"/>
          <w:shd w:fill="FFFFFF" w:val="clear"/>
        </w:rPr>
        <w:t xml:space="preserve"> </w:t>
      </w:r>
      <w:r>
        <w:rPr>
          <w:rFonts w:ascii="Times New Roman;serif" w:hAnsi="Times New Roman;serif"/>
          <w:b w:val="false"/>
          <w:color w:val="000000"/>
          <w:sz w:val="20"/>
          <w:shd w:fill="FFFFFF" w:val="clear"/>
        </w:rPr>
        <w:t>The issuer’s other certifying officer(s) and I are responsible for establishing and maintaining disclosure controls and procedures (DC&amp;P) and internal control over financial reporting (ICFR), as those terms are defined in National Instrument 52-109 Certification of Disclosure in Issuers’ Annual and Interim Filings, for the issuer.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5.</w:t>
      </w:r>
      <w:r>
        <w:rPr>
          <w:rFonts w:ascii="Times New Roman;serif" w:hAnsi="Times New Roman;serif"/>
          <w:b/>
          <w:i/>
          <w:color w:val="000000"/>
          <w:sz w:val="20"/>
          <w:shd w:fill="FFFFFF" w:val="clear"/>
        </w:rPr>
        <w:t>Design:</w:t>
      </w:r>
      <w:r>
        <w:rPr>
          <w:color w:val="000000"/>
          <w:shd w:fill="FFFFFF" w:val="clear"/>
        </w:rPr>
        <w:t xml:space="preserve"> </w:t>
      </w:r>
      <w:r>
        <w:rPr>
          <w:rFonts w:ascii="Times New Roman;serif" w:hAnsi="Times New Roman;serif"/>
          <w:b w:val="false"/>
          <w:color w:val="000000"/>
          <w:sz w:val="20"/>
          <w:shd w:fill="FFFFFF" w:val="clear"/>
        </w:rPr>
        <w:t>Subject to the limitations, if any, described in paragraphs 5.2 and 5.3, the issuer’s other certifying officer(s) and I have, as at the end of the period covered by the interim filings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designed DC&amp;P, or caused it to be designed under our supervision, to provide reasonable assurance that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color w:val="000000"/>
          <w:sz w:val="20"/>
          <w:shd w:fill="FFFFFF" w:val="clear"/>
        </w:rPr>
        <w:t>material information relating to the issuer is made known to us by others, particularly during the period in which the interim filings are being prepared;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w:t>
      </w:r>
      <w:r>
        <w:rPr>
          <w:rFonts w:ascii="Times New Roman;serif" w:hAnsi="Times New Roman;serif"/>
          <w:b w:val="false"/>
          <w:color w:val="000000"/>
          <w:sz w:val="20"/>
          <w:shd w:fill="FFFFFF" w:val="clear"/>
        </w:rPr>
        <w:t>designed ICFR, or caused it to be designed under our supervision, to provide reasonable assurance regarding the reliability of financial reporting and the preparation of financial statements for external purposes in accordance with the issuer’s GAAP.</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5.1     </w:t>
      </w:r>
      <w:r>
        <w:rPr>
          <w:rFonts w:ascii="Times New Roman;serif" w:hAnsi="Times New Roman;serif"/>
          <w:b/>
          <w:i/>
          <w:color w:val="000000"/>
          <w:sz w:val="20"/>
          <w:shd w:fill="FFFFFF" w:val="clear"/>
        </w:rPr>
        <w:t>Control framework:</w:t>
      </w:r>
      <w:r>
        <w:rPr>
          <w:color w:val="000000"/>
          <w:shd w:fill="FFFFFF" w:val="clear"/>
        </w:rPr>
        <w:t xml:space="preserve"> </w:t>
      </w:r>
      <w:r>
        <w:rPr>
          <w:rFonts w:ascii="Times New Roman;serif" w:hAnsi="Times New Roman;serif"/>
          <w:b w:val="false"/>
          <w:color w:val="000000"/>
          <w:sz w:val="20"/>
          <w:shd w:fill="FFFFFF" w:val="clear"/>
        </w:rPr>
        <w:t>The control framework the issuer’s other certifying officer(s) and I used to design the issuer’s ICFR is the</w:t>
      </w:r>
      <w:r>
        <w:rPr>
          <w:color w:val="000000"/>
          <w:shd w:fill="FFFFFF" w:val="clear"/>
        </w:rPr>
        <w:t xml:space="preserve"> </w:t>
      </w:r>
      <w:r>
        <w:rPr>
          <w:rFonts w:ascii="Times New Roman;serif" w:hAnsi="Times New Roman;serif"/>
          <w:b w:val="false"/>
          <w:i/>
          <w:color w:val="000000"/>
          <w:sz w:val="20"/>
          <w:shd w:fill="FFFFFF" w:val="clear"/>
        </w:rPr>
        <w:t>Internal Control – Integrated Framework (2013) issued by The Committee of Sponsoring Organization of the Treadway Commission (COSO).</w:t>
      </w:r>
    </w:p>
    <w:p>
      <w:pPr>
        <w:pStyle w:val="TextBody"/>
        <w:bidi w:val="0"/>
        <w:spacing w:before="0" w:after="0"/>
        <w:ind w:left="0" w:right="0" w:hanging="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5.2    </w:t>
      </w:r>
      <w:r>
        <w:rPr>
          <w:rFonts w:ascii="Times New Roman;serif" w:hAnsi="Times New Roman;serif"/>
          <w:b/>
          <w:i/>
          <w:color w:val="000000"/>
          <w:sz w:val="20"/>
          <w:shd w:fill="FFFFFF" w:val="clear"/>
        </w:rPr>
        <w:t>N/A.</w:t>
      </w:r>
      <w:r>
        <w:rPr>
          <w:color w:val="00000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shd w:fill="FFFFFF" w:val="clear"/>
        </w:rPr>
        <w:t>5.3    </w:t>
      </w:r>
      <w:r>
        <w:rPr>
          <w:rFonts w:ascii="Times New Roman;serif" w:hAnsi="Times New Roman;serif"/>
          <w:b/>
          <w:i/>
          <w:color w:val="000000"/>
          <w:sz w:val="20"/>
          <w:shd w:fill="FFFFFF" w:val="clear"/>
        </w:rPr>
        <w:t>N/A.</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0"/>
        </w:rPr>
        <w:t>6.</w:t>
      </w:r>
      <w:r>
        <w:rPr>
          <w:rFonts w:ascii="Times New Roman;serif" w:hAnsi="Times New Roman;serif"/>
          <w:b/>
          <w:i/>
          <w:color w:val="000000"/>
          <w:sz w:val="20"/>
          <w:shd w:fill="FFFFFF" w:val="clear"/>
        </w:rPr>
        <w:t>Reporting changes in ICFR:</w:t>
      </w:r>
      <w:r>
        <w:rPr>
          <w:color w:val="000000"/>
          <w:shd w:fill="FFFFFF" w:val="clear"/>
        </w:rPr>
        <w:t xml:space="preserve"> </w:t>
      </w:r>
      <w:r>
        <w:rPr>
          <w:rFonts w:ascii="Times New Roman;serif" w:hAnsi="Times New Roman;serif"/>
          <w:b w:val="false"/>
          <w:color w:val="000000"/>
          <w:sz w:val="20"/>
          <w:shd w:fill="FFFFFF" w:val="clear"/>
        </w:rPr>
        <w:t>The issuer has disclosed in its interim MD&amp;A any change in the issuer’s ICFR that occurred during the period beginning on April 1, 2026 and ended on June 30, 2026 that has materially affected, or is reasonably likely to materially affect, the issuer’s ICFR.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14, 2026. </w:t>
      </w:r>
    </w:p>
    <w:p>
      <w:pPr>
        <w:pStyle w:val="TextBody"/>
        <w:bidi w:val="0"/>
        <w:spacing w:before="0" w:after="240"/>
        <w:jc w:val="left"/>
        <w:rPr/>
      </w:pPr>
      <w:r>
        <w:rPr/>
      </w:r>
    </w:p>
    <w:tbl>
      <w:tblPr>
        <w:tblW w:w="2024" w:type="dxa"/>
        <w:jc w:val="left"/>
        <w:tblInd w:w="0" w:type="dxa"/>
        <w:tblLayout w:type="fixed"/>
        <w:tblCellMar>
          <w:top w:w="28" w:type="dxa"/>
          <w:left w:w="28" w:type="dxa"/>
          <w:bottom w:w="28" w:type="dxa"/>
          <w:right w:w="28" w:type="dxa"/>
        </w:tblCellMar>
      </w:tblPr>
      <w:tblGrid>
        <w:gridCol w:w="646"/>
        <w:gridCol w:w="570"/>
        <w:gridCol w:w="808"/>
      </w:tblGrid>
      <w:tr>
        <w:trPr/>
        <w:tc>
          <w:tcPr>
            <w:tcW w:w="6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Greg Cavers</w:t>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color w:val="EE0000"/>
        </w:rPr>
      </w:pPr>
      <w:r>
        <w:rPr>
          <w:color w:val="EE0000"/>
        </w:rPr>
        <w:t>    </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962025"/>
            <wp:effectExtent l="0" t="0" r="0" b="0"/>
            <wp:docPr id="15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3" descr=""/>
                    <pic:cNvPicPr>
                      <a:picLocks noChangeAspect="1" noChangeArrowheads="1"/>
                    </pic:cNvPicPr>
                  </pic:nvPicPr>
                  <pic:blipFill>
                    <a:blip r:embed="rId5"/>
                    <a:stretch>
                      <a:fillRect/>
                    </a:stretch>
                  </pic:blipFill>
                  <pic:spPr bwMode="auto">
                    <a:xfrm>
                      <a:off x="0" y="0"/>
                      <a:ext cx="1962150" cy="962025"/>
                    </a:xfrm>
                    <a:prstGeom prst="rect">
                      <a:avLst/>
                    </a:prstGeom>
                  </pic:spPr>
                </pic:pic>
              </a:graphicData>
            </a:graphic>
          </wp:inline>
        </w:drawing>
      </w:r>
    </w:p>
    <w:p>
      <w:pPr>
        <w:pStyle w:val="TextBody"/>
        <w:bidi w:val="0"/>
        <w:spacing w:before="0" w:after="0"/>
        <w:jc w:val="both"/>
        <w:rPr/>
      </w:pPr>
      <w:r>
        <w:rPr/>
      </w:r>
    </w:p>
    <w:p>
      <w:pPr>
        <w:pStyle w:val="TextBody"/>
        <w:bidi w:val="0"/>
        <w:spacing w:lineRule="auto" w:line="319" w:before="0" w:after="0"/>
        <w:jc w:val="center"/>
        <w:rPr>
          <w:rFonts w:ascii="Arial;sans-serif" w:hAnsi="Arial;sans-serif"/>
          <w:b/>
          <w:color w:val="000000"/>
          <w:sz w:val="28"/>
        </w:rPr>
      </w:pPr>
      <w:r>
        <w:rPr>
          <w:rFonts w:ascii="Arial;sans-serif" w:hAnsi="Arial;sans-serif"/>
          <w:b/>
          <w:color w:val="000000"/>
          <w:sz w:val="28"/>
        </w:rPr>
        <w:t>Helus Pharma Reports First Quarter Fiscal 2027 Financial Results and Recent Business Highlights</w:t>
      </w:r>
    </w:p>
    <w:p>
      <w:pPr>
        <w:pStyle w:val="TextBody"/>
        <w:bidi w:val="0"/>
        <w:spacing w:before="0" w:after="0"/>
        <w:jc w:val="center"/>
        <w:rPr/>
      </w:pPr>
      <w:r>
        <w:rPr/>
      </w:r>
    </w:p>
    <w:p>
      <w:pPr>
        <w:pStyle w:val="TextBody"/>
        <w:bidi w:val="0"/>
        <w:spacing w:lineRule="auto" w:line="319" w:before="0" w:after="120"/>
        <w:ind w:left="0" w:right="0" w:hanging="180"/>
        <w:jc w:val="center"/>
        <w:rPr/>
      </w:pPr>
      <w:r>
        <w:rPr>
          <w:rFonts w:ascii="Arial;sans-serif" w:hAnsi="Arial;sans-serif"/>
          <w:b w:val="false"/>
          <w:color w:val="000000"/>
          <w:sz w:val="20"/>
        </w:rPr>
        <w:t>-</w:t>
      </w:r>
      <w:r>
        <w:rPr>
          <w:rFonts w:ascii="Arial;sans-serif" w:hAnsi="Arial;sans-serif"/>
          <w:b w:val="false"/>
          <w:i/>
          <w:color w:val="000000"/>
          <w:sz w:val="20"/>
        </w:rPr>
        <w:t>Appointed Michael Halstead, former President of Intra-Cellular Therapies, as Chief Executive Officer to lead Helus Pharma through late-stage development and commercialization -</w:t>
      </w:r>
    </w:p>
    <w:p>
      <w:pPr>
        <w:pStyle w:val="TextBody"/>
        <w:bidi w:val="0"/>
        <w:spacing w:lineRule="auto" w:line="319" w:before="0" w:after="120"/>
        <w:ind w:left="0" w:right="0" w:hanging="180"/>
        <w:jc w:val="center"/>
        <w:rPr/>
      </w:pPr>
      <w:r>
        <w:rPr>
          <w:rFonts w:ascii="Arial;sans-serif" w:hAnsi="Arial;sans-serif"/>
          <w:b w:val="false"/>
          <w:color w:val="000000"/>
          <w:sz w:val="18"/>
        </w:rPr>
        <w:t>-</w:t>
      </w:r>
      <w:r>
        <w:rPr>
          <w:rFonts w:ascii="Arial;sans-serif" w:hAnsi="Arial;sans-serif"/>
          <w:b w:val="false"/>
          <w:i/>
          <w:color w:val="000000"/>
          <w:sz w:val="20"/>
        </w:rPr>
        <w:t>Completed enrollment in the Phase 3 APPROACH pivotal study of HLP003 in Major Depressive Disorder (“MDD”); topline data remain on track for Q4 2026</w:t>
      </w:r>
      <w:r>
        <w:rPr>
          <w:rFonts w:ascii="Arial;sans-serif" w:hAnsi="Arial;sans-serif"/>
          <w:b w:val="false"/>
          <w:i/>
          <w:color w:val="000000"/>
          <w:sz w:val="13"/>
        </w:rPr>
        <w:t xml:space="preserve">1,2 </w:t>
      </w:r>
      <w:r>
        <w:rPr>
          <w:rFonts w:ascii="Arial;sans-serif" w:hAnsi="Arial;sans-serif"/>
          <w:b w:val="false"/>
          <w:i/>
          <w:color w:val="000000"/>
          <w:sz w:val="20"/>
        </w:rPr>
        <w:t>-</w:t>
      </w:r>
    </w:p>
    <w:p>
      <w:pPr>
        <w:pStyle w:val="TextBody"/>
        <w:bidi w:val="0"/>
        <w:spacing w:lineRule="auto" w:line="319" w:before="0" w:after="120"/>
        <w:ind w:left="0" w:right="0" w:hanging="180"/>
        <w:jc w:val="center"/>
        <w:rPr/>
      </w:pPr>
      <w:r>
        <w:rPr>
          <w:rFonts w:ascii="Arial;sans-serif" w:hAnsi="Arial;sans-serif"/>
          <w:b w:val="false"/>
          <w:color w:val="000000"/>
          <w:sz w:val="18"/>
        </w:rPr>
        <w:t>-</w:t>
      </w:r>
      <w:r>
        <w:rPr>
          <w:rFonts w:ascii="Arial;sans-serif" w:hAnsi="Arial;sans-serif"/>
          <w:b w:val="false"/>
          <w:i/>
          <w:color w:val="000000"/>
          <w:sz w:val="20"/>
        </w:rPr>
        <w:t>Completed Drug-Drug Interaction (“DDI”) study demonstrated a favorable DDI profile supporting HLP003 as an adjunctive treatment for MDD -</w:t>
      </w:r>
    </w:p>
    <w:p>
      <w:pPr>
        <w:pStyle w:val="TextBody"/>
        <w:bidi w:val="0"/>
        <w:spacing w:lineRule="auto" w:line="319" w:before="0" w:after="120"/>
        <w:ind w:left="0" w:right="0" w:hanging="180"/>
        <w:jc w:val="center"/>
        <w:rPr/>
      </w:pPr>
      <w:r>
        <w:rPr>
          <w:rFonts w:ascii="Arial;sans-serif" w:hAnsi="Arial;sans-serif"/>
          <w:b w:val="false"/>
          <w:color w:val="000000"/>
          <w:sz w:val="18"/>
        </w:rPr>
        <w:t>-</w:t>
      </w:r>
      <w:r>
        <w:rPr>
          <w:rFonts w:ascii="Arial;sans-serif" w:hAnsi="Arial;sans-serif"/>
          <w:b w:val="false"/>
          <w:i/>
          <w:color w:val="000000"/>
          <w:sz w:val="20"/>
        </w:rPr>
        <w:t>Continued enrollment in EMBRACE, the second pivotal study in the Phase 3 PARADIGM program -</w:t>
      </w:r>
    </w:p>
    <w:p>
      <w:pPr>
        <w:pStyle w:val="TextBody"/>
        <w:bidi w:val="0"/>
        <w:spacing w:lineRule="auto" w:line="319" w:before="0" w:after="120"/>
        <w:ind w:left="0" w:right="0" w:hanging="180"/>
        <w:jc w:val="center"/>
        <w:rPr/>
      </w:pPr>
      <w:r>
        <w:rPr>
          <w:rFonts w:ascii="Arial;sans-serif" w:hAnsi="Arial;sans-serif"/>
          <w:b w:val="false"/>
          <w:color w:val="000000"/>
          <w:sz w:val="20"/>
        </w:rPr>
        <w:t>-</w:t>
      </w:r>
      <w:r>
        <w:rPr>
          <w:rFonts w:ascii="Arial;sans-serif" w:hAnsi="Arial;sans-serif"/>
          <w:b w:val="false"/>
          <w:i/>
          <w:color w:val="000000"/>
          <w:sz w:val="20"/>
        </w:rPr>
        <w:t>Continued participant rollover into EXTEND to generate long-term safety and durability data -</w:t>
      </w:r>
    </w:p>
    <w:p>
      <w:pPr>
        <w:pStyle w:val="TextBody"/>
        <w:bidi w:val="0"/>
        <w:spacing w:lineRule="auto" w:line="319" w:before="0" w:after="120"/>
        <w:ind w:left="0" w:right="0" w:hanging="180"/>
        <w:jc w:val="center"/>
        <w:rPr/>
      </w:pPr>
      <w:r>
        <w:rPr>
          <w:rFonts w:ascii="Arial;sans-serif" w:hAnsi="Arial;sans-serif"/>
          <w:b w:val="false"/>
          <w:color w:val="000000"/>
          <w:sz w:val="20"/>
        </w:rPr>
        <w:t>-</w:t>
      </w:r>
      <w:r>
        <w:rPr>
          <w:rFonts w:ascii="Arial;sans-serif" w:hAnsi="Arial;sans-serif"/>
          <w:b w:val="false"/>
          <w:i/>
          <w:color w:val="000000"/>
          <w:sz w:val="20"/>
        </w:rPr>
        <w:t xml:space="preserve">Completed USD$50 million underwritten offering in June 2026, strengthening the balance sheet to support continued execution across the Company’s clinical development programs - </w:t>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 xml:space="preserve">This news release constitutes a “designated news release” for the purpose of the Company’s prospectus supplement dated December 30, 2025, to its short form base shelf prospectus dated September 17, 2025, as amended on December 19, 2025. </w:t>
      </w:r>
    </w:p>
    <w:p>
      <w:pPr>
        <w:pStyle w:val="TextBody"/>
        <w:bidi w:val="0"/>
        <w:spacing w:before="0" w:after="0"/>
        <w:jc w:val="left"/>
        <w:rPr/>
      </w:pPr>
      <w:r>
        <w:rPr/>
      </w:r>
    </w:p>
    <w:p>
      <w:pPr>
        <w:pStyle w:val="TextBody"/>
        <w:bidi w:val="0"/>
        <w:spacing w:lineRule="auto" w:line="307"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 xml:space="preserve">August 14, 2026 – Helus Pharma™ (Nasdaq: HELP) (Cboe CA: HELP) (the “Company” or “Helus Pharma”), a clinical-stage pharmaceutical company committed to helping minds heal by developing novel serotonergic agonists (“NSAs”), today reported recent business highlights and financial results for its fiscal quarter ended June 30, 2026. Unless otherwise noted, all dollar amounts are expressed in United States dollars. </w:t>
      </w:r>
    </w:p>
    <w:p>
      <w:pPr>
        <w:pStyle w:val="TextBody"/>
        <w:bidi w:val="0"/>
        <w:spacing w:before="0" w:after="0"/>
        <w:jc w:val="left"/>
        <w:rPr/>
      </w:pPr>
      <w:r>
        <w:rPr/>
      </w:r>
    </w:p>
    <w:p>
      <w:pPr>
        <w:pStyle w:val="TextBody"/>
        <w:bidi w:val="0"/>
        <w:spacing w:lineRule="auto" w:line="307" w:before="0" w:after="0"/>
        <w:jc w:val="both"/>
        <w:rPr/>
      </w:pPr>
      <w:r>
        <w:rPr>
          <w:color w:val="000000"/>
        </w:rPr>
        <w:t>“</w:t>
      </w:r>
      <w:r>
        <w:rPr>
          <w:rFonts w:ascii="Arial;sans-serif" w:hAnsi="Arial;sans-serif"/>
          <w:b w:val="false"/>
          <w:color w:val="000000"/>
          <w:sz w:val="22"/>
        </w:rPr>
        <w:t>Since joining Helus Pharma, I have been impressed by the quality of the Company’s science, the strength of its development programs, and the team’s disciplined execution,” said Michael Halstead, Chief Executive Officer Helus Pharma. “With enrollment in APPROACH completed and topline data expected in Q4 2026</w:t>
      </w:r>
      <w:r>
        <w:rPr>
          <w:rFonts w:ascii="Arial;sans-serif" w:hAnsi="Arial;sans-serif"/>
          <w:b w:val="false"/>
          <w:i/>
          <w:color w:val="000000"/>
          <w:sz w:val="13"/>
        </w:rPr>
        <w:t>1,2</w:t>
      </w:r>
      <w:r>
        <w:rPr>
          <w:rFonts w:ascii="Arial;sans-serif" w:hAnsi="Arial;sans-serif"/>
          <w:b w:val="false"/>
          <w:color w:val="000000"/>
          <w:sz w:val="22"/>
        </w:rPr>
        <w:t>, we are entering an important period for HLP003. We are also advancing HLP004 as a promising short-acting candidate for generalized anxiety disorder and remain focused on executing our clinical, regulatory and commercial priorities in support of our mission to deliver transformative treatment options for patients.”</w:t>
      </w:r>
    </w:p>
    <w:p>
      <w:pPr>
        <w:pStyle w:val="TextBody"/>
        <w:bidi w:val="0"/>
        <w:spacing w:before="0" w:after="0"/>
        <w:jc w:val="both"/>
        <w:rPr/>
      </w:pPr>
      <w:r>
        <w:rPr/>
      </w:r>
    </w:p>
    <w:p>
      <w:pPr>
        <w:pStyle w:val="TextBody"/>
        <w:bidi w:val="0"/>
        <w:spacing w:lineRule="auto" w:line="307" w:before="0" w:after="0"/>
        <w:jc w:val="both"/>
        <w:rPr>
          <w:color w:val="000000"/>
        </w:rPr>
      </w:pPr>
      <w:r>
        <w:rPr>
          <w:color w:val="000000"/>
        </w:rPr>
        <w:t>“</w:t>
      </w:r>
      <w:r>
        <w:rPr>
          <w:rFonts w:ascii="Arial;sans-serif" w:hAnsi="Arial;sans-serif"/>
          <w:b w:val="false"/>
          <w:color w:val="000000"/>
          <w:sz w:val="22"/>
        </w:rPr>
        <w:t xml:space="preserve">Michael brings the strategic leadership, operational experience and commercial perspective needed to guide Helus Pharma through its next phase of growth,” said Eric So, Co-founder and Executive Chairman. “He has quickly earned the team’s confidence and is highly focused on </w:t>
      </w:r>
    </w:p>
    <w:p>
      <w:pPr>
        <w:pStyle w:val="TextBody"/>
        <w:bidi w:val="0"/>
        <w:spacing w:lineRule="auto" w:line="288" w:before="0" w:after="0"/>
        <w:jc w:val="right"/>
        <w:rPr>
          <w:color w:val="EE0000"/>
        </w:rPr>
      </w:pPr>
      <w:r>
        <w:rPr>
          <w:color w:val="EE0000"/>
        </w:rPr>
        <w:t>    </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696595"/>
                <wp:effectExtent l="0" t="0" r="0" b="0"/>
                <wp:wrapNone/>
                <wp:docPr id="154" name="Frame151"/>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47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7" w:before="0" w:after="0"/>
        <w:jc w:val="both"/>
        <w:rPr>
          <w:rFonts w:ascii="Arial;sans-serif" w:hAnsi="Arial;sans-serif"/>
          <w:b w:val="false"/>
          <w:color w:val="000000"/>
          <w:sz w:val="22"/>
        </w:rPr>
      </w:pPr>
      <w:r>
        <w:rPr>
          <w:rFonts w:ascii="Arial;sans-serif" w:hAnsi="Arial;sans-serif"/>
          <w:b w:val="false"/>
          <w:color w:val="000000"/>
          <w:sz w:val="22"/>
        </w:rPr>
        <w:t>successful execution as we advance HLP003 and HLP004 through important clinical, regulatory and commercial milestones.”</w:t>
      </w:r>
    </w:p>
    <w:p>
      <w:pPr>
        <w:pStyle w:val="TextBody"/>
        <w:bidi w:val="0"/>
        <w:spacing w:before="0" w:after="0"/>
        <w:jc w:val="left"/>
        <w:rPr/>
      </w:pPr>
      <w:r>
        <w:rPr/>
      </w:r>
    </w:p>
    <w:p>
      <w:pPr>
        <w:pStyle w:val="TextBody"/>
        <w:bidi w:val="0"/>
        <w:spacing w:lineRule="auto" w:line="307"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Recently, Helus Pharma completed enrollment in APPROACH, its Phase 3 pivotal study evaluating HLP003 in MDD. Previously reported HLP003 Phase 2 data demonstrated a durable and clinically meaningful treatment effect, including an approximately 23-point reduction in MADRS score from baseline at 12 months following two 16 mg doses administered three weeks apart. Using a MADRS remission benchmark of ≤ 10, response and remission rates at 12 months were 100% and 71%, respectively. These results reinforce the potential of HLP003 to address a significant unmet need and provide a differentiated treatment option for patients with MDD.</w:t>
      </w:r>
    </w:p>
    <w:p>
      <w:pPr>
        <w:pStyle w:val="TextBody"/>
        <w:bidi w:val="0"/>
        <w:spacing w:before="0" w:after="0"/>
        <w:jc w:val="left"/>
        <w:rPr/>
      </w:pPr>
      <w:r>
        <w:rPr/>
      </w:r>
    </w:p>
    <w:p>
      <w:pPr>
        <w:pStyle w:val="TextBody"/>
        <w:bidi w:val="0"/>
        <w:spacing w:lineRule="auto" w:line="307"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Beyond its clinical development program, Helus Pharma has developed a broad intellectual property portfolio supporting its differentiated and proprietary NSA pipeline, with more than 350 patent applications filed and more than 100 patents granted worldwide.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Recent Business and Pipeline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HLP003: Continued advancement of the Phase 3 PARADIGM program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2"/>
        </w:rPr>
        <w:t>APPROACH has completed enrollment, and the study is on track for topline data readout in Q4 2026.</w:t>
      </w:r>
      <w:r>
        <w:rPr>
          <w:rFonts w:ascii="Arial;sans-serif" w:hAnsi="Arial;sans-serif"/>
          <w:b w:val="false"/>
          <w:color w:val="000000"/>
          <w:sz w:val="14"/>
        </w:rPr>
        <w:t>1,2</w:t>
      </w:r>
      <w:r>
        <w:rPr>
          <w:color w:val="000000"/>
        </w:rPr>
        <w:t xml:space="preserve"> </w:t>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Completed DDI study results indicating that HLP003 did not meaningfully impact plasma levels of any of the six substrates tested providing evidence of no pharmacokinetic (“PK”) interaction with the CYP450 enzymes examined. These results combined with literature evidence indicate that there is a low likelihood of PK based DDI between HLP003 and Selective Serotonin Reuptake Inhibitors and Serotonin and Norepinephrine Reuptake Inhibitors.</w:t>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 xml:space="preserve">Enrollment is underway in EMBRACE, the second pivotal study in Phase 3 PARADIGM. </w:t>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Participant rollover is ongoing into the EXTEND study to further evaluate safety, durability of clinical effect and the potential role of redosing.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HLP004: Phase 2 data demonstrated clinically meaningful improvement in patients with generalized anxiety disorder (“GAD”)</w:t>
      </w:r>
    </w:p>
    <w:p>
      <w:pPr>
        <w:pStyle w:val="TextBody"/>
        <w:bidi w:val="0"/>
        <w:spacing w:before="0" w:after="0"/>
        <w:jc w:val="left"/>
        <w:rPr/>
      </w:pPr>
      <w:r>
        <w:rPr/>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Statistically significant (p&lt;0.0001) within subject, and clinically meaningful improvement from baseline in Hamilton Anxiety Rating Scale of ~10 points on top of Standard of Care at 6 weeks.</w:t>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In Phase 1 trial, 100% of participants were ready for discharge within 3 hours</w:t>
      </w:r>
      <w:r>
        <w:rPr>
          <w:rFonts w:ascii="Arial;sans-serif" w:hAnsi="Arial;sans-serif"/>
          <w:b w:val="false"/>
          <w:color w:val="000000"/>
          <w:sz w:val="14"/>
        </w:rPr>
        <w:t>3</w:t>
      </w:r>
      <w:r>
        <w:rPr>
          <w:rFonts w:ascii="Arial;sans-serif" w:hAnsi="Arial;sans-serif"/>
          <w:b w:val="false"/>
          <w:color w:val="000000"/>
          <w:sz w:val="22"/>
        </w:rPr>
        <w:t>; acute effects lasted ~90 minutes.</w:t>
      </w:r>
      <w:r>
        <w:rPr>
          <w:rFonts w:ascii="Arial;sans-serif" w:hAnsi="Arial;sans-serif"/>
          <w:b w:val="false"/>
          <w:color w:val="000000"/>
          <w:sz w:val="14"/>
        </w:rPr>
        <w:t>4</w:t>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Durable effects sustained through at least six months, with the pooled study population showed 67% responders and 39% of patients were in remission.</w:t>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Generally well-tolerated, adverse events were transient, with no drug-related serious adverse events recorded.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The Company intends to complete the design of the next HLP004 study by the end of Q3 2026.</w:t>
      </w:r>
      <w:r>
        <w:rPr>
          <w:rFonts w:ascii="Arial;sans-serif" w:hAnsi="Arial;sans-serif"/>
          <w:b w:val="false"/>
          <w:color w:val="000000"/>
          <w:sz w:val="14"/>
        </w:rPr>
        <w:t>1,2</w:t>
      </w:r>
    </w:p>
    <w:p>
      <w:pPr>
        <w:pStyle w:val="TextBody"/>
        <w:bidi w:val="0"/>
        <w:spacing w:lineRule="auto" w:line="288" w:before="0" w:after="0"/>
        <w:jc w:val="right"/>
        <w:rPr>
          <w:color w:val="EE0000"/>
        </w:rPr>
      </w:pPr>
      <w:r>
        <w:rPr>
          <w:color w:val="EE0000"/>
        </w:rPr>
        <w:t>    </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696595"/>
                <wp:effectExtent l="0" t="0" r="0" b="0"/>
                <wp:wrapNone/>
                <wp:docPr id="155" name="Frame152"/>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47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HLP005: Advancement toward development candidate selection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As part of its continued advancement of a pipeline of novel molecules, Helus Pharma continues to advance HLP005 toward candidate selection, with a viable development candidate anticipated in the second half of 2027.</w:t>
      </w:r>
      <w:r>
        <w:rPr>
          <w:color w:val="000000"/>
        </w:rPr>
        <w:t xml:space="preserve"> </w:t>
      </w:r>
      <w:r>
        <w:rPr>
          <w:rFonts w:ascii="Arial;sans-serif" w:hAnsi="Arial;sans-serif"/>
          <w:b w:val="false"/>
          <w:color w:val="000000"/>
          <w:sz w:val="14"/>
        </w:rPr>
        <w:t>1,2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First Quarter Financial Highlights</w:t>
      </w:r>
    </w:p>
    <w:p>
      <w:pPr>
        <w:pStyle w:val="TextBody"/>
        <w:bidi w:val="0"/>
        <w:spacing w:before="0" w:after="0"/>
        <w:jc w:val="left"/>
        <w:rPr/>
      </w:pPr>
      <w:r>
        <w:rPr/>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 xml:space="preserve">Cash totaled $166.4 million as of June 30, 2026. </w:t>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 xml:space="preserve">Net loss was $47.8 million for the quarter ended June 30, 2026, compared to a net loss of $24.6 million in the same period last year. </w:t>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Cash-based operating expenses consisting of research, general, and administrative costs totaled $37.5 million for the quarter ended June 30, 2026, compared to $23.9 million, in the same period last year.</w:t>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Cash flows used in operating activities were $37.1 million for the quarter ended June 30, 2026, compared to $29.5 million in the same period last year.</w:t>
      </w:r>
    </w:p>
    <w:p>
      <w:pPr>
        <w:pStyle w:val="TextBody"/>
        <w:bidi w:val="0"/>
        <w:spacing w:lineRule="auto" w:line="307" w:before="0" w:after="0"/>
        <w:ind w:left="0" w:right="0" w:hanging="360"/>
        <w:jc w:val="both"/>
        <w:rPr/>
      </w:pPr>
      <w:r>
        <w:rPr>
          <w:color w:val="000000"/>
        </w:rPr>
        <w:t>•</w:t>
      </w:r>
      <w:r>
        <w:rPr>
          <w:rFonts w:ascii="Arial;sans-serif" w:hAnsi="Arial;sans-serif"/>
          <w:b w:val="false"/>
          <w:color w:val="000000"/>
          <w:sz w:val="22"/>
        </w:rPr>
        <w:t>Operating cash flow and expenses were higher than the same period last year, driven by the continued advancement of the APPROACH, EMBRACE, and EXTEND HLP003 Phase 3 trials.</w:t>
      </w:r>
    </w:p>
    <w:p>
      <w:pPr>
        <w:pStyle w:val="TextBody"/>
        <w:bidi w:val="0"/>
        <w:spacing w:before="0" w:after="120"/>
        <w:jc w:val="left"/>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MDD that has received Breakthrough Therapy Designation from the U.S. Food and Drug Administration (the “FDA”) and HLP004, also a proprietary NSA in Phase 2 for GAD. Additionally, Helus Pharma has an extensive research portfolio of investigational NSAs.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right"/>
        <w:rPr>
          <w:color w:val="EE0000"/>
        </w:rPr>
      </w:pPr>
      <w:r>
        <w:rPr>
          <w:color w:val="EE0000"/>
        </w:rPr>
        <w:t>    </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696595"/>
                <wp:effectExtent l="0" t="0" r="0" b="0"/>
                <wp:wrapNone/>
                <wp:docPr id="156" name="Frame153"/>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47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Notes</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2"/>
        </w:rPr>
        <w:t>1.</w:t>
      </w:r>
      <w:r>
        <w:rPr>
          <w:color w:val="000000"/>
        </w:rPr>
        <w:t xml:space="preserve"> </w:t>
      </w:r>
      <w:r>
        <w:rPr>
          <w:rFonts w:ascii="Arial;sans-serif" w:hAnsi="Arial;sans-serif"/>
          <w:b w:val="false"/>
          <w:color w:val="000000"/>
          <w:sz w:val="22"/>
        </w:rPr>
        <w:t>There is no assurance that this timeline will be met or that the program will advance clinical trials, at all.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Company.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 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3. In Phase 1 study at 30 mg dose.</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4. Not statistically different from placebo after 90 mins.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07"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Phase 3 topline data readout for HLP003 in Q4 2026; completion of HLP004 study design in Q3, 2026; strengthening of balance sheet to support execution of the Company’s clinical development programs; advancement of HLP003 and HLP004 through important clinical, regulatory and commercial milestones; potential of HLP003 to address a significant unmet need and provide a differentiated and transformative treatment option for patients with MDD; progression of HLP005 program toward candidate selection in the second half of 2027; and plans to engineer proprietary drug discovery platforms, innovative drug delivery systems, novel formulation approaches and treatment regimens for mental health conditions.</w:t>
      </w:r>
    </w:p>
    <w:p>
      <w:pPr>
        <w:pStyle w:val="TextBody"/>
        <w:bidi w:val="0"/>
        <w:spacing w:lineRule="auto" w:line="288" w:before="0" w:after="0"/>
        <w:jc w:val="right"/>
        <w:rPr>
          <w:color w:val="EE0000"/>
        </w:rPr>
      </w:pPr>
      <w:r>
        <w:rPr>
          <w:color w:val="EE0000"/>
        </w:rPr>
        <w:t>    </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696595"/>
                <wp:effectExtent l="0" t="0" r="0" b="0"/>
                <wp:wrapNone/>
                <wp:docPr id="157" name="Frame154"/>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47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2026, and the Company’s annual information form for the year ended March 31, 2026,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FDA,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i/>
          <w:color w:val="000000"/>
          <w:sz w:val="22"/>
        </w:rPr>
      </w:pPr>
      <w:r>
        <w:rPr>
          <w:rFonts w:ascii="Arial;sans-serif" w:hAnsi="Arial;sans-serif"/>
          <w:b w:val="false"/>
          <w:i/>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Matthew.beck@astrpartners.com</w:t>
      </w:r>
    </w:p>
    <w:p>
      <w:pPr>
        <w:pStyle w:val="TextBody"/>
        <w:bidi w:val="0"/>
        <w:spacing w:lineRule="auto" w:line="288" w:before="0" w:after="0"/>
        <w:jc w:val="right"/>
        <w:rPr>
          <w:color w:val="EE0000"/>
        </w:rPr>
      </w:pPr>
      <w:r>
        <w:rPr>
          <w:color w:val="EE0000"/>
        </w:rPr>
        <w:t>    </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696595"/>
                <wp:effectExtent l="0" t="0" r="0" b="0"/>
                <wp:wrapNone/>
                <wp:docPr id="158" name="Frame155"/>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47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irteam@helus.com – or – media@helus.com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Victoria Verdeja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(212) 537-9495</w:t>
      </w:r>
    </w:p>
    <w:p>
      <w:pPr>
        <w:pStyle w:val="TextBody"/>
        <w:bidi w:val="0"/>
        <w:spacing w:lineRule="auto" w:line="319" w:before="0" w:after="0"/>
        <w:jc w:val="both"/>
        <w:rPr>
          <w:rFonts w:ascii="Arial;sans-serif" w:hAnsi="Arial;sans-serif"/>
          <w:b w:val="false"/>
          <w:color w:val="000000"/>
          <w:sz w:val="24"/>
        </w:rPr>
      </w:pPr>
      <w:r>
        <w:rPr>
          <w:rFonts w:ascii="Arial;sans-serif" w:hAnsi="Arial;sans-serif"/>
          <w:b w:val="false"/>
          <w:color w:val="000000"/>
          <w:sz w:val="24"/>
        </w:rPr>
        <w:t>Vverdeja@rxmedyn.com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696595"/>
                <wp:effectExtent l="0" t="0" r="0" b="0"/>
                <wp:wrapNone/>
                <wp:docPr id="159" name="Frame156"/>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3141/000106299325017416/formf10.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156</Pages>
  <Words>66414</Words>
  <Characters>380369</Characters>
  <CharactersWithSpaces>444135</CharactersWithSpaces>
  <Paragraphs>4001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