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December 2, 2021</w:t>
            </w: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December 1,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to Present at the Stifel GMP 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Annual Future of Healthcare Conference on December 8, 2021</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December 1,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u w:val="single" w:color="auto"/>
          <w:color w:val="auto"/>
        </w:rPr>
        <w:t>NYSE American:CYBN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 biopharmaceutical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focused on progressing “Psychedelics to Therapeutics</w:t>
      </w:r>
      <w:r>
        <w:rPr>
          <w:rFonts w:ascii="Arial" w:cs="Arial" w:eastAsia="Arial" w:hAnsi="Arial"/>
          <w:sz w:val="14"/>
          <w:szCs w:val="14"/>
          <w:color w:val="auto"/>
        </w:rPr>
        <w:t>TM</w:t>
      </w:r>
      <w:r>
        <w:rPr>
          <w:rFonts w:ascii="Arial" w:cs="Arial" w:eastAsia="Arial" w:hAnsi="Arial"/>
          <w:sz w:val="17"/>
          <w:szCs w:val="17"/>
          <w:color w:val="auto"/>
        </w:rPr>
        <w:t>” is pleased to announce that Doug Drysdale, Cybin’s Chief Executive Officer, will present at the Stifel GMP 2</w:t>
      </w:r>
      <w:r>
        <w:rPr>
          <w:rFonts w:ascii="Arial" w:cs="Arial" w:eastAsia="Arial" w:hAnsi="Arial"/>
          <w:sz w:val="14"/>
          <w:szCs w:val="14"/>
          <w:color w:val="auto"/>
        </w:rPr>
        <w:t>nd</w:t>
      </w:r>
      <w:r>
        <w:rPr>
          <w:rFonts w:ascii="Arial" w:cs="Arial" w:eastAsia="Arial" w:hAnsi="Arial"/>
          <w:sz w:val="17"/>
          <w:szCs w:val="17"/>
          <w:color w:val="auto"/>
        </w:rPr>
        <w:t xml:space="preserve"> Annual Future of Healthcare Conference being held virtually on Wednesday, December 8, 2021.</w:t>
      </w:r>
    </w:p>
    <w:p>
      <w:pPr>
        <w:spacing w:after="0" w:line="1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Mr. Drysdale’s presentation will be webcast live on December 8, 2021 at 3:30 p.m. ET. To listen to the event, please </w:t>
      </w:r>
      <w:r>
        <w:rPr>
          <w:rFonts w:ascii="Arial" w:cs="Arial" w:eastAsia="Arial" w:hAnsi="Arial"/>
          <w:sz w:val="16"/>
          <w:szCs w:val="16"/>
          <w:u w:val="single" w:color="auto"/>
          <w:color w:val="auto"/>
        </w:rPr>
        <w:t>click here</w:t>
      </w:r>
      <w:r>
        <w:rPr>
          <w:rFonts w:ascii="Arial" w:cs="Arial" w:eastAsia="Arial" w:hAnsi="Arial"/>
          <w:sz w:val="16"/>
          <w:szCs w:val="16"/>
          <w:color w:val="auto"/>
        </w:rPr>
        <w:t xml:space="preserve"> to register and access the webcast. The archived webcast will also be available on the Company’s investor relations website on the </w:t>
      </w:r>
      <w:r>
        <w:rPr>
          <w:rFonts w:ascii="Arial" w:cs="Arial" w:eastAsia="Arial" w:hAnsi="Arial"/>
          <w:sz w:val="16"/>
          <w:szCs w:val="16"/>
          <w:u w:val="single" w:color="auto"/>
          <w:color w:val="auto"/>
        </w:rPr>
        <w:t>Events &amp; Presentations</w:t>
      </w:r>
      <w:r>
        <w:rPr>
          <w:rFonts w:ascii="Arial" w:cs="Arial" w:eastAsia="Arial" w:hAnsi="Arial"/>
          <w:sz w:val="16"/>
          <w:szCs w:val="16"/>
          <w:color w:val="auto"/>
        </w:rPr>
        <w:t xml:space="preserve"> page.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United States, United Kingdom and Ireland. The Company is focused on progressing Psychedelics to Therapeutics</w:t>
      </w:r>
      <w:r>
        <w:rPr>
          <w:rFonts w:ascii="Arial" w:cs="Arial" w:eastAsia="Arial" w:hAnsi="Arial"/>
          <w:sz w:val="15"/>
          <w:szCs w:val="15"/>
          <w:color w:val="auto"/>
        </w:rPr>
        <w:t>™</w:t>
      </w:r>
      <w:r>
        <w:rPr>
          <w:rFonts w:ascii="Arial" w:cs="Arial" w:eastAsia="Arial" w:hAnsi="Arial"/>
          <w:sz w:val="18"/>
          <w:szCs w:val="18"/>
          <w:color w:val="auto"/>
        </w:rPr>
        <w:t xml:space="preserve"> by engineering proprietary drug discovery platforms, innovative drug delivery systems, novel formulation approaches and treatment regimens for mental health disorders.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2021-12-02T11:38:51Z</dcterms:created>
  <dcterms:modified xsi:type="dcterms:W3CDTF">2021-12-02T11:38:51Z</dcterms:modified>
</cp:coreProperties>
</file>