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61467d6k.htm"/>
      <w:bookmarkStart w:id="1" w:name="ksd161467d6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September, 2021.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001-40673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Cybin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100 King Street West, Suite 5600, </w:t>
      </w:r>
    </w:p>
    <w:p>
      <w:pPr>
        <w:pStyle w:val="TextBody"/>
        <w:spacing w:before="0" w:after="0"/>
        <w:jc w:val="center"/>
        <w:rPr>
          <w:rFonts w:ascii="Times New Roman" w:hAnsi="Times New Roman"/>
          <w:b/>
          <w:sz w:val="20"/>
        </w:rPr>
      </w:pPr>
      <w:r>
        <w:rPr>
          <w:rFonts w:ascii="Times New Roman" w:hAnsi="Times New Roman"/>
          <w:b/>
          <w:sz w:val="20"/>
        </w:rPr>
        <w:t xml:space="preserve">Toronto, Ontario, M5X 1C9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spacing w:before="240" w:after="0"/>
        <w:jc w:val="center"/>
        <w:rPr>
          <w:rFonts w:ascii="Times New Roman" w:hAnsi="Times New Roman"/>
          <w:sz w:val="20"/>
        </w:rPr>
      </w:pPr>
      <w:r>
        <w:rPr>
          <w:rFonts w:ascii="Times New Roman" w:hAnsi="Times New Roman"/>
          <w:sz w:val="20"/>
        </w:rPr>
        <w:t>Form 20-F  ☐            Form 40-F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Regulation S-T Rule 101(b)(1) only permits the submission in paper of a Form 6-K if submitted solely to provide an attached annual report to security holders.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24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90"/>
        <w:gridCol w:w="102"/>
        <w:gridCol w:w="408"/>
        <w:gridCol w:w="102"/>
        <w:gridCol w:w="510"/>
        <w:gridCol w:w="102"/>
        <w:gridCol w:w="4491"/>
      </w:tblGrid>
      <w:tr>
        <w:trPr/>
        <w:tc>
          <w:tcPr>
            <w:tcW w:w="449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491" w:type="dxa"/>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103" w:type="dxa"/>
            <w:gridSpan w:val="3"/>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CYBIN INC.</w:t>
            </w:r>
          </w:p>
        </w:tc>
      </w:tr>
      <w:tr>
        <w:trPr/>
        <w:tc>
          <w:tcPr>
            <w:tcW w:w="4490"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103" w:type="dxa"/>
            <w:gridSpan w:val="3"/>
            <w:tcBorders/>
            <w:shd w:fill="auto" w:val="clear"/>
            <w:vAlign w:val="bottom"/>
          </w:tcPr>
          <w:p>
            <w:pPr>
              <w:pStyle w:val="TableContents"/>
              <w:spacing w:before="0" w:after="0"/>
              <w:rPr>
                <w:rFonts w:ascii="Times New Roman" w:hAnsi="Times New Roman"/>
                <w:sz w:val="20"/>
              </w:rPr>
            </w:pPr>
            <w:r>
              <w:rPr>
                <w:rFonts w:ascii="Times New Roman" w:hAnsi="Times New Roman"/>
                <w:sz w:val="20"/>
              </w:rPr>
              <w:t>(Registrant)</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612" w:type="dxa"/>
            <w:gridSpan w:val="2"/>
            <w:tcBorders/>
            <w:shd w:fill="auto" w:val="clear"/>
            <w:vAlign w:val="center"/>
          </w:tcPr>
          <w:p>
            <w:pPr>
              <w:pStyle w:val="TableContents"/>
              <w:spacing w:before="0" w:after="283"/>
              <w:rPr>
                <w:sz w:val="4"/>
                <w:szCs w:val="4"/>
              </w:rPr>
            </w:pPr>
            <w:r>
              <w:rPr>
                <w:sz w:val="4"/>
                <w:szCs w:val="4"/>
              </w:rPr>
            </w:r>
          </w:p>
        </w:tc>
        <w:tc>
          <w:tcPr>
            <w:tcW w:w="4593"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Date: September 27, 2021</w:t>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0"/>
              <w:rPr/>
            </w:pPr>
            <w:r>
              <w:rPr/>
              <w:t> </w:t>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By:</w:t>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4491"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i/>
                <w:sz w:val="20"/>
              </w:rPr>
            </w:pPr>
            <w:r>
              <w:rPr>
                <w:rFonts w:ascii="Times New Roman" w:hAnsi="Times New Roman"/>
                <w:i/>
                <w:sz w:val="20"/>
              </w:rPr>
              <w:t>/s/ Doug Drysdale</w:t>
            </w:r>
          </w:p>
        </w:tc>
      </w:tr>
      <w:tr>
        <w:trPr/>
        <w:tc>
          <w:tcPr>
            <w:tcW w:w="4490"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w:t>
            </w:r>
          </w:p>
        </w:tc>
        <w:tc>
          <w:tcPr>
            <w:tcW w:w="102"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Doug Drysdale</w:t>
            </w:r>
          </w:p>
        </w:tc>
      </w:tr>
      <w:tr>
        <w:trPr/>
        <w:tc>
          <w:tcPr>
            <w:tcW w:w="4490"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Title:</w:t>
            </w:r>
          </w:p>
        </w:tc>
        <w:tc>
          <w:tcPr>
            <w:tcW w:w="102" w:type="dxa"/>
            <w:tcBorders/>
            <w:shd w:fill="auto" w:val="clear"/>
            <w:vAlign w:val="bottom"/>
          </w:tcPr>
          <w:p>
            <w:pPr>
              <w:pStyle w:val="TableContents"/>
              <w:spacing w:before="0" w:after="283"/>
              <w:rPr/>
            </w:pPr>
            <w:r>
              <w:rPr/>
              <w:t> </w:t>
            </w:r>
          </w:p>
        </w:tc>
        <w:tc>
          <w:tcPr>
            <w:tcW w:w="449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Chief Executive Officer</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4"/>
        <w:gridCol w:w="328"/>
        <w:gridCol w:w="9433"/>
      </w:tblGrid>
      <w:tr>
        <w:trPr/>
        <w:tc>
          <w:tcPr>
            <w:tcW w:w="44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9433" w:type="dxa"/>
            <w:tcBorders/>
            <w:shd w:fill="auto" w:val="clear"/>
            <w:vAlign w:val="center"/>
          </w:tcPr>
          <w:p>
            <w:pPr>
              <w:pStyle w:val="TableContents"/>
              <w:spacing w:before="0" w:after="283"/>
              <w:rPr>
                <w:sz w:val="4"/>
                <w:szCs w:val="4"/>
              </w:rPr>
            </w:pPr>
            <w:r>
              <w:rPr>
                <w:sz w:val="4"/>
                <w:szCs w:val="4"/>
              </w:rPr>
            </w:r>
          </w:p>
        </w:tc>
      </w:tr>
      <w:tr>
        <w:trPr/>
        <w:tc>
          <w:tcPr>
            <w:tcW w:w="444" w:type="dxa"/>
            <w:tcBorders/>
            <w:shd w:fill="auto" w:val="clear"/>
          </w:tcPr>
          <w:p>
            <w:pPr>
              <w:pStyle w:val="TableContents"/>
              <w:spacing w:before="0" w:after="283"/>
              <w:rPr/>
            </w:pPr>
            <w:r>
              <w:rPr/>
              <w:t>99.1</w:t>
            </w:r>
          </w:p>
        </w:tc>
        <w:tc>
          <w:tcPr>
            <w:tcW w:w="328" w:type="dxa"/>
            <w:tcBorders/>
            <w:shd w:fill="auto" w:val="clear"/>
            <w:vAlign w:val="bottom"/>
          </w:tcPr>
          <w:p>
            <w:pPr>
              <w:pStyle w:val="TableContents"/>
              <w:spacing w:before="0" w:after="283"/>
              <w:rPr/>
            </w:pPr>
            <w:r>
              <w:rPr/>
              <w:t>  </w:t>
            </w:r>
          </w:p>
        </w:tc>
        <w:tc>
          <w:tcPr>
            <w:tcW w:w="9433" w:type="dxa"/>
            <w:tcBorders/>
            <w:shd w:fill="auto" w:val="clear"/>
          </w:tcPr>
          <w:p>
            <w:pPr>
              <w:pStyle w:val="TableContents"/>
              <w:spacing w:before="0" w:after="283"/>
              <w:rPr/>
            </w:pPr>
            <w:hyperlink w:anchor="d161467dex991.htm">
              <w:r>
                <w:rPr>
                  <w:rStyle w:val="InternetLink"/>
                </w:rPr>
                <w:t xml:space="preserve">News Release dated September 27, 2021 </w:t>
              </w:r>
            </w:hyperlink>
          </w:p>
        </w:tc>
      </w:tr>
    </w:tbl>
    <w:p>
      <w:pPr>
        <w:pStyle w:val="TextBody"/>
        <w:spacing w:before="0" w:after="0"/>
        <w:jc w:val="right"/>
        <w:rPr>
          <w:rFonts w:ascii="Times New Roman" w:hAnsi="Times New Roman"/>
          <w:b/>
          <w:sz w:val="20"/>
        </w:rPr>
      </w:pPr>
      <w:r>
        <w:br w:type="page"/>
      </w:r>
      <w:bookmarkStart w:id="2" w:name="d161467dex991.htm"/>
      <w:bookmarkStart w:id="3" w:name="ksd161467dex991"/>
      <w:bookmarkEnd w:id="2"/>
      <w:bookmarkEnd w:id="3"/>
      <w:r>
        <w:rPr>
          <w:rFonts w:ascii="Times New Roman" w:hAnsi="Times New Roman"/>
          <w:b/>
          <w:sz w:val="20"/>
        </w:rPr>
        <w:t xml:space="preserve">Exhibit 99.1 </w:t>
      </w:r>
    </w:p>
    <w:p>
      <w:pPr>
        <w:pStyle w:val="TextBody"/>
        <w:spacing w:before="0" w:after="0"/>
        <w:jc w:val="left"/>
        <w:rPr/>
      </w:pPr>
      <w:r>
        <w:rPr/>
        <w:t> </w:t>
      </w:r>
    </w:p>
    <w:p>
      <w:pPr>
        <w:pStyle w:val="TextBody"/>
        <w:spacing w:before="0" w:after="0"/>
        <w:jc w:val="center"/>
        <w:rPr/>
      </w:pPr>
      <w:r>
        <w:rPr/>
        <w:drawing>
          <wp:inline distT="0" distB="0" distL="0" distR="0">
            <wp:extent cx="2771775" cy="2000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2000250"/>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Cybin to Present at Upcoming Cantor and Benzinga Investor Conferences </w:t>
      </w:r>
    </w:p>
    <w:p>
      <w:pPr>
        <w:pStyle w:val="TextBody"/>
        <w:spacing w:before="240" w:after="0"/>
        <w:jc w:val="left"/>
        <w:rPr>
          <w:rFonts w:ascii="Times New Roman" w:hAnsi="Times New Roman"/>
          <w:sz w:val="20"/>
        </w:rPr>
      </w:pPr>
      <w:r>
        <w:rPr>
          <w:rFonts w:ascii="Times New Roman" w:hAnsi="Times New Roman"/>
          <w:b/>
          <w:sz w:val="20"/>
        </w:rPr>
        <w:t xml:space="preserve">TORONTO, CANADA </w:t>
      </w:r>
      <w:r>
        <w:rPr>
          <w:rFonts w:ascii="Times New Roman" w:hAnsi="Times New Roman"/>
          <w:sz w:val="20"/>
        </w:rPr>
        <w:t xml:space="preserve"> September 27, 2021  </w:t>
      </w:r>
      <w:r>
        <w:rPr>
          <w:rFonts w:ascii="Times New Roman" w:hAnsi="Times New Roman"/>
          <w:sz w:val="20"/>
          <w:u w:val="single"/>
        </w:rPr>
        <w:t>Cybin Inc.</w:t>
      </w:r>
      <w:r>
        <w:rPr>
          <w:rFonts w:ascii="Times New Roman" w:hAnsi="Times New Roman"/>
          <w:sz w:val="20"/>
        </w:rPr>
        <w:t xml:space="preserve"> (</w:t>
      </w:r>
      <w:r>
        <w:rPr>
          <w:rFonts w:ascii="Times New Roman" w:hAnsi="Times New Roman"/>
          <w:sz w:val="20"/>
          <w:u w:val="single"/>
        </w:rPr>
        <w:t>NEO:CYBN</w:t>
      </w:r>
      <w:r>
        <w:rPr>
          <w:rFonts w:ascii="Times New Roman" w:hAnsi="Times New Roman"/>
          <w:sz w:val="20"/>
        </w:rPr>
        <w:t>) (</w:t>
      </w:r>
      <w:r>
        <w:rPr>
          <w:rFonts w:ascii="Times New Roman" w:hAnsi="Times New Roman"/>
          <w:sz w:val="20"/>
          <w:u w:val="single"/>
        </w:rPr>
        <w:t>NYSE AMERICAN:CYBN</w:t>
      </w:r>
      <w:r>
        <w:rPr>
          <w:rFonts w:ascii="Times New Roman" w:hAnsi="Times New Roman"/>
          <w:sz w:val="20"/>
        </w:rPr>
        <w:t>) (</w:t>
      </w:r>
      <w:r>
        <w:rPr>
          <w:rFonts w:ascii="Times New Roman" w:hAnsi="Times New Roman"/>
          <w:b/>
          <w:sz w:val="20"/>
        </w:rPr>
        <w:t>Cybin</w:t>
      </w:r>
      <w:r>
        <w:rPr>
          <w:rFonts w:ascii="Times New Roman" w:hAnsi="Times New Roman"/>
          <w:sz w:val="20"/>
        </w:rPr>
        <w:t> or the </w:t>
      </w:r>
      <w:r>
        <w:rPr>
          <w:rFonts w:ascii="Times New Roman" w:hAnsi="Times New Roman"/>
          <w:b/>
          <w:sz w:val="20"/>
        </w:rPr>
        <w:t>Company</w:t>
      </w:r>
      <w:r>
        <w:rPr>
          <w:rFonts w:ascii="Times New Roman" w:hAnsi="Times New Roman"/>
          <w:sz w:val="20"/>
        </w:rPr>
        <w:t xml:space="preserve">), a biotechnology company focused on progressing psychedelic therapeutics, today announced that Doug Drysdale, Chief Executive Officer, will be presenting virtually at two upcoming investor conferences as follows: </w:t>
      </w:r>
    </w:p>
    <w:p>
      <w:pPr>
        <w:pStyle w:val="TextBody"/>
        <w:spacing w:before="360" w:after="0"/>
        <w:jc w:val="left"/>
        <w:rPr>
          <w:rFonts w:ascii="Times New Roman" w:hAnsi="Times New Roman"/>
          <w:b/>
          <w:sz w:val="20"/>
        </w:rPr>
      </w:pPr>
      <w:r>
        <w:rPr>
          <w:rFonts w:ascii="Times New Roman" w:hAnsi="Times New Roman"/>
          <w:b/>
          <w:sz w:val="20"/>
        </w:rPr>
        <w:t xml:space="preserve">Cantor Virtual Global Healthcare Conference, Fireside Chat: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67"/>
        <w:gridCol w:w="222"/>
        <w:gridCol w:w="9116"/>
      </w:tblGrid>
      <w:tr>
        <w:trPr/>
        <w:tc>
          <w:tcPr>
            <w:tcW w:w="86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9116" w:type="dxa"/>
            <w:tcBorders/>
            <w:shd w:fill="auto" w:val="clear"/>
            <w:vAlign w:val="center"/>
          </w:tcPr>
          <w:p>
            <w:pPr>
              <w:pStyle w:val="TableContents"/>
              <w:spacing w:before="0" w:after="283"/>
              <w:rPr>
                <w:sz w:val="4"/>
                <w:szCs w:val="4"/>
              </w:rPr>
            </w:pPr>
            <w:r>
              <w:rPr>
                <w:sz w:val="4"/>
                <w:szCs w:val="4"/>
              </w:rPr>
            </w:r>
          </w:p>
        </w:tc>
      </w:tr>
      <w:tr>
        <w:trPr/>
        <w:tc>
          <w:tcPr>
            <w:tcW w:w="867" w:type="dxa"/>
            <w:tcBorders/>
            <w:shd w:fill="auto" w:val="clear"/>
            <w:vAlign w:val="bottom"/>
          </w:tcPr>
          <w:p>
            <w:pPr>
              <w:pStyle w:val="TableContents"/>
              <w:spacing w:before="0" w:after="283"/>
              <w:rPr/>
            </w:pPr>
            <w:r>
              <w:rPr/>
              <w:t>Date:</w:t>
            </w:r>
          </w:p>
        </w:tc>
        <w:tc>
          <w:tcPr>
            <w:tcW w:w="222" w:type="dxa"/>
            <w:tcBorders/>
            <w:shd w:fill="auto" w:val="clear"/>
            <w:vAlign w:val="bottom"/>
          </w:tcPr>
          <w:p>
            <w:pPr>
              <w:pStyle w:val="TableContents"/>
              <w:spacing w:before="0" w:after="283"/>
              <w:rPr/>
            </w:pPr>
            <w:r>
              <w:rPr/>
              <w:t>  </w:t>
            </w:r>
          </w:p>
        </w:tc>
        <w:tc>
          <w:tcPr>
            <w:tcW w:w="911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Thursday, September 30, 2021</w:t>
            </w:r>
          </w:p>
        </w:tc>
      </w:tr>
      <w:tr>
        <w:trPr>
          <w:trHeight w:val="120" w:hRule="atLeast"/>
        </w:trPr>
        <w:tc>
          <w:tcPr>
            <w:tcW w:w="867" w:type="dxa"/>
            <w:tcBorders/>
            <w:shd w:fill="auto" w:val="clear"/>
            <w:vAlign w:val="center"/>
          </w:tcPr>
          <w:p>
            <w:pPr>
              <w:pStyle w:val="TableContents"/>
              <w:spacing w:before="0" w:after="283"/>
              <w:rPr>
                <w:sz w:val="4"/>
                <w:szCs w:val="4"/>
              </w:rPr>
            </w:pPr>
            <w:r>
              <w:rPr>
                <w:sz w:val="4"/>
                <w:szCs w:val="4"/>
              </w:rPr>
            </w:r>
          </w:p>
        </w:tc>
        <w:tc>
          <w:tcPr>
            <w:tcW w:w="9338" w:type="dxa"/>
            <w:gridSpan w:val="2"/>
            <w:tcBorders/>
            <w:shd w:fill="auto" w:val="clear"/>
            <w:vAlign w:val="center"/>
          </w:tcPr>
          <w:p>
            <w:pPr>
              <w:pStyle w:val="TableContents"/>
              <w:spacing w:before="0" w:after="283"/>
              <w:rPr>
                <w:sz w:val="4"/>
                <w:szCs w:val="4"/>
              </w:rPr>
            </w:pPr>
            <w:r>
              <w:rPr>
                <w:sz w:val="4"/>
                <w:szCs w:val="4"/>
              </w:rPr>
            </w:r>
          </w:p>
        </w:tc>
      </w:tr>
      <w:tr>
        <w:trPr/>
        <w:tc>
          <w:tcPr>
            <w:tcW w:w="867" w:type="dxa"/>
            <w:tcBorders/>
            <w:shd w:fill="auto" w:val="clear"/>
            <w:vAlign w:val="bottom"/>
          </w:tcPr>
          <w:p>
            <w:pPr>
              <w:pStyle w:val="TableContents"/>
              <w:spacing w:before="0" w:after="283"/>
              <w:rPr/>
            </w:pPr>
            <w:r>
              <w:rPr/>
              <w:t>Time:</w:t>
            </w:r>
          </w:p>
        </w:tc>
        <w:tc>
          <w:tcPr>
            <w:tcW w:w="222" w:type="dxa"/>
            <w:tcBorders/>
            <w:shd w:fill="auto" w:val="clear"/>
            <w:vAlign w:val="bottom"/>
          </w:tcPr>
          <w:p>
            <w:pPr>
              <w:pStyle w:val="TableContents"/>
              <w:spacing w:before="0" w:after="283"/>
              <w:rPr/>
            </w:pPr>
            <w:r>
              <w:rPr/>
              <w:t>  </w:t>
            </w:r>
          </w:p>
        </w:tc>
        <w:tc>
          <w:tcPr>
            <w:tcW w:w="911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2:00PM ET</w:t>
            </w:r>
          </w:p>
        </w:tc>
      </w:tr>
      <w:tr>
        <w:trPr>
          <w:trHeight w:val="120" w:hRule="atLeast"/>
        </w:trPr>
        <w:tc>
          <w:tcPr>
            <w:tcW w:w="867" w:type="dxa"/>
            <w:tcBorders/>
            <w:shd w:fill="auto" w:val="clear"/>
            <w:vAlign w:val="center"/>
          </w:tcPr>
          <w:p>
            <w:pPr>
              <w:pStyle w:val="TableContents"/>
              <w:spacing w:before="0" w:after="283"/>
              <w:rPr>
                <w:sz w:val="4"/>
                <w:szCs w:val="4"/>
              </w:rPr>
            </w:pPr>
            <w:r>
              <w:rPr>
                <w:sz w:val="4"/>
                <w:szCs w:val="4"/>
              </w:rPr>
            </w:r>
          </w:p>
        </w:tc>
        <w:tc>
          <w:tcPr>
            <w:tcW w:w="9338" w:type="dxa"/>
            <w:gridSpan w:val="2"/>
            <w:tcBorders/>
            <w:shd w:fill="auto" w:val="clear"/>
            <w:vAlign w:val="center"/>
          </w:tcPr>
          <w:p>
            <w:pPr>
              <w:pStyle w:val="TableContents"/>
              <w:spacing w:before="0" w:after="283"/>
              <w:rPr>
                <w:sz w:val="4"/>
                <w:szCs w:val="4"/>
              </w:rPr>
            </w:pPr>
            <w:r>
              <w:rPr>
                <w:sz w:val="4"/>
                <w:szCs w:val="4"/>
              </w:rPr>
            </w:r>
          </w:p>
        </w:tc>
      </w:tr>
      <w:tr>
        <w:trPr/>
        <w:tc>
          <w:tcPr>
            <w:tcW w:w="867" w:type="dxa"/>
            <w:tcBorders/>
            <w:shd w:fill="auto" w:val="clear"/>
            <w:vAlign w:val="bottom"/>
          </w:tcPr>
          <w:p>
            <w:pPr>
              <w:pStyle w:val="TableContents"/>
              <w:spacing w:before="0" w:after="283"/>
              <w:rPr/>
            </w:pPr>
            <w:r>
              <w:rPr/>
              <w:t>Webcast:</w:t>
            </w:r>
          </w:p>
        </w:tc>
        <w:tc>
          <w:tcPr>
            <w:tcW w:w="222" w:type="dxa"/>
            <w:tcBorders/>
            <w:shd w:fill="auto" w:val="clear"/>
            <w:vAlign w:val="bottom"/>
          </w:tcPr>
          <w:p>
            <w:pPr>
              <w:pStyle w:val="TableContents"/>
              <w:spacing w:before="0" w:after="283"/>
              <w:rPr/>
            </w:pPr>
            <w:r>
              <w:rPr/>
              <w:t>  </w:t>
            </w:r>
          </w:p>
        </w:tc>
        <w:tc>
          <w:tcPr>
            <w:tcW w:w="9116" w:type="dxa"/>
            <w:tcBorders/>
            <w:shd w:fill="auto" w:val="clear"/>
            <w:vAlign w:val="bottom"/>
          </w:tcPr>
          <w:p>
            <w:pPr>
              <w:pStyle w:val="TableContents"/>
              <w:spacing w:before="0" w:after="0"/>
              <w:rPr>
                <w:rFonts w:ascii="Times New Roman" w:hAnsi="Times New Roman"/>
                <w:sz w:val="20"/>
                <w:u w:val="single"/>
              </w:rPr>
            </w:pPr>
            <w:r>
              <w:rPr>
                <w:rFonts w:ascii="Times New Roman" w:hAnsi="Times New Roman"/>
                <w:sz w:val="20"/>
                <w:u w:val="single"/>
              </w:rPr>
              <w:t>https://wsw.com/webcast/cantor12/clxpf/2262050</w:t>
            </w:r>
          </w:p>
        </w:tc>
      </w:tr>
    </w:tbl>
    <w:p>
      <w:pPr>
        <w:pStyle w:val="TextBody"/>
        <w:spacing w:before="240" w:after="0"/>
        <w:jc w:val="left"/>
        <w:rPr>
          <w:rFonts w:ascii="Times New Roman" w:hAnsi="Times New Roman"/>
          <w:sz w:val="20"/>
        </w:rPr>
      </w:pPr>
      <w:r>
        <w:rPr>
          <w:rFonts w:ascii="Times New Roman" w:hAnsi="Times New Roman"/>
          <w:sz w:val="20"/>
        </w:rPr>
        <w:t xml:space="preserve">The presentation will be webcast live using the link above, and a replay will be available for 90 days. </w:t>
      </w:r>
    </w:p>
    <w:p>
      <w:pPr>
        <w:pStyle w:val="TextBody"/>
        <w:spacing w:before="360" w:after="0"/>
        <w:jc w:val="left"/>
        <w:rPr>
          <w:rFonts w:ascii="Times New Roman" w:hAnsi="Times New Roman"/>
          <w:b/>
          <w:sz w:val="20"/>
        </w:rPr>
      </w:pPr>
      <w:r>
        <w:rPr>
          <w:rFonts w:ascii="Times New Roman" w:hAnsi="Times New Roman"/>
          <w:b/>
          <w:sz w:val="20"/>
        </w:rPr>
        <w:t xml:space="preserve">Benzinga Healthcare Small Cap Conference, Presentation and Panel Discussion: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31"/>
        <w:gridCol w:w="216"/>
        <w:gridCol w:w="9158"/>
      </w:tblGrid>
      <w:tr>
        <w:trPr/>
        <w:tc>
          <w:tcPr>
            <w:tcW w:w="83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9158" w:type="dxa"/>
            <w:tcBorders/>
            <w:shd w:fill="auto" w:val="clear"/>
            <w:vAlign w:val="center"/>
          </w:tcPr>
          <w:p>
            <w:pPr>
              <w:pStyle w:val="TableContents"/>
              <w:spacing w:before="0" w:after="283"/>
              <w:rPr>
                <w:sz w:val="4"/>
                <w:szCs w:val="4"/>
              </w:rPr>
            </w:pPr>
            <w:r>
              <w:rPr>
                <w:sz w:val="4"/>
                <w:szCs w:val="4"/>
              </w:rPr>
            </w:r>
          </w:p>
        </w:tc>
      </w:tr>
      <w:tr>
        <w:trPr/>
        <w:tc>
          <w:tcPr>
            <w:tcW w:w="831" w:type="dxa"/>
            <w:tcBorders/>
            <w:shd w:fill="auto" w:val="clear"/>
            <w:vAlign w:val="bottom"/>
          </w:tcPr>
          <w:p>
            <w:pPr>
              <w:pStyle w:val="TableContents"/>
              <w:spacing w:before="0" w:after="283"/>
              <w:rPr/>
            </w:pPr>
            <w:r>
              <w:rPr/>
              <w:t>Date:</w:t>
            </w:r>
          </w:p>
        </w:tc>
        <w:tc>
          <w:tcPr>
            <w:tcW w:w="216" w:type="dxa"/>
            <w:tcBorders/>
            <w:shd w:fill="auto" w:val="clear"/>
            <w:vAlign w:val="bottom"/>
          </w:tcPr>
          <w:p>
            <w:pPr>
              <w:pStyle w:val="TableContents"/>
              <w:spacing w:before="0" w:after="283"/>
              <w:rPr/>
            </w:pPr>
            <w:r>
              <w:rPr/>
              <w:t>  </w:t>
            </w:r>
          </w:p>
        </w:tc>
        <w:tc>
          <w:tcPr>
            <w:tcW w:w="91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Thursday, September 30, 2021</w:t>
            </w:r>
          </w:p>
        </w:tc>
      </w:tr>
      <w:tr>
        <w:trPr>
          <w:trHeight w:val="120" w:hRule="atLeast"/>
        </w:trPr>
        <w:tc>
          <w:tcPr>
            <w:tcW w:w="831" w:type="dxa"/>
            <w:tcBorders/>
            <w:shd w:fill="auto" w:val="clear"/>
            <w:vAlign w:val="center"/>
          </w:tcPr>
          <w:p>
            <w:pPr>
              <w:pStyle w:val="TableContents"/>
              <w:spacing w:before="0" w:after="283"/>
              <w:rPr>
                <w:sz w:val="4"/>
                <w:szCs w:val="4"/>
              </w:rPr>
            </w:pPr>
            <w:r>
              <w:rPr>
                <w:sz w:val="4"/>
                <w:szCs w:val="4"/>
              </w:rPr>
            </w:r>
          </w:p>
        </w:tc>
        <w:tc>
          <w:tcPr>
            <w:tcW w:w="9374" w:type="dxa"/>
            <w:gridSpan w:val="2"/>
            <w:tcBorders/>
            <w:shd w:fill="auto" w:val="clear"/>
            <w:vAlign w:val="center"/>
          </w:tcPr>
          <w:p>
            <w:pPr>
              <w:pStyle w:val="TableContents"/>
              <w:spacing w:before="0" w:after="283"/>
              <w:rPr>
                <w:sz w:val="4"/>
                <w:szCs w:val="4"/>
              </w:rPr>
            </w:pPr>
            <w:r>
              <w:rPr>
                <w:sz w:val="4"/>
                <w:szCs w:val="4"/>
              </w:rPr>
            </w:r>
          </w:p>
        </w:tc>
      </w:tr>
      <w:tr>
        <w:trPr/>
        <w:tc>
          <w:tcPr>
            <w:tcW w:w="831" w:type="dxa"/>
            <w:tcBorders/>
            <w:shd w:fill="auto" w:val="clear"/>
            <w:vAlign w:val="bottom"/>
          </w:tcPr>
          <w:p>
            <w:pPr>
              <w:pStyle w:val="TableContents"/>
              <w:spacing w:before="0" w:after="283"/>
              <w:rPr/>
            </w:pPr>
            <w:r>
              <w:rPr/>
              <w:t>Time:</w:t>
            </w:r>
          </w:p>
        </w:tc>
        <w:tc>
          <w:tcPr>
            <w:tcW w:w="216" w:type="dxa"/>
            <w:tcBorders/>
            <w:shd w:fill="auto" w:val="clear"/>
            <w:vAlign w:val="bottom"/>
          </w:tcPr>
          <w:p>
            <w:pPr>
              <w:pStyle w:val="TableContents"/>
              <w:spacing w:before="0" w:after="283"/>
              <w:rPr/>
            </w:pPr>
            <w:r>
              <w:rPr/>
              <w:t>  </w:t>
            </w:r>
          </w:p>
        </w:tc>
        <w:tc>
          <w:tcPr>
            <w:tcW w:w="915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12:15PM ET</w:t>
            </w:r>
          </w:p>
        </w:tc>
      </w:tr>
      <w:tr>
        <w:trPr>
          <w:trHeight w:val="120" w:hRule="atLeast"/>
        </w:trPr>
        <w:tc>
          <w:tcPr>
            <w:tcW w:w="831" w:type="dxa"/>
            <w:tcBorders/>
            <w:shd w:fill="auto" w:val="clear"/>
            <w:vAlign w:val="center"/>
          </w:tcPr>
          <w:p>
            <w:pPr>
              <w:pStyle w:val="TableContents"/>
              <w:spacing w:before="0" w:after="283"/>
              <w:rPr>
                <w:sz w:val="4"/>
                <w:szCs w:val="4"/>
              </w:rPr>
            </w:pPr>
            <w:r>
              <w:rPr>
                <w:sz w:val="4"/>
                <w:szCs w:val="4"/>
              </w:rPr>
            </w:r>
          </w:p>
        </w:tc>
        <w:tc>
          <w:tcPr>
            <w:tcW w:w="9374" w:type="dxa"/>
            <w:gridSpan w:val="2"/>
            <w:tcBorders/>
            <w:shd w:fill="auto" w:val="clear"/>
            <w:vAlign w:val="center"/>
          </w:tcPr>
          <w:p>
            <w:pPr>
              <w:pStyle w:val="TableContents"/>
              <w:spacing w:before="0" w:after="283"/>
              <w:rPr>
                <w:sz w:val="4"/>
                <w:szCs w:val="4"/>
              </w:rPr>
            </w:pPr>
            <w:r>
              <w:rPr>
                <w:sz w:val="4"/>
                <w:szCs w:val="4"/>
              </w:rPr>
            </w:r>
          </w:p>
        </w:tc>
      </w:tr>
      <w:tr>
        <w:trPr/>
        <w:tc>
          <w:tcPr>
            <w:tcW w:w="831" w:type="dxa"/>
            <w:tcBorders/>
            <w:shd w:fill="auto" w:val="clear"/>
            <w:vAlign w:val="bottom"/>
          </w:tcPr>
          <w:p>
            <w:pPr>
              <w:pStyle w:val="TableContents"/>
              <w:spacing w:before="0" w:after="283"/>
              <w:rPr/>
            </w:pPr>
            <w:r>
              <w:rPr/>
              <w:t>Webcast:</w:t>
            </w:r>
          </w:p>
        </w:tc>
        <w:tc>
          <w:tcPr>
            <w:tcW w:w="216" w:type="dxa"/>
            <w:tcBorders/>
            <w:shd w:fill="auto" w:val="clear"/>
            <w:vAlign w:val="bottom"/>
          </w:tcPr>
          <w:p>
            <w:pPr>
              <w:pStyle w:val="TableContents"/>
              <w:spacing w:before="0" w:after="283"/>
              <w:rPr/>
            </w:pPr>
            <w:r>
              <w:rPr/>
              <w:t>  </w:t>
            </w:r>
          </w:p>
        </w:tc>
        <w:tc>
          <w:tcPr>
            <w:tcW w:w="9158" w:type="dxa"/>
            <w:tcBorders/>
            <w:shd w:fill="auto" w:val="clear"/>
            <w:vAlign w:val="bottom"/>
          </w:tcPr>
          <w:p>
            <w:pPr>
              <w:pStyle w:val="TableContents"/>
              <w:spacing w:before="0" w:after="0"/>
              <w:rPr>
                <w:rFonts w:ascii="Times New Roman" w:hAnsi="Times New Roman"/>
                <w:sz w:val="20"/>
                <w:u w:val="single"/>
              </w:rPr>
            </w:pPr>
            <w:r>
              <w:rPr>
                <w:rFonts w:ascii="Times New Roman" w:hAnsi="Times New Roman"/>
                <w:sz w:val="20"/>
                <w:u w:val="single"/>
              </w:rPr>
              <w:t>https://www.benzinga.com/events/small-cap/healthcare/september-30-track-2/</w:t>
            </w:r>
          </w:p>
        </w:tc>
      </w:tr>
    </w:tbl>
    <w:p>
      <w:pPr>
        <w:pStyle w:val="TextBody"/>
        <w:spacing w:before="240" w:after="0"/>
        <w:jc w:val="left"/>
        <w:rPr>
          <w:rFonts w:ascii="Times New Roman" w:hAnsi="Times New Roman"/>
          <w:sz w:val="20"/>
        </w:rPr>
      </w:pPr>
      <w:r>
        <w:rPr>
          <w:rFonts w:ascii="Times New Roman" w:hAnsi="Times New Roman"/>
          <w:sz w:val="20"/>
        </w:rPr>
        <w:t>Immediately following the presentation, Mr. Drysdale will participate on a panel, </w:t>
      </w:r>
      <w:r>
        <w:rPr>
          <w:rFonts w:ascii="Times New Roman" w:hAnsi="Times New Roman"/>
          <w:i/>
          <w:sz w:val="20"/>
        </w:rPr>
        <w:t>Addressing Mental Health through Emerging Therapies,</w:t>
      </w:r>
      <w:r>
        <w:rPr>
          <w:rFonts w:ascii="Times New Roman" w:hAnsi="Times New Roman"/>
          <w:sz w:val="20"/>
        </w:rPr>
        <w:t xml:space="preserve"> at 12:35PM ET. Both the presentation and panel discussion will be webcast live using the link above.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About Cybin </w:t>
      </w:r>
    </w:p>
    <w:p>
      <w:pPr>
        <w:pStyle w:val="TextBody"/>
        <w:spacing w:before="120" w:after="0"/>
        <w:jc w:val="left"/>
        <w:rPr>
          <w:rFonts w:ascii="Times New Roman" w:hAnsi="Times New Roman"/>
          <w:sz w:val="20"/>
        </w:rPr>
      </w:pPr>
      <w:r>
        <w:rPr>
          <w:rFonts w:ascii="Times New Roman" w:hAnsi="Times New Roman"/>
          <w:sz w:val="20"/>
        </w:rPr>
        <w:t xml:space="preserve">Cybin is a leading biotechnology company focused on progressing psychedelic therapeutics by utilizing proprietary drug discovery platforms, innovative drug delivery systems, novel formulation approaches and treatment regimens for psychiatric disorders. </w:t>
      </w:r>
    </w:p>
    <w:p>
      <w:pPr>
        <w:pStyle w:val="TextBody"/>
        <w:spacing w:before="360" w:after="0"/>
        <w:jc w:val="left"/>
        <w:rPr>
          <w:rFonts w:ascii="Times New Roman" w:hAnsi="Times New Roman"/>
          <w:b/>
          <w:sz w:val="20"/>
        </w:rPr>
      </w:pPr>
      <w:r>
        <w:rPr>
          <w:rFonts w:ascii="Times New Roman" w:hAnsi="Times New Roman"/>
          <w:b/>
          <w:sz w:val="20"/>
        </w:rPr>
        <w:t xml:space="preserve">Cautionary Notes and Forward-Looking Statements </w:t>
      </w:r>
    </w:p>
    <w:p>
      <w:pPr>
        <w:pStyle w:val="TextBody"/>
        <w:spacing w:before="120" w:after="0"/>
        <w:jc w:val="left"/>
        <w:rPr>
          <w:rFonts w:ascii="Times New Roman" w:hAnsi="Times New Roman"/>
          <w:sz w:val="20"/>
        </w:rPr>
      </w:pPr>
      <w:r>
        <w:rPr>
          <w:rFonts w:ascii="Times New Roman" w:hAnsi="Times New Roman"/>
          <w:sz w:val="20"/>
        </w:rPr>
        <w:t xml:space="preserve">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enhanced liquidity, the value of additional capital markets exposure, access to institutional and retail investors, the Companys new strategic brand messaging campaign, and psychedelic drug development programs to potentially treat mental health disorders. There are numerous risks and uncertainties that could cause actual results and Cybins plans and objectives to differ materially from those expressed in the forward-looking information. Actual results and future events could differ materially from those anticipated in such information. These and all subsequent written and oral forward-looking information are based on estimates and opinions of management on the dates they are made and are expressly qualified in their entirety by this notice. Except as required by law, the Company does not intend to update these forward-looking statements. </w:t>
      </w:r>
    </w:p>
    <w:p>
      <w:pPr>
        <w:pStyle w:val="TextBody"/>
        <w:spacing w:before="240" w:after="0"/>
        <w:jc w:val="left"/>
        <w:rPr>
          <w:rFonts w:ascii="Times New Roman" w:hAnsi="Times New Roman"/>
          <w:sz w:val="20"/>
        </w:rPr>
      </w:pPr>
      <w:r>
        <w:rPr>
          <w:rFonts w:ascii="Times New Roman" w:hAnsi="Times New Roman"/>
          <w:sz w:val="20"/>
        </w:rPr>
        <w:t xml:space="preserve">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have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pStyle w:val="TextBody"/>
        <w:spacing w:before="240" w:after="0"/>
        <w:jc w:val="left"/>
        <w:rPr>
          <w:rFonts w:ascii="Times New Roman" w:hAnsi="Times New Roman"/>
          <w:i/>
          <w:sz w:val="20"/>
        </w:rPr>
      </w:pPr>
      <w:r>
        <w:rPr>
          <w:rFonts w:ascii="Times New Roman" w:hAnsi="Times New Roman"/>
          <w:i/>
          <w:sz w:val="20"/>
        </w:rPr>
        <w:t xml:space="preserve">The NEO Exchange has neither approved nor disapproved the contents of this news release and is not responsible for the adequacy and accuracy of the contents herein.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Investor Contacts:</w:t>
      </w:r>
    </w:p>
    <w:p>
      <w:pPr>
        <w:pStyle w:val="TextBody"/>
        <w:spacing w:before="120" w:after="0"/>
        <w:jc w:val="left"/>
        <w:rPr>
          <w:rFonts w:ascii="Times New Roman" w:hAnsi="Times New Roman"/>
          <w:sz w:val="20"/>
        </w:rPr>
      </w:pPr>
      <w:r>
        <w:rPr>
          <w:rFonts w:ascii="Times New Roman" w:hAnsi="Times New Roman"/>
          <w:sz w:val="20"/>
        </w:rPr>
        <w:t xml:space="preserve">Tim Regan/Scott Eckstein </w:t>
      </w:r>
    </w:p>
    <w:p>
      <w:pPr>
        <w:pStyle w:val="TextBody"/>
        <w:spacing w:before="0" w:after="0"/>
        <w:jc w:val="left"/>
        <w:rPr>
          <w:rFonts w:ascii="Times New Roman" w:hAnsi="Times New Roman"/>
          <w:sz w:val="20"/>
        </w:rPr>
      </w:pPr>
      <w:r>
        <w:rPr>
          <w:rFonts w:ascii="Times New Roman" w:hAnsi="Times New Roman"/>
          <w:sz w:val="20"/>
        </w:rPr>
        <w:t xml:space="preserve">KCSA Strategic Communications </w:t>
      </w:r>
    </w:p>
    <w:p>
      <w:pPr>
        <w:pStyle w:val="TextBody"/>
        <w:spacing w:before="0" w:after="0"/>
        <w:jc w:val="left"/>
        <w:rPr>
          <w:rFonts w:ascii="Times New Roman" w:hAnsi="Times New Roman"/>
          <w:sz w:val="20"/>
          <w:u w:val="single"/>
        </w:rPr>
      </w:pPr>
      <w:r>
        <w:rPr>
          <w:rFonts w:ascii="Times New Roman" w:hAnsi="Times New Roman"/>
          <w:sz w:val="20"/>
          <w:u w:val="single"/>
        </w:rPr>
        <w:t>Cybin@kcsa.com</w:t>
      </w:r>
    </w:p>
    <w:p>
      <w:pPr>
        <w:pStyle w:val="TextBody"/>
        <w:spacing w:before="120" w:after="0"/>
        <w:jc w:val="left"/>
        <w:rPr>
          <w:rFonts w:ascii="Times New Roman" w:hAnsi="Times New Roman"/>
          <w:sz w:val="20"/>
        </w:rPr>
      </w:pPr>
      <w:r>
        <w:rPr>
          <w:rFonts w:ascii="Times New Roman" w:hAnsi="Times New Roman"/>
          <w:sz w:val="20"/>
        </w:rPr>
        <w:t xml:space="preserve">Lisa M. Wilson </w:t>
      </w:r>
    </w:p>
    <w:p>
      <w:pPr>
        <w:pStyle w:val="TextBody"/>
        <w:spacing w:before="0" w:after="0"/>
        <w:jc w:val="left"/>
        <w:rPr>
          <w:rFonts w:ascii="Times New Roman" w:hAnsi="Times New Roman"/>
          <w:sz w:val="20"/>
        </w:rPr>
      </w:pPr>
      <w:r>
        <w:rPr>
          <w:rFonts w:ascii="Times New Roman" w:hAnsi="Times New Roman"/>
          <w:sz w:val="20"/>
        </w:rPr>
        <w:t xml:space="preserve">In-Site Communications, Inc. </w:t>
      </w:r>
    </w:p>
    <w:p>
      <w:pPr>
        <w:pStyle w:val="TextBody"/>
        <w:spacing w:before="0" w:after="0"/>
        <w:jc w:val="left"/>
        <w:rPr>
          <w:rFonts w:ascii="Times New Roman" w:hAnsi="Times New Roman"/>
          <w:sz w:val="20"/>
          <w:u w:val="single"/>
        </w:rPr>
      </w:pPr>
      <w:r>
        <w:rPr>
          <w:rFonts w:ascii="Times New Roman" w:hAnsi="Times New Roman"/>
          <w:sz w:val="20"/>
          <w:u w:val="single"/>
        </w:rPr>
        <w:t xml:space="preserve">lwilson@insitecony.com </w:t>
      </w:r>
    </w:p>
    <w:p>
      <w:pPr>
        <w:pStyle w:val="TextBody"/>
        <w:spacing w:before="240" w:after="0"/>
        <w:jc w:val="left"/>
        <w:rPr>
          <w:rFonts w:ascii="Times New Roman" w:hAnsi="Times New Roman"/>
          <w:sz w:val="20"/>
        </w:rPr>
      </w:pPr>
      <w:r>
        <w:rPr>
          <w:rFonts w:ascii="Times New Roman" w:hAnsi="Times New Roman"/>
          <w:b/>
          <w:sz w:val="20"/>
        </w:rPr>
        <w:t>Media Contact</w:t>
      </w:r>
      <w:r>
        <w:rPr>
          <w:rFonts w:ascii="Times New Roman" w:hAnsi="Times New Roman"/>
          <w:sz w:val="20"/>
        </w:rPr>
        <w:t>:</w:t>
      </w:r>
    </w:p>
    <w:p>
      <w:pPr>
        <w:pStyle w:val="TextBody"/>
        <w:spacing w:before="120" w:after="0"/>
        <w:jc w:val="left"/>
        <w:rPr>
          <w:rFonts w:ascii="Times New Roman" w:hAnsi="Times New Roman"/>
          <w:sz w:val="20"/>
        </w:rPr>
      </w:pPr>
      <w:r>
        <w:rPr>
          <w:rFonts w:ascii="Times New Roman" w:hAnsi="Times New Roman"/>
          <w:sz w:val="20"/>
        </w:rPr>
        <w:t xml:space="preserve">John Kanakis </w:t>
      </w:r>
    </w:p>
    <w:p>
      <w:pPr>
        <w:pStyle w:val="TextBody"/>
        <w:spacing w:before="0" w:after="0"/>
        <w:jc w:val="left"/>
        <w:rPr>
          <w:rFonts w:ascii="Times New Roman" w:hAnsi="Times New Roman"/>
          <w:sz w:val="20"/>
        </w:rPr>
      </w:pPr>
      <w:r>
        <w:rPr>
          <w:rFonts w:ascii="Times New Roman" w:hAnsi="Times New Roman"/>
          <w:sz w:val="20"/>
        </w:rPr>
        <w:t xml:space="preserve">Cybin Inc. </w:t>
      </w:r>
    </w:p>
    <w:p>
      <w:pPr>
        <w:pStyle w:val="TextBody"/>
        <w:spacing w:before="0" w:after="0"/>
        <w:jc w:val="left"/>
        <w:rPr>
          <w:rFonts w:ascii="Times New Roman" w:hAnsi="Times New Roman"/>
          <w:sz w:val="20"/>
          <w:u w:val="single"/>
        </w:rPr>
      </w:pPr>
      <w:r>
        <w:rPr>
          <w:rFonts w:ascii="Times New Roman" w:hAnsi="Times New Roman"/>
          <w:sz w:val="20"/>
          <w:u w:val="single"/>
        </w:rPr>
        <w:t xml:space="preserve">John@cybin.com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1008</Words>
  <CharactersWithSpaces>6661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