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0"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UNITED STATES</w:t>
      </w:r>
    </w:p>
    <w:p>
      <w:pPr>
        <w:spacing w:after="0" w:line="11"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SECURITIES AND EXCHANGE COMMISSION</w:t>
      </w:r>
    </w:p>
    <w:p>
      <w:pPr>
        <w:jc w:val="center"/>
        <w:ind w:right="-1120"/>
        <w:spacing w:after="0"/>
        <w:rPr>
          <w:sz w:val="20"/>
          <w:szCs w:val="20"/>
          <w:color w:val="auto"/>
        </w:rPr>
      </w:pPr>
      <w:r>
        <w:rPr>
          <w:rFonts w:ascii="Arial" w:cs="Arial" w:eastAsia="Arial" w:hAnsi="Arial"/>
          <w:sz w:val="18"/>
          <w:szCs w:val="18"/>
          <w:b w:val="1"/>
          <w:bCs w:val="1"/>
          <w:color w:val="auto"/>
        </w:rPr>
        <w:t>Washington, D.C. 20549</w:t>
      </w:r>
    </w:p>
    <w:p>
      <w:pPr>
        <w:spacing w:after="0" w:line="192"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Form 6-K</w:t>
      </w:r>
    </w:p>
    <w:p>
      <w:pPr>
        <w:spacing w:after="0" w:line="212" w:lineRule="exact"/>
        <w:rPr>
          <w:sz w:val="24"/>
          <w:szCs w:val="24"/>
          <w:color w:val="auto"/>
        </w:rPr>
      </w:pPr>
    </w:p>
    <w:p>
      <w:pPr>
        <w:jc w:val="center"/>
        <w:ind w:right="-1120"/>
        <w:spacing w:after="0"/>
        <w:rPr>
          <w:sz w:val="20"/>
          <w:szCs w:val="20"/>
          <w:color w:val="auto"/>
        </w:rPr>
      </w:pPr>
      <w:r>
        <w:rPr>
          <w:rFonts w:ascii="Arial" w:cs="Arial" w:eastAsia="Arial" w:hAnsi="Arial"/>
          <w:sz w:val="17"/>
          <w:szCs w:val="17"/>
          <w:b w:val="1"/>
          <w:bCs w:val="1"/>
          <w:color w:val="auto"/>
        </w:rPr>
        <w:t>REPORT OF FOREIGN PRIVATE ISSUER PURSUANT TO RULE 13a-16 OR 15d-16</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74" w:lineRule="exact"/>
        <w:rPr>
          <w:sz w:val="24"/>
          <w:szCs w:val="24"/>
          <w:color w:val="auto"/>
        </w:rPr>
      </w:pPr>
    </w:p>
    <w:p>
      <w:pPr>
        <w:spacing w:after="0"/>
        <w:rPr>
          <w:sz w:val="20"/>
          <w:szCs w:val="20"/>
          <w:color w:val="auto"/>
        </w:rPr>
      </w:pPr>
      <w:r>
        <w:rPr>
          <w:rFonts w:ascii="Arial" w:cs="Arial" w:eastAsia="Arial" w:hAnsi="Arial"/>
          <w:sz w:val="18"/>
          <w:szCs w:val="18"/>
          <w:color w:val="auto"/>
        </w:rPr>
        <w:t>For the month of November, 2023.</w:t>
      </w:r>
    </w:p>
    <w:p>
      <w:pPr>
        <w:spacing w:after="0" w:line="86"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001-40673</w:t>
      </w:r>
    </w:p>
    <w:p>
      <w:pPr>
        <w:spacing w:after="0" w:line="391" w:lineRule="exact"/>
        <w:rPr>
          <w:sz w:val="24"/>
          <w:szCs w:val="24"/>
          <w:color w:val="auto"/>
        </w:rPr>
      </w:pPr>
    </w:p>
    <w:p>
      <w:pPr>
        <w:jc w:val="center"/>
        <w:ind w:right="-1120"/>
        <w:spacing w:after="0"/>
        <w:rPr>
          <w:sz w:val="20"/>
          <w:szCs w:val="20"/>
          <w:color w:val="auto"/>
        </w:rPr>
      </w:pPr>
      <w:r>
        <w:rPr>
          <w:rFonts w:ascii="Arial" w:cs="Arial" w:eastAsia="Arial" w:hAnsi="Arial"/>
          <w:sz w:val="22"/>
          <w:szCs w:val="22"/>
          <w:b w:val="1"/>
          <w:bCs w:val="1"/>
          <w:u w:val="single" w:color="auto"/>
          <w:color w:val="auto"/>
        </w:rPr>
        <w:t>Cybin Inc.</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(Exact Name of Registrant as Specified in Charter)</w:t>
      </w:r>
    </w:p>
    <w:p>
      <w:pPr>
        <w:spacing w:after="0" w:line="183"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100 King Street West, Suite 5600, Toronto, Ontario, M5X 1C9</w:t>
      </w:r>
    </w:p>
    <w:p>
      <w:pPr>
        <w:spacing w:after="0" w:line="16"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(Address of principal executive offices)</w:t>
      </w:r>
    </w:p>
    <w:p>
      <w:pPr>
        <w:spacing w:after="0" w:line="236" w:lineRule="exact"/>
        <w:rPr>
          <w:sz w:val="24"/>
          <w:szCs w:val="24"/>
          <w:color w:val="auto"/>
        </w:rPr>
      </w:pPr>
    </w:p>
    <w:p>
      <w:pPr>
        <w:ind w:right="1839"/>
        <w:spacing w:after="0" w:line="264" w:lineRule="exact"/>
        <w:rPr>
          <w:sz w:val="20"/>
          <w:szCs w:val="20"/>
          <w:color w:val="auto"/>
        </w:rPr>
      </w:pPr>
      <w:r>
        <w:rPr>
          <w:rFonts w:ascii="Arial" w:cs="Arial" w:eastAsia="Arial" w:hAnsi="Arial"/>
          <w:sz w:val="18"/>
          <w:szCs w:val="18"/>
          <w:color w:val="auto"/>
        </w:rPr>
        <w:t xml:space="preserve">Indicate by check mark whether the registrant files or will file annual reports under cover Form 20-F or Form 40-F. Form 20-F </w:t>
      </w:r>
      <w:r>
        <w:rPr>
          <w:rFonts w:ascii="Arial" w:cs="Arial" w:eastAsia="Arial" w:hAnsi="Arial"/>
          <w:sz w:val="25"/>
          <w:szCs w:val="25"/>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ectPr>
          <w:pgSz w:w="11900" w:h="16838" w:orient="portrait"/>
          <w:cols w:equalWidth="0" w:num="1">
            <w:col w:w="10139"/>
          </w:cols>
          <w:pgMar w:left="320" w:top="1440" w:right="1440" w:bottom="1440" w:gutter="0" w:footer="0" w:header="0"/>
        </w:sectPr>
      </w:pPr>
    </w:p>
    <w:bookmarkStart w:id="1" w:name="page2"/>
    <w:bookmarkEnd w:id="1"/>
    <w:p>
      <w:pPr>
        <w:jc w:val="center"/>
        <w:ind w:right="-319"/>
        <w:spacing w:after="0"/>
        <w:rPr>
          <w:sz w:val="20"/>
          <w:szCs w:val="20"/>
          <w:color w:val="auto"/>
        </w:rPr>
      </w:pPr>
      <w:r>
        <w:rPr>
          <w:rFonts w:ascii="Arial" w:cs="Arial" w:eastAsia="Arial" w:hAnsi="Arial"/>
          <w:sz w:val="18"/>
          <w:szCs w:val="18"/>
          <w:b w:val="1"/>
          <w:bCs w:val="1"/>
          <w:color w:val="auto"/>
        </w:rPr>
        <w:t>SIGNATURE</w:t>
      </w:r>
    </w:p>
    <w:p>
      <w:pPr>
        <w:spacing w:after="0" w:line="94"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9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0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Arial" w:cs="Arial" w:eastAsia="Arial" w:hAnsi="Arial"/>
                <w:sz w:val="18"/>
                <w:szCs w:val="18"/>
                <w:b w:val="1"/>
                <w:bCs w:val="1"/>
                <w:color w:val="auto"/>
              </w:rPr>
              <w:t>CYBIN INC.</w:t>
            </w:r>
          </w:p>
        </w:tc>
      </w:tr>
      <w:tr>
        <w:trPr>
          <w:trHeight w:val="257"/>
        </w:trPr>
        <w:tc>
          <w:tcPr>
            <w:tcW w:w="5600" w:type="dxa"/>
            <w:vAlign w:val="bottom"/>
          </w:tcPr>
          <w:p>
            <w:pPr>
              <w:spacing w:after="0"/>
              <w:rPr>
                <w:sz w:val="22"/>
                <w:szCs w:val="22"/>
                <w:color w:val="auto"/>
              </w:rPr>
            </w:pPr>
          </w:p>
        </w:tc>
        <w:tc>
          <w:tcPr>
            <w:tcW w:w="4640" w:type="dxa"/>
            <w:vAlign w:val="bottom"/>
            <w:gridSpan w:val="2"/>
          </w:tcPr>
          <w:p>
            <w:pPr>
              <w:ind w:left="20"/>
              <w:spacing w:after="0"/>
              <w:rPr>
                <w:sz w:val="20"/>
                <w:szCs w:val="20"/>
                <w:color w:val="auto"/>
              </w:rPr>
            </w:pPr>
            <w:r>
              <w:rPr>
                <w:rFonts w:ascii="Arial" w:cs="Arial" w:eastAsia="Arial" w:hAnsi="Arial"/>
                <w:sz w:val="18"/>
                <w:szCs w:val="18"/>
                <w:color w:val="auto"/>
              </w:rPr>
              <w:t>(Registrant)</w:t>
            </w:r>
          </w:p>
        </w:tc>
      </w:tr>
      <w:tr>
        <w:trPr>
          <w:trHeight w:val="520"/>
        </w:trPr>
        <w:tc>
          <w:tcPr>
            <w:tcW w:w="5600" w:type="dxa"/>
            <w:vAlign w:val="bottom"/>
          </w:tcPr>
          <w:p>
            <w:pPr>
              <w:spacing w:after="0"/>
              <w:rPr>
                <w:sz w:val="20"/>
                <w:szCs w:val="20"/>
                <w:color w:val="auto"/>
              </w:rPr>
            </w:pPr>
            <w:r>
              <w:rPr>
                <w:rFonts w:ascii="Arial" w:cs="Arial" w:eastAsia="Arial" w:hAnsi="Arial"/>
                <w:sz w:val="18"/>
                <w:szCs w:val="18"/>
                <w:color w:val="auto"/>
              </w:rPr>
              <w:t>Date:   November 15, 2023</w:t>
            </w:r>
          </w:p>
        </w:tc>
        <w:tc>
          <w:tcPr>
            <w:tcW w:w="6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ind w:left="140"/>
              <w:spacing w:after="0"/>
              <w:rPr>
                <w:sz w:val="20"/>
                <w:szCs w:val="20"/>
                <w:color w:val="auto"/>
              </w:rPr>
            </w:pPr>
            <w:r>
              <w:rPr>
                <w:rFonts w:ascii="Arial" w:cs="Arial" w:eastAsia="Arial" w:hAnsi="Arial"/>
                <w:sz w:val="18"/>
                <w:szCs w:val="18"/>
                <w:i w:val="1"/>
                <w:iCs w:val="1"/>
                <w:color w:val="auto"/>
              </w:rPr>
              <w:t>/s/ Doug Drysdale</w:t>
            </w:r>
          </w:p>
        </w:tc>
      </w:tr>
      <w:tr>
        <w:trPr>
          <w:trHeight w:val="243"/>
        </w:trPr>
        <w:tc>
          <w:tcPr>
            <w:tcW w:w="560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Name:</w:t>
            </w:r>
          </w:p>
        </w:tc>
        <w:tc>
          <w:tcPr>
            <w:tcW w:w="4000" w:type="dxa"/>
            <w:vAlign w:val="bottom"/>
          </w:tcPr>
          <w:p>
            <w:pPr>
              <w:ind w:left="140"/>
              <w:spacing w:after="0"/>
              <w:rPr>
                <w:sz w:val="20"/>
                <w:szCs w:val="20"/>
                <w:color w:val="auto"/>
              </w:rPr>
            </w:pPr>
            <w:r>
              <w:rPr>
                <w:rFonts w:ascii="Arial" w:cs="Arial" w:eastAsia="Arial" w:hAnsi="Arial"/>
                <w:sz w:val="18"/>
                <w:szCs w:val="18"/>
                <w:color w:val="auto"/>
              </w:rPr>
              <w:t>Doug Drysdale</w:t>
            </w:r>
          </w:p>
        </w:tc>
      </w:tr>
      <w:tr>
        <w:trPr>
          <w:trHeight w:val="256"/>
        </w:trPr>
        <w:tc>
          <w:tcPr>
            <w:tcW w:w="5600" w:type="dxa"/>
            <w:vAlign w:val="bottom"/>
          </w:tcPr>
          <w:p>
            <w:pPr>
              <w:spacing w:after="0"/>
              <w:rPr>
                <w:sz w:val="22"/>
                <w:szCs w:val="22"/>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Title:</w:t>
            </w:r>
          </w:p>
        </w:tc>
        <w:tc>
          <w:tcPr>
            <w:tcW w:w="4000" w:type="dxa"/>
            <w:vAlign w:val="bottom"/>
          </w:tcPr>
          <w:p>
            <w:pPr>
              <w:ind w:left="14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0920"/>
          </w:cols>
          <w:pgMar w:left="320" w:top="1417" w:right="659" w:bottom="1440" w:gutter="0" w:footer="0" w:header="0"/>
        </w:sectPr>
      </w:pPr>
    </w:p>
    <w:bookmarkStart w:id="2" w:name="page3"/>
    <w:bookmarkEnd w:id="2"/>
    <w:p>
      <w:pPr>
        <w:jc w:val="right"/>
        <w:ind w:right="3819"/>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39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u w:val="single" w:color="auto"/>
          <w:color w:val="0000FF"/>
        </w:rPr>
        <w:t>News Release dated November 15, 2023</w:t>
      </w:r>
    </w:p>
    <w:p>
      <w:pPr>
        <w:sectPr>
          <w:pgSz w:w="11900" w:h="16838" w:orient="portrait"/>
          <w:cols w:equalWidth="0" w:num="1">
            <w:col w:w="10119"/>
          </w:cols>
          <w:pgMar w:left="340" w:top="1417"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2891155</wp:posOffset>
            </wp:positionH>
            <wp:positionV relativeFrom="page">
              <wp:posOffset>1066165</wp:posOffset>
            </wp:positionV>
            <wp:extent cx="1765935" cy="10287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765935" cy="1028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Cybin Announces Poster Presentation at Neuroscience 2023 Annual Meeting</w:t>
      </w:r>
    </w:p>
    <w:p>
      <w:pPr>
        <w:spacing w:after="0" w:line="323" w:lineRule="exact"/>
        <w:rPr>
          <w:sz w:val="20"/>
          <w:szCs w:val="20"/>
          <w:color w:val="auto"/>
        </w:rPr>
      </w:pPr>
    </w:p>
    <w:p>
      <w:pPr>
        <w:jc w:val="both"/>
        <w:spacing w:after="0" w:line="287" w:lineRule="auto"/>
        <w:rPr>
          <w:sz w:val="20"/>
          <w:szCs w:val="20"/>
          <w:color w:val="auto"/>
        </w:rPr>
      </w:pPr>
      <w:r>
        <w:rPr>
          <w:rFonts w:ascii="Arial" w:cs="Arial" w:eastAsia="Arial" w:hAnsi="Arial"/>
          <w:sz w:val="20"/>
          <w:szCs w:val="20"/>
          <w:b w:val="1"/>
          <w:bCs w:val="1"/>
          <w:color w:val="auto"/>
        </w:rPr>
        <w:t xml:space="preserve">TORONTO, CANADA </w:t>
      </w:r>
      <w:r>
        <w:rPr>
          <w:rFonts w:ascii="Arial" w:cs="Arial" w:eastAsia="Arial" w:hAnsi="Arial"/>
          <w:sz w:val="20"/>
          <w:szCs w:val="20"/>
          <w:color w:val="auto"/>
        </w:rPr>
        <w:t>– November 15, 2023 –</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0563C1"/>
        </w:rPr>
        <w:t>Cybin Inc.</w:t>
      </w:r>
      <w:r>
        <w:rPr>
          <w:rFonts w:ascii="Arial" w:cs="Arial" w:eastAsia="Arial" w:hAnsi="Arial"/>
          <w:sz w:val="20"/>
          <w:szCs w:val="20"/>
          <w:b w:val="1"/>
          <w:bCs w:val="1"/>
          <w:color w:val="auto"/>
        </w:rPr>
        <w:t xml:space="preserve"> </w:t>
      </w:r>
      <w:r>
        <w:rPr>
          <w:rFonts w:ascii="Arial" w:cs="Arial" w:eastAsia="Arial" w:hAnsi="Arial"/>
          <w:sz w:val="20"/>
          <w:szCs w:val="20"/>
          <w:color w:val="auto"/>
        </w:rPr>
        <w:t>(NYSE American:CYBN) (NEO:CYBN) (“</w:t>
      </w:r>
      <w:r>
        <w:rPr>
          <w:rFonts w:ascii="Arial" w:cs="Arial" w:eastAsia="Arial" w:hAnsi="Arial"/>
          <w:sz w:val="20"/>
          <w:szCs w:val="20"/>
          <w:b w:val="1"/>
          <w:bCs w:val="1"/>
          <w:color w:val="auto"/>
        </w:rPr>
        <w:t>Cybin</w:t>
      </w:r>
      <w:r>
        <w:rPr>
          <w:rFonts w:ascii="Arial" w:cs="Arial" w:eastAsia="Arial" w:hAnsi="Arial"/>
          <w:sz w:val="20"/>
          <w:szCs w:val="20"/>
          <w:color w:val="auto"/>
        </w:rPr>
        <w:t>” or the “</w:t>
      </w:r>
      <w:r>
        <w:rPr>
          <w:rFonts w:ascii="Arial" w:cs="Arial" w:eastAsia="Arial" w:hAnsi="Arial"/>
          <w:sz w:val="20"/>
          <w:szCs w:val="20"/>
          <w:b w:val="1"/>
          <w:bCs w:val="1"/>
          <w:color w:val="auto"/>
        </w:rPr>
        <w:t>Company</w:t>
      </w:r>
      <w:r>
        <w:rPr>
          <w:rFonts w:ascii="Arial" w:cs="Arial" w:eastAsia="Arial" w:hAnsi="Arial"/>
          <w:sz w:val="20"/>
          <w:szCs w:val="20"/>
          <w:color w:val="auto"/>
        </w:rPr>
        <w:t>”), a</w:t>
      </w:r>
      <w:r>
        <w:rPr>
          <w:rFonts w:ascii="Arial" w:cs="Arial" w:eastAsia="Arial" w:hAnsi="Arial"/>
          <w:sz w:val="20"/>
          <w:szCs w:val="20"/>
          <w:b w:val="1"/>
          <w:bCs w:val="1"/>
          <w:color w:val="auto"/>
        </w:rPr>
        <w:t xml:space="preserve"> </w:t>
      </w:r>
      <w:r>
        <w:rPr>
          <w:rFonts w:ascii="Arial" w:cs="Arial" w:eastAsia="Arial" w:hAnsi="Arial"/>
          <w:sz w:val="20"/>
          <w:szCs w:val="20"/>
          <w:color w:val="auto"/>
        </w:rPr>
        <w:t>clinical-stage biopharmaceutical company committed to revolutionizing mental healthcare by developing new and innovative next-generation psychedelic-based treatment options, today announced a poster presentation at Neuroscience 2023 hosted by the Society for Neuroscience (“SFN”) taking place November 11-15, 2022, in Washington, D.C.</w:t>
      </w:r>
    </w:p>
    <w:p>
      <w:pPr>
        <w:spacing w:after="0" w:line="206" w:lineRule="exact"/>
        <w:rPr>
          <w:sz w:val="20"/>
          <w:szCs w:val="20"/>
          <w:color w:val="auto"/>
        </w:rPr>
      </w:pPr>
    </w:p>
    <w:p>
      <w:pPr>
        <w:jc w:val="both"/>
        <w:spacing w:after="0" w:line="267" w:lineRule="auto"/>
        <w:rPr>
          <w:sz w:val="20"/>
          <w:szCs w:val="20"/>
          <w:color w:val="auto"/>
        </w:rPr>
      </w:pPr>
      <w:r>
        <w:rPr>
          <w:rFonts w:ascii="Arial" w:cs="Arial" w:eastAsia="Arial" w:hAnsi="Arial"/>
          <w:sz w:val="20"/>
          <w:szCs w:val="20"/>
          <w:color w:val="auto"/>
        </w:rPr>
        <w:t>“It is always exciting to participate in this annual gathering of dedicated neuroscientists from around the world and to sharing our research as part of the ‘Treatment and Drugs for Mood Disorders’ session” said Geoff Varty, Ph.D., Head of Research &amp; Development at Cybin. “In the psychedelics space, there has been little focus on the development of 2C-X phenethylamines, despite encouraging anecdotal human data and some academic exploration. Our studies were designed to investigate the clinical potential of novel 2C-X phenethylamines by exploring their structure-activity relationships to identify novel 5-HT</w:t>
      </w:r>
      <w:r>
        <w:rPr>
          <w:rFonts w:ascii="Arial" w:cs="Arial" w:eastAsia="Arial" w:hAnsi="Arial"/>
          <w:sz w:val="25"/>
          <w:szCs w:val="25"/>
          <w:color w:val="auto"/>
          <w:vertAlign w:val="subscript"/>
        </w:rPr>
        <w:t>2</w:t>
      </w:r>
      <w:r>
        <w:rPr>
          <w:rFonts w:ascii="Arial" w:cs="Arial" w:eastAsia="Arial" w:hAnsi="Arial"/>
          <w:sz w:val="20"/>
          <w:szCs w:val="20"/>
          <w:color w:val="auto"/>
        </w:rPr>
        <w:t xml:space="preserve"> receptor ligands with unique pharmacodynamic and pharmacokinetic properties that may have therapeutic utility in treating neuropsychiatric or neurological disorders.”</w:t>
      </w:r>
    </w:p>
    <w:p>
      <w:pPr>
        <w:spacing w:after="0" w:line="22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Poster Details:</w:t>
      </w:r>
    </w:p>
    <w:p>
      <w:pPr>
        <w:spacing w:after="0" w:line="270" w:lineRule="exact"/>
        <w:rPr>
          <w:sz w:val="20"/>
          <w:szCs w:val="20"/>
          <w:color w:val="auto"/>
        </w:rPr>
      </w:pPr>
    </w:p>
    <w:p>
      <w:pPr>
        <w:jc w:val="both"/>
        <w:spacing w:after="0" w:line="257" w:lineRule="auto"/>
        <w:rPr>
          <w:sz w:val="20"/>
          <w:szCs w:val="20"/>
          <w:color w:val="auto"/>
        </w:rPr>
      </w:pPr>
      <w:r>
        <w:rPr>
          <w:rFonts w:ascii="Arial" w:cs="Arial" w:eastAsia="Arial" w:hAnsi="Arial"/>
          <w:sz w:val="20"/>
          <w:szCs w:val="20"/>
          <w:b w:val="1"/>
          <w:bCs w:val="1"/>
          <w:color w:val="auto"/>
        </w:rPr>
        <w:t xml:space="preserve">Title: </w:t>
      </w:r>
      <w:r>
        <w:rPr>
          <w:rFonts w:ascii="Arial" w:cs="Arial" w:eastAsia="Arial" w:hAnsi="Arial"/>
          <w:sz w:val="20"/>
          <w:szCs w:val="20"/>
          <w:color w:val="auto"/>
        </w:rPr>
        <w:t>“Discovery and preclinical characterization of 2,5-dimethoxy-4-thiofluoroalkyl phenethylamines as potent and long-acting</w:t>
      </w:r>
      <w:r>
        <w:rPr>
          <w:rFonts w:ascii="Arial" w:cs="Arial" w:eastAsia="Arial" w:hAnsi="Arial"/>
          <w:sz w:val="20"/>
          <w:szCs w:val="20"/>
          <w:b w:val="1"/>
          <w:bCs w:val="1"/>
          <w:color w:val="auto"/>
        </w:rPr>
        <w:t xml:space="preserve"> </w:t>
      </w:r>
      <w:r>
        <w:rPr>
          <w:rFonts w:ascii="Arial" w:cs="Arial" w:eastAsia="Arial" w:hAnsi="Arial"/>
          <w:sz w:val="20"/>
          <w:szCs w:val="20"/>
          <w:color w:val="auto"/>
        </w:rPr>
        <w:t>serotonin 5-HT</w:t>
      </w:r>
      <w:r>
        <w:rPr>
          <w:rFonts w:ascii="Arial" w:cs="Arial" w:eastAsia="Arial" w:hAnsi="Arial"/>
          <w:sz w:val="25"/>
          <w:szCs w:val="25"/>
          <w:color w:val="auto"/>
          <w:vertAlign w:val="subscript"/>
        </w:rPr>
        <w:t>2</w:t>
      </w:r>
      <w:r>
        <w:rPr>
          <w:rFonts w:ascii="Arial" w:cs="Arial" w:eastAsia="Arial" w:hAnsi="Arial"/>
          <w:sz w:val="20"/>
          <w:szCs w:val="20"/>
          <w:color w:val="auto"/>
        </w:rPr>
        <w:t xml:space="preserve"> receptor agonists”</w:t>
      </w:r>
    </w:p>
    <w:p>
      <w:pPr>
        <w:spacing w:after="0" w:line="215" w:lineRule="exact"/>
        <w:rPr>
          <w:sz w:val="20"/>
          <w:szCs w:val="20"/>
          <w:color w:val="auto"/>
        </w:rPr>
      </w:pPr>
    </w:p>
    <w:p>
      <w:pPr>
        <w:jc w:val="both"/>
        <w:spacing w:after="0" w:line="314" w:lineRule="auto"/>
        <w:rPr>
          <w:sz w:val="20"/>
          <w:szCs w:val="20"/>
          <w:color w:val="auto"/>
        </w:rPr>
      </w:pPr>
      <w:r>
        <w:rPr>
          <w:rFonts w:ascii="Arial" w:cs="Arial" w:eastAsia="Arial" w:hAnsi="Arial"/>
          <w:sz w:val="20"/>
          <w:szCs w:val="20"/>
          <w:b w:val="1"/>
          <w:bCs w:val="1"/>
          <w:color w:val="auto"/>
        </w:rPr>
        <w:t xml:space="preserve">Authors: </w:t>
      </w:r>
      <w:r>
        <w:rPr>
          <w:rFonts w:ascii="Arial" w:cs="Arial" w:eastAsia="Arial" w:hAnsi="Arial"/>
          <w:sz w:val="20"/>
          <w:szCs w:val="20"/>
          <w:color w:val="auto"/>
        </w:rPr>
        <w:t>Geoffrey B. Varty, Clinton E. Canal, Joshua A. Hartsel, Richa Tyagi, Ken Avery, Michael E. Morgan, Tina A. Mueller,</w:t>
      </w:r>
      <w:r>
        <w:rPr>
          <w:rFonts w:ascii="Arial" w:cs="Arial" w:eastAsia="Arial" w:hAnsi="Arial"/>
          <w:sz w:val="20"/>
          <w:szCs w:val="20"/>
          <w:b w:val="1"/>
          <w:bCs w:val="1"/>
          <w:color w:val="auto"/>
        </w:rPr>
        <w:t xml:space="preserve"> </w:t>
      </w:r>
      <w:r>
        <w:rPr>
          <w:rFonts w:ascii="Arial" w:cs="Arial" w:eastAsia="Arial" w:hAnsi="Arial"/>
          <w:sz w:val="20"/>
          <w:szCs w:val="20"/>
          <w:color w:val="auto"/>
        </w:rPr>
        <w:t>Amy C. Reichelt, Pradip Pathare, Erik Stang, Michael G. Palfreyman, Alex Nivorozhkin</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Session: </w:t>
      </w:r>
      <w:r>
        <w:rPr>
          <w:rFonts w:ascii="Arial" w:cs="Arial" w:eastAsia="Arial" w:hAnsi="Arial"/>
          <w:sz w:val="20"/>
          <w:szCs w:val="20"/>
          <w:color w:val="auto"/>
        </w:rPr>
        <w:t>Treatment and Drugs for Mood Disorders</w:t>
      </w:r>
    </w:p>
    <w:p>
      <w:pPr>
        <w:sectPr>
          <w:pgSz w:w="11900" w:h="16838" w:orient="portrait"/>
          <w:cols w:equalWidth="0" w:num="1">
            <w:col w:w="11240"/>
          </w:cols>
          <w:pgMar w:left="320" w:top="1440" w:right="339"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color w:val="auto"/>
        </w:rPr>
        <w:t>About Cybin</w:t>
      </w:r>
    </w:p>
    <w:p>
      <w:pPr>
        <w:spacing w:after="0" w:line="253" w:lineRule="exact"/>
        <w:rPr>
          <w:sz w:val="20"/>
          <w:szCs w:val="20"/>
          <w:color w:val="auto"/>
        </w:rPr>
      </w:pPr>
    </w:p>
    <w:p>
      <w:pPr>
        <w:jc w:val="both"/>
        <w:spacing w:after="0" w:line="289" w:lineRule="auto"/>
        <w:rPr>
          <w:sz w:val="20"/>
          <w:szCs w:val="20"/>
          <w:color w:val="auto"/>
        </w:rPr>
      </w:pPr>
      <w:r>
        <w:rPr>
          <w:rFonts w:ascii="Arial" w:cs="Arial" w:eastAsia="Arial" w:hAnsi="Arial"/>
          <w:sz w:val="20"/>
          <w:szCs w:val="20"/>
          <w:color w:val="auto"/>
        </w:rPr>
        <w:t>Cybin is a clinical-stage biopharmaceutical company on a mission to create safe and effective psychedelic-based therapeutics to address the large unmet need for new and innovative treatment options for people who suffer from mental health conditions.</w:t>
      </w:r>
    </w:p>
    <w:p>
      <w:pPr>
        <w:spacing w:after="0" w:line="216" w:lineRule="exact"/>
        <w:rPr>
          <w:sz w:val="20"/>
          <w:szCs w:val="20"/>
          <w:color w:val="auto"/>
        </w:rPr>
      </w:pPr>
    </w:p>
    <w:p>
      <w:pPr>
        <w:jc w:val="both"/>
        <w:spacing w:after="0" w:line="280" w:lineRule="auto"/>
        <w:rPr>
          <w:sz w:val="20"/>
          <w:szCs w:val="20"/>
          <w:color w:val="auto"/>
        </w:rPr>
      </w:pPr>
      <w:r>
        <w:rPr>
          <w:rFonts w:ascii="Arial" w:cs="Arial" w:eastAsia="Arial" w:hAnsi="Arial"/>
          <w:sz w:val="20"/>
          <w:szCs w:val="20"/>
          <w:color w:val="auto"/>
        </w:rPr>
        <w:t>Cybin’s goal of revolutionizing mental healthcare is supported by a network of world-class partners and internationally recognized scientists aimed at progressing proprietary drug discovery platforms, innovative drug delivery systems, and novel formulation approaches and treatment regimens. The Company is currently developing CYB003, a proprietary deuterated psilocybin analog for the treatment of major depressive disorder and CYB004, a proprietary deuterated DMT molecule for generalized anxiety disorder and has a research pipeline of investigational psychedelic-based compounds.</w:t>
      </w:r>
    </w:p>
    <w:p>
      <w:pPr>
        <w:spacing w:after="0" w:line="211" w:lineRule="exact"/>
        <w:rPr>
          <w:sz w:val="20"/>
          <w:szCs w:val="20"/>
          <w:color w:val="auto"/>
        </w:rPr>
      </w:pPr>
    </w:p>
    <w:p>
      <w:pPr>
        <w:jc w:val="both"/>
        <w:ind w:right="20"/>
        <w:spacing w:after="0" w:line="285" w:lineRule="auto"/>
        <w:rPr>
          <w:sz w:val="20"/>
          <w:szCs w:val="20"/>
          <w:color w:val="auto"/>
        </w:rPr>
      </w:pPr>
      <w:r>
        <w:rPr>
          <w:rFonts w:ascii="Arial" w:cs="Arial" w:eastAsia="Arial" w:hAnsi="Arial"/>
          <w:sz w:val="20"/>
          <w:szCs w:val="20"/>
          <w:color w:val="auto"/>
        </w:rPr>
        <w:t>Headquartered in Canada and founded in 2019, Cybin is operational in Canada, the United States, the United Kingdom, the Netherlands and Ireland. For company updates and to learn more about Cybin, visit www.cybin.com or follow the team on X, LinkedIn, YouTube and Instagram.</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Notes and Forward-Looking Statements</w:t>
      </w:r>
    </w:p>
    <w:p>
      <w:pPr>
        <w:spacing w:after="0" w:line="280" w:lineRule="exact"/>
        <w:rPr>
          <w:sz w:val="20"/>
          <w:szCs w:val="20"/>
          <w:color w:val="auto"/>
        </w:rPr>
      </w:pPr>
    </w:p>
    <w:p>
      <w:pPr>
        <w:jc w:val="both"/>
        <w:spacing w:after="0" w:line="278" w:lineRule="auto"/>
        <w:rPr>
          <w:sz w:val="20"/>
          <w:szCs w:val="20"/>
          <w:color w:val="auto"/>
        </w:rPr>
      </w:pPr>
      <w:r>
        <w:rPr>
          <w:rFonts w:ascii="Arial" w:cs="Arial" w:eastAsia="Arial" w:hAnsi="Arial"/>
          <w:sz w:val="20"/>
          <w:szCs w:val="20"/>
          <w:color w:val="auto"/>
        </w:rPr>
        <w:t>Certain statements in this news release relating to the Company are forward-looking statements and are prospective in nature. Forward-looking statements are not based on historical facts, but rather on current expectations and projections about future events and are therefore subject to risks and uncertainties which could cause actual results to differ materially from the future results expressed or implied by the forward-looking statements. These statements generally can be identified by the use of forward-looking words such as “may”, “should”, “could”, “intend”, “estimate”, “plan”, “anticipate”, “expect”, “believe” or “continue”, or the negative thereof or similar variations. Forward-looking statements in this news release include statements regarding the Company’s proprietary drug discovery platforms, innovative drug delivery systems, novel formulation approaches and treatment regimens for mental health disorders.</w:t>
      </w:r>
    </w:p>
    <w:p>
      <w:pPr>
        <w:spacing w:after="0" w:line="218" w:lineRule="exact"/>
        <w:rPr>
          <w:sz w:val="20"/>
          <w:szCs w:val="20"/>
          <w:color w:val="auto"/>
        </w:rPr>
      </w:pPr>
    </w:p>
    <w:p>
      <w:pPr>
        <w:jc w:val="both"/>
        <w:spacing w:after="0" w:line="277" w:lineRule="auto"/>
        <w:rPr>
          <w:sz w:val="20"/>
          <w:szCs w:val="20"/>
          <w:color w:val="auto"/>
        </w:rPr>
      </w:pPr>
      <w:r>
        <w:rPr>
          <w:rFonts w:ascii="Arial" w:cs="Arial" w:eastAsia="Arial" w:hAnsi="Arial"/>
          <w:sz w:val="20"/>
          <w:szCs w:val="20"/>
          <w:color w:val="auto"/>
        </w:rPr>
        <w:t>These forward-looking statements are based on reasonable assumptions and estimates of management of the Company at the time such statements were made. Actual future results may differ materially as forward-looking statements involve known and unknown risks, uncertainties, and other factors which may cause the actual results, performance, or achievements of the Company to materially differ from any future results, performance, or achievements expressed or implied by such forward-looking statements. Such factors, among other things, include: implications of the spread of COVID-19 on the Company's operations; fluctuations in general macroeconomic conditions; fluctuations in securities markets; expectations regarding the size of the psychedelics market; the ability of the Company to successfully achieve its business objectives; plans for growth; political, social and environmental uncertainties; employee relations; the presence of laws and regulations that may impose restrictions in the markets where the Company operates; and the risk factors set out in each of the Company's</w:t>
      </w:r>
    </w:p>
    <w:p>
      <w:pPr>
        <w:sectPr>
          <w:pgSz w:w="11900" w:h="16838" w:orient="portrait"/>
          <w:cols w:equalWidth="0" w:num="1">
            <w:col w:w="11240"/>
          </w:cols>
          <w:pgMar w:left="320" w:top="1394" w:right="339" w:bottom="1440" w:gutter="0" w:footer="0" w:header="0"/>
        </w:sectPr>
      </w:pPr>
    </w:p>
    <w:bookmarkStart w:id="5" w:name="page6"/>
    <w:bookmarkEnd w:id="5"/>
    <w:p>
      <w:pPr>
        <w:jc w:val="both"/>
        <w:spacing w:after="0" w:line="277" w:lineRule="auto"/>
        <w:rPr>
          <w:sz w:val="20"/>
          <w:szCs w:val="20"/>
          <w:color w:val="auto"/>
        </w:rPr>
      </w:pPr>
      <w:r>
        <w:rPr>
          <w:rFonts w:ascii="Arial" w:cs="Arial" w:eastAsia="Arial" w:hAnsi="Arial"/>
          <w:sz w:val="20"/>
          <w:szCs w:val="20"/>
          <w:color w:val="auto"/>
        </w:rPr>
        <w:t xml:space="preserve">management's discussion and analysis for the three and six month periods ended September 30, 2023, and the Company’s annual information form for the year ended March 31, 2023, which are available under the Company's profile on SEDAR+ at </w:t>
      </w:r>
      <w:r>
        <w:rPr>
          <w:rFonts w:ascii="Arial" w:cs="Arial" w:eastAsia="Arial" w:hAnsi="Arial"/>
          <w:sz w:val="20"/>
          <w:szCs w:val="20"/>
          <w:u w:val="single" w:color="auto"/>
          <w:color w:val="0000FF"/>
        </w:rPr>
        <w:t>www.sedarplus.ca</w:t>
      </w:r>
      <w:r>
        <w:rPr>
          <w:rFonts w:ascii="Arial" w:cs="Arial" w:eastAsia="Arial" w:hAnsi="Arial"/>
          <w:sz w:val="20"/>
          <w:szCs w:val="20"/>
          <w:color w:val="0000FF"/>
        </w:rPr>
        <w:t xml:space="preserve"> </w:t>
      </w:r>
      <w:r>
        <w:rPr>
          <w:rFonts w:ascii="Arial" w:cs="Arial" w:eastAsia="Arial" w:hAnsi="Arial"/>
          <w:sz w:val="20"/>
          <w:szCs w:val="20"/>
          <w:color w:val="000000"/>
        </w:rPr>
        <w:t>and with the U.S. Securities and Exchange Commission on EDGAR at</w:t>
      </w:r>
      <w:r>
        <w:rPr>
          <w:rFonts w:ascii="Arial" w:cs="Arial" w:eastAsia="Arial" w:hAnsi="Arial"/>
          <w:sz w:val="20"/>
          <w:szCs w:val="20"/>
          <w:color w:val="0000FF"/>
        </w:rPr>
        <w:t xml:space="preserve"> </w:t>
      </w:r>
      <w:r>
        <w:rPr>
          <w:rFonts w:ascii="Arial" w:cs="Arial" w:eastAsia="Arial" w:hAnsi="Arial"/>
          <w:sz w:val="20"/>
          <w:szCs w:val="20"/>
          <w:u w:val="single" w:color="auto"/>
          <w:color w:val="0000FF"/>
        </w:rPr>
        <w:t>www.sec.gov</w:t>
      </w:r>
      <w:r>
        <w:rPr>
          <w:rFonts w:ascii="Arial" w:cs="Arial" w:eastAsia="Arial" w:hAnsi="Arial"/>
          <w:sz w:val="20"/>
          <w:szCs w:val="20"/>
          <w:color w:val="000000"/>
        </w:rPr>
        <w:t>. Although the forward-looking statements contained in this news release are based upon what management of the Company believes, or believed at the time, to be reasonable assumptions, the Company cannot assure shareholders that actual results will be consistent with such forward-looking statements, as there may be other factors that cause results not to be as anticipated, estimated or intended. Readers should not place undue reliance on the forward-looking statements and information contained in this news release. The Company assumes no obligation to update the forward-looking statements of beliefs, opinions, projections, or other factors, should they change, except as required by law.</w:t>
      </w:r>
    </w:p>
    <w:p>
      <w:pPr>
        <w:spacing w:after="0" w:line="230" w:lineRule="exact"/>
        <w:rPr>
          <w:sz w:val="20"/>
          <w:szCs w:val="20"/>
          <w:color w:val="auto"/>
        </w:rPr>
      </w:pPr>
    </w:p>
    <w:p>
      <w:pPr>
        <w:jc w:val="both"/>
        <w:spacing w:after="0" w:line="277" w:lineRule="auto"/>
        <w:rPr>
          <w:sz w:val="20"/>
          <w:szCs w:val="20"/>
          <w:color w:val="auto"/>
        </w:rPr>
      </w:pPr>
      <w:r>
        <w:rPr>
          <w:rFonts w:ascii="Arial" w:cs="Arial" w:eastAsia="Arial" w:hAnsi="Arial"/>
          <w:sz w:val="20"/>
          <w:szCs w:val="20"/>
          <w:color w:val="auto"/>
        </w:rPr>
        <w:t>Cybin makes no medical, treatment or health benefit claims about Cybin’s proposed products. The U.S. Food and Drug Administration, Health Canada or other similar regulatory authorities have not evaluated claims regarding psilocybin, psychedelic tryptamine, tryptamine derivatives or other psychedelic compounds. The efficacy of such products has not been confirmed by approved research. There is no assurance that the use of psilocybin, psychedelic tryptamine, tryptamine derivatives or other psychedelic compounds can diagnose, treat, cure or prevent any disease or condition. Rigorous scientific research and clinical trials are needed. Cybin has not conducted clinical trials for the use of its proposed products. Any references to quality, consistency, efficacy and safety of potential products do not imply that Cybin verified such in clinical trials or that Cybin will complete such trials. If Cybin cannot obtain the approvals or research necessary to commercialize its business, it may have a material adverse effect on Cybin’s performance and operations.</w:t>
      </w:r>
    </w:p>
    <w:p>
      <w:pPr>
        <w:spacing w:after="0" w:line="211" w:lineRule="exact"/>
        <w:rPr>
          <w:sz w:val="20"/>
          <w:szCs w:val="20"/>
          <w:color w:val="auto"/>
        </w:rPr>
      </w:pPr>
    </w:p>
    <w:p>
      <w:pPr>
        <w:jc w:val="both"/>
        <w:spacing w:after="0" w:line="310" w:lineRule="auto"/>
        <w:rPr>
          <w:sz w:val="20"/>
          <w:szCs w:val="20"/>
          <w:color w:val="auto"/>
        </w:rPr>
      </w:pPr>
      <w:r>
        <w:rPr>
          <w:rFonts w:ascii="Arial" w:cs="Arial" w:eastAsia="Arial" w:hAnsi="Arial"/>
          <w:sz w:val="20"/>
          <w:szCs w:val="20"/>
          <w:i w:val="1"/>
          <w:iCs w:val="1"/>
          <w:color w:val="auto"/>
        </w:rPr>
        <w:t>Neither the Neo Exchange Inc. nor the NYSE American LLC stock exchange have approved or disapproved the contents of this news release and are not responsible for the adequacy and accuracy of the contents herein.</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&amp; Media Contact:</w:t>
      </w:r>
    </w:p>
    <w:p>
      <w:pPr>
        <w:spacing w:after="0" w:line="50" w:lineRule="exact"/>
        <w:rPr>
          <w:sz w:val="20"/>
          <w:szCs w:val="20"/>
          <w:color w:val="auto"/>
        </w:rPr>
      </w:pPr>
    </w:p>
    <w:p>
      <w:pPr>
        <w:spacing w:after="0"/>
        <w:rPr>
          <w:sz w:val="20"/>
          <w:szCs w:val="20"/>
          <w:color w:val="auto"/>
        </w:rPr>
      </w:pPr>
      <w:r>
        <w:rPr>
          <w:rFonts w:ascii="Arial" w:cs="Arial" w:eastAsia="Arial" w:hAnsi="Arial"/>
          <w:sz w:val="20"/>
          <w:szCs w:val="20"/>
          <w:color w:val="auto"/>
        </w:rPr>
        <w:t>Gabriel Fahel</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Chief Legal Officer</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Cybin Inc.</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1-866-292-4601</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00FF"/>
        </w:rPr>
        <w:t>irteam@cybin.com</w:t>
      </w:r>
      <w:r>
        <w:rPr>
          <w:rFonts w:ascii="Arial" w:cs="Arial" w:eastAsia="Arial" w:hAnsi="Arial"/>
          <w:sz w:val="20"/>
          <w:szCs w:val="20"/>
          <w:color w:val="0000FF"/>
        </w:rPr>
        <w:t xml:space="preserve"> </w:t>
      </w:r>
      <w:r>
        <w:rPr>
          <w:rFonts w:ascii="Arial" w:cs="Arial" w:eastAsia="Arial" w:hAnsi="Arial"/>
          <w:sz w:val="20"/>
          <w:szCs w:val="20"/>
          <w:color w:val="000000"/>
        </w:rPr>
        <w:t>– or –</w:t>
      </w:r>
      <w:r>
        <w:rPr>
          <w:rFonts w:ascii="Arial" w:cs="Arial" w:eastAsia="Arial" w:hAnsi="Arial"/>
          <w:sz w:val="20"/>
          <w:szCs w:val="20"/>
          <w:color w:val="0000FF"/>
        </w:rPr>
        <w:t xml:space="preserve"> </w:t>
      </w:r>
      <w:r>
        <w:rPr>
          <w:rFonts w:ascii="Arial" w:cs="Arial" w:eastAsia="Arial" w:hAnsi="Arial"/>
          <w:sz w:val="20"/>
          <w:szCs w:val="20"/>
          <w:u w:val="single" w:color="auto"/>
          <w:color w:val="0000FF"/>
        </w:rPr>
        <w:t>media@cybin.com</w:t>
      </w:r>
    </w:p>
    <w:sectPr>
      <w:pgSz w:w="11900" w:h="16838" w:orient="portrait"/>
      <w:cols w:equalWidth="0" w:num="1">
        <w:col w:w="11240"/>
      </w:cols>
      <w:pgMar w:left="320" w:top="143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2023-11-15T15:56:27Z</dcterms:created>
  <dcterms:modified xsi:type="dcterms:W3CDTF">2023-11-15T15:56:27Z</dcterms:modified>
</cp:coreProperties>
</file>