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Halstead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68,568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42"/>
        <w:gridCol w:w="1221"/>
        <w:gridCol w:w="1119"/>
        <w:gridCol w:w="1237"/>
        <w:gridCol w:w="1132"/>
        <w:gridCol w:w="1245"/>
        <w:gridCol w:w="1200"/>
        <w:gridCol w:w="130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283,334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1,075,000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performance share unit represents a contingent right to receive one share of the Issuer's common stock. The performance share units will vest in two separate tranches upon the CYBN common stock achieving a specified price per share for each tranche.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 one share of the Issuer's common stock. The restricted share units vest in three equal annual installments, beginning August 3,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Halstead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21548" TargetMode="External"/><Relationship Id="rId3" Type="http://schemas.openxmlformats.org/officeDocument/2006/relationships/hyperlink" Target="http://www.sec.gov/cgi-bin/browse-edgar?action=getcompany&amp;CIK=00018331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488</Words>
  <Characters>2675</Characters>
  <CharactersWithSpaces>3100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