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November, 2025.</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3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94" w:lineRule="exact"/>
        <w:rPr>
          <w:sz w:val="24"/>
          <w:szCs w:val="24"/>
          <w:color w:val="auto"/>
        </w:rPr>
      </w:pPr>
    </w:p>
    <w:p>
      <w:pPr>
        <w:ind w:firstLine="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99.1 - 99.2 of this Form 6-K of Cybin Inc. (the "Company") are hereby incorporated by reference into the Registration Statement on Form F-10 (</w:t>
      </w:r>
      <w:hyperlink r:id="rId8">
        <w:r>
          <w:rPr>
            <w:rFonts w:ascii="Times New Roman" w:cs="Times New Roman" w:eastAsia="Times New Roman" w:hAnsi="Times New Roman"/>
            <w:sz w:val="18"/>
            <w:szCs w:val="18"/>
            <w:u w:val="single" w:color="auto"/>
            <w:color w:val="0000FF"/>
          </w:rPr>
          <w:t>File No. 333-289139</w:t>
        </w:r>
      </w:hyperlink>
      <w:r>
        <w:rPr>
          <w:rFonts w:ascii="Times New Roman" w:cs="Times New Roman" w:eastAsia="Times New Roman" w:hAnsi="Times New Roman"/>
          <w:sz w:val="18"/>
          <w:szCs w:val="18"/>
          <w:color w:val="auto"/>
        </w:rPr>
        <w:t>)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2025</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Greg Cavers</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Greg Cavers</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0920"/>
          </w:cols>
          <w:pgMar w:left="320" w:top="1413" w:right="6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0"/>
        </w:trPr>
        <w:tc>
          <w:tcPr>
            <w:tcW w:w="11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574"/>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99.1</w:t>
            </w:r>
          </w:p>
        </w:tc>
        <w:tc>
          <w:tcPr>
            <w:tcW w:w="71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Interim Consolidated Financial Statements for the three and six months ended September 30, 2025</w:t>
            </w:r>
          </w:p>
        </w:tc>
      </w:tr>
      <w:tr>
        <w:trPr>
          <w:trHeight w:val="236"/>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99.2</w:t>
            </w:r>
          </w:p>
        </w:tc>
        <w:tc>
          <w:tcPr>
            <w:tcW w:w="6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for the three and six months ended September 30, 2025</w:t>
            </w:r>
          </w:p>
        </w:tc>
        <w:tc>
          <w:tcPr>
            <w:tcW w:w="200" w:type="dxa"/>
            <w:vAlign w:val="bottom"/>
          </w:tcPr>
          <w:p>
            <w:pPr>
              <w:spacing w:after="0"/>
              <w:rPr>
                <w:sz w:val="20"/>
                <w:szCs w:val="20"/>
                <w:color w:val="auto"/>
              </w:rPr>
            </w:pPr>
          </w:p>
        </w:tc>
      </w:tr>
      <w:tr>
        <w:trPr>
          <w:trHeight w:val="237"/>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99.3</w:t>
            </w:r>
          </w:p>
        </w:tc>
        <w:tc>
          <w:tcPr>
            <w:tcW w:w="47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Interim Filings by CEO dated November 13, 2025</w:t>
            </w:r>
          </w:p>
        </w:tc>
        <w:tc>
          <w:tcPr>
            <w:tcW w:w="2320" w:type="dxa"/>
            <w:vAlign w:val="bottom"/>
            <w:gridSpan w:val="3"/>
          </w:tcPr>
          <w:p>
            <w:pPr>
              <w:spacing w:after="0"/>
              <w:rPr>
                <w:sz w:val="20"/>
                <w:szCs w:val="20"/>
                <w:color w:val="auto"/>
              </w:rPr>
            </w:pPr>
          </w:p>
        </w:tc>
      </w:tr>
      <w:tr>
        <w:trPr>
          <w:trHeight w:val="237"/>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99.4</w:t>
            </w:r>
          </w:p>
        </w:tc>
        <w:tc>
          <w:tcPr>
            <w:tcW w:w="47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Interim Filings by CFO dated November 13, 2025</w:t>
            </w:r>
          </w:p>
        </w:tc>
        <w:tc>
          <w:tcPr>
            <w:tcW w:w="2340" w:type="dxa"/>
            <w:vAlign w:val="bottom"/>
            <w:gridSpan w:val="4"/>
          </w:tcPr>
          <w:p>
            <w:pPr>
              <w:spacing w:after="0"/>
              <w:rPr>
                <w:sz w:val="20"/>
                <w:szCs w:val="20"/>
                <w:color w:val="auto"/>
              </w:rPr>
            </w:pPr>
          </w:p>
        </w:tc>
      </w:tr>
      <w:tr>
        <w:trPr>
          <w:trHeight w:val="236"/>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99.5</w:t>
            </w:r>
          </w:p>
        </w:tc>
        <w:tc>
          <w:tcPr>
            <w:tcW w:w="7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News Release dated November 13, 2025</w:t>
            </w:r>
          </w:p>
        </w:tc>
      </w:tr>
      <w:tr>
        <w:trPr>
          <w:trHeight w:val="20"/>
        </w:trPr>
        <w:tc>
          <w:tcPr>
            <w:tcW w:w="1140" w:type="dxa"/>
            <w:vAlign w:val="bottom"/>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ectPr>
          <w:pgSz w:w="11900" w:h="16838" w:orient="portrait"/>
          <w:cols w:equalWidth="0" w:num="1">
            <w:col w:w="10119"/>
          </w:cols>
          <w:pgMar w:left="340" w:top="1404"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3002915</wp:posOffset>
            </wp:positionH>
            <wp:positionV relativeFrom="page">
              <wp:posOffset>2875280</wp:posOffset>
            </wp:positionV>
            <wp:extent cx="1543050" cy="900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54305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CYBIN INC.</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CONDENSED INTERIM CONSOLIDATED FINANCIAL STATEMENTS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SEPTEMBER 30, 2025</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(UNAUDITED)</w:t>
      </w:r>
    </w:p>
    <w:p>
      <w:pPr>
        <w:sectPr>
          <w:pgSz w:w="11900" w:h="16838" w:orient="portrait"/>
          <w:cols w:equalWidth="0" w:num="1">
            <w:col w:w="9019"/>
          </w:cols>
          <w:pgMar w:left="1440" w:top="1440" w:right="1440"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 OUR SHAREHOLDERS</w:t>
      </w:r>
    </w:p>
    <w:p>
      <w:pPr>
        <w:spacing w:after="0" w:line="224" w:lineRule="exact"/>
        <w:rPr>
          <w:sz w:val="20"/>
          <w:szCs w:val="20"/>
          <w:color w:val="auto"/>
        </w:rPr>
      </w:pPr>
    </w:p>
    <w:p>
      <w:pPr>
        <w:jc w:val="both"/>
        <w:spacing w:after="0" w:line="289" w:lineRule="auto"/>
        <w:rPr>
          <w:sz w:val="20"/>
          <w:szCs w:val="20"/>
          <w:color w:val="auto"/>
        </w:rPr>
      </w:pPr>
      <w:r>
        <w:rPr>
          <w:rFonts w:ascii="Arial" w:cs="Arial" w:eastAsia="Arial" w:hAnsi="Arial"/>
          <w:sz w:val="22"/>
          <w:szCs w:val="22"/>
          <w:color w:val="auto"/>
        </w:rPr>
        <w:t>The accompanying unaudited condensed interim consolidated financial statements of Cybin Inc. ("</w:t>
      </w:r>
      <w:r>
        <w:rPr>
          <w:rFonts w:ascii="Arial" w:cs="Arial" w:eastAsia="Arial" w:hAnsi="Arial"/>
          <w:sz w:val="22"/>
          <w:szCs w:val="22"/>
          <w:b w:val="1"/>
          <w:bCs w:val="1"/>
          <w:color w:val="auto"/>
        </w:rPr>
        <w:t>Cybin</w:t>
      </w:r>
      <w:r>
        <w:rPr>
          <w:rFonts w:ascii="Arial" w:cs="Arial" w:eastAsia="Arial" w:hAnsi="Arial"/>
          <w:sz w:val="22"/>
          <w:szCs w:val="22"/>
          <w:color w:val="auto"/>
        </w:rPr>
        <w:t>") have been prepared by and are the responsibility of Cybin's management in accordance with International Accounting Standards (“</w:t>
      </w:r>
      <w:r>
        <w:rPr>
          <w:rFonts w:ascii="Arial" w:cs="Arial" w:eastAsia="Arial" w:hAnsi="Arial"/>
          <w:sz w:val="22"/>
          <w:szCs w:val="22"/>
          <w:b w:val="1"/>
          <w:bCs w:val="1"/>
          <w:color w:val="auto"/>
        </w:rPr>
        <w:t>IAS</w:t>
      </w:r>
      <w:r>
        <w:rPr>
          <w:rFonts w:ascii="Arial" w:cs="Arial" w:eastAsia="Arial" w:hAnsi="Arial"/>
          <w:sz w:val="22"/>
          <w:szCs w:val="22"/>
          <w:color w:val="auto"/>
        </w:rPr>
        <w:t>”) 34, Interim Financial Reporting as issued by the International Accounting Standards Board ("</w:t>
      </w:r>
      <w:r>
        <w:rPr>
          <w:rFonts w:ascii="Arial" w:cs="Arial" w:eastAsia="Arial" w:hAnsi="Arial"/>
          <w:sz w:val="22"/>
          <w:szCs w:val="22"/>
          <w:b w:val="1"/>
          <w:bCs w:val="1"/>
          <w:color w:val="auto"/>
        </w:rPr>
        <w:t>IASB''</w:t>
      </w:r>
      <w:r>
        <w:rPr>
          <w:rFonts w:ascii="Arial" w:cs="Arial" w:eastAsia="Arial" w:hAnsi="Arial"/>
          <w:sz w:val="22"/>
          <w:szCs w:val="22"/>
          <w:color w:val="auto"/>
        </w:rPr>
        <w:t>). These unaudited condensed interim consolidated financial statements do not include all the information and notes required by IFRS Accounting Standards ("</w:t>
      </w:r>
      <w:r>
        <w:rPr>
          <w:rFonts w:ascii="Arial" w:cs="Arial" w:eastAsia="Arial" w:hAnsi="Arial"/>
          <w:sz w:val="22"/>
          <w:szCs w:val="22"/>
          <w:b w:val="1"/>
          <w:bCs w:val="1"/>
          <w:color w:val="auto"/>
        </w:rPr>
        <w:t>IFRS'</w:t>
      </w:r>
      <w:r>
        <w:rPr>
          <w:rFonts w:ascii="Arial" w:cs="Arial" w:eastAsia="Arial" w:hAnsi="Arial"/>
          <w:sz w:val="22"/>
          <w:szCs w:val="22"/>
          <w:color w:val="auto"/>
        </w:rPr>
        <w:t xml:space="preserve">') for annual financial statements and should be read in conjunction with Cybin’s annual financial statements and notes for the year ended March 31, 2025, which are available on SEDAR+ at </w:t>
      </w:r>
      <w:r>
        <w:rPr>
          <w:rFonts w:ascii="Arial" w:cs="Arial" w:eastAsia="Arial" w:hAnsi="Arial"/>
          <w:sz w:val="22"/>
          <w:szCs w:val="22"/>
          <w:u w:val="single" w:color="auto"/>
          <w:color w:val="0000E1"/>
        </w:rPr>
        <w:t>www.sedarplus.com</w:t>
      </w:r>
      <w:r>
        <w:rPr>
          <w:rFonts w:ascii="Arial" w:cs="Arial" w:eastAsia="Arial" w:hAnsi="Arial"/>
          <w:sz w:val="22"/>
          <w:szCs w:val="22"/>
          <w:color w:val="000000"/>
        </w:rPr>
        <w:t>.</w:t>
      </w:r>
    </w:p>
    <w:p>
      <w:pPr>
        <w:sectPr>
          <w:pgSz w:w="11900" w:h="16838" w:orient="portrait"/>
          <w:cols w:equalWidth="0" w:num="1">
            <w:col w:w="11240"/>
          </w:cols>
          <w:pgMar w:left="320" w:top="1440" w:right="339" w:bottom="1440" w:gutter="0" w:footer="0" w:header="0"/>
        </w:sectPr>
      </w:pPr>
    </w:p>
    <w:bookmarkStart w:id="5" w:name="page6"/>
    <w:bookmarkEnd w:id="5"/>
    <w:p>
      <w:pPr>
        <w:ind w:left="80"/>
        <w:spacing w:after="0"/>
        <w:rPr>
          <w:sz w:val="20"/>
          <w:szCs w:val="20"/>
          <w:color w:val="auto"/>
        </w:rPr>
      </w:pPr>
      <w:r>
        <w:rPr>
          <w:rFonts w:ascii="Arial" w:cs="Arial" w:eastAsia="Arial" w:hAnsi="Arial"/>
          <w:sz w:val="22"/>
          <w:szCs w:val="22"/>
          <w:b w:val="1"/>
          <w:bCs w:val="1"/>
          <w:color w:val="auto"/>
        </w:rPr>
        <w:t>CYBIN INC.</w:t>
      </w:r>
    </w:p>
    <w:p>
      <w:pPr>
        <w:spacing w:after="0" w:line="26" w:lineRule="exact"/>
        <w:rPr>
          <w:sz w:val="20"/>
          <w:szCs w:val="20"/>
          <w:color w:val="auto"/>
        </w:rPr>
      </w:pPr>
    </w:p>
    <w:p>
      <w:pPr>
        <w:ind w:left="80" w:right="2900"/>
        <w:spacing w:after="0" w:line="254" w:lineRule="auto"/>
        <w:rPr>
          <w:sz w:val="20"/>
          <w:szCs w:val="20"/>
          <w:color w:val="auto"/>
        </w:rPr>
      </w:pPr>
      <w:r>
        <w:rPr>
          <w:rFonts w:ascii="Arial" w:cs="Arial" w:eastAsia="Arial" w:hAnsi="Arial"/>
          <w:sz w:val="22"/>
          <w:szCs w:val="22"/>
          <w:b w:val="1"/>
          <w:bCs w:val="1"/>
          <w:color w:val="auto"/>
        </w:rPr>
        <w:t>CONDENSED INTERIM CONSOLIDATED STATEMENTS OF FINANCIAL POSITION (All amounts expressed in thousands of United States dollars)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3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As at</w:t>
            </w:r>
          </w:p>
        </w:tc>
        <w:tc>
          <w:tcPr>
            <w:tcW w:w="2040" w:type="dxa"/>
            <w:vAlign w:val="bottom"/>
            <w:tcBorders>
              <w:bottom w:val="single" w:sz="8" w:color="auto"/>
            </w:tcBorders>
          </w:tcPr>
          <w:p>
            <w:pPr>
              <w:jc w:val="center"/>
              <w:ind w:left="779"/>
              <w:spacing w:after="0"/>
              <w:rPr>
                <w:sz w:val="20"/>
                <w:szCs w:val="20"/>
                <w:color w:val="auto"/>
              </w:rPr>
            </w:pPr>
            <w:r>
              <w:rPr>
                <w:rFonts w:ascii="Arial" w:cs="Arial" w:eastAsia="Arial" w:hAnsi="Arial"/>
                <w:sz w:val="16"/>
                <w:szCs w:val="16"/>
                <w:i w:val="1"/>
                <w:iCs w:val="1"/>
                <w:color w:val="auto"/>
              </w:rPr>
              <w:t>Notes</w:t>
            </w:r>
          </w:p>
        </w:tc>
        <w:tc>
          <w:tcPr>
            <w:tcW w:w="22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September 30, 2025</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2025</w:t>
            </w:r>
          </w:p>
        </w:tc>
        <w:tc>
          <w:tcPr>
            <w:tcW w:w="0" w:type="dxa"/>
            <w:vAlign w:val="bottom"/>
          </w:tcPr>
          <w:p>
            <w:pPr>
              <w:spacing w:after="0"/>
              <w:rPr>
                <w:sz w:val="1"/>
                <w:szCs w:val="1"/>
                <w:color w:val="auto"/>
              </w:rPr>
            </w:pPr>
          </w:p>
        </w:tc>
      </w:tr>
      <w:tr>
        <w:trPr>
          <w:trHeight w:val="216"/>
        </w:trPr>
        <w:tc>
          <w:tcPr>
            <w:tcW w:w="530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ASSETS</w:t>
            </w:r>
          </w:p>
        </w:tc>
        <w:tc>
          <w:tcPr>
            <w:tcW w:w="20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Restated - Note 2</w:t>
            </w:r>
          </w:p>
        </w:tc>
        <w:tc>
          <w:tcPr>
            <w:tcW w:w="0" w:type="dxa"/>
            <w:vAlign w:val="bottom"/>
          </w:tcPr>
          <w:p>
            <w:pPr>
              <w:spacing w:after="0"/>
              <w:rPr>
                <w:sz w:val="1"/>
                <w:szCs w:val="1"/>
                <w:color w:val="auto"/>
              </w:rPr>
            </w:pPr>
          </w:p>
        </w:tc>
      </w:tr>
      <w:tr>
        <w:trPr>
          <w:trHeight w:val="216"/>
        </w:trPr>
        <w:tc>
          <w:tcPr>
            <w:tcW w:w="530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5300" w:type="dxa"/>
            <w:vAlign w:val="bottom"/>
          </w:tcPr>
          <w:p>
            <w:pPr>
              <w:ind w:left="240"/>
              <w:spacing w:after="0"/>
              <w:rPr>
                <w:sz w:val="20"/>
                <w:szCs w:val="20"/>
                <w:color w:val="auto"/>
              </w:rPr>
            </w:pPr>
            <w:r>
              <w:rPr>
                <w:rFonts w:ascii="Arial" w:cs="Arial" w:eastAsia="Arial" w:hAnsi="Arial"/>
                <w:sz w:val="16"/>
                <w:szCs w:val="16"/>
                <w:b w:val="1"/>
                <w:bCs w:val="1"/>
                <w:color w:val="auto"/>
              </w:rPr>
              <w:t>Current</w:t>
            </w:r>
          </w:p>
        </w:tc>
        <w:tc>
          <w:tcPr>
            <w:tcW w:w="20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5300" w:type="dxa"/>
            <w:vAlign w:val="bottom"/>
          </w:tcPr>
          <w:p>
            <w:pPr>
              <w:ind w:left="560"/>
              <w:spacing w:after="0"/>
              <w:rPr>
                <w:sz w:val="20"/>
                <w:szCs w:val="20"/>
                <w:color w:val="auto"/>
              </w:rPr>
            </w:pPr>
            <w:r>
              <w:rPr>
                <w:rFonts w:ascii="Arial" w:cs="Arial" w:eastAsia="Arial" w:hAnsi="Arial"/>
                <w:sz w:val="16"/>
                <w:szCs w:val="16"/>
                <w:color w:val="auto"/>
              </w:rPr>
              <w:t>Cash</w:t>
            </w:r>
          </w:p>
        </w:tc>
        <w:tc>
          <w:tcPr>
            <w:tcW w:w="2040" w:type="dxa"/>
            <w:vAlign w:val="bottom"/>
          </w:tcPr>
          <w:p>
            <w:pPr>
              <w:spacing w:after="0"/>
              <w:rPr>
                <w:sz w:val="24"/>
                <w:szCs w:val="24"/>
                <w:color w:val="auto"/>
              </w:rPr>
            </w:pPr>
          </w:p>
        </w:tc>
        <w:tc>
          <w:tcPr>
            <w:tcW w:w="2220" w:type="dxa"/>
            <w:vAlign w:val="bottom"/>
            <w:vMerge w:val="restart"/>
          </w:tcPr>
          <w:p>
            <w:pPr>
              <w:jc w:val="right"/>
              <w:ind w:right="319"/>
              <w:spacing w:after="0"/>
              <w:rPr>
                <w:sz w:val="20"/>
                <w:szCs w:val="20"/>
                <w:color w:val="auto"/>
              </w:rPr>
            </w:pPr>
            <w:r>
              <w:rPr>
                <w:rFonts w:ascii="Arial" w:cs="Arial" w:eastAsia="Arial" w:hAnsi="Arial"/>
                <w:sz w:val="16"/>
                <w:szCs w:val="16"/>
                <w:color w:val="auto"/>
              </w:rPr>
              <w:t>83,752</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93,922</w:t>
            </w:r>
          </w:p>
        </w:tc>
        <w:tc>
          <w:tcPr>
            <w:tcW w:w="0" w:type="dxa"/>
            <w:vAlign w:val="bottom"/>
          </w:tcPr>
          <w:p>
            <w:pPr>
              <w:spacing w:after="0"/>
              <w:rPr>
                <w:sz w:val="1"/>
                <w:szCs w:val="1"/>
                <w:color w:val="auto"/>
              </w:rPr>
            </w:pPr>
          </w:p>
        </w:tc>
      </w:tr>
      <w:tr>
        <w:trPr>
          <w:trHeight w:val="54"/>
        </w:trPr>
        <w:tc>
          <w:tcPr>
            <w:tcW w:w="53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2220" w:type="dxa"/>
            <w:vAlign w:val="bottom"/>
            <w:vMerge w:val="continue"/>
          </w:tcPr>
          <w:p>
            <w:pPr>
              <w:spacing w:after="0"/>
              <w:rPr>
                <w:sz w:val="4"/>
                <w:szCs w:val="4"/>
                <w:color w:val="auto"/>
              </w:rPr>
            </w:pPr>
          </w:p>
        </w:tc>
        <w:tc>
          <w:tcPr>
            <w:tcW w:w="1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5300" w:type="dxa"/>
            <w:vAlign w:val="bottom"/>
          </w:tcPr>
          <w:p>
            <w:pPr>
              <w:ind w:left="560"/>
              <w:spacing w:after="0"/>
              <w:rPr>
                <w:sz w:val="20"/>
                <w:szCs w:val="20"/>
                <w:color w:val="auto"/>
              </w:rPr>
            </w:pPr>
            <w:r>
              <w:rPr>
                <w:rFonts w:ascii="Arial" w:cs="Arial" w:eastAsia="Arial" w:hAnsi="Arial"/>
                <w:sz w:val="16"/>
                <w:szCs w:val="16"/>
                <w:color w:val="auto"/>
              </w:rPr>
              <w:t>Accounts receivable</w:t>
            </w:r>
          </w:p>
        </w:tc>
        <w:tc>
          <w:tcPr>
            <w:tcW w:w="2040" w:type="dxa"/>
            <w:vAlign w:val="bottom"/>
          </w:tcPr>
          <w:p>
            <w:pPr>
              <w:spacing w:after="0"/>
              <w:rPr>
                <w:sz w:val="24"/>
                <w:szCs w:val="24"/>
                <w:color w:val="auto"/>
              </w:rPr>
            </w:pPr>
          </w:p>
        </w:tc>
        <w:tc>
          <w:tcPr>
            <w:tcW w:w="2220" w:type="dxa"/>
            <w:vAlign w:val="bottom"/>
            <w:vMerge w:val="restart"/>
          </w:tcPr>
          <w:p>
            <w:pPr>
              <w:jc w:val="right"/>
              <w:ind w:right="319"/>
              <w:spacing w:after="0"/>
              <w:rPr>
                <w:sz w:val="20"/>
                <w:szCs w:val="20"/>
                <w:color w:val="auto"/>
              </w:rPr>
            </w:pPr>
            <w:r>
              <w:rPr>
                <w:rFonts w:ascii="Arial" w:cs="Arial" w:eastAsia="Arial" w:hAnsi="Arial"/>
                <w:sz w:val="16"/>
                <w:szCs w:val="16"/>
                <w:color w:val="auto"/>
              </w:rPr>
              <w:t>4,735</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4,094</w:t>
            </w:r>
          </w:p>
        </w:tc>
        <w:tc>
          <w:tcPr>
            <w:tcW w:w="0" w:type="dxa"/>
            <w:vAlign w:val="bottom"/>
          </w:tcPr>
          <w:p>
            <w:pPr>
              <w:spacing w:after="0"/>
              <w:rPr>
                <w:sz w:val="1"/>
                <w:szCs w:val="1"/>
                <w:color w:val="auto"/>
              </w:rPr>
            </w:pPr>
          </w:p>
        </w:tc>
      </w:tr>
      <w:tr>
        <w:trPr>
          <w:trHeight w:val="54"/>
        </w:trPr>
        <w:tc>
          <w:tcPr>
            <w:tcW w:w="53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2220" w:type="dxa"/>
            <w:vAlign w:val="bottom"/>
            <w:vMerge w:val="continue"/>
          </w:tcPr>
          <w:p>
            <w:pPr>
              <w:spacing w:after="0"/>
              <w:rPr>
                <w:sz w:val="4"/>
                <w:szCs w:val="4"/>
                <w:color w:val="auto"/>
              </w:rPr>
            </w:pPr>
          </w:p>
        </w:tc>
        <w:tc>
          <w:tcPr>
            <w:tcW w:w="1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5300" w:type="dxa"/>
            <w:vAlign w:val="bottom"/>
          </w:tcPr>
          <w:p>
            <w:pPr>
              <w:ind w:left="560"/>
              <w:spacing w:after="0"/>
              <w:rPr>
                <w:sz w:val="20"/>
                <w:szCs w:val="20"/>
                <w:color w:val="auto"/>
              </w:rPr>
            </w:pPr>
            <w:r>
              <w:rPr>
                <w:rFonts w:ascii="Arial" w:cs="Arial" w:eastAsia="Arial" w:hAnsi="Arial"/>
                <w:sz w:val="16"/>
                <w:szCs w:val="16"/>
                <w:color w:val="auto"/>
              </w:rPr>
              <w:t>Prepaid expenses</w:t>
            </w:r>
          </w:p>
        </w:tc>
        <w:tc>
          <w:tcPr>
            <w:tcW w:w="2040" w:type="dxa"/>
            <w:vAlign w:val="bottom"/>
          </w:tcPr>
          <w:p>
            <w:pPr>
              <w:spacing w:after="0"/>
              <w:rPr>
                <w:sz w:val="24"/>
                <w:szCs w:val="24"/>
                <w:color w:val="auto"/>
              </w:rPr>
            </w:pPr>
          </w:p>
        </w:tc>
        <w:tc>
          <w:tcPr>
            <w:tcW w:w="2220" w:type="dxa"/>
            <w:vAlign w:val="bottom"/>
            <w:vMerge w:val="restart"/>
          </w:tcPr>
          <w:p>
            <w:pPr>
              <w:jc w:val="right"/>
              <w:ind w:right="319"/>
              <w:spacing w:after="0"/>
              <w:rPr>
                <w:sz w:val="20"/>
                <w:szCs w:val="20"/>
                <w:color w:val="auto"/>
              </w:rPr>
            </w:pPr>
            <w:r>
              <w:rPr>
                <w:rFonts w:ascii="Arial" w:cs="Arial" w:eastAsia="Arial" w:hAnsi="Arial"/>
                <w:sz w:val="16"/>
                <w:szCs w:val="16"/>
                <w:color w:val="auto"/>
              </w:rPr>
              <w:t>24,422</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15,412</w:t>
            </w:r>
          </w:p>
        </w:tc>
        <w:tc>
          <w:tcPr>
            <w:tcW w:w="0" w:type="dxa"/>
            <w:vAlign w:val="bottom"/>
          </w:tcPr>
          <w:p>
            <w:pPr>
              <w:spacing w:after="0"/>
              <w:rPr>
                <w:sz w:val="1"/>
                <w:szCs w:val="1"/>
                <w:color w:val="auto"/>
              </w:rPr>
            </w:pPr>
          </w:p>
        </w:tc>
      </w:tr>
      <w:tr>
        <w:trPr>
          <w:trHeight w:val="54"/>
        </w:trPr>
        <w:tc>
          <w:tcPr>
            <w:tcW w:w="53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2220" w:type="dxa"/>
            <w:vAlign w:val="bottom"/>
            <w:vMerge w:val="continue"/>
          </w:tcPr>
          <w:p>
            <w:pPr>
              <w:spacing w:after="0"/>
              <w:rPr>
                <w:sz w:val="4"/>
                <w:szCs w:val="4"/>
                <w:color w:val="auto"/>
              </w:rPr>
            </w:pPr>
          </w:p>
        </w:tc>
        <w:tc>
          <w:tcPr>
            <w:tcW w:w="1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5300" w:type="dxa"/>
            <w:vAlign w:val="bottom"/>
          </w:tcPr>
          <w:p>
            <w:pPr>
              <w:ind w:left="700"/>
              <w:spacing w:after="0"/>
              <w:rPr>
                <w:sz w:val="20"/>
                <w:szCs w:val="20"/>
                <w:color w:val="auto"/>
              </w:rPr>
            </w:pPr>
            <w:r>
              <w:rPr>
                <w:rFonts w:ascii="Arial" w:cs="Arial" w:eastAsia="Arial" w:hAnsi="Arial"/>
                <w:sz w:val="16"/>
                <w:szCs w:val="16"/>
                <w:color w:val="auto"/>
              </w:rPr>
              <w:t>Other current assets</w:t>
            </w:r>
          </w:p>
        </w:tc>
        <w:tc>
          <w:tcPr>
            <w:tcW w:w="2040" w:type="dxa"/>
            <w:vAlign w:val="bottom"/>
          </w:tcPr>
          <w:p>
            <w:pPr>
              <w:spacing w:after="0"/>
              <w:rPr>
                <w:sz w:val="24"/>
                <w:szCs w:val="24"/>
                <w:color w:val="auto"/>
              </w:rPr>
            </w:pPr>
          </w:p>
        </w:tc>
        <w:tc>
          <w:tcPr>
            <w:tcW w:w="2220" w:type="dxa"/>
            <w:vAlign w:val="bottom"/>
            <w:vMerge w:val="restart"/>
          </w:tcPr>
          <w:p>
            <w:pPr>
              <w:jc w:val="right"/>
              <w:ind w:right="319"/>
              <w:spacing w:after="0"/>
              <w:rPr>
                <w:sz w:val="20"/>
                <w:szCs w:val="20"/>
                <w:color w:val="auto"/>
              </w:rPr>
            </w:pPr>
            <w:r>
              <w:rPr>
                <w:rFonts w:ascii="Arial" w:cs="Arial" w:eastAsia="Arial" w:hAnsi="Arial"/>
                <w:sz w:val="16"/>
                <w:szCs w:val="16"/>
                <w:color w:val="auto"/>
              </w:rPr>
              <w:t>1,672</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54"/>
        </w:trPr>
        <w:tc>
          <w:tcPr>
            <w:tcW w:w="53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2220" w:type="dxa"/>
            <w:vAlign w:val="bottom"/>
            <w:vMerge w:val="continue"/>
          </w:tcPr>
          <w:p>
            <w:pPr>
              <w:spacing w:after="0"/>
              <w:rPr>
                <w:sz w:val="4"/>
                <w:szCs w:val="4"/>
                <w:color w:val="auto"/>
              </w:rPr>
            </w:pPr>
          </w:p>
        </w:tc>
        <w:tc>
          <w:tcPr>
            <w:tcW w:w="1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53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Total Current Assets</w:t>
            </w:r>
          </w:p>
        </w:tc>
        <w:tc>
          <w:tcPr>
            <w:tcW w:w="20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114,581</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115,452</w:t>
            </w:r>
          </w:p>
        </w:tc>
        <w:tc>
          <w:tcPr>
            <w:tcW w:w="0" w:type="dxa"/>
            <w:vAlign w:val="bottom"/>
          </w:tcPr>
          <w:p>
            <w:pPr>
              <w:spacing w:after="0"/>
              <w:rPr>
                <w:sz w:val="1"/>
                <w:szCs w:val="1"/>
                <w:color w:val="auto"/>
              </w:rPr>
            </w:pPr>
          </w:p>
        </w:tc>
      </w:tr>
      <w:tr>
        <w:trPr>
          <w:trHeight w:val="472"/>
        </w:trPr>
        <w:tc>
          <w:tcPr>
            <w:tcW w:w="5300" w:type="dxa"/>
            <w:vAlign w:val="bottom"/>
          </w:tcPr>
          <w:p>
            <w:pPr>
              <w:ind w:left="240"/>
              <w:spacing w:after="0"/>
              <w:rPr>
                <w:sz w:val="20"/>
                <w:szCs w:val="20"/>
                <w:color w:val="auto"/>
              </w:rPr>
            </w:pPr>
            <w:r>
              <w:rPr>
                <w:rFonts w:ascii="Arial" w:cs="Arial" w:eastAsia="Arial" w:hAnsi="Arial"/>
                <w:sz w:val="16"/>
                <w:szCs w:val="16"/>
                <w:b w:val="1"/>
                <w:bCs w:val="1"/>
                <w:color w:val="auto"/>
              </w:rPr>
              <w:t>Non-current</w:t>
            </w:r>
          </w:p>
        </w:tc>
        <w:tc>
          <w:tcPr>
            <w:tcW w:w="20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300" w:type="dxa"/>
            <w:vAlign w:val="bottom"/>
            <w:vMerge w:val="restart"/>
          </w:tcPr>
          <w:p>
            <w:pPr>
              <w:ind w:left="560"/>
              <w:spacing w:after="0"/>
              <w:rPr>
                <w:sz w:val="20"/>
                <w:szCs w:val="20"/>
                <w:color w:val="auto"/>
              </w:rPr>
            </w:pPr>
            <w:r>
              <w:rPr>
                <w:rFonts w:ascii="Arial" w:cs="Arial" w:eastAsia="Arial" w:hAnsi="Arial"/>
                <w:sz w:val="16"/>
                <w:szCs w:val="16"/>
                <w:color w:val="auto"/>
              </w:rPr>
              <w:t>Equipment</w:t>
            </w:r>
          </w:p>
        </w:tc>
        <w:tc>
          <w:tcPr>
            <w:tcW w:w="2040" w:type="dxa"/>
            <w:vAlign w:val="bottom"/>
          </w:tcPr>
          <w:p>
            <w:pPr>
              <w:jc w:val="center"/>
              <w:ind w:left="799"/>
              <w:spacing w:after="0"/>
              <w:rPr>
                <w:sz w:val="20"/>
                <w:szCs w:val="20"/>
                <w:color w:val="auto"/>
              </w:rPr>
            </w:pPr>
            <w:r>
              <w:rPr>
                <w:rFonts w:ascii="Arial" w:cs="Arial" w:eastAsia="Arial" w:hAnsi="Arial"/>
                <w:sz w:val="16"/>
                <w:szCs w:val="16"/>
                <w:i w:val="1"/>
                <w:iCs w:val="1"/>
                <w:color w:val="auto"/>
                <w:w w:val="89"/>
              </w:rPr>
              <w:t>3</w:t>
            </w:r>
          </w:p>
        </w:tc>
        <w:tc>
          <w:tcPr>
            <w:tcW w:w="2220" w:type="dxa"/>
            <w:vAlign w:val="bottom"/>
            <w:vMerge w:val="restart"/>
          </w:tcPr>
          <w:p>
            <w:pPr>
              <w:jc w:val="right"/>
              <w:ind w:right="319"/>
              <w:spacing w:after="0"/>
              <w:rPr>
                <w:sz w:val="20"/>
                <w:szCs w:val="20"/>
                <w:color w:val="auto"/>
              </w:rPr>
            </w:pPr>
            <w:r>
              <w:rPr>
                <w:rFonts w:ascii="Arial" w:cs="Arial" w:eastAsia="Arial" w:hAnsi="Arial"/>
                <w:sz w:val="16"/>
                <w:szCs w:val="16"/>
                <w:color w:val="auto"/>
              </w:rPr>
              <w:t>125</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81"/>
        </w:trPr>
        <w:tc>
          <w:tcPr>
            <w:tcW w:w="5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222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53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2220" w:type="dxa"/>
            <w:vAlign w:val="bottom"/>
            <w:vMerge w:val="continue"/>
          </w:tcPr>
          <w:p>
            <w:pPr>
              <w:spacing w:after="0"/>
              <w:rPr>
                <w:sz w:val="4"/>
                <w:szCs w:val="4"/>
                <w:color w:val="auto"/>
              </w:rPr>
            </w:pPr>
          </w:p>
        </w:tc>
        <w:tc>
          <w:tcPr>
            <w:tcW w:w="1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300" w:type="dxa"/>
            <w:vAlign w:val="bottom"/>
            <w:vMerge w:val="restart"/>
          </w:tcPr>
          <w:p>
            <w:pPr>
              <w:ind w:left="560"/>
              <w:spacing w:after="0"/>
              <w:rPr>
                <w:sz w:val="20"/>
                <w:szCs w:val="20"/>
                <w:color w:val="auto"/>
              </w:rPr>
            </w:pPr>
            <w:r>
              <w:rPr>
                <w:rFonts w:ascii="Arial" w:cs="Arial" w:eastAsia="Arial" w:hAnsi="Arial"/>
                <w:sz w:val="16"/>
                <w:szCs w:val="16"/>
                <w:color w:val="auto"/>
              </w:rPr>
              <w:t>Intangible assets</w:t>
            </w:r>
          </w:p>
        </w:tc>
        <w:tc>
          <w:tcPr>
            <w:tcW w:w="2040" w:type="dxa"/>
            <w:vAlign w:val="bottom"/>
          </w:tcPr>
          <w:p>
            <w:pPr>
              <w:jc w:val="center"/>
              <w:ind w:left="799"/>
              <w:spacing w:after="0"/>
              <w:rPr>
                <w:sz w:val="20"/>
                <w:szCs w:val="20"/>
                <w:color w:val="auto"/>
              </w:rPr>
            </w:pPr>
            <w:r>
              <w:rPr>
                <w:rFonts w:ascii="Arial" w:cs="Arial" w:eastAsia="Arial" w:hAnsi="Arial"/>
                <w:sz w:val="16"/>
                <w:szCs w:val="16"/>
                <w:i w:val="1"/>
                <w:iCs w:val="1"/>
                <w:color w:val="auto"/>
                <w:w w:val="89"/>
              </w:rPr>
              <w:t>4</w:t>
            </w:r>
          </w:p>
        </w:tc>
        <w:tc>
          <w:tcPr>
            <w:tcW w:w="2220" w:type="dxa"/>
            <w:vAlign w:val="bottom"/>
            <w:vMerge w:val="restart"/>
          </w:tcPr>
          <w:p>
            <w:pPr>
              <w:jc w:val="right"/>
              <w:ind w:right="319"/>
              <w:spacing w:after="0"/>
              <w:rPr>
                <w:sz w:val="20"/>
                <w:szCs w:val="20"/>
                <w:color w:val="auto"/>
              </w:rPr>
            </w:pPr>
            <w:r>
              <w:rPr>
                <w:rFonts w:ascii="Arial" w:cs="Arial" w:eastAsia="Arial" w:hAnsi="Arial"/>
                <w:sz w:val="16"/>
                <w:szCs w:val="16"/>
                <w:color w:val="auto"/>
              </w:rPr>
              <w:t>30,029</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28,532</w:t>
            </w:r>
          </w:p>
        </w:tc>
        <w:tc>
          <w:tcPr>
            <w:tcW w:w="0" w:type="dxa"/>
            <w:vAlign w:val="bottom"/>
          </w:tcPr>
          <w:p>
            <w:pPr>
              <w:spacing w:after="0"/>
              <w:rPr>
                <w:sz w:val="1"/>
                <w:szCs w:val="1"/>
                <w:color w:val="auto"/>
              </w:rPr>
            </w:pPr>
          </w:p>
        </w:tc>
      </w:tr>
      <w:tr>
        <w:trPr>
          <w:trHeight w:val="81"/>
        </w:trPr>
        <w:tc>
          <w:tcPr>
            <w:tcW w:w="5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222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53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2220" w:type="dxa"/>
            <w:vAlign w:val="bottom"/>
            <w:vMerge w:val="continue"/>
          </w:tcPr>
          <w:p>
            <w:pPr>
              <w:spacing w:after="0"/>
              <w:rPr>
                <w:sz w:val="4"/>
                <w:szCs w:val="4"/>
                <w:color w:val="auto"/>
              </w:rPr>
            </w:pPr>
          </w:p>
        </w:tc>
        <w:tc>
          <w:tcPr>
            <w:tcW w:w="1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300" w:type="dxa"/>
            <w:vAlign w:val="bottom"/>
            <w:vMerge w:val="restart"/>
          </w:tcPr>
          <w:p>
            <w:pPr>
              <w:ind w:left="560"/>
              <w:spacing w:after="0"/>
              <w:rPr>
                <w:sz w:val="20"/>
                <w:szCs w:val="20"/>
                <w:color w:val="auto"/>
              </w:rPr>
            </w:pPr>
            <w:r>
              <w:rPr>
                <w:rFonts w:ascii="Arial" w:cs="Arial" w:eastAsia="Arial" w:hAnsi="Arial"/>
                <w:sz w:val="16"/>
                <w:szCs w:val="16"/>
                <w:color w:val="auto"/>
              </w:rPr>
              <w:t>Goodwill</w:t>
            </w:r>
          </w:p>
        </w:tc>
        <w:tc>
          <w:tcPr>
            <w:tcW w:w="2040" w:type="dxa"/>
            <w:vAlign w:val="bottom"/>
          </w:tcPr>
          <w:p>
            <w:pPr>
              <w:jc w:val="center"/>
              <w:ind w:left="799"/>
              <w:spacing w:after="0"/>
              <w:rPr>
                <w:sz w:val="20"/>
                <w:szCs w:val="20"/>
                <w:color w:val="auto"/>
              </w:rPr>
            </w:pPr>
            <w:r>
              <w:rPr>
                <w:rFonts w:ascii="Arial" w:cs="Arial" w:eastAsia="Arial" w:hAnsi="Arial"/>
                <w:sz w:val="16"/>
                <w:szCs w:val="16"/>
                <w:i w:val="1"/>
                <w:iCs w:val="1"/>
                <w:color w:val="auto"/>
                <w:w w:val="89"/>
              </w:rPr>
              <w:t>5</w:t>
            </w:r>
          </w:p>
        </w:tc>
        <w:tc>
          <w:tcPr>
            <w:tcW w:w="2220" w:type="dxa"/>
            <w:vAlign w:val="bottom"/>
            <w:vMerge w:val="restart"/>
          </w:tcPr>
          <w:p>
            <w:pPr>
              <w:jc w:val="right"/>
              <w:ind w:right="319"/>
              <w:spacing w:after="0"/>
              <w:rPr>
                <w:sz w:val="20"/>
                <w:szCs w:val="20"/>
                <w:color w:val="auto"/>
              </w:rPr>
            </w:pPr>
            <w:r>
              <w:rPr>
                <w:rFonts w:ascii="Arial" w:cs="Arial" w:eastAsia="Arial" w:hAnsi="Arial"/>
                <w:sz w:val="16"/>
                <w:szCs w:val="16"/>
                <w:color w:val="auto"/>
              </w:rPr>
              <w:t>36,511</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35,815</w:t>
            </w:r>
          </w:p>
        </w:tc>
        <w:tc>
          <w:tcPr>
            <w:tcW w:w="0" w:type="dxa"/>
            <w:vAlign w:val="bottom"/>
          </w:tcPr>
          <w:p>
            <w:pPr>
              <w:spacing w:after="0"/>
              <w:rPr>
                <w:sz w:val="1"/>
                <w:szCs w:val="1"/>
                <w:color w:val="auto"/>
              </w:rPr>
            </w:pPr>
          </w:p>
        </w:tc>
      </w:tr>
      <w:tr>
        <w:trPr>
          <w:trHeight w:val="81"/>
        </w:trPr>
        <w:tc>
          <w:tcPr>
            <w:tcW w:w="5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222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53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2220" w:type="dxa"/>
            <w:vAlign w:val="bottom"/>
            <w:vMerge w:val="continue"/>
          </w:tcPr>
          <w:p>
            <w:pPr>
              <w:spacing w:after="0"/>
              <w:rPr>
                <w:sz w:val="4"/>
                <w:szCs w:val="4"/>
                <w:color w:val="auto"/>
              </w:rPr>
            </w:pPr>
          </w:p>
        </w:tc>
        <w:tc>
          <w:tcPr>
            <w:tcW w:w="1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53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Total Non-Current Assets</w:t>
            </w:r>
          </w:p>
        </w:tc>
        <w:tc>
          <w:tcPr>
            <w:tcW w:w="20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66,665</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64,445</w:t>
            </w:r>
          </w:p>
        </w:tc>
        <w:tc>
          <w:tcPr>
            <w:tcW w:w="0" w:type="dxa"/>
            <w:vAlign w:val="bottom"/>
          </w:tcPr>
          <w:p>
            <w:pPr>
              <w:spacing w:after="0"/>
              <w:rPr>
                <w:sz w:val="1"/>
                <w:szCs w:val="1"/>
                <w:color w:val="auto"/>
              </w:rPr>
            </w:pPr>
          </w:p>
        </w:tc>
      </w:tr>
      <w:tr>
        <w:trPr>
          <w:trHeight w:val="34"/>
        </w:trPr>
        <w:tc>
          <w:tcPr>
            <w:tcW w:w="5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tcBorders>
              <w:bottom w:val="single" w:sz="8" w:color="auto"/>
            </w:tcBorders>
            <w:shd w:val="clear" w:color="auto" w:fill="D9D9D9"/>
          </w:tcPr>
          <w:p>
            <w:pPr>
              <w:ind w:left="80"/>
              <w:spacing w:after="0"/>
              <w:rPr>
                <w:sz w:val="20"/>
                <w:szCs w:val="20"/>
                <w:color w:val="auto"/>
              </w:rPr>
            </w:pPr>
            <w:r>
              <w:rPr>
                <w:rFonts w:ascii="Arial" w:cs="Arial" w:eastAsia="Arial" w:hAnsi="Arial"/>
                <w:sz w:val="16"/>
                <w:szCs w:val="16"/>
                <w:b w:val="1"/>
                <w:bCs w:val="1"/>
                <w:color w:val="auto"/>
              </w:rPr>
              <w:t>TOTAL ASSETS</w:t>
            </w:r>
          </w:p>
        </w:tc>
        <w:tc>
          <w:tcPr>
            <w:tcW w:w="2040" w:type="dxa"/>
            <w:vAlign w:val="bottom"/>
            <w:tcBorders>
              <w:bottom w:val="single" w:sz="8" w:color="auto"/>
            </w:tcBorders>
            <w:shd w:val="clear" w:color="auto" w:fill="D9D9D9"/>
          </w:tcPr>
          <w:p>
            <w:pPr>
              <w:spacing w:after="0"/>
              <w:rPr>
                <w:sz w:val="18"/>
                <w:szCs w:val="18"/>
                <w:color w:val="auto"/>
              </w:rPr>
            </w:pPr>
          </w:p>
        </w:tc>
        <w:tc>
          <w:tcPr>
            <w:tcW w:w="2220" w:type="dxa"/>
            <w:vAlign w:val="bottom"/>
            <w:tcBorders>
              <w:bottom w:val="single" w:sz="8" w:color="auto"/>
            </w:tcBorders>
            <w:shd w:val="clear" w:color="auto" w:fill="D9D9D9"/>
          </w:tcPr>
          <w:p>
            <w:pPr>
              <w:jc w:val="right"/>
              <w:ind w:right="319"/>
              <w:spacing w:after="0"/>
              <w:rPr>
                <w:sz w:val="20"/>
                <w:szCs w:val="20"/>
                <w:color w:val="auto"/>
              </w:rPr>
            </w:pPr>
            <w:r>
              <w:rPr>
                <w:rFonts w:ascii="Arial" w:cs="Arial" w:eastAsia="Arial" w:hAnsi="Arial"/>
                <w:sz w:val="16"/>
                <w:szCs w:val="16"/>
                <w:b w:val="1"/>
                <w:bCs w:val="1"/>
                <w:color w:val="auto"/>
              </w:rPr>
              <w:t>181,246</w:t>
            </w:r>
          </w:p>
        </w:tc>
        <w:tc>
          <w:tcPr>
            <w:tcW w:w="16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179,897</w:t>
            </w:r>
          </w:p>
        </w:tc>
        <w:tc>
          <w:tcPr>
            <w:tcW w:w="0" w:type="dxa"/>
            <w:vAlign w:val="bottom"/>
          </w:tcPr>
          <w:p>
            <w:pPr>
              <w:spacing w:after="0"/>
              <w:rPr>
                <w:sz w:val="1"/>
                <w:szCs w:val="1"/>
                <w:color w:val="auto"/>
              </w:rPr>
            </w:pPr>
          </w:p>
        </w:tc>
      </w:tr>
      <w:tr>
        <w:trPr>
          <w:trHeight w:val="256"/>
        </w:trPr>
        <w:tc>
          <w:tcPr>
            <w:tcW w:w="5300" w:type="dxa"/>
            <w:vAlign w:val="bottom"/>
          </w:tcPr>
          <w:p>
            <w:pPr>
              <w:ind w:left="80"/>
              <w:spacing w:after="0"/>
              <w:rPr>
                <w:sz w:val="20"/>
                <w:szCs w:val="20"/>
                <w:color w:val="auto"/>
              </w:rPr>
            </w:pPr>
            <w:r>
              <w:rPr>
                <w:rFonts w:ascii="Arial" w:cs="Arial" w:eastAsia="Arial" w:hAnsi="Arial"/>
                <w:sz w:val="16"/>
                <w:szCs w:val="16"/>
                <w:b w:val="1"/>
                <w:bCs w:val="1"/>
                <w:color w:val="auto"/>
              </w:rPr>
              <w:t>LIABILITIES</w:t>
            </w:r>
          </w:p>
        </w:tc>
        <w:tc>
          <w:tcPr>
            <w:tcW w:w="204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300" w:type="dxa"/>
            <w:vAlign w:val="bottom"/>
          </w:tcPr>
          <w:p>
            <w:pPr>
              <w:ind w:left="240"/>
              <w:spacing w:after="0"/>
              <w:rPr>
                <w:sz w:val="20"/>
                <w:szCs w:val="20"/>
                <w:color w:val="auto"/>
              </w:rPr>
            </w:pPr>
            <w:r>
              <w:rPr>
                <w:rFonts w:ascii="Arial" w:cs="Arial" w:eastAsia="Arial" w:hAnsi="Arial"/>
                <w:sz w:val="16"/>
                <w:szCs w:val="16"/>
                <w:b w:val="1"/>
                <w:bCs w:val="1"/>
                <w:color w:val="auto"/>
              </w:rPr>
              <w:t>Current</w:t>
            </w:r>
          </w:p>
        </w:tc>
        <w:tc>
          <w:tcPr>
            <w:tcW w:w="20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5300" w:type="dxa"/>
            <w:vAlign w:val="bottom"/>
          </w:tcPr>
          <w:p>
            <w:pPr>
              <w:ind w:left="560"/>
              <w:spacing w:after="0"/>
              <w:rPr>
                <w:sz w:val="20"/>
                <w:szCs w:val="20"/>
                <w:color w:val="auto"/>
              </w:rPr>
            </w:pPr>
            <w:r>
              <w:rPr>
                <w:rFonts w:ascii="Arial" w:cs="Arial" w:eastAsia="Arial" w:hAnsi="Arial"/>
                <w:sz w:val="16"/>
                <w:szCs w:val="16"/>
                <w:color w:val="auto"/>
              </w:rPr>
              <w:t>Accounts payable and accrued liabilities</w:t>
            </w:r>
          </w:p>
        </w:tc>
        <w:tc>
          <w:tcPr>
            <w:tcW w:w="2040" w:type="dxa"/>
            <w:vAlign w:val="bottom"/>
          </w:tcPr>
          <w:p>
            <w:pPr>
              <w:spacing w:after="0"/>
              <w:rPr>
                <w:sz w:val="24"/>
                <w:szCs w:val="24"/>
                <w:color w:val="auto"/>
              </w:rPr>
            </w:pPr>
          </w:p>
        </w:tc>
        <w:tc>
          <w:tcPr>
            <w:tcW w:w="2220" w:type="dxa"/>
            <w:vAlign w:val="bottom"/>
          </w:tcPr>
          <w:p>
            <w:pPr>
              <w:jc w:val="right"/>
              <w:ind w:right="319"/>
              <w:spacing w:after="0"/>
              <w:rPr>
                <w:sz w:val="20"/>
                <w:szCs w:val="20"/>
                <w:color w:val="auto"/>
              </w:rPr>
            </w:pPr>
            <w:r>
              <w:rPr>
                <w:rFonts w:ascii="Arial" w:cs="Arial" w:eastAsia="Arial" w:hAnsi="Arial"/>
                <w:sz w:val="16"/>
                <w:szCs w:val="16"/>
                <w:color w:val="auto"/>
              </w:rPr>
              <w:t>13,362</w:t>
            </w:r>
          </w:p>
        </w:tc>
        <w:tc>
          <w:tcPr>
            <w:tcW w:w="1680" w:type="dxa"/>
            <w:vAlign w:val="bottom"/>
          </w:tcPr>
          <w:p>
            <w:pPr>
              <w:jc w:val="right"/>
              <w:spacing w:after="0"/>
              <w:rPr>
                <w:sz w:val="20"/>
                <w:szCs w:val="20"/>
                <w:color w:val="auto"/>
              </w:rPr>
            </w:pPr>
            <w:r>
              <w:rPr>
                <w:rFonts w:ascii="Arial" w:cs="Arial" w:eastAsia="Arial" w:hAnsi="Arial"/>
                <w:sz w:val="16"/>
                <w:szCs w:val="16"/>
                <w:color w:val="auto"/>
              </w:rPr>
              <w:t>14,900</w:t>
            </w:r>
          </w:p>
        </w:tc>
        <w:tc>
          <w:tcPr>
            <w:tcW w:w="0" w:type="dxa"/>
            <w:vAlign w:val="bottom"/>
          </w:tcPr>
          <w:p>
            <w:pPr>
              <w:spacing w:after="0"/>
              <w:rPr>
                <w:sz w:val="1"/>
                <w:szCs w:val="1"/>
                <w:color w:val="auto"/>
              </w:rPr>
            </w:pPr>
          </w:p>
        </w:tc>
      </w:tr>
      <w:tr>
        <w:trPr>
          <w:trHeight w:val="150"/>
        </w:trPr>
        <w:tc>
          <w:tcPr>
            <w:tcW w:w="53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3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Total Current Liabilities</w:t>
            </w:r>
          </w:p>
        </w:tc>
        <w:tc>
          <w:tcPr>
            <w:tcW w:w="20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13,362</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14,900</w:t>
            </w:r>
          </w:p>
        </w:tc>
        <w:tc>
          <w:tcPr>
            <w:tcW w:w="0" w:type="dxa"/>
            <w:vAlign w:val="bottom"/>
          </w:tcPr>
          <w:p>
            <w:pPr>
              <w:spacing w:after="0"/>
              <w:rPr>
                <w:sz w:val="1"/>
                <w:szCs w:val="1"/>
                <w:color w:val="auto"/>
              </w:rPr>
            </w:pPr>
          </w:p>
        </w:tc>
      </w:tr>
      <w:tr>
        <w:trPr>
          <w:trHeight w:val="337"/>
        </w:trPr>
        <w:tc>
          <w:tcPr>
            <w:tcW w:w="5300" w:type="dxa"/>
            <w:vAlign w:val="bottom"/>
          </w:tcPr>
          <w:p>
            <w:pPr>
              <w:ind w:left="240"/>
              <w:spacing w:after="0"/>
              <w:rPr>
                <w:sz w:val="20"/>
                <w:szCs w:val="20"/>
                <w:color w:val="auto"/>
              </w:rPr>
            </w:pPr>
            <w:r>
              <w:rPr>
                <w:rFonts w:ascii="Arial" w:cs="Arial" w:eastAsia="Arial" w:hAnsi="Arial"/>
                <w:sz w:val="16"/>
                <w:szCs w:val="16"/>
                <w:b w:val="1"/>
                <w:bCs w:val="1"/>
                <w:color w:val="auto"/>
              </w:rPr>
              <w:t>Non-current</w:t>
            </w:r>
          </w:p>
        </w:tc>
        <w:tc>
          <w:tcPr>
            <w:tcW w:w="20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300" w:type="dxa"/>
            <w:vAlign w:val="bottom"/>
          </w:tcPr>
          <w:p>
            <w:pPr>
              <w:ind w:left="500"/>
              <w:spacing w:after="0"/>
              <w:rPr>
                <w:sz w:val="20"/>
                <w:szCs w:val="20"/>
                <w:color w:val="auto"/>
              </w:rPr>
            </w:pPr>
            <w:r>
              <w:rPr>
                <w:rFonts w:ascii="Arial" w:cs="Arial" w:eastAsia="Arial" w:hAnsi="Arial"/>
                <w:sz w:val="16"/>
                <w:szCs w:val="16"/>
                <w:color w:val="auto"/>
              </w:rPr>
              <w:t>Convertible Debentures</w:t>
            </w:r>
          </w:p>
        </w:tc>
        <w:tc>
          <w:tcPr>
            <w:tcW w:w="2040" w:type="dxa"/>
            <w:vAlign w:val="bottom"/>
          </w:tcPr>
          <w:p>
            <w:pPr>
              <w:jc w:val="center"/>
              <w:ind w:left="799"/>
              <w:spacing w:after="0"/>
              <w:rPr>
                <w:sz w:val="20"/>
                <w:szCs w:val="20"/>
                <w:color w:val="auto"/>
              </w:rPr>
            </w:pPr>
            <w:r>
              <w:rPr>
                <w:rFonts w:ascii="Arial" w:cs="Arial" w:eastAsia="Arial" w:hAnsi="Arial"/>
                <w:sz w:val="16"/>
                <w:szCs w:val="16"/>
                <w:i w:val="1"/>
                <w:iCs w:val="1"/>
                <w:color w:val="auto"/>
                <w:w w:val="89"/>
              </w:rPr>
              <w:t>6</w:t>
            </w:r>
          </w:p>
        </w:tc>
        <w:tc>
          <w:tcPr>
            <w:tcW w:w="2220" w:type="dxa"/>
            <w:vAlign w:val="bottom"/>
          </w:tcPr>
          <w:p>
            <w:pPr>
              <w:jc w:val="right"/>
              <w:ind w:right="319"/>
              <w:spacing w:after="0"/>
              <w:rPr>
                <w:sz w:val="20"/>
                <w:szCs w:val="20"/>
                <w:color w:val="auto"/>
              </w:rPr>
            </w:pPr>
            <w:r>
              <w:rPr>
                <w:rFonts w:ascii="Arial" w:cs="Arial" w:eastAsia="Arial" w:hAnsi="Arial"/>
                <w:sz w:val="16"/>
                <w:szCs w:val="16"/>
                <w:color w:val="auto"/>
              </w:rPr>
              <w:t>28,888</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6"/>
        </w:trPr>
        <w:tc>
          <w:tcPr>
            <w:tcW w:w="530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53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Total Non-Current Liabilities</w:t>
            </w:r>
          </w:p>
        </w:tc>
        <w:tc>
          <w:tcPr>
            <w:tcW w:w="20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28,888</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5"/>
        </w:trPr>
        <w:tc>
          <w:tcPr>
            <w:tcW w:w="53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5300" w:type="dxa"/>
            <w:vAlign w:val="bottom"/>
            <w:tcBorders>
              <w:bottom w:val="single" w:sz="8" w:color="auto"/>
            </w:tcBorders>
            <w:shd w:val="clear" w:color="auto" w:fill="DBDBDB"/>
          </w:tcPr>
          <w:p>
            <w:pPr>
              <w:ind w:left="80"/>
              <w:spacing w:after="0"/>
              <w:rPr>
                <w:sz w:val="20"/>
                <w:szCs w:val="20"/>
                <w:color w:val="auto"/>
              </w:rPr>
            </w:pPr>
            <w:r>
              <w:rPr>
                <w:rFonts w:ascii="Arial" w:cs="Arial" w:eastAsia="Arial" w:hAnsi="Arial"/>
                <w:sz w:val="16"/>
                <w:szCs w:val="16"/>
                <w:b w:val="1"/>
                <w:bCs w:val="1"/>
                <w:color w:val="auto"/>
              </w:rPr>
              <w:t>TOTAL LIABILITIES</w:t>
            </w:r>
          </w:p>
        </w:tc>
        <w:tc>
          <w:tcPr>
            <w:tcW w:w="2040" w:type="dxa"/>
            <w:vAlign w:val="bottom"/>
            <w:tcBorders>
              <w:bottom w:val="single" w:sz="8" w:color="auto"/>
            </w:tcBorders>
            <w:shd w:val="clear" w:color="auto" w:fill="DBDBDB"/>
          </w:tcPr>
          <w:p>
            <w:pPr>
              <w:spacing w:after="0"/>
              <w:rPr>
                <w:sz w:val="18"/>
                <w:szCs w:val="18"/>
                <w:color w:val="auto"/>
              </w:rPr>
            </w:pPr>
          </w:p>
        </w:tc>
        <w:tc>
          <w:tcPr>
            <w:tcW w:w="2220" w:type="dxa"/>
            <w:vAlign w:val="bottom"/>
            <w:tcBorders>
              <w:bottom w:val="single" w:sz="8" w:color="auto"/>
            </w:tcBorders>
            <w:shd w:val="clear" w:color="auto" w:fill="DBDBDB"/>
          </w:tcPr>
          <w:p>
            <w:pPr>
              <w:jc w:val="right"/>
              <w:ind w:right="319"/>
              <w:spacing w:after="0"/>
              <w:rPr>
                <w:sz w:val="20"/>
                <w:szCs w:val="20"/>
                <w:color w:val="auto"/>
              </w:rPr>
            </w:pPr>
            <w:r>
              <w:rPr>
                <w:rFonts w:ascii="Arial" w:cs="Arial" w:eastAsia="Arial" w:hAnsi="Arial"/>
                <w:sz w:val="16"/>
                <w:szCs w:val="16"/>
                <w:b w:val="1"/>
                <w:bCs w:val="1"/>
                <w:color w:val="auto"/>
              </w:rPr>
              <w:t>42,250</w:t>
            </w: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14,900</w:t>
            </w:r>
          </w:p>
        </w:tc>
        <w:tc>
          <w:tcPr>
            <w:tcW w:w="0" w:type="dxa"/>
            <w:vAlign w:val="bottom"/>
          </w:tcPr>
          <w:p>
            <w:pPr>
              <w:spacing w:after="0"/>
              <w:rPr>
                <w:sz w:val="1"/>
                <w:szCs w:val="1"/>
                <w:color w:val="auto"/>
              </w:rPr>
            </w:pPr>
          </w:p>
        </w:tc>
      </w:tr>
      <w:tr>
        <w:trPr>
          <w:trHeight w:val="256"/>
        </w:trPr>
        <w:tc>
          <w:tcPr>
            <w:tcW w:w="5300" w:type="dxa"/>
            <w:vAlign w:val="bottom"/>
          </w:tcPr>
          <w:p>
            <w:pPr>
              <w:ind w:left="80"/>
              <w:spacing w:after="0"/>
              <w:rPr>
                <w:sz w:val="20"/>
                <w:szCs w:val="20"/>
                <w:color w:val="auto"/>
              </w:rPr>
            </w:pPr>
            <w:r>
              <w:rPr>
                <w:rFonts w:ascii="Arial" w:cs="Arial" w:eastAsia="Arial" w:hAnsi="Arial"/>
                <w:sz w:val="16"/>
                <w:szCs w:val="16"/>
                <w:b w:val="1"/>
                <w:bCs w:val="1"/>
                <w:color w:val="auto"/>
              </w:rPr>
              <w:t>SHAREHOLDERS' EQUITY</w:t>
            </w:r>
          </w:p>
        </w:tc>
        <w:tc>
          <w:tcPr>
            <w:tcW w:w="2040" w:type="dxa"/>
            <w:vAlign w:val="bottom"/>
            <w:vMerge w:val="restart"/>
          </w:tcPr>
          <w:p>
            <w:pPr>
              <w:jc w:val="center"/>
              <w:ind w:left="799"/>
              <w:spacing w:after="0"/>
              <w:rPr>
                <w:sz w:val="20"/>
                <w:szCs w:val="20"/>
                <w:color w:val="auto"/>
              </w:rPr>
            </w:pPr>
            <w:r>
              <w:rPr>
                <w:rFonts w:ascii="Arial" w:cs="Arial" w:eastAsia="Arial" w:hAnsi="Arial"/>
                <w:sz w:val="16"/>
                <w:szCs w:val="16"/>
                <w:i w:val="1"/>
                <w:iCs w:val="1"/>
                <w:color w:val="auto"/>
                <w:w w:val="89"/>
              </w:rPr>
              <w:t>7</w:t>
            </w:r>
          </w:p>
        </w:tc>
        <w:tc>
          <w:tcPr>
            <w:tcW w:w="22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5300" w:type="dxa"/>
            <w:vAlign w:val="bottom"/>
            <w:vMerge w:val="restart"/>
          </w:tcPr>
          <w:p>
            <w:pPr>
              <w:ind w:left="560"/>
              <w:spacing w:after="0"/>
              <w:rPr>
                <w:sz w:val="20"/>
                <w:szCs w:val="20"/>
                <w:color w:val="auto"/>
              </w:rPr>
            </w:pPr>
            <w:r>
              <w:rPr>
                <w:rFonts w:ascii="Arial" w:cs="Arial" w:eastAsia="Arial" w:hAnsi="Arial"/>
                <w:sz w:val="16"/>
                <w:szCs w:val="16"/>
                <w:color w:val="auto"/>
              </w:rPr>
              <w:t>Share capital</w:t>
            </w:r>
          </w:p>
        </w:tc>
        <w:tc>
          <w:tcPr>
            <w:tcW w:w="2040" w:type="dxa"/>
            <w:vAlign w:val="bottom"/>
            <w:vMerge w:val="continue"/>
          </w:tcPr>
          <w:p>
            <w:pPr>
              <w:spacing w:after="0"/>
              <w:rPr>
                <w:sz w:val="18"/>
                <w:szCs w:val="18"/>
                <w:color w:val="auto"/>
              </w:rPr>
            </w:pPr>
          </w:p>
        </w:tc>
        <w:tc>
          <w:tcPr>
            <w:tcW w:w="2220" w:type="dxa"/>
            <w:vAlign w:val="bottom"/>
            <w:vMerge w:val="restart"/>
          </w:tcPr>
          <w:p>
            <w:pPr>
              <w:jc w:val="right"/>
              <w:ind w:right="319"/>
              <w:spacing w:after="0"/>
              <w:rPr>
                <w:sz w:val="20"/>
                <w:szCs w:val="20"/>
                <w:color w:val="auto"/>
              </w:rPr>
            </w:pPr>
            <w:r>
              <w:rPr>
                <w:rFonts w:ascii="Arial" w:cs="Arial" w:eastAsia="Arial" w:hAnsi="Arial"/>
                <w:sz w:val="16"/>
                <w:szCs w:val="16"/>
                <w:color w:val="auto"/>
              </w:rPr>
              <w:t>353,587</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344,949</w:t>
            </w:r>
          </w:p>
        </w:tc>
        <w:tc>
          <w:tcPr>
            <w:tcW w:w="0" w:type="dxa"/>
            <w:vAlign w:val="bottom"/>
          </w:tcPr>
          <w:p>
            <w:pPr>
              <w:spacing w:after="0"/>
              <w:rPr>
                <w:sz w:val="1"/>
                <w:szCs w:val="1"/>
                <w:color w:val="auto"/>
              </w:rPr>
            </w:pPr>
          </w:p>
        </w:tc>
      </w:tr>
      <w:tr>
        <w:trPr>
          <w:trHeight w:val="81"/>
        </w:trPr>
        <w:tc>
          <w:tcPr>
            <w:tcW w:w="5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222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53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2220" w:type="dxa"/>
            <w:vAlign w:val="bottom"/>
            <w:vMerge w:val="continue"/>
          </w:tcPr>
          <w:p>
            <w:pPr>
              <w:spacing w:after="0"/>
              <w:rPr>
                <w:sz w:val="4"/>
                <w:szCs w:val="4"/>
                <w:color w:val="auto"/>
              </w:rPr>
            </w:pPr>
          </w:p>
        </w:tc>
        <w:tc>
          <w:tcPr>
            <w:tcW w:w="1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5300" w:type="dxa"/>
            <w:vAlign w:val="bottom"/>
          </w:tcPr>
          <w:p>
            <w:pPr>
              <w:ind w:left="560"/>
              <w:spacing w:after="0"/>
              <w:rPr>
                <w:sz w:val="20"/>
                <w:szCs w:val="20"/>
                <w:color w:val="auto"/>
              </w:rPr>
            </w:pPr>
            <w:r>
              <w:rPr>
                <w:rFonts w:ascii="Arial" w:cs="Arial" w:eastAsia="Arial" w:hAnsi="Arial"/>
                <w:sz w:val="16"/>
                <w:szCs w:val="16"/>
                <w:color w:val="auto"/>
              </w:rPr>
              <w:t>Contributed surplus</w:t>
            </w:r>
          </w:p>
        </w:tc>
        <w:tc>
          <w:tcPr>
            <w:tcW w:w="2040" w:type="dxa"/>
            <w:vAlign w:val="bottom"/>
          </w:tcPr>
          <w:p>
            <w:pPr>
              <w:spacing w:after="0"/>
              <w:rPr>
                <w:sz w:val="24"/>
                <w:szCs w:val="24"/>
                <w:color w:val="auto"/>
              </w:rPr>
            </w:pPr>
          </w:p>
        </w:tc>
        <w:tc>
          <w:tcPr>
            <w:tcW w:w="2220" w:type="dxa"/>
            <w:vAlign w:val="bottom"/>
            <w:vMerge w:val="restart"/>
          </w:tcPr>
          <w:p>
            <w:pPr>
              <w:jc w:val="right"/>
              <w:ind w:right="319"/>
              <w:spacing w:after="0"/>
              <w:rPr>
                <w:sz w:val="20"/>
                <w:szCs w:val="20"/>
                <w:color w:val="auto"/>
              </w:rPr>
            </w:pPr>
            <w:r>
              <w:rPr>
                <w:rFonts w:ascii="Arial" w:cs="Arial" w:eastAsia="Arial" w:hAnsi="Arial"/>
                <w:sz w:val="16"/>
                <w:szCs w:val="16"/>
                <w:color w:val="auto"/>
              </w:rPr>
              <w:t>32,153</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32,626</w:t>
            </w:r>
          </w:p>
        </w:tc>
        <w:tc>
          <w:tcPr>
            <w:tcW w:w="0" w:type="dxa"/>
            <w:vAlign w:val="bottom"/>
          </w:tcPr>
          <w:p>
            <w:pPr>
              <w:spacing w:after="0"/>
              <w:rPr>
                <w:sz w:val="1"/>
                <w:szCs w:val="1"/>
                <w:color w:val="auto"/>
              </w:rPr>
            </w:pPr>
          </w:p>
        </w:tc>
      </w:tr>
      <w:tr>
        <w:trPr>
          <w:trHeight w:val="54"/>
        </w:trPr>
        <w:tc>
          <w:tcPr>
            <w:tcW w:w="53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2220" w:type="dxa"/>
            <w:vAlign w:val="bottom"/>
            <w:vMerge w:val="continue"/>
          </w:tcPr>
          <w:p>
            <w:pPr>
              <w:spacing w:after="0"/>
              <w:rPr>
                <w:sz w:val="4"/>
                <w:szCs w:val="4"/>
                <w:color w:val="auto"/>
              </w:rPr>
            </w:pPr>
          </w:p>
        </w:tc>
        <w:tc>
          <w:tcPr>
            <w:tcW w:w="1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300" w:type="dxa"/>
            <w:vAlign w:val="bottom"/>
            <w:vMerge w:val="restart"/>
          </w:tcPr>
          <w:p>
            <w:pPr>
              <w:ind w:left="560"/>
              <w:spacing w:after="0"/>
              <w:rPr>
                <w:sz w:val="20"/>
                <w:szCs w:val="20"/>
                <w:color w:val="auto"/>
              </w:rPr>
            </w:pPr>
            <w:r>
              <w:rPr>
                <w:rFonts w:ascii="Arial" w:cs="Arial" w:eastAsia="Arial" w:hAnsi="Arial"/>
                <w:sz w:val="16"/>
                <w:szCs w:val="16"/>
                <w:color w:val="auto"/>
              </w:rPr>
              <w:t>Options reserve</w:t>
            </w:r>
          </w:p>
        </w:tc>
        <w:tc>
          <w:tcPr>
            <w:tcW w:w="2040" w:type="dxa"/>
            <w:vAlign w:val="bottom"/>
          </w:tcPr>
          <w:p>
            <w:pPr>
              <w:jc w:val="center"/>
              <w:ind w:left="799"/>
              <w:spacing w:after="0"/>
              <w:rPr>
                <w:sz w:val="20"/>
                <w:szCs w:val="20"/>
                <w:color w:val="auto"/>
              </w:rPr>
            </w:pPr>
            <w:r>
              <w:rPr>
                <w:rFonts w:ascii="Arial" w:cs="Arial" w:eastAsia="Arial" w:hAnsi="Arial"/>
                <w:sz w:val="16"/>
                <w:szCs w:val="16"/>
                <w:i w:val="1"/>
                <w:iCs w:val="1"/>
                <w:color w:val="auto"/>
                <w:w w:val="89"/>
              </w:rPr>
              <w:t>7</w:t>
            </w:r>
          </w:p>
        </w:tc>
        <w:tc>
          <w:tcPr>
            <w:tcW w:w="2220" w:type="dxa"/>
            <w:vAlign w:val="bottom"/>
            <w:vMerge w:val="restart"/>
          </w:tcPr>
          <w:p>
            <w:pPr>
              <w:jc w:val="right"/>
              <w:ind w:right="319"/>
              <w:spacing w:after="0"/>
              <w:rPr>
                <w:sz w:val="20"/>
                <w:szCs w:val="20"/>
                <w:color w:val="auto"/>
              </w:rPr>
            </w:pPr>
            <w:r>
              <w:rPr>
                <w:rFonts w:ascii="Arial" w:cs="Arial" w:eastAsia="Arial" w:hAnsi="Arial"/>
                <w:sz w:val="16"/>
                <w:szCs w:val="16"/>
                <w:color w:val="auto"/>
              </w:rPr>
              <w:t>33,198</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36,262</w:t>
            </w:r>
          </w:p>
        </w:tc>
        <w:tc>
          <w:tcPr>
            <w:tcW w:w="0" w:type="dxa"/>
            <w:vAlign w:val="bottom"/>
          </w:tcPr>
          <w:p>
            <w:pPr>
              <w:spacing w:after="0"/>
              <w:rPr>
                <w:sz w:val="1"/>
                <w:szCs w:val="1"/>
                <w:color w:val="auto"/>
              </w:rPr>
            </w:pPr>
          </w:p>
        </w:tc>
      </w:tr>
      <w:tr>
        <w:trPr>
          <w:trHeight w:val="81"/>
        </w:trPr>
        <w:tc>
          <w:tcPr>
            <w:tcW w:w="5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222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53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2220" w:type="dxa"/>
            <w:vAlign w:val="bottom"/>
            <w:vMerge w:val="continue"/>
          </w:tcPr>
          <w:p>
            <w:pPr>
              <w:spacing w:after="0"/>
              <w:rPr>
                <w:sz w:val="4"/>
                <w:szCs w:val="4"/>
                <w:color w:val="auto"/>
              </w:rPr>
            </w:pPr>
          </w:p>
        </w:tc>
        <w:tc>
          <w:tcPr>
            <w:tcW w:w="1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300" w:type="dxa"/>
            <w:vAlign w:val="bottom"/>
            <w:vMerge w:val="restart"/>
          </w:tcPr>
          <w:p>
            <w:pPr>
              <w:ind w:left="560"/>
              <w:spacing w:after="0"/>
              <w:rPr>
                <w:sz w:val="20"/>
                <w:szCs w:val="20"/>
                <w:color w:val="auto"/>
              </w:rPr>
            </w:pPr>
            <w:r>
              <w:rPr>
                <w:rFonts w:ascii="Arial" w:cs="Arial" w:eastAsia="Arial" w:hAnsi="Arial"/>
                <w:sz w:val="16"/>
                <w:szCs w:val="16"/>
                <w:color w:val="auto"/>
              </w:rPr>
              <w:t>Warrants reserve</w:t>
            </w:r>
          </w:p>
        </w:tc>
        <w:tc>
          <w:tcPr>
            <w:tcW w:w="2040" w:type="dxa"/>
            <w:vAlign w:val="bottom"/>
          </w:tcPr>
          <w:p>
            <w:pPr>
              <w:jc w:val="center"/>
              <w:ind w:left="799"/>
              <w:spacing w:after="0"/>
              <w:rPr>
                <w:sz w:val="20"/>
                <w:szCs w:val="20"/>
                <w:color w:val="auto"/>
              </w:rPr>
            </w:pPr>
            <w:r>
              <w:rPr>
                <w:rFonts w:ascii="Arial" w:cs="Arial" w:eastAsia="Arial" w:hAnsi="Arial"/>
                <w:sz w:val="16"/>
                <w:szCs w:val="16"/>
                <w:i w:val="1"/>
                <w:iCs w:val="1"/>
                <w:color w:val="auto"/>
                <w:w w:val="89"/>
              </w:rPr>
              <w:t>7</w:t>
            </w:r>
          </w:p>
        </w:tc>
        <w:tc>
          <w:tcPr>
            <w:tcW w:w="2220" w:type="dxa"/>
            <w:vAlign w:val="bottom"/>
            <w:vMerge w:val="restart"/>
          </w:tcPr>
          <w:p>
            <w:pPr>
              <w:jc w:val="right"/>
              <w:ind w:right="319"/>
              <w:spacing w:after="0"/>
              <w:rPr>
                <w:sz w:val="20"/>
                <w:szCs w:val="20"/>
                <w:color w:val="auto"/>
              </w:rPr>
            </w:pPr>
            <w:r>
              <w:rPr>
                <w:rFonts w:ascii="Arial" w:cs="Arial" w:eastAsia="Arial" w:hAnsi="Arial"/>
                <w:sz w:val="16"/>
                <w:szCs w:val="16"/>
                <w:color w:val="auto"/>
              </w:rPr>
              <w:t>19,194</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20,493</w:t>
            </w:r>
          </w:p>
        </w:tc>
        <w:tc>
          <w:tcPr>
            <w:tcW w:w="0" w:type="dxa"/>
            <w:vAlign w:val="bottom"/>
          </w:tcPr>
          <w:p>
            <w:pPr>
              <w:spacing w:after="0"/>
              <w:rPr>
                <w:sz w:val="1"/>
                <w:szCs w:val="1"/>
                <w:color w:val="auto"/>
              </w:rPr>
            </w:pPr>
          </w:p>
        </w:tc>
      </w:tr>
      <w:tr>
        <w:trPr>
          <w:trHeight w:val="81"/>
        </w:trPr>
        <w:tc>
          <w:tcPr>
            <w:tcW w:w="5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222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53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2220" w:type="dxa"/>
            <w:vAlign w:val="bottom"/>
            <w:vMerge w:val="continue"/>
          </w:tcPr>
          <w:p>
            <w:pPr>
              <w:spacing w:after="0"/>
              <w:rPr>
                <w:sz w:val="4"/>
                <w:szCs w:val="4"/>
                <w:color w:val="auto"/>
              </w:rPr>
            </w:pPr>
          </w:p>
        </w:tc>
        <w:tc>
          <w:tcPr>
            <w:tcW w:w="1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5300" w:type="dxa"/>
            <w:vAlign w:val="bottom"/>
          </w:tcPr>
          <w:p>
            <w:pPr>
              <w:ind w:left="560"/>
              <w:spacing w:after="0"/>
              <w:rPr>
                <w:sz w:val="20"/>
                <w:szCs w:val="20"/>
                <w:color w:val="auto"/>
              </w:rPr>
            </w:pPr>
            <w:r>
              <w:rPr>
                <w:rFonts w:ascii="Arial" w:cs="Arial" w:eastAsia="Arial" w:hAnsi="Arial"/>
                <w:sz w:val="16"/>
                <w:szCs w:val="16"/>
                <w:color w:val="auto"/>
              </w:rPr>
              <w:t>Accumulated other comprehensive income (loss)</w:t>
            </w:r>
          </w:p>
        </w:tc>
        <w:tc>
          <w:tcPr>
            <w:tcW w:w="2040" w:type="dxa"/>
            <w:vAlign w:val="bottom"/>
          </w:tcPr>
          <w:p>
            <w:pPr>
              <w:spacing w:after="0"/>
              <w:rPr>
                <w:sz w:val="24"/>
                <w:szCs w:val="24"/>
                <w:color w:val="auto"/>
              </w:rPr>
            </w:pPr>
          </w:p>
        </w:tc>
        <w:tc>
          <w:tcPr>
            <w:tcW w:w="2220" w:type="dxa"/>
            <w:vAlign w:val="bottom"/>
            <w:vMerge w:val="restart"/>
          </w:tcPr>
          <w:p>
            <w:pPr>
              <w:jc w:val="right"/>
              <w:ind w:right="319"/>
              <w:spacing w:after="0"/>
              <w:rPr>
                <w:sz w:val="20"/>
                <w:szCs w:val="20"/>
                <w:color w:val="auto"/>
              </w:rPr>
            </w:pPr>
            <w:r>
              <w:rPr>
                <w:rFonts w:ascii="Arial" w:cs="Arial" w:eastAsia="Arial" w:hAnsi="Arial"/>
                <w:sz w:val="16"/>
                <w:szCs w:val="16"/>
                <w:color w:val="auto"/>
              </w:rPr>
              <w:t>736</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(13,940)</w:t>
            </w:r>
          </w:p>
        </w:tc>
        <w:tc>
          <w:tcPr>
            <w:tcW w:w="0" w:type="dxa"/>
            <w:vAlign w:val="bottom"/>
          </w:tcPr>
          <w:p>
            <w:pPr>
              <w:spacing w:after="0"/>
              <w:rPr>
                <w:sz w:val="1"/>
                <w:szCs w:val="1"/>
                <w:color w:val="auto"/>
              </w:rPr>
            </w:pPr>
          </w:p>
        </w:tc>
      </w:tr>
      <w:tr>
        <w:trPr>
          <w:trHeight w:val="54"/>
        </w:trPr>
        <w:tc>
          <w:tcPr>
            <w:tcW w:w="53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2220" w:type="dxa"/>
            <w:vAlign w:val="bottom"/>
            <w:vMerge w:val="continue"/>
          </w:tcPr>
          <w:p>
            <w:pPr>
              <w:spacing w:after="0"/>
              <w:rPr>
                <w:sz w:val="4"/>
                <w:szCs w:val="4"/>
                <w:color w:val="auto"/>
              </w:rPr>
            </w:pPr>
          </w:p>
        </w:tc>
        <w:tc>
          <w:tcPr>
            <w:tcW w:w="1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5300" w:type="dxa"/>
            <w:vAlign w:val="bottom"/>
          </w:tcPr>
          <w:p>
            <w:pPr>
              <w:ind w:left="560"/>
              <w:spacing w:after="0"/>
              <w:rPr>
                <w:sz w:val="20"/>
                <w:szCs w:val="20"/>
                <w:color w:val="auto"/>
              </w:rPr>
            </w:pPr>
            <w:r>
              <w:rPr>
                <w:rFonts w:ascii="Arial" w:cs="Arial" w:eastAsia="Arial" w:hAnsi="Arial"/>
                <w:sz w:val="16"/>
                <w:szCs w:val="16"/>
                <w:color w:val="auto"/>
              </w:rPr>
              <w:t>Deficit</w:t>
            </w:r>
          </w:p>
        </w:tc>
        <w:tc>
          <w:tcPr>
            <w:tcW w:w="2040" w:type="dxa"/>
            <w:vAlign w:val="bottom"/>
          </w:tcPr>
          <w:p>
            <w:pPr>
              <w:spacing w:after="0"/>
              <w:rPr>
                <w:sz w:val="24"/>
                <w:szCs w:val="24"/>
                <w:color w:val="auto"/>
              </w:rPr>
            </w:pPr>
          </w:p>
        </w:tc>
        <w:tc>
          <w:tcPr>
            <w:tcW w:w="2220" w:type="dxa"/>
            <w:vAlign w:val="bottom"/>
            <w:vMerge w:val="restart"/>
          </w:tcPr>
          <w:p>
            <w:pPr>
              <w:jc w:val="right"/>
              <w:ind w:right="279"/>
              <w:spacing w:after="0"/>
              <w:rPr>
                <w:sz w:val="20"/>
                <w:szCs w:val="20"/>
                <w:color w:val="auto"/>
              </w:rPr>
            </w:pPr>
            <w:r>
              <w:rPr>
                <w:rFonts w:ascii="Arial" w:cs="Arial" w:eastAsia="Arial" w:hAnsi="Arial"/>
                <w:sz w:val="16"/>
                <w:szCs w:val="16"/>
                <w:color w:val="auto"/>
              </w:rPr>
              <w:t>(299,872)</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(255,393)</w:t>
            </w:r>
          </w:p>
        </w:tc>
        <w:tc>
          <w:tcPr>
            <w:tcW w:w="0" w:type="dxa"/>
            <w:vAlign w:val="bottom"/>
          </w:tcPr>
          <w:p>
            <w:pPr>
              <w:spacing w:after="0"/>
              <w:rPr>
                <w:sz w:val="1"/>
                <w:szCs w:val="1"/>
                <w:color w:val="auto"/>
              </w:rPr>
            </w:pPr>
          </w:p>
        </w:tc>
      </w:tr>
      <w:tr>
        <w:trPr>
          <w:trHeight w:val="54"/>
        </w:trPr>
        <w:tc>
          <w:tcPr>
            <w:tcW w:w="53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2220" w:type="dxa"/>
            <w:vAlign w:val="bottom"/>
            <w:vMerge w:val="continue"/>
          </w:tcPr>
          <w:p>
            <w:pPr>
              <w:spacing w:after="0"/>
              <w:rPr>
                <w:sz w:val="4"/>
                <w:szCs w:val="4"/>
                <w:color w:val="auto"/>
              </w:rPr>
            </w:pPr>
          </w:p>
        </w:tc>
        <w:tc>
          <w:tcPr>
            <w:tcW w:w="1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53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00" w:type="dxa"/>
            <w:vAlign w:val="bottom"/>
            <w:tcBorders>
              <w:bottom w:val="single" w:sz="8" w:color="auto"/>
            </w:tcBorders>
            <w:shd w:val="clear" w:color="auto" w:fill="D9D9D9"/>
          </w:tcPr>
          <w:p>
            <w:pPr>
              <w:ind w:left="80"/>
              <w:spacing w:after="0"/>
              <w:rPr>
                <w:sz w:val="20"/>
                <w:szCs w:val="20"/>
                <w:color w:val="auto"/>
              </w:rPr>
            </w:pPr>
            <w:r>
              <w:rPr>
                <w:rFonts w:ascii="Arial" w:cs="Arial" w:eastAsia="Arial" w:hAnsi="Arial"/>
                <w:sz w:val="16"/>
                <w:szCs w:val="16"/>
                <w:b w:val="1"/>
                <w:bCs w:val="1"/>
                <w:color w:val="auto"/>
              </w:rPr>
              <w:t>TOTAL SHAREHOLDERS' EQUITY</w:t>
            </w:r>
          </w:p>
        </w:tc>
        <w:tc>
          <w:tcPr>
            <w:tcW w:w="2040" w:type="dxa"/>
            <w:vAlign w:val="bottom"/>
            <w:tcBorders>
              <w:bottom w:val="single" w:sz="8" w:color="auto"/>
            </w:tcBorders>
            <w:shd w:val="clear" w:color="auto" w:fill="D9D9D9"/>
          </w:tcPr>
          <w:p>
            <w:pPr>
              <w:spacing w:after="0"/>
              <w:rPr>
                <w:sz w:val="18"/>
                <w:szCs w:val="18"/>
                <w:color w:val="auto"/>
              </w:rPr>
            </w:pPr>
          </w:p>
        </w:tc>
        <w:tc>
          <w:tcPr>
            <w:tcW w:w="2220" w:type="dxa"/>
            <w:vAlign w:val="bottom"/>
            <w:tcBorders>
              <w:bottom w:val="single" w:sz="8" w:color="auto"/>
            </w:tcBorders>
            <w:shd w:val="clear" w:color="auto" w:fill="D9D9D9"/>
          </w:tcPr>
          <w:p>
            <w:pPr>
              <w:jc w:val="right"/>
              <w:ind w:right="319"/>
              <w:spacing w:after="0"/>
              <w:rPr>
                <w:sz w:val="20"/>
                <w:szCs w:val="20"/>
                <w:color w:val="auto"/>
              </w:rPr>
            </w:pPr>
            <w:r>
              <w:rPr>
                <w:rFonts w:ascii="Arial" w:cs="Arial" w:eastAsia="Arial" w:hAnsi="Arial"/>
                <w:sz w:val="16"/>
                <w:szCs w:val="16"/>
                <w:b w:val="1"/>
                <w:bCs w:val="1"/>
                <w:color w:val="auto"/>
              </w:rPr>
              <w:t>138,996</w:t>
            </w:r>
          </w:p>
        </w:tc>
        <w:tc>
          <w:tcPr>
            <w:tcW w:w="16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164,997</w:t>
            </w:r>
          </w:p>
        </w:tc>
        <w:tc>
          <w:tcPr>
            <w:tcW w:w="0" w:type="dxa"/>
            <w:vAlign w:val="bottom"/>
          </w:tcPr>
          <w:p>
            <w:pPr>
              <w:spacing w:after="0"/>
              <w:rPr>
                <w:sz w:val="1"/>
                <w:szCs w:val="1"/>
                <w:color w:val="auto"/>
              </w:rPr>
            </w:pPr>
          </w:p>
        </w:tc>
      </w:tr>
      <w:tr>
        <w:trPr>
          <w:trHeight w:val="34"/>
        </w:trPr>
        <w:tc>
          <w:tcPr>
            <w:tcW w:w="5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tcBorders>
              <w:bottom w:val="single" w:sz="8" w:color="auto"/>
            </w:tcBorders>
            <w:shd w:val="clear" w:color="auto" w:fill="D9D9D9"/>
          </w:tcPr>
          <w:p>
            <w:pPr>
              <w:ind w:left="80"/>
              <w:spacing w:after="0"/>
              <w:rPr>
                <w:sz w:val="20"/>
                <w:szCs w:val="20"/>
                <w:color w:val="auto"/>
              </w:rPr>
            </w:pPr>
            <w:r>
              <w:rPr>
                <w:rFonts w:ascii="Arial" w:cs="Arial" w:eastAsia="Arial" w:hAnsi="Arial"/>
                <w:sz w:val="16"/>
                <w:szCs w:val="16"/>
                <w:b w:val="1"/>
                <w:bCs w:val="1"/>
                <w:color w:val="auto"/>
              </w:rPr>
              <w:t>TOTAL LIABILITIES AND SHAREHOLDERS' EQUITY</w:t>
            </w:r>
          </w:p>
        </w:tc>
        <w:tc>
          <w:tcPr>
            <w:tcW w:w="2040" w:type="dxa"/>
            <w:vAlign w:val="bottom"/>
            <w:tcBorders>
              <w:bottom w:val="single" w:sz="8" w:color="auto"/>
            </w:tcBorders>
            <w:shd w:val="clear" w:color="auto" w:fill="D9D9D9"/>
          </w:tcPr>
          <w:p>
            <w:pPr>
              <w:spacing w:after="0"/>
              <w:rPr>
                <w:sz w:val="18"/>
                <w:szCs w:val="18"/>
                <w:color w:val="auto"/>
              </w:rPr>
            </w:pPr>
          </w:p>
        </w:tc>
        <w:tc>
          <w:tcPr>
            <w:tcW w:w="2220" w:type="dxa"/>
            <w:vAlign w:val="bottom"/>
            <w:tcBorders>
              <w:bottom w:val="single" w:sz="8" w:color="auto"/>
            </w:tcBorders>
            <w:shd w:val="clear" w:color="auto" w:fill="D9D9D9"/>
          </w:tcPr>
          <w:p>
            <w:pPr>
              <w:jc w:val="right"/>
              <w:ind w:right="319"/>
              <w:spacing w:after="0"/>
              <w:rPr>
                <w:sz w:val="20"/>
                <w:szCs w:val="20"/>
                <w:color w:val="auto"/>
              </w:rPr>
            </w:pPr>
            <w:r>
              <w:rPr>
                <w:rFonts w:ascii="Arial" w:cs="Arial" w:eastAsia="Arial" w:hAnsi="Arial"/>
                <w:sz w:val="16"/>
                <w:szCs w:val="16"/>
                <w:b w:val="1"/>
                <w:bCs w:val="1"/>
                <w:color w:val="auto"/>
              </w:rPr>
              <w:t>181,246</w:t>
            </w:r>
          </w:p>
        </w:tc>
        <w:tc>
          <w:tcPr>
            <w:tcW w:w="16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179,897</w:t>
            </w:r>
          </w:p>
        </w:tc>
        <w:tc>
          <w:tcPr>
            <w:tcW w:w="0" w:type="dxa"/>
            <w:vAlign w:val="bottom"/>
          </w:tcPr>
          <w:p>
            <w:pPr>
              <w:spacing w:after="0"/>
              <w:rPr>
                <w:sz w:val="1"/>
                <w:szCs w:val="1"/>
                <w:color w:val="auto"/>
              </w:rPr>
            </w:pPr>
          </w:p>
        </w:tc>
      </w:tr>
    </w:tbl>
    <w:p>
      <w:pPr>
        <w:spacing w:after="0" w:line="6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i w:val="1"/>
          <w:iCs w:val="1"/>
          <w:color w:val="auto"/>
        </w:rPr>
        <w:t>Corporate information (note 1); Material accounting policy information and basis of preparation (note 2); Contracts, commitments and contingencies (note 11); Subsequent events (note 14)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condensed interim consolidated financial statements.</w:t>
      </w:r>
    </w:p>
    <w:p>
      <w:pPr>
        <w:spacing w:after="0" w:line="115" w:lineRule="exact"/>
        <w:rPr>
          <w:sz w:val="20"/>
          <w:szCs w:val="20"/>
          <w:color w:val="auto"/>
        </w:rPr>
      </w:pPr>
    </w:p>
    <w:p>
      <w:pPr>
        <w:ind w:right="60" w:hanging="107"/>
        <w:spacing w:after="0" w:line="334" w:lineRule="auto"/>
        <w:rPr>
          <w:sz w:val="20"/>
          <w:szCs w:val="20"/>
          <w:color w:val="auto"/>
        </w:rPr>
      </w:pPr>
      <w:r>
        <w:rPr>
          <w:rFonts w:ascii="Arial" w:cs="Arial" w:eastAsia="Arial" w:hAnsi="Arial"/>
          <w:sz w:val="18"/>
          <w:szCs w:val="18"/>
          <w:color w:val="auto"/>
        </w:rPr>
        <w:t>ese condensed interim consolidated financial statements were approved for issue on November 12, 2025 by the board of directors and signed on its behalf by:</w:t>
      </w:r>
    </w:p>
    <w:p>
      <w:pPr>
        <w:spacing w:after="0" w:line="58" w:lineRule="exact"/>
        <w:rPr>
          <w:sz w:val="20"/>
          <w:szCs w:val="20"/>
          <w:color w:val="auto"/>
        </w:rPr>
      </w:pPr>
    </w:p>
    <w:p>
      <w:pPr>
        <w:spacing w:after="0"/>
        <w:tabs>
          <w:tab w:leader="none" w:pos="3580" w:val="left"/>
        </w:tabs>
        <w:rPr>
          <w:sz w:val="20"/>
          <w:szCs w:val="20"/>
          <w:color w:val="auto"/>
        </w:rPr>
      </w:pPr>
      <w:r>
        <w:rPr>
          <w:rFonts w:ascii="Arial" w:cs="Arial" w:eastAsia="Arial" w:hAnsi="Arial"/>
          <w:sz w:val="18"/>
          <w:szCs w:val="18"/>
          <w:i w:val="1"/>
          <w:iCs w:val="1"/>
          <w:color w:val="auto"/>
        </w:rPr>
        <w:t xml:space="preserve">/s/ Paul Glavine </w:t>
      </w:r>
      <w:r>
        <w:rPr>
          <w:rFonts w:ascii="Arial" w:cs="Arial" w:eastAsia="Arial" w:hAnsi="Arial"/>
          <w:sz w:val="18"/>
          <w:szCs w:val="18"/>
          <w:color w:val="auto"/>
        </w:rPr>
        <w:t>Director</w:t>
      </w:r>
      <w:r>
        <w:rPr>
          <w:sz w:val="20"/>
          <w:szCs w:val="20"/>
          <w:color w:val="auto"/>
        </w:rPr>
        <w:tab/>
      </w:r>
      <w:r>
        <w:rPr>
          <w:rFonts w:ascii="Arial" w:cs="Arial" w:eastAsia="Arial" w:hAnsi="Arial"/>
          <w:sz w:val="17"/>
          <w:szCs w:val="17"/>
          <w:i w:val="1"/>
          <w:iCs w:val="1"/>
          <w:color w:val="auto"/>
        </w:rPr>
        <w:t xml:space="preserve">/s/ Eric So </w:t>
      </w:r>
      <w:r>
        <w:rPr>
          <w:rFonts w:ascii="Arial" w:cs="Arial" w:eastAsia="Arial" w:hAnsi="Arial"/>
          <w:sz w:val="17"/>
          <w:szCs w:val="17"/>
          <w:color w:val="auto"/>
        </w:rPr>
        <w:t>Director</w:t>
      </w:r>
    </w:p>
    <w:p>
      <w:pPr>
        <w:sectPr>
          <w:pgSz w:w="11900" w:h="16838" w:orient="portrait"/>
          <w:cols w:equalWidth="0" w:num="1">
            <w:col w:w="11240"/>
          </w:cols>
          <w:pgMar w:left="320" w:top="233" w:right="339" w:bottom="1109" w:gutter="0" w:footer="0" w:header="0"/>
        </w:sectPr>
      </w:pPr>
    </w:p>
    <w:bookmarkStart w:id="6" w:name="page7"/>
    <w:bookmarkEnd w:id="6"/>
    <w:p>
      <w:pPr>
        <w:ind w:left="80"/>
        <w:spacing w:after="0"/>
        <w:rPr>
          <w:sz w:val="20"/>
          <w:szCs w:val="20"/>
          <w:color w:val="auto"/>
        </w:rPr>
      </w:pPr>
      <w:r>
        <w:rPr>
          <w:rFonts w:ascii="Arial" w:cs="Arial" w:eastAsia="Arial" w:hAnsi="Arial"/>
          <w:sz w:val="21"/>
          <w:szCs w:val="21"/>
          <w:b w:val="1"/>
          <w:bCs w:val="1"/>
          <w:color w:val="auto"/>
        </w:rPr>
        <w:t>CYBIN INC.</w:t>
      </w:r>
    </w:p>
    <w:p>
      <w:pPr>
        <w:spacing w:after="0" w:line="18"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auto"/>
        </w:rPr>
        <w:t>CONDENSED INTERIM CONSOLIDATED STATEMENTS OF LOSS AND COMPREHENSIVE LOSS</w:t>
      </w:r>
    </w:p>
    <w:p>
      <w:pPr>
        <w:ind w:left="80"/>
        <w:spacing w:after="0"/>
        <w:rPr>
          <w:sz w:val="20"/>
          <w:szCs w:val="20"/>
          <w:color w:val="auto"/>
        </w:rPr>
      </w:pPr>
      <w:r>
        <w:rPr>
          <w:rFonts w:ascii="Arial" w:cs="Arial" w:eastAsia="Arial" w:hAnsi="Arial"/>
          <w:sz w:val="20"/>
          <w:szCs w:val="20"/>
          <w:b w:val="1"/>
          <w:bCs w:val="1"/>
          <w:color w:val="auto"/>
        </w:rPr>
        <w:t>(All amounts expressed in thousands of United States dollars, except share and per share amounts)</w:t>
      </w:r>
    </w:p>
    <w:p>
      <w:pPr>
        <w:spacing w:after="0" w:line="18"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300" w:type="dxa"/>
            <w:vAlign w:val="bottom"/>
            <w:gridSpan w:val="2"/>
          </w:tcPr>
          <w:p>
            <w:pPr>
              <w:jc w:val="right"/>
              <w:ind w:right="862"/>
              <w:spacing w:after="0"/>
              <w:rPr>
                <w:sz w:val="20"/>
                <w:szCs w:val="20"/>
                <w:color w:val="auto"/>
              </w:rPr>
            </w:pPr>
            <w:r>
              <w:rPr>
                <w:rFonts w:ascii="Arial" w:cs="Arial" w:eastAsia="Arial" w:hAnsi="Arial"/>
                <w:sz w:val="14"/>
                <w:szCs w:val="14"/>
                <w:b w:val="1"/>
                <w:bCs w:val="1"/>
                <w:color w:val="auto"/>
              </w:rPr>
              <w:t>For the three months ended</w:t>
            </w:r>
          </w:p>
        </w:tc>
        <w:tc>
          <w:tcPr>
            <w:tcW w:w="30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85"/>
        </w:trPr>
        <w:tc>
          <w:tcPr>
            <w:tcW w:w="40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2"/>
          </w:tcPr>
          <w:p>
            <w:pPr>
              <w:jc w:val="right"/>
              <w:ind w:right="1322"/>
              <w:spacing w:after="0"/>
              <w:rPr>
                <w:sz w:val="20"/>
                <w:szCs w:val="20"/>
                <w:color w:val="auto"/>
              </w:rPr>
            </w:pPr>
            <w:r>
              <w:rPr>
                <w:rFonts w:ascii="Arial" w:cs="Arial" w:eastAsia="Arial" w:hAnsi="Arial"/>
                <w:sz w:val="14"/>
                <w:szCs w:val="14"/>
                <w:b w:val="1"/>
                <w:bCs w:val="1"/>
                <w:color w:val="auto"/>
              </w:rPr>
              <w:t>September 30,</w:t>
            </w:r>
          </w:p>
        </w:tc>
        <w:tc>
          <w:tcPr>
            <w:tcW w:w="3020" w:type="dxa"/>
            <w:vAlign w:val="bottom"/>
            <w:tcBorders>
              <w:bottom w:val="single" w:sz="8" w:color="auto"/>
            </w:tcBorders>
            <w:gridSpan w:val="2"/>
          </w:tcPr>
          <w:p>
            <w:pPr>
              <w:jc w:val="right"/>
              <w:ind w:right="10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48"/>
        </w:trPr>
        <w:tc>
          <w:tcPr>
            <w:tcW w:w="4000" w:type="dxa"/>
            <w:vAlign w:val="bottom"/>
          </w:tcPr>
          <w:p>
            <w:pPr>
              <w:spacing w:after="0"/>
              <w:rPr>
                <w:sz w:val="21"/>
                <w:szCs w:val="21"/>
                <w:color w:val="auto"/>
              </w:rPr>
            </w:pPr>
          </w:p>
        </w:tc>
        <w:tc>
          <w:tcPr>
            <w:tcW w:w="920" w:type="dxa"/>
            <w:vAlign w:val="bottom"/>
          </w:tcPr>
          <w:p>
            <w:pPr>
              <w:ind w:left="200"/>
              <w:spacing w:after="0"/>
              <w:rPr>
                <w:sz w:val="20"/>
                <w:szCs w:val="20"/>
                <w:color w:val="auto"/>
              </w:rPr>
            </w:pPr>
            <w:r>
              <w:rPr>
                <w:rFonts w:ascii="Arial" w:cs="Arial" w:eastAsia="Arial" w:hAnsi="Arial"/>
                <w:sz w:val="16"/>
                <w:szCs w:val="16"/>
                <w:i w:val="1"/>
                <w:iCs w:val="1"/>
                <w:color w:val="auto"/>
              </w:rPr>
              <w:t>Notes</w:t>
            </w:r>
          </w:p>
        </w:tc>
        <w:tc>
          <w:tcPr>
            <w:tcW w:w="1380" w:type="dxa"/>
            <w:vAlign w:val="bottom"/>
          </w:tcPr>
          <w:p>
            <w:pPr>
              <w:jc w:val="right"/>
              <w:ind w:right="161"/>
              <w:spacing w:after="0"/>
              <w:rPr>
                <w:sz w:val="20"/>
                <w:szCs w:val="20"/>
                <w:color w:val="auto"/>
              </w:rPr>
            </w:pPr>
            <w:r>
              <w:rPr>
                <w:rFonts w:ascii="Arial" w:cs="Arial" w:eastAsia="Arial" w:hAnsi="Arial"/>
                <w:sz w:val="14"/>
                <w:szCs w:val="14"/>
                <w:b w:val="1"/>
                <w:bCs w:val="1"/>
                <w:color w:val="auto"/>
              </w:rPr>
              <w:t>2025</w:t>
            </w:r>
          </w:p>
        </w:tc>
        <w:tc>
          <w:tcPr>
            <w:tcW w:w="1920" w:type="dxa"/>
            <w:vAlign w:val="bottom"/>
          </w:tcPr>
          <w:p>
            <w:pPr>
              <w:jc w:val="right"/>
              <w:ind w:right="302"/>
              <w:spacing w:after="0"/>
              <w:rPr>
                <w:sz w:val="20"/>
                <w:szCs w:val="20"/>
                <w:color w:val="auto"/>
              </w:rPr>
            </w:pPr>
            <w:r>
              <w:rPr>
                <w:rFonts w:ascii="Arial" w:cs="Arial" w:eastAsia="Arial" w:hAnsi="Arial"/>
                <w:sz w:val="14"/>
                <w:szCs w:val="14"/>
                <w:b w:val="1"/>
                <w:bCs w:val="1"/>
                <w:color w:val="auto"/>
              </w:rPr>
              <w:t>2024</w:t>
            </w:r>
          </w:p>
        </w:tc>
        <w:tc>
          <w:tcPr>
            <w:tcW w:w="1440" w:type="dxa"/>
            <w:vAlign w:val="bottom"/>
          </w:tcPr>
          <w:p>
            <w:pPr>
              <w:jc w:val="right"/>
              <w:ind w:right="141"/>
              <w:spacing w:after="0"/>
              <w:rPr>
                <w:sz w:val="20"/>
                <w:szCs w:val="20"/>
                <w:color w:val="auto"/>
              </w:rPr>
            </w:pPr>
            <w:r>
              <w:rPr>
                <w:rFonts w:ascii="Arial" w:cs="Arial" w:eastAsia="Arial" w:hAnsi="Arial"/>
                <w:sz w:val="14"/>
                <w:szCs w:val="14"/>
                <w:b w:val="1"/>
                <w:bCs w:val="1"/>
                <w:color w:val="auto"/>
              </w:rPr>
              <w:t>2025</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56"/>
        </w:trPr>
        <w:tc>
          <w:tcPr>
            <w:tcW w:w="40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400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EXPENSES</w:t>
            </w: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920" w:type="dxa"/>
            <w:vAlign w:val="bottom"/>
          </w:tcPr>
          <w:p>
            <w:pPr>
              <w:jc w:val="right"/>
              <w:ind w:right="302"/>
              <w:spacing w:after="0"/>
              <w:rPr>
                <w:sz w:val="20"/>
                <w:szCs w:val="20"/>
                <w:color w:val="auto"/>
              </w:rPr>
            </w:pPr>
            <w:r>
              <w:rPr>
                <w:rFonts w:ascii="Arial" w:cs="Arial" w:eastAsia="Arial" w:hAnsi="Arial"/>
                <w:sz w:val="16"/>
                <w:szCs w:val="16"/>
                <w:b w:val="1"/>
                <w:bCs w:val="1"/>
                <w:i w:val="1"/>
                <w:iCs w:val="1"/>
                <w:color w:val="auto"/>
              </w:rPr>
              <w:t>Restated - Note 2</w:t>
            </w:r>
          </w:p>
        </w:tc>
        <w:tc>
          <w:tcPr>
            <w:tcW w:w="14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Restated - Note 2</w:t>
            </w:r>
          </w:p>
        </w:tc>
        <w:tc>
          <w:tcPr>
            <w:tcW w:w="0" w:type="dxa"/>
            <w:vAlign w:val="bottom"/>
          </w:tcPr>
          <w:p>
            <w:pPr>
              <w:spacing w:after="0"/>
              <w:rPr>
                <w:sz w:val="1"/>
                <w:szCs w:val="1"/>
                <w:color w:val="auto"/>
              </w:rPr>
            </w:pPr>
          </w:p>
        </w:tc>
      </w:tr>
      <w:tr>
        <w:trPr>
          <w:trHeight w:val="216"/>
        </w:trPr>
        <w:tc>
          <w:tcPr>
            <w:tcW w:w="400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4000" w:type="dxa"/>
            <w:vAlign w:val="bottom"/>
          </w:tcPr>
          <w:p>
            <w:pPr>
              <w:ind w:left="240"/>
              <w:spacing w:after="0"/>
              <w:rPr>
                <w:sz w:val="20"/>
                <w:szCs w:val="20"/>
                <w:color w:val="auto"/>
              </w:rPr>
            </w:pPr>
            <w:r>
              <w:rPr>
                <w:rFonts w:ascii="Arial" w:cs="Arial" w:eastAsia="Arial" w:hAnsi="Arial"/>
                <w:sz w:val="16"/>
                <w:szCs w:val="16"/>
                <w:color w:val="auto"/>
              </w:rPr>
              <w:t>Research</w:t>
            </w:r>
          </w:p>
        </w:tc>
        <w:tc>
          <w:tcPr>
            <w:tcW w:w="920" w:type="dxa"/>
            <w:vAlign w:val="bottom"/>
          </w:tcPr>
          <w:p>
            <w:pPr>
              <w:jc w:val="center"/>
              <w:ind w:right="139"/>
              <w:spacing w:after="0"/>
              <w:rPr>
                <w:sz w:val="20"/>
                <w:szCs w:val="20"/>
                <w:color w:val="auto"/>
              </w:rPr>
            </w:pPr>
            <w:r>
              <w:rPr>
                <w:rFonts w:ascii="Arial" w:cs="Arial" w:eastAsia="Arial" w:hAnsi="Arial"/>
                <w:sz w:val="16"/>
                <w:szCs w:val="16"/>
                <w:i w:val="1"/>
                <w:iCs w:val="1"/>
                <w:color w:val="auto"/>
              </w:rPr>
              <w:t>9</w:t>
            </w:r>
          </w:p>
        </w:tc>
        <w:tc>
          <w:tcPr>
            <w:tcW w:w="1380" w:type="dxa"/>
            <w:vAlign w:val="bottom"/>
          </w:tcPr>
          <w:p>
            <w:pPr>
              <w:jc w:val="right"/>
              <w:ind w:right="201"/>
              <w:spacing w:after="0"/>
              <w:rPr>
                <w:sz w:val="20"/>
                <w:szCs w:val="20"/>
                <w:color w:val="auto"/>
              </w:rPr>
            </w:pPr>
            <w:r>
              <w:rPr>
                <w:rFonts w:ascii="Arial" w:cs="Arial" w:eastAsia="Arial" w:hAnsi="Arial"/>
                <w:sz w:val="16"/>
                <w:szCs w:val="16"/>
                <w:b w:val="1"/>
                <w:bCs w:val="1"/>
                <w:color w:val="auto"/>
              </w:rPr>
              <w:t>18,850</w:t>
            </w:r>
          </w:p>
        </w:tc>
        <w:tc>
          <w:tcPr>
            <w:tcW w:w="1920" w:type="dxa"/>
            <w:vAlign w:val="bottom"/>
          </w:tcPr>
          <w:p>
            <w:pPr>
              <w:jc w:val="right"/>
              <w:ind w:right="342"/>
              <w:spacing w:after="0"/>
              <w:rPr>
                <w:sz w:val="20"/>
                <w:szCs w:val="20"/>
                <w:color w:val="auto"/>
              </w:rPr>
            </w:pPr>
            <w:r>
              <w:rPr>
                <w:rFonts w:ascii="Arial" w:cs="Arial" w:eastAsia="Arial" w:hAnsi="Arial"/>
                <w:sz w:val="16"/>
                <w:szCs w:val="16"/>
                <w:color w:val="auto"/>
              </w:rPr>
              <w:t>6,682</w:t>
            </w:r>
          </w:p>
        </w:tc>
        <w:tc>
          <w:tcPr>
            <w:tcW w:w="1440" w:type="dxa"/>
            <w:vAlign w:val="bottom"/>
          </w:tcPr>
          <w:p>
            <w:pPr>
              <w:jc w:val="right"/>
              <w:ind w:right="201"/>
              <w:spacing w:after="0"/>
              <w:rPr>
                <w:sz w:val="20"/>
                <w:szCs w:val="20"/>
                <w:color w:val="auto"/>
              </w:rPr>
            </w:pPr>
            <w:r>
              <w:rPr>
                <w:rFonts w:ascii="Arial" w:cs="Arial" w:eastAsia="Arial" w:hAnsi="Arial"/>
                <w:sz w:val="16"/>
                <w:szCs w:val="16"/>
                <w:b w:val="1"/>
                <w:bCs w:val="1"/>
                <w:color w:val="auto"/>
              </w:rPr>
              <w:t>33,845</w:t>
            </w: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12,559</w:t>
            </w: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4000" w:type="dxa"/>
            <w:vAlign w:val="bottom"/>
          </w:tcPr>
          <w:p>
            <w:pPr>
              <w:ind w:left="240"/>
              <w:spacing w:after="0"/>
              <w:rPr>
                <w:sz w:val="20"/>
                <w:szCs w:val="20"/>
                <w:color w:val="auto"/>
              </w:rPr>
            </w:pPr>
            <w:r>
              <w:rPr>
                <w:rFonts w:ascii="Arial" w:cs="Arial" w:eastAsia="Arial" w:hAnsi="Arial"/>
                <w:sz w:val="16"/>
                <w:szCs w:val="16"/>
                <w:color w:val="auto"/>
              </w:rPr>
              <w:t>General and administrative costs</w:t>
            </w:r>
          </w:p>
        </w:tc>
        <w:tc>
          <w:tcPr>
            <w:tcW w:w="920" w:type="dxa"/>
            <w:vAlign w:val="bottom"/>
          </w:tcPr>
          <w:p>
            <w:pPr>
              <w:jc w:val="center"/>
              <w:ind w:right="139"/>
              <w:spacing w:after="0"/>
              <w:rPr>
                <w:sz w:val="20"/>
                <w:szCs w:val="20"/>
                <w:color w:val="auto"/>
              </w:rPr>
            </w:pPr>
            <w:r>
              <w:rPr>
                <w:rFonts w:ascii="Arial" w:cs="Arial" w:eastAsia="Arial" w:hAnsi="Arial"/>
                <w:sz w:val="16"/>
                <w:szCs w:val="16"/>
                <w:i w:val="1"/>
                <w:iCs w:val="1"/>
                <w:color w:val="auto"/>
              </w:rPr>
              <w:t>10</w:t>
            </w:r>
          </w:p>
        </w:tc>
        <w:tc>
          <w:tcPr>
            <w:tcW w:w="1380" w:type="dxa"/>
            <w:vAlign w:val="bottom"/>
          </w:tcPr>
          <w:p>
            <w:pPr>
              <w:jc w:val="right"/>
              <w:ind w:right="201"/>
              <w:spacing w:after="0"/>
              <w:rPr>
                <w:sz w:val="20"/>
                <w:szCs w:val="20"/>
                <w:color w:val="auto"/>
              </w:rPr>
            </w:pPr>
            <w:r>
              <w:rPr>
                <w:rFonts w:ascii="Arial" w:cs="Arial" w:eastAsia="Arial" w:hAnsi="Arial"/>
                <w:sz w:val="16"/>
                <w:szCs w:val="16"/>
                <w:b w:val="1"/>
                <w:bCs w:val="1"/>
                <w:color w:val="auto"/>
              </w:rPr>
              <w:t>9,667</w:t>
            </w:r>
          </w:p>
        </w:tc>
        <w:tc>
          <w:tcPr>
            <w:tcW w:w="1920" w:type="dxa"/>
            <w:vAlign w:val="bottom"/>
          </w:tcPr>
          <w:p>
            <w:pPr>
              <w:jc w:val="right"/>
              <w:ind w:right="342"/>
              <w:spacing w:after="0"/>
              <w:rPr>
                <w:sz w:val="20"/>
                <w:szCs w:val="20"/>
                <w:color w:val="auto"/>
              </w:rPr>
            </w:pPr>
            <w:r>
              <w:rPr>
                <w:rFonts w:ascii="Arial" w:cs="Arial" w:eastAsia="Arial" w:hAnsi="Arial"/>
                <w:sz w:val="16"/>
                <w:szCs w:val="16"/>
                <w:color w:val="auto"/>
              </w:rPr>
              <w:t>11,493</w:t>
            </w:r>
          </w:p>
        </w:tc>
        <w:tc>
          <w:tcPr>
            <w:tcW w:w="1440" w:type="dxa"/>
            <w:vAlign w:val="bottom"/>
          </w:tcPr>
          <w:p>
            <w:pPr>
              <w:jc w:val="right"/>
              <w:ind w:right="201"/>
              <w:spacing w:after="0"/>
              <w:rPr>
                <w:sz w:val="20"/>
                <w:szCs w:val="20"/>
                <w:color w:val="auto"/>
              </w:rPr>
            </w:pPr>
            <w:r>
              <w:rPr>
                <w:rFonts w:ascii="Arial" w:cs="Arial" w:eastAsia="Arial" w:hAnsi="Arial"/>
                <w:sz w:val="16"/>
                <w:szCs w:val="16"/>
                <w:b w:val="1"/>
                <w:bCs w:val="1"/>
                <w:color w:val="auto"/>
              </w:rPr>
              <w:t>18,543</w:t>
            </w: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17,561</w:t>
            </w: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4000" w:type="dxa"/>
            <w:vAlign w:val="bottom"/>
          </w:tcPr>
          <w:p>
            <w:pPr>
              <w:ind w:left="240"/>
              <w:spacing w:after="0"/>
              <w:rPr>
                <w:sz w:val="20"/>
                <w:szCs w:val="20"/>
                <w:color w:val="auto"/>
              </w:rPr>
            </w:pPr>
            <w:r>
              <w:rPr>
                <w:rFonts w:ascii="Arial" w:cs="Arial" w:eastAsia="Arial" w:hAnsi="Arial"/>
                <w:sz w:val="16"/>
                <w:szCs w:val="16"/>
                <w:color w:val="auto"/>
              </w:rPr>
              <w:t>Share-based compensation</w:t>
            </w:r>
          </w:p>
        </w:tc>
        <w:tc>
          <w:tcPr>
            <w:tcW w:w="920" w:type="dxa"/>
            <w:vAlign w:val="bottom"/>
          </w:tcPr>
          <w:p>
            <w:pPr>
              <w:jc w:val="center"/>
              <w:ind w:right="139"/>
              <w:spacing w:after="0"/>
              <w:rPr>
                <w:sz w:val="20"/>
                <w:szCs w:val="20"/>
                <w:color w:val="auto"/>
              </w:rPr>
            </w:pPr>
            <w:r>
              <w:rPr>
                <w:rFonts w:ascii="Arial" w:cs="Arial" w:eastAsia="Arial" w:hAnsi="Arial"/>
                <w:sz w:val="16"/>
                <w:szCs w:val="16"/>
                <w:i w:val="1"/>
                <w:iCs w:val="1"/>
                <w:color w:val="auto"/>
              </w:rPr>
              <w:t>7</w:t>
            </w:r>
          </w:p>
        </w:tc>
        <w:tc>
          <w:tcPr>
            <w:tcW w:w="1380" w:type="dxa"/>
            <w:vAlign w:val="bottom"/>
          </w:tcPr>
          <w:p>
            <w:pPr>
              <w:jc w:val="right"/>
              <w:ind w:right="201"/>
              <w:spacing w:after="0"/>
              <w:rPr>
                <w:sz w:val="20"/>
                <w:szCs w:val="20"/>
                <w:color w:val="auto"/>
              </w:rPr>
            </w:pPr>
            <w:r>
              <w:rPr>
                <w:rFonts w:ascii="Arial" w:cs="Arial" w:eastAsia="Arial" w:hAnsi="Arial"/>
                <w:sz w:val="16"/>
                <w:szCs w:val="16"/>
                <w:b w:val="1"/>
                <w:bCs w:val="1"/>
                <w:color w:val="auto"/>
              </w:rPr>
              <w:t>377</w:t>
            </w:r>
          </w:p>
        </w:tc>
        <w:tc>
          <w:tcPr>
            <w:tcW w:w="1920" w:type="dxa"/>
            <w:vAlign w:val="bottom"/>
          </w:tcPr>
          <w:p>
            <w:pPr>
              <w:jc w:val="right"/>
              <w:ind w:right="342"/>
              <w:spacing w:after="0"/>
              <w:rPr>
                <w:sz w:val="20"/>
                <w:szCs w:val="20"/>
                <w:color w:val="auto"/>
              </w:rPr>
            </w:pPr>
            <w:r>
              <w:rPr>
                <w:rFonts w:ascii="Arial" w:cs="Arial" w:eastAsia="Arial" w:hAnsi="Arial"/>
                <w:sz w:val="16"/>
                <w:szCs w:val="16"/>
                <w:color w:val="auto"/>
              </w:rPr>
              <w:t>24,530</w:t>
            </w:r>
          </w:p>
        </w:tc>
        <w:tc>
          <w:tcPr>
            <w:tcW w:w="1440" w:type="dxa"/>
            <w:vAlign w:val="bottom"/>
          </w:tcPr>
          <w:p>
            <w:pPr>
              <w:jc w:val="right"/>
              <w:ind w:right="201"/>
              <w:spacing w:after="0"/>
              <w:rPr>
                <w:sz w:val="20"/>
                <w:szCs w:val="20"/>
                <w:color w:val="auto"/>
              </w:rPr>
            </w:pPr>
            <w:r>
              <w:rPr>
                <w:rFonts w:ascii="Arial" w:cs="Arial" w:eastAsia="Arial" w:hAnsi="Arial"/>
                <w:sz w:val="16"/>
                <w:szCs w:val="16"/>
                <w:b w:val="1"/>
                <w:bCs w:val="1"/>
                <w:color w:val="auto"/>
              </w:rPr>
              <w:t>1,130</w:t>
            </w: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27,434</w:t>
            </w: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40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0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TOTAL EXPENSES</w:t>
            </w:r>
          </w:p>
        </w:tc>
        <w:tc>
          <w:tcPr>
            <w:tcW w:w="9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28,894</w:t>
            </w:r>
          </w:p>
        </w:tc>
        <w:tc>
          <w:tcPr>
            <w:tcW w:w="192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42,705</w:t>
            </w:r>
          </w:p>
        </w:tc>
        <w:tc>
          <w:tcPr>
            <w:tcW w:w="14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53,518</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57,554</w:t>
            </w:r>
          </w:p>
        </w:tc>
        <w:tc>
          <w:tcPr>
            <w:tcW w:w="0" w:type="dxa"/>
            <w:vAlign w:val="bottom"/>
          </w:tcPr>
          <w:p>
            <w:pPr>
              <w:spacing w:after="0"/>
              <w:rPr>
                <w:sz w:val="1"/>
                <w:szCs w:val="1"/>
                <w:color w:val="auto"/>
              </w:rPr>
            </w:pPr>
          </w:p>
        </w:tc>
      </w:tr>
      <w:tr>
        <w:trPr>
          <w:trHeight w:val="459"/>
        </w:trPr>
        <w:tc>
          <w:tcPr>
            <w:tcW w:w="4000" w:type="dxa"/>
            <w:vAlign w:val="bottom"/>
          </w:tcPr>
          <w:p>
            <w:pPr>
              <w:ind w:left="80"/>
              <w:spacing w:after="0"/>
              <w:rPr>
                <w:sz w:val="20"/>
                <w:szCs w:val="20"/>
                <w:color w:val="auto"/>
              </w:rPr>
            </w:pPr>
            <w:r>
              <w:rPr>
                <w:rFonts w:ascii="Arial" w:cs="Arial" w:eastAsia="Arial" w:hAnsi="Arial"/>
                <w:sz w:val="16"/>
                <w:szCs w:val="16"/>
                <w:b w:val="1"/>
                <w:bCs w:val="1"/>
                <w:color w:val="auto"/>
              </w:rPr>
              <w:t>OTHER INCOME (EXPENSES)</w:t>
            </w: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000" w:type="dxa"/>
            <w:vAlign w:val="bottom"/>
          </w:tcPr>
          <w:p>
            <w:pPr>
              <w:ind w:left="240"/>
              <w:spacing w:after="0"/>
              <w:rPr>
                <w:sz w:val="20"/>
                <w:szCs w:val="20"/>
                <w:color w:val="auto"/>
              </w:rPr>
            </w:pPr>
            <w:r>
              <w:rPr>
                <w:rFonts w:ascii="Arial" w:cs="Arial" w:eastAsia="Arial" w:hAnsi="Arial"/>
                <w:sz w:val="16"/>
                <w:szCs w:val="16"/>
                <w:color w:val="auto"/>
              </w:rPr>
              <w:t>Foreign currency translation gain (loss)</w:t>
            </w:r>
          </w:p>
        </w:tc>
        <w:tc>
          <w:tcPr>
            <w:tcW w:w="920" w:type="dxa"/>
            <w:vAlign w:val="bottom"/>
          </w:tcPr>
          <w:p>
            <w:pPr>
              <w:spacing w:after="0"/>
              <w:rPr>
                <w:sz w:val="24"/>
                <w:szCs w:val="24"/>
                <w:color w:val="auto"/>
              </w:rPr>
            </w:pPr>
          </w:p>
        </w:tc>
        <w:tc>
          <w:tcPr>
            <w:tcW w:w="1380" w:type="dxa"/>
            <w:vAlign w:val="bottom"/>
          </w:tcPr>
          <w:p>
            <w:pPr>
              <w:jc w:val="right"/>
              <w:ind w:right="161"/>
              <w:spacing w:after="0"/>
              <w:rPr>
                <w:sz w:val="20"/>
                <w:szCs w:val="20"/>
                <w:color w:val="auto"/>
              </w:rPr>
            </w:pPr>
            <w:r>
              <w:rPr>
                <w:rFonts w:ascii="Arial" w:cs="Arial" w:eastAsia="Arial" w:hAnsi="Arial"/>
                <w:sz w:val="16"/>
                <w:szCs w:val="16"/>
                <w:b w:val="1"/>
                <w:bCs w:val="1"/>
                <w:color w:val="auto"/>
              </w:rPr>
              <w:t>(755)</w:t>
            </w:r>
          </w:p>
        </w:tc>
        <w:tc>
          <w:tcPr>
            <w:tcW w:w="1920" w:type="dxa"/>
            <w:vAlign w:val="bottom"/>
          </w:tcPr>
          <w:p>
            <w:pPr>
              <w:jc w:val="right"/>
              <w:ind w:right="302"/>
              <w:spacing w:after="0"/>
              <w:rPr>
                <w:sz w:val="20"/>
                <w:szCs w:val="20"/>
                <w:color w:val="auto"/>
              </w:rPr>
            </w:pPr>
            <w:r>
              <w:rPr>
                <w:rFonts w:ascii="Arial" w:cs="Arial" w:eastAsia="Arial" w:hAnsi="Arial"/>
                <w:sz w:val="14"/>
                <w:szCs w:val="14"/>
                <w:color w:val="auto"/>
              </w:rPr>
              <w:t>(1,478)</w:t>
            </w:r>
          </w:p>
        </w:tc>
        <w:tc>
          <w:tcPr>
            <w:tcW w:w="1440" w:type="dxa"/>
            <w:vAlign w:val="bottom"/>
          </w:tcPr>
          <w:p>
            <w:pPr>
              <w:jc w:val="right"/>
              <w:ind w:right="201"/>
              <w:spacing w:after="0"/>
              <w:rPr>
                <w:sz w:val="20"/>
                <w:szCs w:val="20"/>
                <w:color w:val="auto"/>
              </w:rPr>
            </w:pPr>
            <w:r>
              <w:rPr>
                <w:rFonts w:ascii="Arial" w:cs="Arial" w:eastAsia="Arial" w:hAnsi="Arial"/>
                <w:sz w:val="16"/>
                <w:szCs w:val="16"/>
                <w:b w:val="1"/>
                <w:bCs w:val="1"/>
                <w:color w:val="auto"/>
              </w:rPr>
              <w:t>1,189</w:t>
            </w: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972</w:t>
            </w: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4000" w:type="dxa"/>
            <w:vAlign w:val="bottom"/>
          </w:tcPr>
          <w:p>
            <w:pPr>
              <w:ind w:left="240"/>
              <w:spacing w:after="0"/>
              <w:rPr>
                <w:sz w:val="20"/>
                <w:szCs w:val="20"/>
                <w:color w:val="auto"/>
              </w:rPr>
            </w:pPr>
            <w:r>
              <w:rPr>
                <w:rFonts w:ascii="Arial" w:cs="Arial" w:eastAsia="Arial" w:hAnsi="Arial"/>
                <w:sz w:val="16"/>
                <w:szCs w:val="16"/>
                <w:color w:val="auto"/>
              </w:rPr>
              <w:t>Interest income</w:t>
            </w:r>
          </w:p>
        </w:tc>
        <w:tc>
          <w:tcPr>
            <w:tcW w:w="920" w:type="dxa"/>
            <w:vAlign w:val="bottom"/>
          </w:tcPr>
          <w:p>
            <w:pPr>
              <w:spacing w:after="0"/>
              <w:rPr>
                <w:sz w:val="24"/>
                <w:szCs w:val="24"/>
                <w:color w:val="auto"/>
              </w:rPr>
            </w:pPr>
          </w:p>
        </w:tc>
        <w:tc>
          <w:tcPr>
            <w:tcW w:w="1380" w:type="dxa"/>
            <w:vAlign w:val="bottom"/>
          </w:tcPr>
          <w:p>
            <w:pPr>
              <w:jc w:val="right"/>
              <w:ind w:right="201"/>
              <w:spacing w:after="0"/>
              <w:rPr>
                <w:sz w:val="20"/>
                <w:szCs w:val="20"/>
                <w:color w:val="auto"/>
              </w:rPr>
            </w:pPr>
            <w:r>
              <w:rPr>
                <w:rFonts w:ascii="Arial" w:cs="Arial" w:eastAsia="Arial" w:hAnsi="Arial"/>
                <w:sz w:val="16"/>
                <w:szCs w:val="16"/>
                <w:b w:val="1"/>
                <w:bCs w:val="1"/>
                <w:color w:val="auto"/>
              </w:rPr>
              <w:t>1,065</w:t>
            </w:r>
          </w:p>
        </w:tc>
        <w:tc>
          <w:tcPr>
            <w:tcW w:w="1920" w:type="dxa"/>
            <w:vAlign w:val="bottom"/>
          </w:tcPr>
          <w:p>
            <w:pPr>
              <w:jc w:val="right"/>
              <w:ind w:right="342"/>
              <w:spacing w:after="0"/>
              <w:rPr>
                <w:sz w:val="20"/>
                <w:szCs w:val="20"/>
                <w:color w:val="auto"/>
              </w:rPr>
            </w:pPr>
            <w:r>
              <w:rPr>
                <w:rFonts w:ascii="Arial" w:cs="Arial" w:eastAsia="Arial" w:hAnsi="Arial"/>
                <w:sz w:val="14"/>
                <w:szCs w:val="14"/>
                <w:color w:val="auto"/>
              </w:rPr>
              <w:t>2,256</w:t>
            </w:r>
          </w:p>
        </w:tc>
        <w:tc>
          <w:tcPr>
            <w:tcW w:w="1440" w:type="dxa"/>
            <w:vAlign w:val="bottom"/>
          </w:tcPr>
          <w:p>
            <w:pPr>
              <w:jc w:val="right"/>
              <w:ind w:right="201"/>
              <w:spacing w:after="0"/>
              <w:rPr>
                <w:sz w:val="20"/>
                <w:szCs w:val="20"/>
                <w:color w:val="auto"/>
              </w:rPr>
            </w:pPr>
            <w:r>
              <w:rPr>
                <w:rFonts w:ascii="Arial" w:cs="Arial" w:eastAsia="Arial" w:hAnsi="Arial"/>
                <w:sz w:val="16"/>
                <w:szCs w:val="16"/>
                <w:b w:val="1"/>
                <w:bCs w:val="1"/>
                <w:color w:val="auto"/>
              </w:rPr>
              <w:t>2,020</w:t>
            </w: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3,821</w:t>
            </w: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00" w:type="dxa"/>
            <w:vAlign w:val="bottom"/>
          </w:tcPr>
          <w:p>
            <w:pPr>
              <w:ind w:left="240"/>
              <w:spacing w:after="0"/>
              <w:rPr>
                <w:sz w:val="20"/>
                <w:szCs w:val="20"/>
                <w:color w:val="auto"/>
              </w:rPr>
            </w:pPr>
            <w:r>
              <w:rPr>
                <w:rFonts w:ascii="Arial" w:cs="Arial" w:eastAsia="Arial" w:hAnsi="Arial"/>
                <w:sz w:val="16"/>
                <w:szCs w:val="16"/>
                <w:color w:val="auto"/>
              </w:rPr>
              <w:t>Other income</w:t>
            </w:r>
          </w:p>
        </w:tc>
        <w:tc>
          <w:tcPr>
            <w:tcW w:w="920" w:type="dxa"/>
            <w:vAlign w:val="bottom"/>
          </w:tcPr>
          <w:p>
            <w:pPr>
              <w:spacing w:after="0"/>
              <w:rPr>
                <w:sz w:val="18"/>
                <w:szCs w:val="18"/>
                <w:color w:val="auto"/>
              </w:rPr>
            </w:pPr>
          </w:p>
        </w:tc>
        <w:tc>
          <w:tcPr>
            <w:tcW w:w="1380" w:type="dxa"/>
            <w:vAlign w:val="bottom"/>
          </w:tcPr>
          <w:p>
            <w:pPr>
              <w:jc w:val="right"/>
              <w:ind w:right="201"/>
              <w:spacing w:after="0"/>
              <w:rPr>
                <w:sz w:val="20"/>
                <w:szCs w:val="20"/>
                <w:color w:val="auto"/>
              </w:rPr>
            </w:pPr>
            <w:r>
              <w:rPr>
                <w:rFonts w:ascii="Arial" w:cs="Arial" w:eastAsia="Arial" w:hAnsi="Arial"/>
                <w:sz w:val="16"/>
                <w:szCs w:val="16"/>
                <w:b w:val="1"/>
                <w:bCs w:val="1"/>
                <w:color w:val="auto"/>
              </w:rPr>
              <w:t>—</w:t>
            </w:r>
          </w:p>
        </w:tc>
        <w:tc>
          <w:tcPr>
            <w:tcW w:w="1920" w:type="dxa"/>
            <w:vAlign w:val="bottom"/>
          </w:tcPr>
          <w:p>
            <w:pPr>
              <w:jc w:val="right"/>
              <w:ind w:right="342"/>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201"/>
              <w:spacing w:after="0"/>
              <w:rPr>
                <w:sz w:val="20"/>
                <w:szCs w:val="20"/>
                <w:color w:val="auto"/>
              </w:rPr>
            </w:pPr>
            <w:r>
              <w:rPr>
                <w:rFonts w:ascii="Arial" w:cs="Arial" w:eastAsia="Arial" w:hAnsi="Arial"/>
                <w:sz w:val="16"/>
                <w:szCs w:val="16"/>
                <w:b w:val="1"/>
                <w:bCs w:val="1"/>
                <w:color w:val="auto"/>
              </w:rPr>
              <w:t>29</w:t>
            </w: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00" w:type="dxa"/>
            <w:vAlign w:val="bottom"/>
          </w:tcPr>
          <w:p>
            <w:pPr>
              <w:ind w:left="240"/>
              <w:spacing w:after="0"/>
              <w:rPr>
                <w:sz w:val="20"/>
                <w:szCs w:val="20"/>
                <w:color w:val="auto"/>
              </w:rPr>
            </w:pPr>
            <w:r>
              <w:rPr>
                <w:rFonts w:ascii="Arial" w:cs="Arial" w:eastAsia="Arial" w:hAnsi="Arial"/>
                <w:sz w:val="16"/>
                <w:szCs w:val="16"/>
                <w:color w:val="auto"/>
              </w:rPr>
              <w:t>Debt issuance costs</w:t>
            </w:r>
          </w:p>
        </w:tc>
        <w:tc>
          <w:tcPr>
            <w:tcW w:w="920" w:type="dxa"/>
            <w:vAlign w:val="bottom"/>
          </w:tcPr>
          <w:p>
            <w:pPr>
              <w:jc w:val="center"/>
              <w:ind w:right="139"/>
              <w:spacing w:after="0"/>
              <w:rPr>
                <w:sz w:val="20"/>
                <w:szCs w:val="20"/>
                <w:color w:val="auto"/>
              </w:rPr>
            </w:pPr>
            <w:r>
              <w:rPr>
                <w:rFonts w:ascii="Arial" w:cs="Arial" w:eastAsia="Arial" w:hAnsi="Arial"/>
                <w:sz w:val="16"/>
                <w:szCs w:val="16"/>
                <w:i w:val="1"/>
                <w:iCs w:val="1"/>
                <w:color w:val="auto"/>
              </w:rPr>
              <w:t>6</w:t>
            </w:r>
          </w:p>
        </w:tc>
        <w:tc>
          <w:tcPr>
            <w:tcW w:w="1380" w:type="dxa"/>
            <w:vAlign w:val="bottom"/>
          </w:tcPr>
          <w:p>
            <w:pPr>
              <w:jc w:val="right"/>
              <w:ind w:right="201"/>
              <w:spacing w:after="0"/>
              <w:rPr>
                <w:sz w:val="20"/>
                <w:szCs w:val="20"/>
                <w:color w:val="auto"/>
              </w:rPr>
            </w:pPr>
            <w:r>
              <w:rPr>
                <w:rFonts w:ascii="Arial" w:cs="Arial" w:eastAsia="Arial" w:hAnsi="Arial"/>
                <w:sz w:val="16"/>
                <w:szCs w:val="16"/>
                <w:b w:val="1"/>
                <w:bCs w:val="1"/>
                <w:color w:val="auto"/>
              </w:rPr>
              <w:t>—</w:t>
            </w:r>
          </w:p>
        </w:tc>
        <w:tc>
          <w:tcPr>
            <w:tcW w:w="1920" w:type="dxa"/>
            <w:vAlign w:val="bottom"/>
          </w:tcPr>
          <w:p>
            <w:pPr>
              <w:jc w:val="right"/>
              <w:ind w:right="342"/>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41"/>
              <w:spacing w:after="0"/>
              <w:rPr>
                <w:sz w:val="20"/>
                <w:szCs w:val="20"/>
                <w:color w:val="auto"/>
              </w:rPr>
            </w:pPr>
            <w:r>
              <w:rPr>
                <w:rFonts w:ascii="Arial" w:cs="Arial" w:eastAsia="Arial" w:hAnsi="Arial"/>
                <w:sz w:val="16"/>
                <w:szCs w:val="16"/>
                <w:b w:val="1"/>
                <w:bCs w:val="1"/>
                <w:color w:val="auto"/>
              </w:rPr>
              <w:t>(2,917)</w:t>
            </w: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0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Fair value loss on financial instruments</w:t>
            </w:r>
          </w:p>
        </w:tc>
        <w:tc>
          <w:tcPr>
            <w:tcW w:w="92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i w:val="1"/>
                <w:iCs w:val="1"/>
                <w:color w:val="auto"/>
              </w:rPr>
              <w:t>6</w:t>
            </w:r>
          </w:p>
        </w:tc>
        <w:tc>
          <w:tcPr>
            <w:tcW w:w="13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(5,138)</w:t>
            </w:r>
          </w:p>
        </w:tc>
        <w:tc>
          <w:tcPr>
            <w:tcW w:w="192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(5,138)</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0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TOTAL OTHER INCOME (EXPENSES)</w:t>
            </w:r>
          </w:p>
        </w:tc>
        <w:tc>
          <w:tcPr>
            <w:tcW w:w="9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(4,828)</w:t>
            </w:r>
          </w:p>
        </w:tc>
        <w:tc>
          <w:tcPr>
            <w:tcW w:w="192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778</w:t>
            </w:r>
          </w:p>
        </w:tc>
        <w:tc>
          <w:tcPr>
            <w:tcW w:w="14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(4,817)</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4,793</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auto"/>
            </w:tcBorders>
            <w:shd w:val="clear" w:color="auto" w:fill="DBDBDB"/>
          </w:tcPr>
          <w:p>
            <w:pPr>
              <w:ind w:left="80"/>
              <w:spacing w:after="0"/>
              <w:rPr>
                <w:sz w:val="20"/>
                <w:szCs w:val="20"/>
                <w:color w:val="auto"/>
              </w:rPr>
            </w:pPr>
            <w:r>
              <w:rPr>
                <w:rFonts w:ascii="Arial" w:cs="Arial" w:eastAsia="Arial" w:hAnsi="Arial"/>
                <w:sz w:val="16"/>
                <w:szCs w:val="16"/>
                <w:b w:val="1"/>
                <w:bCs w:val="1"/>
                <w:color w:val="auto"/>
              </w:rPr>
              <w:t>NET LOSS FOR THE PERIOD</w:t>
            </w:r>
          </w:p>
        </w:tc>
        <w:tc>
          <w:tcPr>
            <w:tcW w:w="920" w:type="dxa"/>
            <w:vAlign w:val="bottom"/>
            <w:tcBorders>
              <w:bottom w:val="single" w:sz="8" w:color="auto"/>
            </w:tcBorders>
            <w:shd w:val="clear" w:color="auto" w:fill="DBDBDB"/>
          </w:tcPr>
          <w:p>
            <w:pPr>
              <w:spacing w:after="0"/>
              <w:rPr>
                <w:sz w:val="18"/>
                <w:szCs w:val="18"/>
                <w:color w:val="auto"/>
              </w:rPr>
            </w:pPr>
          </w:p>
        </w:tc>
        <w:tc>
          <w:tcPr>
            <w:tcW w:w="1380" w:type="dxa"/>
            <w:vAlign w:val="bottom"/>
            <w:tcBorders>
              <w:bottom w:val="single" w:sz="8" w:color="auto"/>
            </w:tcBorders>
            <w:shd w:val="clear" w:color="auto" w:fill="DBDBDB"/>
          </w:tcPr>
          <w:p>
            <w:pPr>
              <w:jc w:val="right"/>
              <w:ind w:right="161"/>
              <w:spacing w:after="0"/>
              <w:rPr>
                <w:sz w:val="20"/>
                <w:szCs w:val="20"/>
                <w:color w:val="auto"/>
              </w:rPr>
            </w:pPr>
            <w:r>
              <w:rPr>
                <w:rFonts w:ascii="Arial" w:cs="Arial" w:eastAsia="Arial" w:hAnsi="Arial"/>
                <w:sz w:val="16"/>
                <w:szCs w:val="16"/>
                <w:b w:val="1"/>
                <w:bCs w:val="1"/>
                <w:color w:val="auto"/>
              </w:rPr>
              <w:t>(33,722)</w:t>
            </w:r>
          </w:p>
        </w:tc>
        <w:tc>
          <w:tcPr>
            <w:tcW w:w="1920" w:type="dxa"/>
            <w:vAlign w:val="bottom"/>
            <w:tcBorders>
              <w:bottom w:val="single" w:sz="8" w:color="auto"/>
            </w:tcBorders>
            <w:shd w:val="clear" w:color="auto" w:fill="DBDBDB"/>
          </w:tcPr>
          <w:p>
            <w:pPr>
              <w:jc w:val="right"/>
              <w:ind w:right="302"/>
              <w:spacing w:after="0"/>
              <w:rPr>
                <w:sz w:val="20"/>
                <w:szCs w:val="20"/>
                <w:color w:val="auto"/>
              </w:rPr>
            </w:pPr>
            <w:r>
              <w:rPr>
                <w:rFonts w:ascii="Arial" w:cs="Arial" w:eastAsia="Arial" w:hAnsi="Arial"/>
                <w:sz w:val="16"/>
                <w:szCs w:val="16"/>
                <w:color w:val="auto"/>
              </w:rPr>
              <w:t>(41,927)</w:t>
            </w:r>
          </w:p>
        </w:tc>
        <w:tc>
          <w:tcPr>
            <w:tcW w:w="1440" w:type="dxa"/>
            <w:vAlign w:val="bottom"/>
            <w:tcBorders>
              <w:bottom w:val="single" w:sz="8" w:color="auto"/>
            </w:tcBorders>
            <w:shd w:val="clear" w:color="auto" w:fill="DBDBDB"/>
          </w:tcPr>
          <w:p>
            <w:pPr>
              <w:jc w:val="right"/>
              <w:ind w:right="141"/>
              <w:spacing w:after="0"/>
              <w:rPr>
                <w:sz w:val="20"/>
                <w:szCs w:val="20"/>
                <w:color w:val="auto"/>
              </w:rPr>
            </w:pPr>
            <w:r>
              <w:rPr>
                <w:rFonts w:ascii="Arial" w:cs="Arial" w:eastAsia="Arial" w:hAnsi="Arial"/>
                <w:sz w:val="16"/>
                <w:szCs w:val="16"/>
                <w:b w:val="1"/>
                <w:bCs w:val="1"/>
                <w:color w:val="auto"/>
              </w:rPr>
              <w:t>(58,335)</w:t>
            </w: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(52,761)</w:t>
            </w:r>
          </w:p>
        </w:tc>
        <w:tc>
          <w:tcPr>
            <w:tcW w:w="0" w:type="dxa"/>
            <w:vAlign w:val="bottom"/>
          </w:tcPr>
          <w:p>
            <w:pPr>
              <w:spacing w:after="0"/>
              <w:rPr>
                <w:sz w:val="1"/>
                <w:szCs w:val="1"/>
                <w:color w:val="auto"/>
              </w:rPr>
            </w:pPr>
          </w:p>
        </w:tc>
      </w:tr>
      <w:tr>
        <w:trPr>
          <w:trHeight w:val="458"/>
        </w:trPr>
        <w:tc>
          <w:tcPr>
            <w:tcW w:w="4000" w:type="dxa"/>
            <w:vAlign w:val="bottom"/>
          </w:tcPr>
          <w:p>
            <w:pPr>
              <w:ind w:left="80"/>
              <w:spacing w:after="0"/>
              <w:rPr>
                <w:sz w:val="20"/>
                <w:szCs w:val="20"/>
                <w:color w:val="auto"/>
              </w:rPr>
            </w:pPr>
            <w:r>
              <w:rPr>
                <w:rFonts w:ascii="Arial" w:cs="Arial" w:eastAsia="Arial" w:hAnsi="Arial"/>
                <w:sz w:val="16"/>
                <w:szCs w:val="16"/>
                <w:b w:val="1"/>
                <w:bCs w:val="1"/>
                <w:color w:val="auto"/>
              </w:rPr>
              <w:t>OTHER COMPREHENSIVE INCOME (LOSS)</w:t>
            </w: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000" w:type="dxa"/>
            <w:vAlign w:val="bottom"/>
          </w:tcPr>
          <w:p>
            <w:pPr>
              <w:ind w:left="180"/>
              <w:spacing w:after="0"/>
              <w:rPr>
                <w:sz w:val="20"/>
                <w:szCs w:val="20"/>
                <w:color w:val="auto"/>
              </w:rPr>
            </w:pPr>
            <w:r>
              <w:rPr>
                <w:rFonts w:ascii="Arial" w:cs="Arial" w:eastAsia="Arial" w:hAnsi="Arial"/>
                <w:sz w:val="16"/>
                <w:szCs w:val="16"/>
                <w:color w:val="auto"/>
              </w:rPr>
              <w:t>Foreign currency translation differences for foreign</w:t>
            </w: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6"/>
                <w:szCs w:val="16"/>
                <w:color w:val="auto"/>
              </w:rPr>
              <w:t>operations</w:t>
            </w:r>
          </w:p>
        </w:tc>
        <w:tc>
          <w:tcPr>
            <w:tcW w:w="920" w:type="dxa"/>
            <w:vAlign w:val="bottom"/>
          </w:tcPr>
          <w:p>
            <w:pPr>
              <w:spacing w:after="0"/>
              <w:rPr>
                <w:sz w:val="18"/>
                <w:szCs w:val="18"/>
                <w:color w:val="auto"/>
              </w:rPr>
            </w:pPr>
          </w:p>
        </w:tc>
        <w:tc>
          <w:tcPr>
            <w:tcW w:w="1380" w:type="dxa"/>
            <w:vAlign w:val="bottom"/>
            <w:vMerge w:val="restart"/>
          </w:tcPr>
          <w:p>
            <w:pPr>
              <w:jc w:val="right"/>
              <w:ind w:right="161"/>
              <w:spacing w:after="0"/>
              <w:rPr>
                <w:sz w:val="20"/>
                <w:szCs w:val="20"/>
                <w:color w:val="auto"/>
              </w:rPr>
            </w:pPr>
            <w:r>
              <w:rPr>
                <w:rFonts w:ascii="Arial" w:cs="Arial" w:eastAsia="Arial" w:hAnsi="Arial"/>
                <w:sz w:val="16"/>
                <w:szCs w:val="16"/>
                <w:b w:val="1"/>
                <w:bCs w:val="1"/>
                <w:color w:val="auto"/>
              </w:rPr>
              <w:t>(196)</w:t>
            </w:r>
          </w:p>
        </w:tc>
        <w:tc>
          <w:tcPr>
            <w:tcW w:w="1920" w:type="dxa"/>
            <w:vAlign w:val="bottom"/>
            <w:vMerge w:val="restart"/>
          </w:tcPr>
          <w:p>
            <w:pPr>
              <w:jc w:val="right"/>
              <w:ind w:right="342"/>
              <w:spacing w:after="0"/>
              <w:rPr>
                <w:sz w:val="20"/>
                <w:szCs w:val="20"/>
                <w:color w:val="auto"/>
              </w:rPr>
            </w:pPr>
            <w:r>
              <w:rPr>
                <w:rFonts w:ascii="Arial" w:cs="Arial" w:eastAsia="Arial" w:hAnsi="Arial"/>
                <w:sz w:val="16"/>
                <w:szCs w:val="16"/>
                <w:color w:val="auto"/>
              </w:rPr>
              <w:t>2,067</w:t>
            </w:r>
          </w:p>
        </w:tc>
        <w:tc>
          <w:tcPr>
            <w:tcW w:w="14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294</w:t>
            </w: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(888)</w:t>
            </w:r>
          </w:p>
        </w:tc>
        <w:tc>
          <w:tcPr>
            <w:tcW w:w="0" w:type="dxa"/>
            <w:vAlign w:val="bottom"/>
          </w:tcPr>
          <w:p>
            <w:pPr>
              <w:spacing w:after="0"/>
              <w:rPr>
                <w:sz w:val="1"/>
                <w:szCs w:val="1"/>
                <w:color w:val="auto"/>
              </w:rPr>
            </w:pPr>
          </w:p>
        </w:tc>
      </w:tr>
      <w:tr>
        <w:trPr>
          <w:trHeight w:val="70"/>
        </w:trPr>
        <w:tc>
          <w:tcPr>
            <w:tcW w:w="40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920" w:type="dxa"/>
            <w:vAlign w:val="bottom"/>
            <w:tcBorders>
              <w:bottom w:val="single" w:sz="8" w:color="auto"/>
            </w:tcBorders>
            <w:vMerge w:val="continue"/>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5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4000" w:type="dxa"/>
            <w:vAlign w:val="bottom"/>
            <w:tcBorders>
              <w:bottom w:val="single" w:sz="8" w:color="auto"/>
            </w:tcBorders>
            <w:shd w:val="clear" w:color="auto" w:fill="DBDBDB"/>
          </w:tcPr>
          <w:p>
            <w:pPr>
              <w:ind w:left="80"/>
              <w:spacing w:after="0"/>
              <w:rPr>
                <w:sz w:val="20"/>
                <w:szCs w:val="20"/>
                <w:color w:val="auto"/>
              </w:rPr>
            </w:pPr>
            <w:r>
              <w:rPr>
                <w:rFonts w:ascii="Arial" w:cs="Arial" w:eastAsia="Arial" w:hAnsi="Arial"/>
                <w:sz w:val="16"/>
                <w:szCs w:val="16"/>
                <w:b w:val="1"/>
                <w:bCs w:val="1"/>
                <w:color w:val="auto"/>
              </w:rPr>
              <w:t>COMPREHENSIVE LOSS FOR THE PERIOD</w:t>
            </w:r>
          </w:p>
        </w:tc>
        <w:tc>
          <w:tcPr>
            <w:tcW w:w="920" w:type="dxa"/>
            <w:vAlign w:val="bottom"/>
            <w:tcBorders>
              <w:bottom w:val="single" w:sz="8" w:color="auto"/>
            </w:tcBorders>
            <w:shd w:val="clear" w:color="auto" w:fill="DBDBDB"/>
          </w:tcPr>
          <w:p>
            <w:pPr>
              <w:spacing w:after="0"/>
              <w:rPr>
                <w:sz w:val="18"/>
                <w:szCs w:val="18"/>
                <w:color w:val="auto"/>
              </w:rPr>
            </w:pPr>
          </w:p>
        </w:tc>
        <w:tc>
          <w:tcPr>
            <w:tcW w:w="1380" w:type="dxa"/>
            <w:vAlign w:val="bottom"/>
            <w:tcBorders>
              <w:bottom w:val="single" w:sz="8" w:color="auto"/>
            </w:tcBorders>
            <w:shd w:val="clear" w:color="auto" w:fill="DBDBDB"/>
          </w:tcPr>
          <w:p>
            <w:pPr>
              <w:jc w:val="right"/>
              <w:ind w:right="161"/>
              <w:spacing w:after="0"/>
              <w:rPr>
                <w:sz w:val="20"/>
                <w:szCs w:val="20"/>
                <w:color w:val="auto"/>
              </w:rPr>
            </w:pPr>
            <w:r>
              <w:rPr>
                <w:rFonts w:ascii="Arial" w:cs="Arial" w:eastAsia="Arial" w:hAnsi="Arial"/>
                <w:sz w:val="16"/>
                <w:szCs w:val="16"/>
                <w:b w:val="1"/>
                <w:bCs w:val="1"/>
                <w:color w:val="auto"/>
              </w:rPr>
              <w:t>(33,918)</w:t>
            </w:r>
          </w:p>
        </w:tc>
        <w:tc>
          <w:tcPr>
            <w:tcW w:w="1920" w:type="dxa"/>
            <w:vAlign w:val="bottom"/>
            <w:tcBorders>
              <w:bottom w:val="single" w:sz="8" w:color="auto"/>
            </w:tcBorders>
            <w:shd w:val="clear" w:color="auto" w:fill="DBDBDB"/>
          </w:tcPr>
          <w:p>
            <w:pPr>
              <w:jc w:val="right"/>
              <w:ind w:right="302"/>
              <w:spacing w:after="0"/>
              <w:rPr>
                <w:sz w:val="20"/>
                <w:szCs w:val="20"/>
                <w:color w:val="auto"/>
              </w:rPr>
            </w:pPr>
            <w:r>
              <w:rPr>
                <w:rFonts w:ascii="Arial" w:cs="Arial" w:eastAsia="Arial" w:hAnsi="Arial"/>
                <w:sz w:val="16"/>
                <w:szCs w:val="16"/>
                <w:color w:val="auto"/>
              </w:rPr>
              <w:t>(39,860)</w:t>
            </w:r>
          </w:p>
        </w:tc>
        <w:tc>
          <w:tcPr>
            <w:tcW w:w="1440" w:type="dxa"/>
            <w:vAlign w:val="bottom"/>
            <w:tcBorders>
              <w:bottom w:val="single" w:sz="8" w:color="auto"/>
            </w:tcBorders>
            <w:shd w:val="clear" w:color="auto" w:fill="DBDBDB"/>
          </w:tcPr>
          <w:p>
            <w:pPr>
              <w:jc w:val="right"/>
              <w:ind w:right="141"/>
              <w:spacing w:after="0"/>
              <w:rPr>
                <w:sz w:val="20"/>
                <w:szCs w:val="20"/>
                <w:color w:val="auto"/>
              </w:rPr>
            </w:pPr>
            <w:r>
              <w:rPr>
                <w:rFonts w:ascii="Arial" w:cs="Arial" w:eastAsia="Arial" w:hAnsi="Arial"/>
                <w:sz w:val="16"/>
                <w:szCs w:val="16"/>
                <w:b w:val="1"/>
                <w:bCs w:val="1"/>
                <w:color w:val="auto"/>
              </w:rPr>
              <w:t>(58,041)</w:t>
            </w: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(53,649)</w:t>
            </w:r>
          </w:p>
        </w:tc>
        <w:tc>
          <w:tcPr>
            <w:tcW w:w="0" w:type="dxa"/>
            <w:vAlign w:val="bottom"/>
          </w:tcPr>
          <w:p>
            <w:pPr>
              <w:spacing w:after="0"/>
              <w:rPr>
                <w:sz w:val="1"/>
                <w:szCs w:val="1"/>
                <w:color w:val="auto"/>
              </w:rPr>
            </w:pPr>
          </w:p>
        </w:tc>
      </w:tr>
      <w:tr>
        <w:trPr>
          <w:trHeight w:val="453"/>
        </w:trPr>
        <w:tc>
          <w:tcPr>
            <w:tcW w:w="40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Basic loss per share for the period</w:t>
            </w:r>
          </w:p>
        </w:tc>
        <w:tc>
          <w:tcPr>
            <w:tcW w:w="9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(1.39)</w:t>
            </w:r>
          </w:p>
        </w:tc>
        <w:tc>
          <w:tcPr>
            <w:tcW w:w="19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(2.10)</w:t>
            </w:r>
          </w:p>
        </w:tc>
        <w:tc>
          <w:tcPr>
            <w:tcW w:w="14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(2.50)</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155"/>
        </w:trPr>
        <w:tc>
          <w:tcPr>
            <w:tcW w:w="4000" w:type="dxa"/>
            <w:vAlign w:val="bottom"/>
          </w:tcPr>
          <w:p>
            <w:pPr>
              <w:ind w:left="80"/>
              <w:spacing w:after="0" w:line="155" w:lineRule="exact"/>
              <w:rPr>
                <w:sz w:val="20"/>
                <w:szCs w:val="20"/>
                <w:color w:val="auto"/>
              </w:rPr>
            </w:pPr>
            <w:r>
              <w:rPr>
                <w:rFonts w:ascii="Arial" w:cs="Arial" w:eastAsia="Arial" w:hAnsi="Arial"/>
                <w:sz w:val="16"/>
                <w:szCs w:val="16"/>
                <w:b w:val="1"/>
                <w:bCs w:val="1"/>
                <w:color w:val="auto"/>
              </w:rPr>
              <w:t>Weighted average number of common shares</w:t>
            </w:r>
          </w:p>
        </w:tc>
        <w:tc>
          <w:tcPr>
            <w:tcW w:w="920" w:type="dxa"/>
            <w:vAlign w:val="bottom"/>
          </w:tcPr>
          <w:p>
            <w:pPr>
              <w:spacing w:after="0"/>
              <w:rPr>
                <w:sz w:val="13"/>
                <w:szCs w:val="13"/>
                <w:color w:val="auto"/>
              </w:rPr>
            </w:pPr>
          </w:p>
        </w:tc>
        <w:tc>
          <w:tcPr>
            <w:tcW w:w="1380" w:type="dxa"/>
            <w:vAlign w:val="bottom"/>
            <w:vMerge w:val="restart"/>
          </w:tcPr>
          <w:p>
            <w:pPr>
              <w:jc w:val="right"/>
              <w:ind w:right="201"/>
              <w:spacing w:after="0"/>
              <w:rPr>
                <w:sz w:val="20"/>
                <w:szCs w:val="20"/>
                <w:color w:val="auto"/>
              </w:rPr>
            </w:pPr>
            <w:r>
              <w:rPr>
                <w:rFonts w:ascii="Arial" w:cs="Arial" w:eastAsia="Arial" w:hAnsi="Arial"/>
                <w:sz w:val="16"/>
                <w:szCs w:val="16"/>
                <w:b w:val="1"/>
                <w:bCs w:val="1"/>
                <w:color w:val="auto"/>
              </w:rPr>
              <w:t>24,205,871</w:t>
            </w:r>
          </w:p>
        </w:tc>
        <w:tc>
          <w:tcPr>
            <w:tcW w:w="1920" w:type="dxa"/>
            <w:vAlign w:val="bottom"/>
            <w:vMerge w:val="restart"/>
          </w:tcPr>
          <w:p>
            <w:pPr>
              <w:jc w:val="right"/>
              <w:ind w:right="342"/>
              <w:spacing w:after="0"/>
              <w:rPr>
                <w:sz w:val="20"/>
                <w:szCs w:val="20"/>
                <w:color w:val="auto"/>
              </w:rPr>
            </w:pPr>
            <w:r>
              <w:rPr>
                <w:rFonts w:ascii="Arial" w:cs="Arial" w:eastAsia="Arial" w:hAnsi="Arial"/>
                <w:sz w:val="16"/>
                <w:szCs w:val="16"/>
                <w:color w:val="auto"/>
              </w:rPr>
              <w:t>20,001,406</w:t>
            </w:r>
          </w:p>
        </w:tc>
        <w:tc>
          <w:tcPr>
            <w:tcW w:w="1440" w:type="dxa"/>
            <w:vAlign w:val="bottom"/>
            <w:vMerge w:val="restart"/>
          </w:tcPr>
          <w:p>
            <w:pPr>
              <w:jc w:val="right"/>
              <w:ind w:right="201"/>
              <w:spacing w:after="0"/>
              <w:rPr>
                <w:sz w:val="20"/>
                <w:szCs w:val="20"/>
                <w:color w:val="auto"/>
              </w:rPr>
            </w:pPr>
            <w:r>
              <w:rPr>
                <w:rFonts w:ascii="Arial" w:cs="Arial" w:eastAsia="Arial" w:hAnsi="Arial"/>
                <w:sz w:val="16"/>
                <w:szCs w:val="16"/>
                <w:b w:val="1"/>
                <w:bCs w:val="1"/>
                <w:color w:val="auto"/>
              </w:rPr>
              <w:t>23,308,465</w:t>
            </w: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20,001,406</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outstanding - basic</w:t>
            </w:r>
          </w:p>
        </w:tc>
        <w:tc>
          <w:tcPr>
            <w:tcW w:w="9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condensed interim consolidated financial statements.</w:t>
      </w:r>
    </w:p>
    <w:p>
      <w:pPr>
        <w:sectPr>
          <w:pgSz w:w="11900" w:h="16838" w:orient="portrait"/>
          <w:cols w:equalWidth="0" w:num="1">
            <w:col w:w="11240"/>
          </w:cols>
          <w:pgMar w:left="320" w:top="229" w:right="339" w:bottom="1440" w:gutter="0" w:footer="0" w:header="0"/>
        </w:sectPr>
      </w:pPr>
    </w:p>
    <w:bookmarkStart w:id="7" w:name="page8"/>
    <w:bookmarkEnd w:id="7"/>
    <w:p>
      <w:pPr>
        <w:ind w:left="80"/>
        <w:spacing w:after="0"/>
        <w:rPr>
          <w:sz w:val="20"/>
          <w:szCs w:val="20"/>
          <w:color w:val="auto"/>
        </w:rPr>
      </w:pPr>
      <w:r>
        <w:rPr>
          <w:rFonts w:ascii="Arial" w:cs="Arial" w:eastAsia="Arial" w:hAnsi="Arial"/>
          <w:sz w:val="22"/>
          <w:szCs w:val="22"/>
          <w:b w:val="1"/>
          <w:bCs w:val="1"/>
          <w:color w:val="auto"/>
        </w:rPr>
        <w:t>CYBIN INC.</w:t>
      </w:r>
    </w:p>
    <w:p>
      <w:pPr>
        <w:spacing w:after="0" w:line="26" w:lineRule="exact"/>
        <w:rPr>
          <w:sz w:val="20"/>
          <w:szCs w:val="20"/>
          <w:color w:val="auto"/>
        </w:rPr>
      </w:pPr>
    </w:p>
    <w:p>
      <w:pPr>
        <w:ind w:left="80" w:right="1000"/>
        <w:spacing w:after="0" w:line="239" w:lineRule="auto"/>
        <w:rPr>
          <w:sz w:val="20"/>
          <w:szCs w:val="20"/>
          <w:color w:val="auto"/>
        </w:rPr>
      </w:pPr>
      <w:r>
        <w:rPr>
          <w:rFonts w:ascii="Arial" w:cs="Arial" w:eastAsia="Arial" w:hAnsi="Arial"/>
          <w:sz w:val="22"/>
          <w:szCs w:val="22"/>
          <w:b w:val="1"/>
          <w:bCs w:val="1"/>
          <w:color w:val="auto"/>
        </w:rPr>
        <w:t>CONDENSED INTERIM CONSOLIDATED STATEMENTS OF CHANGES IN SHAREHOLDERS’ EQUITY For the six-month periods ended September 30, 2025 and 2024</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(All amounts expressed in thousands of United States dollars, except share amounts)</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4"/>
                <w:szCs w:val="14"/>
                <w:b w:val="1"/>
                <w:bCs w:val="1"/>
                <w:color w:val="auto"/>
              </w:rPr>
              <w:t>Share capital</w:t>
            </w: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Reserves</w:t>
            </w: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240" w:type="dxa"/>
            <w:vAlign w:val="bottom"/>
          </w:tcPr>
          <w:p>
            <w:pPr>
              <w:spacing w:after="0"/>
              <w:rPr>
                <w:sz w:val="13"/>
                <w:szCs w:val="13"/>
                <w:color w:val="auto"/>
              </w:rPr>
            </w:pPr>
          </w:p>
        </w:tc>
        <w:tc>
          <w:tcPr>
            <w:tcW w:w="6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Note</w:t>
            </w:r>
          </w:p>
        </w:tc>
        <w:tc>
          <w:tcPr>
            <w:tcW w:w="10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Number of</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8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Warrants</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Options</w:t>
            </w: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Contributed</w:t>
            </w:r>
          </w:p>
        </w:tc>
        <w:tc>
          <w:tcPr>
            <w:tcW w:w="80" w:type="dxa"/>
            <w:vAlign w:val="bottom"/>
          </w:tcPr>
          <w:p>
            <w:pPr>
              <w:spacing w:after="0"/>
              <w:rPr>
                <w:sz w:val="13"/>
                <w:szCs w:val="13"/>
                <w:color w:val="auto"/>
              </w:rPr>
            </w:pPr>
          </w:p>
        </w:tc>
        <w:tc>
          <w:tcPr>
            <w:tcW w:w="8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3"/>
                <w:szCs w:val="13"/>
                <w:color w:val="auto"/>
              </w:rPr>
            </w:pPr>
          </w:p>
        </w:tc>
        <w:tc>
          <w:tcPr>
            <w:tcW w:w="8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surplus</w:t>
            </w:r>
          </w:p>
        </w:tc>
        <w:tc>
          <w:tcPr>
            <w:tcW w:w="8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income (loss)</w:t>
            </w: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left="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gridSpan w:val="2"/>
          </w:tcPr>
          <w:p>
            <w:pPr>
              <w:jc w:val="right"/>
              <w:ind w:right="3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3"/>
        </w:trPr>
        <w:tc>
          <w:tcPr>
            <w:tcW w:w="3240" w:type="dxa"/>
            <w:vAlign w:val="bottom"/>
            <w:shd w:val="clear" w:color="auto" w:fill="D9D9D9"/>
          </w:tcPr>
          <w:p>
            <w:pPr>
              <w:ind w:left="80"/>
              <w:spacing w:after="0" w:line="143" w:lineRule="exact"/>
              <w:rPr>
                <w:sz w:val="20"/>
                <w:szCs w:val="20"/>
                <w:color w:val="auto"/>
              </w:rPr>
            </w:pPr>
            <w:r>
              <w:rPr>
                <w:rFonts w:ascii="Arial" w:cs="Arial" w:eastAsia="Arial" w:hAnsi="Arial"/>
                <w:sz w:val="14"/>
                <w:szCs w:val="14"/>
                <w:b w:val="1"/>
                <w:bCs w:val="1"/>
                <w:color w:val="auto"/>
              </w:rPr>
              <w:t xml:space="preserve">Balance as at March 31, 2024 - </w:t>
            </w:r>
            <w:r>
              <w:rPr>
                <w:rFonts w:ascii="Arial" w:cs="Arial" w:eastAsia="Arial" w:hAnsi="Arial"/>
                <w:sz w:val="14"/>
                <w:szCs w:val="14"/>
                <w:b w:val="1"/>
                <w:bCs w:val="1"/>
                <w:i w:val="1"/>
                <w:iCs w:val="1"/>
                <w:color w:val="auto"/>
              </w:rPr>
              <w:t>Restated -</w:t>
            </w:r>
          </w:p>
        </w:tc>
        <w:tc>
          <w:tcPr>
            <w:tcW w:w="620" w:type="dxa"/>
            <w:vAlign w:val="bottom"/>
            <w:shd w:val="clear" w:color="auto" w:fill="D9D9D9"/>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20" w:type="dxa"/>
            <w:vAlign w:val="bottom"/>
            <w:vMerge w:val="restart"/>
            <w:shd w:val="clear" w:color="auto" w:fill="D9D9D9"/>
          </w:tcPr>
          <w:p>
            <w:pPr>
              <w:jc w:val="right"/>
              <w:ind w:right="8"/>
              <w:spacing w:after="0"/>
              <w:rPr>
                <w:sz w:val="20"/>
                <w:szCs w:val="20"/>
                <w:color w:val="auto"/>
              </w:rPr>
            </w:pPr>
            <w:r>
              <w:rPr>
                <w:rFonts w:ascii="Arial" w:cs="Arial" w:eastAsia="Arial" w:hAnsi="Arial"/>
                <w:sz w:val="14"/>
                <w:szCs w:val="14"/>
                <w:b w:val="1"/>
                <w:bCs w:val="1"/>
                <w:color w:val="auto"/>
              </w:rPr>
              <w:t>20,001,404</w:t>
            </w:r>
          </w:p>
        </w:tc>
        <w:tc>
          <w:tcPr>
            <w:tcW w:w="760" w:type="dxa"/>
            <w:vAlign w:val="bottom"/>
            <w:vMerge w:val="restart"/>
            <w:shd w:val="clear" w:color="auto" w:fill="DBDBDB"/>
          </w:tcPr>
          <w:p>
            <w:pPr>
              <w:jc w:val="right"/>
              <w:spacing w:after="0"/>
              <w:rPr>
                <w:sz w:val="20"/>
                <w:szCs w:val="20"/>
                <w:color w:val="auto"/>
              </w:rPr>
            </w:pPr>
            <w:r>
              <w:rPr>
                <w:rFonts w:ascii="Arial" w:cs="Arial" w:eastAsia="Arial" w:hAnsi="Arial"/>
                <w:sz w:val="14"/>
                <w:szCs w:val="14"/>
                <w:b w:val="1"/>
                <w:bCs w:val="1"/>
                <w:color w:val="auto"/>
              </w:rPr>
              <w:t>331,000</w:t>
            </w:r>
          </w:p>
        </w:tc>
        <w:tc>
          <w:tcPr>
            <w:tcW w:w="980" w:type="dxa"/>
            <w:vAlign w:val="bottom"/>
            <w:gridSpan w:val="2"/>
            <w:vMerge w:val="restart"/>
            <w:shd w:val="clear" w:color="auto" w:fill="DBDBDB"/>
          </w:tcPr>
          <w:p>
            <w:pPr>
              <w:jc w:val="right"/>
              <w:ind w:right="48"/>
              <w:spacing w:after="0"/>
              <w:rPr>
                <w:sz w:val="20"/>
                <w:szCs w:val="20"/>
                <w:color w:val="auto"/>
              </w:rPr>
            </w:pPr>
            <w:r>
              <w:rPr>
                <w:rFonts w:ascii="Arial" w:cs="Arial" w:eastAsia="Arial" w:hAnsi="Arial"/>
                <w:sz w:val="14"/>
                <w:szCs w:val="14"/>
                <w:b w:val="1"/>
                <w:bCs w:val="1"/>
                <w:color w:val="auto"/>
              </w:rPr>
              <w:t>19,060</w:t>
            </w:r>
          </w:p>
        </w:tc>
        <w:tc>
          <w:tcPr>
            <w:tcW w:w="80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30,283</w:t>
            </w:r>
          </w:p>
        </w:tc>
        <w:tc>
          <w:tcPr>
            <w:tcW w:w="86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8,756</w:t>
            </w:r>
          </w:p>
        </w:tc>
        <w:tc>
          <w:tcPr>
            <w:tcW w:w="920" w:type="dxa"/>
            <w:vAlign w:val="bottom"/>
            <w:gridSpan w:val="2"/>
            <w:vMerge w:val="restart"/>
            <w:shd w:val="clear" w:color="auto" w:fill="DBDBDB"/>
          </w:tcPr>
          <w:p>
            <w:pPr>
              <w:jc w:val="right"/>
              <w:spacing w:after="0"/>
              <w:rPr>
                <w:sz w:val="20"/>
                <w:szCs w:val="20"/>
                <w:color w:val="auto"/>
              </w:rPr>
            </w:pPr>
            <w:r>
              <w:rPr>
                <w:rFonts w:ascii="Arial" w:cs="Arial" w:eastAsia="Arial" w:hAnsi="Arial"/>
                <w:sz w:val="14"/>
                <w:szCs w:val="14"/>
                <w:b w:val="1"/>
                <w:bCs w:val="1"/>
                <w:color w:val="auto"/>
              </w:rPr>
              <w:t>(173,786)</w:t>
            </w:r>
          </w:p>
        </w:tc>
        <w:tc>
          <w:tcPr>
            <w:tcW w:w="1180" w:type="dxa"/>
            <w:vAlign w:val="bottom"/>
            <w:gridSpan w:val="2"/>
            <w:vMerge w:val="restart"/>
            <w:shd w:val="clear" w:color="auto" w:fill="DBDBDB"/>
          </w:tcPr>
          <w:p>
            <w:pPr>
              <w:jc w:val="right"/>
              <w:spacing w:after="0"/>
              <w:rPr>
                <w:sz w:val="20"/>
                <w:szCs w:val="20"/>
                <w:color w:val="auto"/>
              </w:rPr>
            </w:pPr>
            <w:r>
              <w:rPr>
                <w:rFonts w:ascii="Arial" w:cs="Arial" w:eastAsia="Arial" w:hAnsi="Arial"/>
                <w:sz w:val="14"/>
                <w:szCs w:val="14"/>
                <w:b w:val="1"/>
                <w:bCs w:val="1"/>
                <w:color w:val="auto"/>
              </w:rPr>
              <w:t>132</w:t>
            </w:r>
          </w:p>
        </w:tc>
        <w:tc>
          <w:tcPr>
            <w:tcW w:w="960" w:type="dxa"/>
            <w:vAlign w:val="bottom"/>
            <w:gridSpan w:val="2"/>
            <w:vMerge w:val="restart"/>
            <w:shd w:val="clear" w:color="auto" w:fill="DBDBDB"/>
          </w:tcPr>
          <w:p>
            <w:pPr>
              <w:jc w:val="right"/>
              <w:spacing w:after="0"/>
              <w:rPr>
                <w:sz w:val="20"/>
                <w:szCs w:val="20"/>
                <w:color w:val="auto"/>
              </w:rPr>
            </w:pPr>
            <w:r>
              <w:rPr>
                <w:rFonts w:ascii="Arial" w:cs="Arial" w:eastAsia="Arial" w:hAnsi="Arial"/>
                <w:sz w:val="14"/>
                <w:szCs w:val="14"/>
                <w:b w:val="1"/>
                <w:bCs w:val="1"/>
                <w:color w:val="auto"/>
              </w:rPr>
              <w:t>215,445</w:t>
            </w:r>
          </w:p>
        </w:tc>
        <w:tc>
          <w:tcPr>
            <w:tcW w:w="0" w:type="dxa"/>
            <w:vAlign w:val="bottom"/>
          </w:tcPr>
          <w:p>
            <w:pPr>
              <w:spacing w:after="0"/>
              <w:rPr>
                <w:sz w:val="1"/>
                <w:szCs w:val="1"/>
                <w:color w:val="auto"/>
              </w:rPr>
            </w:pPr>
          </w:p>
        </w:tc>
      </w:tr>
      <w:tr>
        <w:trPr>
          <w:trHeight w:val="119"/>
        </w:trPr>
        <w:tc>
          <w:tcPr>
            <w:tcW w:w="3240" w:type="dxa"/>
            <w:vAlign w:val="bottom"/>
            <w:vMerge w:val="restart"/>
            <w:shd w:val="clear" w:color="auto" w:fill="D9D9D9"/>
          </w:tcPr>
          <w:p>
            <w:pPr>
              <w:ind w:left="80"/>
              <w:spacing w:after="0"/>
              <w:rPr>
                <w:sz w:val="20"/>
                <w:szCs w:val="20"/>
                <w:color w:val="auto"/>
              </w:rPr>
            </w:pPr>
            <w:r>
              <w:rPr>
                <w:rFonts w:ascii="Arial" w:cs="Arial" w:eastAsia="Arial" w:hAnsi="Arial"/>
                <w:sz w:val="14"/>
                <w:szCs w:val="14"/>
                <w:b w:val="1"/>
                <w:bCs w:val="1"/>
                <w:i w:val="1"/>
                <w:iCs w:val="1"/>
                <w:color w:val="auto"/>
              </w:rPr>
              <w:t>Note 2</w:t>
            </w:r>
          </w:p>
        </w:tc>
        <w:tc>
          <w:tcPr>
            <w:tcW w:w="620" w:type="dxa"/>
            <w:vAlign w:val="bottom"/>
            <w:shd w:val="clear" w:color="auto" w:fill="D9D9D9"/>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820" w:type="dxa"/>
            <w:vAlign w:val="bottom"/>
            <w:vMerge w:val="continue"/>
            <w:shd w:val="clear" w:color="auto" w:fill="D9D9D9"/>
          </w:tcPr>
          <w:p>
            <w:pPr>
              <w:spacing w:after="0"/>
              <w:rPr>
                <w:sz w:val="10"/>
                <w:szCs w:val="10"/>
                <w:color w:val="auto"/>
              </w:rPr>
            </w:pPr>
          </w:p>
        </w:tc>
        <w:tc>
          <w:tcPr>
            <w:tcW w:w="760" w:type="dxa"/>
            <w:vAlign w:val="bottom"/>
            <w:vMerge w:val="continue"/>
            <w:shd w:val="clear" w:color="auto" w:fill="DBDBDB"/>
          </w:tcPr>
          <w:p>
            <w:pPr>
              <w:spacing w:after="0"/>
              <w:rPr>
                <w:sz w:val="10"/>
                <w:szCs w:val="10"/>
                <w:color w:val="auto"/>
              </w:rPr>
            </w:pPr>
          </w:p>
        </w:tc>
        <w:tc>
          <w:tcPr>
            <w:tcW w:w="980" w:type="dxa"/>
            <w:vAlign w:val="bottom"/>
            <w:gridSpan w:val="2"/>
            <w:vMerge w:val="continue"/>
            <w:shd w:val="clear" w:color="auto" w:fill="DBDBDB"/>
          </w:tcPr>
          <w:p>
            <w:pPr>
              <w:spacing w:after="0"/>
              <w:rPr>
                <w:sz w:val="10"/>
                <w:szCs w:val="10"/>
                <w:color w:val="auto"/>
              </w:rPr>
            </w:pPr>
          </w:p>
        </w:tc>
        <w:tc>
          <w:tcPr>
            <w:tcW w:w="800" w:type="dxa"/>
            <w:vAlign w:val="bottom"/>
            <w:vMerge w:val="continue"/>
            <w:shd w:val="clear" w:color="auto" w:fill="DBDBDB"/>
          </w:tcPr>
          <w:p>
            <w:pPr>
              <w:spacing w:after="0"/>
              <w:rPr>
                <w:sz w:val="10"/>
                <w:szCs w:val="10"/>
                <w:color w:val="auto"/>
              </w:rPr>
            </w:pPr>
          </w:p>
        </w:tc>
        <w:tc>
          <w:tcPr>
            <w:tcW w:w="860" w:type="dxa"/>
            <w:vAlign w:val="bottom"/>
            <w:vMerge w:val="continue"/>
            <w:shd w:val="clear" w:color="auto" w:fill="DBDBDB"/>
          </w:tcPr>
          <w:p>
            <w:pPr>
              <w:spacing w:after="0"/>
              <w:rPr>
                <w:sz w:val="10"/>
                <w:szCs w:val="10"/>
                <w:color w:val="auto"/>
              </w:rPr>
            </w:pPr>
          </w:p>
        </w:tc>
        <w:tc>
          <w:tcPr>
            <w:tcW w:w="920" w:type="dxa"/>
            <w:vAlign w:val="bottom"/>
            <w:gridSpan w:val="2"/>
            <w:vMerge w:val="continue"/>
            <w:shd w:val="clear" w:color="auto" w:fill="DBDBDB"/>
          </w:tcPr>
          <w:p>
            <w:pPr>
              <w:spacing w:after="0"/>
              <w:rPr>
                <w:sz w:val="10"/>
                <w:szCs w:val="10"/>
                <w:color w:val="auto"/>
              </w:rPr>
            </w:pPr>
          </w:p>
        </w:tc>
        <w:tc>
          <w:tcPr>
            <w:tcW w:w="1180" w:type="dxa"/>
            <w:vAlign w:val="bottom"/>
            <w:gridSpan w:val="2"/>
            <w:vMerge w:val="continue"/>
            <w:shd w:val="clear" w:color="auto" w:fill="DBDBDB"/>
          </w:tcPr>
          <w:p>
            <w:pPr>
              <w:spacing w:after="0"/>
              <w:rPr>
                <w:sz w:val="10"/>
                <w:szCs w:val="10"/>
                <w:color w:val="auto"/>
              </w:rPr>
            </w:pPr>
          </w:p>
        </w:tc>
        <w:tc>
          <w:tcPr>
            <w:tcW w:w="960" w:type="dxa"/>
            <w:vAlign w:val="bottom"/>
            <w:gridSpan w:val="2"/>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3240" w:type="dxa"/>
            <w:vAlign w:val="bottom"/>
            <w:tcBorders>
              <w:bottom w:val="single" w:sz="8" w:color="auto"/>
            </w:tcBorders>
            <w:vMerge w:val="continue"/>
            <w:shd w:val="clear" w:color="auto" w:fill="D9D9D9"/>
          </w:tcPr>
          <w:p>
            <w:pPr>
              <w:spacing w:after="0"/>
              <w:rPr>
                <w:sz w:val="6"/>
                <w:szCs w:val="6"/>
                <w:color w:val="auto"/>
              </w:rPr>
            </w:pPr>
          </w:p>
        </w:tc>
        <w:tc>
          <w:tcPr>
            <w:tcW w:w="620" w:type="dxa"/>
            <w:vAlign w:val="bottom"/>
            <w:tcBorders>
              <w:bottom w:val="single" w:sz="8" w:color="auto"/>
            </w:tcBorders>
            <w:shd w:val="clear" w:color="auto" w:fill="D9D9D9"/>
          </w:tcPr>
          <w:p>
            <w:pPr>
              <w:spacing w:after="0"/>
              <w:rPr>
                <w:sz w:val="6"/>
                <w:szCs w:val="6"/>
                <w:color w:val="auto"/>
              </w:rPr>
            </w:pPr>
          </w:p>
        </w:tc>
        <w:tc>
          <w:tcPr>
            <w:tcW w:w="100" w:type="dxa"/>
            <w:vAlign w:val="bottom"/>
            <w:tcBorders>
              <w:bottom w:val="single" w:sz="8" w:color="auto"/>
            </w:tcBorders>
            <w:shd w:val="clear" w:color="auto" w:fill="DBDBDB"/>
          </w:tcPr>
          <w:p>
            <w:pPr>
              <w:spacing w:after="0"/>
              <w:rPr>
                <w:sz w:val="6"/>
                <w:szCs w:val="6"/>
                <w:color w:val="auto"/>
              </w:rPr>
            </w:pPr>
          </w:p>
        </w:tc>
        <w:tc>
          <w:tcPr>
            <w:tcW w:w="820" w:type="dxa"/>
            <w:vAlign w:val="bottom"/>
            <w:tcBorders>
              <w:bottom w:val="single" w:sz="8" w:color="auto"/>
            </w:tcBorders>
            <w:shd w:val="clear" w:color="auto" w:fill="D9D9D9"/>
          </w:tcPr>
          <w:p>
            <w:pPr>
              <w:spacing w:after="0"/>
              <w:rPr>
                <w:sz w:val="6"/>
                <w:szCs w:val="6"/>
                <w:color w:val="auto"/>
              </w:rPr>
            </w:pPr>
          </w:p>
        </w:tc>
        <w:tc>
          <w:tcPr>
            <w:tcW w:w="760" w:type="dxa"/>
            <w:vAlign w:val="bottom"/>
            <w:tcBorders>
              <w:bottom w:val="single" w:sz="8" w:color="auto"/>
            </w:tcBorders>
            <w:vMerge w:val="continue"/>
            <w:shd w:val="clear" w:color="auto" w:fill="DBDBDB"/>
          </w:tcPr>
          <w:p>
            <w:pPr>
              <w:spacing w:after="0"/>
              <w:rPr>
                <w:sz w:val="6"/>
                <w:szCs w:val="6"/>
                <w:color w:val="auto"/>
              </w:rPr>
            </w:pPr>
          </w:p>
        </w:tc>
        <w:tc>
          <w:tcPr>
            <w:tcW w:w="980" w:type="dxa"/>
            <w:vAlign w:val="bottom"/>
            <w:tcBorders>
              <w:bottom w:val="single" w:sz="8" w:color="auto"/>
            </w:tcBorders>
            <w:gridSpan w:val="2"/>
            <w:vMerge w:val="continue"/>
            <w:shd w:val="clear" w:color="auto" w:fill="DBDBDB"/>
          </w:tcPr>
          <w:p>
            <w:pPr>
              <w:spacing w:after="0"/>
              <w:rPr>
                <w:sz w:val="6"/>
                <w:szCs w:val="6"/>
                <w:color w:val="auto"/>
              </w:rPr>
            </w:pPr>
          </w:p>
        </w:tc>
        <w:tc>
          <w:tcPr>
            <w:tcW w:w="800" w:type="dxa"/>
            <w:vAlign w:val="bottom"/>
            <w:tcBorders>
              <w:bottom w:val="single" w:sz="8" w:color="auto"/>
            </w:tcBorders>
            <w:vMerge w:val="continue"/>
            <w:shd w:val="clear" w:color="auto" w:fill="DBDBDB"/>
          </w:tcPr>
          <w:p>
            <w:pPr>
              <w:spacing w:after="0"/>
              <w:rPr>
                <w:sz w:val="6"/>
                <w:szCs w:val="6"/>
                <w:color w:val="auto"/>
              </w:rPr>
            </w:pPr>
          </w:p>
        </w:tc>
        <w:tc>
          <w:tcPr>
            <w:tcW w:w="860" w:type="dxa"/>
            <w:vAlign w:val="bottom"/>
            <w:tcBorders>
              <w:bottom w:val="single" w:sz="8" w:color="auto"/>
            </w:tcBorders>
            <w:vMerge w:val="continue"/>
            <w:shd w:val="clear" w:color="auto" w:fill="DBDBDB"/>
          </w:tcPr>
          <w:p>
            <w:pPr>
              <w:spacing w:after="0"/>
              <w:rPr>
                <w:sz w:val="6"/>
                <w:szCs w:val="6"/>
                <w:color w:val="auto"/>
              </w:rPr>
            </w:pPr>
          </w:p>
        </w:tc>
        <w:tc>
          <w:tcPr>
            <w:tcW w:w="920" w:type="dxa"/>
            <w:vAlign w:val="bottom"/>
            <w:tcBorders>
              <w:bottom w:val="single" w:sz="8" w:color="auto"/>
            </w:tcBorders>
            <w:gridSpan w:val="2"/>
            <w:vMerge w:val="continue"/>
            <w:shd w:val="clear" w:color="auto" w:fill="DBDBDB"/>
          </w:tcPr>
          <w:p>
            <w:pPr>
              <w:spacing w:after="0"/>
              <w:rPr>
                <w:sz w:val="6"/>
                <w:szCs w:val="6"/>
                <w:color w:val="auto"/>
              </w:rPr>
            </w:pPr>
          </w:p>
        </w:tc>
        <w:tc>
          <w:tcPr>
            <w:tcW w:w="1180" w:type="dxa"/>
            <w:vAlign w:val="bottom"/>
            <w:tcBorders>
              <w:bottom w:val="single" w:sz="8" w:color="auto"/>
            </w:tcBorders>
            <w:gridSpan w:val="2"/>
            <w:vMerge w:val="continue"/>
            <w:shd w:val="clear" w:color="auto" w:fill="DBDBDB"/>
          </w:tcPr>
          <w:p>
            <w:pPr>
              <w:spacing w:after="0"/>
              <w:rPr>
                <w:sz w:val="6"/>
                <w:szCs w:val="6"/>
                <w:color w:val="auto"/>
              </w:rPr>
            </w:pPr>
          </w:p>
        </w:tc>
        <w:tc>
          <w:tcPr>
            <w:tcW w:w="960" w:type="dxa"/>
            <w:vAlign w:val="bottom"/>
            <w:tcBorders>
              <w:bottom w:val="single" w:sz="8" w:color="auto"/>
            </w:tcBorders>
            <w:gridSpan w:val="2"/>
            <w:vMerge w:val="continue"/>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3240" w:type="dxa"/>
            <w:vAlign w:val="bottom"/>
          </w:tcPr>
          <w:p>
            <w:pPr>
              <w:ind w:left="100"/>
              <w:spacing w:after="0" w:line="142" w:lineRule="exact"/>
              <w:rPr>
                <w:sz w:val="20"/>
                <w:szCs w:val="20"/>
                <w:color w:val="auto"/>
              </w:rPr>
            </w:pPr>
            <w:r>
              <w:rPr>
                <w:rFonts w:ascii="Arial" w:cs="Arial" w:eastAsia="Arial" w:hAnsi="Arial"/>
                <w:sz w:val="14"/>
                <w:szCs w:val="14"/>
                <w:color w:val="auto"/>
              </w:rPr>
              <w:t>Adjustment for fractional shares upon share</w:t>
            </w: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7</w:t>
            </w:r>
          </w:p>
        </w:tc>
        <w:tc>
          <w:tcPr>
            <w:tcW w:w="92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2</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240" w:type="dxa"/>
            <w:vAlign w:val="bottom"/>
          </w:tcPr>
          <w:p>
            <w:pPr>
              <w:ind w:left="20"/>
              <w:spacing w:after="0"/>
              <w:rPr>
                <w:sz w:val="20"/>
                <w:szCs w:val="20"/>
                <w:color w:val="auto"/>
              </w:rPr>
            </w:pPr>
            <w:r>
              <w:rPr>
                <w:rFonts w:ascii="Arial" w:cs="Arial" w:eastAsia="Arial" w:hAnsi="Arial"/>
                <w:sz w:val="14"/>
                <w:szCs w:val="14"/>
                <w:color w:val="auto"/>
              </w:rPr>
              <w:t>consolidation</w:t>
            </w:r>
          </w:p>
        </w:tc>
        <w:tc>
          <w:tcPr>
            <w:tcW w:w="62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240" w:type="dxa"/>
            <w:vAlign w:val="bottom"/>
          </w:tcPr>
          <w:p>
            <w:pPr>
              <w:ind w:left="100"/>
              <w:spacing w:after="0"/>
              <w:rPr>
                <w:sz w:val="20"/>
                <w:szCs w:val="20"/>
                <w:color w:val="auto"/>
              </w:rPr>
            </w:pPr>
            <w:r>
              <w:rPr>
                <w:rFonts w:ascii="Arial" w:cs="Arial" w:eastAsia="Arial" w:hAnsi="Arial"/>
                <w:sz w:val="14"/>
                <w:szCs w:val="14"/>
                <w:color w:val="auto"/>
              </w:rPr>
              <w:t>Share issuance costs</w:t>
            </w:r>
          </w:p>
        </w:tc>
        <w:tc>
          <w:tcPr>
            <w:tcW w:w="620" w:type="dxa"/>
            <w:vAlign w:val="bottom"/>
          </w:tcPr>
          <w:p>
            <w:pPr>
              <w:jc w:val="center"/>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(314)</w:t>
            </w:r>
          </w:p>
        </w:tc>
        <w:tc>
          <w:tcPr>
            <w:tcW w:w="0" w:type="dxa"/>
            <w:vAlign w:val="bottom"/>
          </w:tcPr>
          <w:p>
            <w:pPr>
              <w:spacing w:after="0"/>
              <w:rPr>
                <w:sz w:val="1"/>
                <w:szCs w:val="1"/>
                <w:color w:val="auto"/>
              </w:rPr>
            </w:pPr>
          </w:p>
        </w:tc>
      </w:tr>
      <w:tr>
        <w:trPr>
          <w:trHeight w:val="203"/>
        </w:trPr>
        <w:tc>
          <w:tcPr>
            <w:tcW w:w="3240" w:type="dxa"/>
            <w:vAlign w:val="bottom"/>
          </w:tcPr>
          <w:p>
            <w:pPr>
              <w:ind w:left="100"/>
              <w:spacing w:after="0"/>
              <w:rPr>
                <w:sz w:val="20"/>
                <w:szCs w:val="20"/>
                <w:color w:val="auto"/>
              </w:rPr>
            </w:pPr>
            <w:r>
              <w:rPr>
                <w:rFonts w:ascii="Arial" w:cs="Arial" w:eastAsia="Arial" w:hAnsi="Arial"/>
                <w:sz w:val="14"/>
                <w:szCs w:val="14"/>
                <w:color w:val="auto"/>
              </w:rPr>
              <w:t>Options cancelled</w:t>
            </w:r>
          </w:p>
        </w:tc>
        <w:tc>
          <w:tcPr>
            <w:tcW w:w="620" w:type="dxa"/>
            <w:vAlign w:val="bottom"/>
          </w:tcPr>
          <w:p>
            <w:pPr>
              <w:jc w:val="center"/>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(23,435)</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23,435</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3240" w:type="dxa"/>
            <w:vAlign w:val="bottom"/>
          </w:tcPr>
          <w:p>
            <w:pPr>
              <w:ind w:left="100"/>
              <w:spacing w:after="0"/>
              <w:rPr>
                <w:sz w:val="20"/>
                <w:szCs w:val="20"/>
                <w:color w:val="auto"/>
              </w:rPr>
            </w:pPr>
            <w:r>
              <w:rPr>
                <w:rFonts w:ascii="Arial" w:cs="Arial" w:eastAsia="Arial" w:hAnsi="Arial"/>
                <w:sz w:val="14"/>
                <w:szCs w:val="14"/>
                <w:color w:val="auto"/>
              </w:rPr>
              <w:t>Share-based compensation</w:t>
            </w:r>
          </w:p>
        </w:tc>
        <w:tc>
          <w:tcPr>
            <w:tcW w:w="620" w:type="dxa"/>
            <w:vAlign w:val="bottom"/>
          </w:tcPr>
          <w:p>
            <w:pPr>
              <w:jc w:val="center"/>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8"/>
              <w:spacing w:after="0"/>
              <w:rPr>
                <w:sz w:val="20"/>
                <w:szCs w:val="20"/>
                <w:color w:val="auto"/>
              </w:rPr>
            </w:pPr>
            <w:r>
              <w:rPr>
                <w:rFonts w:ascii="Arial" w:cs="Arial" w:eastAsia="Arial" w:hAnsi="Arial"/>
                <w:sz w:val="14"/>
                <w:szCs w:val="14"/>
                <w:color w:val="auto"/>
              </w:rPr>
              <w:t>1,433</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26,001</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27,434</w:t>
            </w:r>
          </w:p>
        </w:tc>
        <w:tc>
          <w:tcPr>
            <w:tcW w:w="0" w:type="dxa"/>
            <w:vAlign w:val="bottom"/>
          </w:tcPr>
          <w:p>
            <w:pPr>
              <w:spacing w:after="0"/>
              <w:rPr>
                <w:sz w:val="1"/>
                <w:szCs w:val="1"/>
                <w:color w:val="auto"/>
              </w:rPr>
            </w:pPr>
          </w:p>
        </w:tc>
      </w:tr>
      <w:tr>
        <w:trPr>
          <w:trHeight w:val="151"/>
        </w:trPr>
        <w:tc>
          <w:tcPr>
            <w:tcW w:w="3240" w:type="dxa"/>
            <w:vAlign w:val="bottom"/>
          </w:tcPr>
          <w:p>
            <w:pPr>
              <w:ind w:left="80"/>
              <w:spacing w:after="0" w:line="151" w:lineRule="exact"/>
              <w:rPr>
                <w:sz w:val="20"/>
                <w:szCs w:val="20"/>
                <w:color w:val="auto"/>
              </w:rPr>
            </w:pPr>
            <w:r>
              <w:rPr>
                <w:rFonts w:ascii="Arial" w:cs="Arial" w:eastAsia="Arial" w:hAnsi="Arial"/>
                <w:sz w:val="14"/>
                <w:szCs w:val="14"/>
                <w:color w:val="auto"/>
              </w:rPr>
              <w:t>Unrealized loss on translation of foreign</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color w:val="auto"/>
              </w:rPr>
              <w:t>(888)</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(888)</w:t>
            </w:r>
          </w:p>
        </w:tc>
        <w:tc>
          <w:tcPr>
            <w:tcW w:w="0" w:type="dxa"/>
            <w:vAlign w:val="bottom"/>
          </w:tcPr>
          <w:p>
            <w:pPr>
              <w:spacing w:after="0"/>
              <w:rPr>
                <w:sz w:val="1"/>
                <w:szCs w:val="1"/>
                <w:color w:val="auto"/>
              </w:rPr>
            </w:pPr>
          </w:p>
        </w:tc>
      </w:tr>
      <w:tr>
        <w:trPr>
          <w:trHeight w:val="190"/>
        </w:trPr>
        <w:tc>
          <w:tcPr>
            <w:tcW w:w="3240" w:type="dxa"/>
            <w:vAlign w:val="bottom"/>
          </w:tcPr>
          <w:p>
            <w:pPr>
              <w:ind w:left="80"/>
              <w:spacing w:after="0"/>
              <w:rPr>
                <w:sz w:val="20"/>
                <w:szCs w:val="20"/>
                <w:color w:val="auto"/>
              </w:rPr>
            </w:pPr>
            <w:r>
              <w:rPr>
                <w:rFonts w:ascii="Arial" w:cs="Arial" w:eastAsia="Arial" w:hAnsi="Arial"/>
                <w:sz w:val="14"/>
                <w:szCs w:val="14"/>
                <w:color w:val="auto"/>
              </w:rPr>
              <w:t>operations</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Net loss for the period</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(52,761)</w:t>
            </w: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(52,761)</w:t>
            </w:r>
          </w:p>
        </w:tc>
        <w:tc>
          <w:tcPr>
            <w:tcW w:w="0" w:type="dxa"/>
            <w:vAlign w:val="bottom"/>
          </w:tcPr>
          <w:p>
            <w:pPr>
              <w:spacing w:after="0"/>
              <w:rPr>
                <w:sz w:val="1"/>
                <w:szCs w:val="1"/>
                <w:color w:val="auto"/>
              </w:rPr>
            </w:pPr>
          </w:p>
        </w:tc>
      </w:tr>
      <w:tr>
        <w:trPr>
          <w:trHeight w:val="196"/>
        </w:trPr>
        <w:tc>
          <w:tcPr>
            <w:tcW w:w="3240" w:type="dxa"/>
            <w:vAlign w:val="bottom"/>
            <w:tcBorders>
              <w:bottom w:val="single" w:sz="8" w:color="auto"/>
            </w:tcBorders>
            <w:shd w:val="clear" w:color="auto" w:fill="DBDBDB"/>
          </w:tcPr>
          <w:p>
            <w:pPr>
              <w:ind w:left="80"/>
              <w:spacing w:after="0"/>
              <w:rPr>
                <w:sz w:val="20"/>
                <w:szCs w:val="20"/>
                <w:color w:val="auto"/>
              </w:rPr>
            </w:pPr>
            <w:r>
              <w:rPr>
                <w:rFonts w:ascii="Arial" w:cs="Arial" w:eastAsia="Arial" w:hAnsi="Arial"/>
                <w:sz w:val="14"/>
                <w:szCs w:val="14"/>
                <w:b w:val="1"/>
                <w:bCs w:val="1"/>
                <w:color w:val="auto"/>
              </w:rPr>
              <w:t>Balance as at September 30, 2024</w:t>
            </w:r>
          </w:p>
        </w:tc>
        <w:tc>
          <w:tcPr>
            <w:tcW w:w="62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gridSpan w:val="2"/>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20,001,406</w:t>
            </w: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330,686</w:t>
            </w:r>
          </w:p>
        </w:tc>
        <w:tc>
          <w:tcPr>
            <w:tcW w:w="980" w:type="dxa"/>
            <w:vAlign w:val="bottom"/>
            <w:tcBorders>
              <w:bottom w:val="single" w:sz="8" w:color="auto"/>
            </w:tcBorders>
            <w:gridSpan w:val="2"/>
            <w:shd w:val="clear" w:color="auto" w:fill="DBDBDB"/>
          </w:tcPr>
          <w:p>
            <w:pPr>
              <w:jc w:val="right"/>
              <w:ind w:right="48"/>
              <w:spacing w:after="0"/>
              <w:rPr>
                <w:sz w:val="20"/>
                <w:szCs w:val="20"/>
                <w:color w:val="auto"/>
              </w:rPr>
            </w:pPr>
            <w:r>
              <w:rPr>
                <w:rFonts w:ascii="Arial" w:cs="Arial" w:eastAsia="Arial" w:hAnsi="Arial"/>
                <w:sz w:val="14"/>
                <w:szCs w:val="14"/>
                <w:b w:val="1"/>
                <w:bCs w:val="1"/>
                <w:color w:val="auto"/>
              </w:rPr>
              <w:t>20,493</w:t>
            </w:r>
          </w:p>
        </w:tc>
        <w:tc>
          <w:tcPr>
            <w:tcW w:w="8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32,849</w:t>
            </w:r>
          </w:p>
        </w:tc>
        <w:tc>
          <w:tcPr>
            <w:tcW w:w="8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32,191</w:t>
            </w:r>
          </w:p>
        </w:tc>
        <w:tc>
          <w:tcPr>
            <w:tcW w:w="92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4"/>
                <w:szCs w:val="14"/>
                <w:b w:val="1"/>
                <w:bCs w:val="1"/>
                <w:color w:val="auto"/>
              </w:rPr>
              <w:t>(226,547)</w:t>
            </w:r>
          </w:p>
        </w:tc>
        <w:tc>
          <w:tcPr>
            <w:tcW w:w="118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4"/>
                <w:szCs w:val="14"/>
                <w:b w:val="1"/>
                <w:bCs w:val="1"/>
                <w:color w:val="auto"/>
              </w:rPr>
              <w:t>(756)</w:t>
            </w:r>
          </w:p>
        </w:tc>
        <w:tc>
          <w:tcPr>
            <w:tcW w:w="96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4"/>
                <w:szCs w:val="14"/>
                <w:b w:val="1"/>
                <w:bCs w:val="1"/>
                <w:color w:val="auto"/>
              </w:rPr>
              <w:t>188,916</w:t>
            </w:r>
          </w:p>
        </w:tc>
        <w:tc>
          <w:tcPr>
            <w:tcW w:w="0" w:type="dxa"/>
            <w:vAlign w:val="bottom"/>
          </w:tcPr>
          <w:p>
            <w:pPr>
              <w:spacing w:after="0"/>
              <w:rPr>
                <w:sz w:val="1"/>
                <w:szCs w:val="1"/>
                <w:color w:val="auto"/>
              </w:rPr>
            </w:pPr>
          </w:p>
        </w:tc>
      </w:tr>
      <w:tr>
        <w:trPr>
          <w:trHeight w:val="89"/>
        </w:trPr>
        <w:tc>
          <w:tcPr>
            <w:tcW w:w="32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3240" w:type="dxa"/>
            <w:vAlign w:val="bottom"/>
            <w:shd w:val="clear" w:color="auto" w:fill="D9D9D9"/>
          </w:tcPr>
          <w:p>
            <w:pPr>
              <w:ind w:left="80"/>
              <w:spacing w:after="0" w:line="142" w:lineRule="exact"/>
              <w:rPr>
                <w:sz w:val="20"/>
                <w:szCs w:val="20"/>
                <w:color w:val="auto"/>
              </w:rPr>
            </w:pPr>
            <w:r>
              <w:rPr>
                <w:rFonts w:ascii="Arial" w:cs="Arial" w:eastAsia="Arial" w:hAnsi="Arial"/>
                <w:sz w:val="14"/>
                <w:szCs w:val="14"/>
                <w:b w:val="1"/>
                <w:bCs w:val="1"/>
                <w:color w:val="auto"/>
              </w:rPr>
              <w:t xml:space="preserve">Balance as at March 31,2025 - </w:t>
            </w:r>
            <w:r>
              <w:rPr>
                <w:rFonts w:ascii="Arial" w:cs="Arial" w:eastAsia="Arial" w:hAnsi="Arial"/>
                <w:sz w:val="14"/>
                <w:szCs w:val="14"/>
                <w:b w:val="1"/>
                <w:bCs w:val="1"/>
                <w:i w:val="1"/>
                <w:iCs w:val="1"/>
                <w:color w:val="auto"/>
              </w:rPr>
              <w:t>Restated - Note</w:t>
            </w:r>
          </w:p>
        </w:tc>
        <w:tc>
          <w:tcPr>
            <w:tcW w:w="620" w:type="dxa"/>
            <w:vAlign w:val="bottom"/>
            <w:shd w:val="clear" w:color="auto" w:fill="D9D9D9"/>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20" w:type="dxa"/>
            <w:vAlign w:val="bottom"/>
            <w:vMerge w:val="restart"/>
            <w:shd w:val="clear" w:color="auto" w:fill="D9D9D9"/>
          </w:tcPr>
          <w:p>
            <w:pPr>
              <w:jc w:val="right"/>
              <w:ind w:right="8"/>
              <w:spacing w:after="0"/>
              <w:rPr>
                <w:sz w:val="20"/>
                <w:szCs w:val="20"/>
                <w:color w:val="auto"/>
              </w:rPr>
            </w:pPr>
            <w:r>
              <w:rPr>
                <w:rFonts w:ascii="Arial" w:cs="Arial" w:eastAsia="Arial" w:hAnsi="Arial"/>
                <w:sz w:val="14"/>
                <w:szCs w:val="14"/>
                <w:b w:val="1"/>
                <w:bCs w:val="1"/>
                <w:color w:val="auto"/>
              </w:rPr>
              <w:t>21,610,704</w:t>
            </w:r>
          </w:p>
        </w:tc>
        <w:tc>
          <w:tcPr>
            <w:tcW w:w="760" w:type="dxa"/>
            <w:vAlign w:val="bottom"/>
            <w:vMerge w:val="restart"/>
            <w:shd w:val="clear" w:color="auto" w:fill="DBDBDB"/>
          </w:tcPr>
          <w:p>
            <w:pPr>
              <w:jc w:val="right"/>
              <w:spacing w:after="0"/>
              <w:rPr>
                <w:sz w:val="20"/>
                <w:szCs w:val="20"/>
                <w:color w:val="auto"/>
              </w:rPr>
            </w:pPr>
            <w:r>
              <w:rPr>
                <w:rFonts w:ascii="Arial" w:cs="Arial" w:eastAsia="Arial" w:hAnsi="Arial"/>
                <w:sz w:val="14"/>
                <w:szCs w:val="14"/>
                <w:b w:val="1"/>
                <w:bCs w:val="1"/>
                <w:color w:val="auto"/>
              </w:rPr>
              <w:t>344,949</w:t>
            </w:r>
          </w:p>
        </w:tc>
        <w:tc>
          <w:tcPr>
            <w:tcW w:w="980" w:type="dxa"/>
            <w:vAlign w:val="bottom"/>
            <w:gridSpan w:val="2"/>
            <w:vMerge w:val="restart"/>
            <w:shd w:val="clear" w:color="auto" w:fill="DBDBDB"/>
          </w:tcPr>
          <w:p>
            <w:pPr>
              <w:jc w:val="right"/>
              <w:ind w:right="48"/>
              <w:spacing w:after="0"/>
              <w:rPr>
                <w:sz w:val="20"/>
                <w:szCs w:val="20"/>
                <w:color w:val="auto"/>
              </w:rPr>
            </w:pPr>
            <w:r>
              <w:rPr>
                <w:rFonts w:ascii="Arial" w:cs="Arial" w:eastAsia="Arial" w:hAnsi="Arial"/>
                <w:sz w:val="14"/>
                <w:szCs w:val="14"/>
                <w:b w:val="1"/>
                <w:bCs w:val="1"/>
                <w:color w:val="auto"/>
              </w:rPr>
              <w:t>20,493</w:t>
            </w:r>
          </w:p>
        </w:tc>
        <w:tc>
          <w:tcPr>
            <w:tcW w:w="80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36,262</w:t>
            </w:r>
          </w:p>
        </w:tc>
        <w:tc>
          <w:tcPr>
            <w:tcW w:w="86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32,626</w:t>
            </w:r>
          </w:p>
        </w:tc>
        <w:tc>
          <w:tcPr>
            <w:tcW w:w="920" w:type="dxa"/>
            <w:vAlign w:val="bottom"/>
            <w:gridSpan w:val="2"/>
            <w:vMerge w:val="restart"/>
            <w:shd w:val="clear" w:color="auto" w:fill="DBDBDB"/>
          </w:tcPr>
          <w:p>
            <w:pPr>
              <w:jc w:val="right"/>
              <w:spacing w:after="0"/>
              <w:rPr>
                <w:sz w:val="20"/>
                <w:szCs w:val="20"/>
                <w:color w:val="auto"/>
              </w:rPr>
            </w:pPr>
            <w:r>
              <w:rPr>
                <w:rFonts w:ascii="Arial" w:cs="Arial" w:eastAsia="Arial" w:hAnsi="Arial"/>
                <w:sz w:val="14"/>
                <w:szCs w:val="14"/>
                <w:b w:val="1"/>
                <w:bCs w:val="1"/>
                <w:color w:val="auto"/>
              </w:rPr>
              <w:t>(255,393)</w:t>
            </w:r>
          </w:p>
        </w:tc>
        <w:tc>
          <w:tcPr>
            <w:tcW w:w="1180" w:type="dxa"/>
            <w:vAlign w:val="bottom"/>
            <w:gridSpan w:val="2"/>
            <w:vMerge w:val="restart"/>
            <w:shd w:val="clear" w:color="auto" w:fill="DBDBDB"/>
          </w:tcPr>
          <w:p>
            <w:pPr>
              <w:jc w:val="right"/>
              <w:spacing w:after="0"/>
              <w:rPr>
                <w:sz w:val="20"/>
                <w:szCs w:val="20"/>
                <w:color w:val="auto"/>
              </w:rPr>
            </w:pPr>
            <w:r>
              <w:rPr>
                <w:rFonts w:ascii="Arial" w:cs="Arial" w:eastAsia="Arial" w:hAnsi="Arial"/>
                <w:sz w:val="14"/>
                <w:szCs w:val="14"/>
                <w:b w:val="1"/>
                <w:bCs w:val="1"/>
                <w:color w:val="auto"/>
              </w:rPr>
              <w:t>(13,940)</w:t>
            </w:r>
          </w:p>
        </w:tc>
        <w:tc>
          <w:tcPr>
            <w:tcW w:w="80" w:type="dxa"/>
            <w:vAlign w:val="bottom"/>
            <w:shd w:val="clear" w:color="auto" w:fill="D9D9D9"/>
          </w:tcPr>
          <w:p>
            <w:pPr>
              <w:spacing w:after="0"/>
              <w:rPr>
                <w:sz w:val="12"/>
                <w:szCs w:val="12"/>
                <w:color w:val="auto"/>
              </w:rPr>
            </w:pP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4"/>
                <w:szCs w:val="14"/>
                <w:b w:val="1"/>
                <w:bCs w:val="1"/>
                <w:color w:val="auto"/>
              </w:rPr>
              <w:t>164,997</w:t>
            </w:r>
          </w:p>
        </w:tc>
        <w:tc>
          <w:tcPr>
            <w:tcW w:w="0" w:type="dxa"/>
            <w:vAlign w:val="bottom"/>
          </w:tcPr>
          <w:p>
            <w:pPr>
              <w:spacing w:after="0"/>
              <w:rPr>
                <w:sz w:val="1"/>
                <w:szCs w:val="1"/>
                <w:color w:val="auto"/>
              </w:rPr>
            </w:pPr>
          </w:p>
        </w:tc>
      </w:tr>
      <w:tr>
        <w:trPr>
          <w:trHeight w:val="119"/>
        </w:trPr>
        <w:tc>
          <w:tcPr>
            <w:tcW w:w="3240" w:type="dxa"/>
            <w:vAlign w:val="bottom"/>
            <w:vMerge w:val="restart"/>
            <w:shd w:val="clear" w:color="auto" w:fill="D9D9D9"/>
          </w:tcPr>
          <w:p>
            <w:pPr>
              <w:ind w:left="80"/>
              <w:spacing w:after="0"/>
              <w:rPr>
                <w:sz w:val="20"/>
                <w:szCs w:val="20"/>
                <w:color w:val="auto"/>
              </w:rPr>
            </w:pPr>
            <w:r>
              <w:rPr>
                <w:rFonts w:ascii="Arial" w:cs="Arial" w:eastAsia="Arial" w:hAnsi="Arial"/>
                <w:sz w:val="14"/>
                <w:szCs w:val="14"/>
                <w:b w:val="1"/>
                <w:bCs w:val="1"/>
                <w:i w:val="1"/>
                <w:iCs w:val="1"/>
                <w:color w:val="auto"/>
              </w:rPr>
              <w:t>2</w:t>
            </w:r>
          </w:p>
        </w:tc>
        <w:tc>
          <w:tcPr>
            <w:tcW w:w="620" w:type="dxa"/>
            <w:vAlign w:val="bottom"/>
            <w:shd w:val="clear" w:color="auto" w:fill="D9D9D9"/>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820" w:type="dxa"/>
            <w:vAlign w:val="bottom"/>
            <w:vMerge w:val="continue"/>
            <w:shd w:val="clear" w:color="auto" w:fill="D9D9D9"/>
          </w:tcPr>
          <w:p>
            <w:pPr>
              <w:spacing w:after="0"/>
              <w:rPr>
                <w:sz w:val="10"/>
                <w:szCs w:val="10"/>
                <w:color w:val="auto"/>
              </w:rPr>
            </w:pPr>
          </w:p>
        </w:tc>
        <w:tc>
          <w:tcPr>
            <w:tcW w:w="760" w:type="dxa"/>
            <w:vAlign w:val="bottom"/>
            <w:vMerge w:val="continue"/>
            <w:shd w:val="clear" w:color="auto" w:fill="DBDBDB"/>
          </w:tcPr>
          <w:p>
            <w:pPr>
              <w:spacing w:after="0"/>
              <w:rPr>
                <w:sz w:val="10"/>
                <w:szCs w:val="10"/>
                <w:color w:val="auto"/>
              </w:rPr>
            </w:pPr>
          </w:p>
        </w:tc>
        <w:tc>
          <w:tcPr>
            <w:tcW w:w="980" w:type="dxa"/>
            <w:vAlign w:val="bottom"/>
            <w:gridSpan w:val="2"/>
            <w:vMerge w:val="continue"/>
            <w:shd w:val="clear" w:color="auto" w:fill="DBDBDB"/>
          </w:tcPr>
          <w:p>
            <w:pPr>
              <w:spacing w:after="0"/>
              <w:rPr>
                <w:sz w:val="10"/>
                <w:szCs w:val="10"/>
                <w:color w:val="auto"/>
              </w:rPr>
            </w:pPr>
          </w:p>
        </w:tc>
        <w:tc>
          <w:tcPr>
            <w:tcW w:w="800" w:type="dxa"/>
            <w:vAlign w:val="bottom"/>
            <w:vMerge w:val="continue"/>
            <w:shd w:val="clear" w:color="auto" w:fill="DBDBDB"/>
          </w:tcPr>
          <w:p>
            <w:pPr>
              <w:spacing w:after="0"/>
              <w:rPr>
                <w:sz w:val="10"/>
                <w:szCs w:val="10"/>
                <w:color w:val="auto"/>
              </w:rPr>
            </w:pPr>
          </w:p>
        </w:tc>
        <w:tc>
          <w:tcPr>
            <w:tcW w:w="860" w:type="dxa"/>
            <w:vAlign w:val="bottom"/>
            <w:vMerge w:val="continue"/>
            <w:shd w:val="clear" w:color="auto" w:fill="DBDBDB"/>
          </w:tcPr>
          <w:p>
            <w:pPr>
              <w:spacing w:after="0"/>
              <w:rPr>
                <w:sz w:val="10"/>
                <w:szCs w:val="10"/>
                <w:color w:val="auto"/>
              </w:rPr>
            </w:pPr>
          </w:p>
        </w:tc>
        <w:tc>
          <w:tcPr>
            <w:tcW w:w="920" w:type="dxa"/>
            <w:vAlign w:val="bottom"/>
            <w:gridSpan w:val="2"/>
            <w:vMerge w:val="continue"/>
            <w:shd w:val="clear" w:color="auto" w:fill="DBDBDB"/>
          </w:tcPr>
          <w:p>
            <w:pPr>
              <w:spacing w:after="0"/>
              <w:rPr>
                <w:sz w:val="10"/>
                <w:szCs w:val="10"/>
                <w:color w:val="auto"/>
              </w:rPr>
            </w:pPr>
          </w:p>
        </w:tc>
        <w:tc>
          <w:tcPr>
            <w:tcW w:w="1180" w:type="dxa"/>
            <w:vAlign w:val="bottom"/>
            <w:gridSpan w:val="2"/>
            <w:vMerge w:val="continue"/>
            <w:shd w:val="clear" w:color="auto" w:fill="DBDBDB"/>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880" w:type="dxa"/>
            <w:vAlign w:val="bottom"/>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3240" w:type="dxa"/>
            <w:vAlign w:val="bottom"/>
            <w:tcBorders>
              <w:bottom w:val="single" w:sz="8" w:color="auto"/>
            </w:tcBorders>
            <w:vMerge w:val="continue"/>
            <w:shd w:val="clear" w:color="auto" w:fill="D9D9D9"/>
          </w:tcPr>
          <w:p>
            <w:pPr>
              <w:spacing w:after="0"/>
              <w:rPr>
                <w:sz w:val="6"/>
                <w:szCs w:val="6"/>
                <w:color w:val="auto"/>
              </w:rPr>
            </w:pPr>
          </w:p>
        </w:tc>
        <w:tc>
          <w:tcPr>
            <w:tcW w:w="620" w:type="dxa"/>
            <w:vAlign w:val="bottom"/>
            <w:tcBorders>
              <w:bottom w:val="single" w:sz="8" w:color="auto"/>
            </w:tcBorders>
            <w:shd w:val="clear" w:color="auto" w:fill="D9D9D9"/>
          </w:tcPr>
          <w:p>
            <w:pPr>
              <w:spacing w:after="0"/>
              <w:rPr>
                <w:sz w:val="6"/>
                <w:szCs w:val="6"/>
                <w:color w:val="auto"/>
              </w:rPr>
            </w:pPr>
          </w:p>
        </w:tc>
        <w:tc>
          <w:tcPr>
            <w:tcW w:w="100" w:type="dxa"/>
            <w:vAlign w:val="bottom"/>
            <w:tcBorders>
              <w:bottom w:val="single" w:sz="8" w:color="auto"/>
            </w:tcBorders>
            <w:shd w:val="clear" w:color="auto" w:fill="DBDBDB"/>
          </w:tcPr>
          <w:p>
            <w:pPr>
              <w:spacing w:after="0"/>
              <w:rPr>
                <w:sz w:val="6"/>
                <w:szCs w:val="6"/>
                <w:color w:val="auto"/>
              </w:rPr>
            </w:pPr>
          </w:p>
        </w:tc>
        <w:tc>
          <w:tcPr>
            <w:tcW w:w="820" w:type="dxa"/>
            <w:vAlign w:val="bottom"/>
            <w:tcBorders>
              <w:bottom w:val="single" w:sz="8" w:color="auto"/>
            </w:tcBorders>
            <w:shd w:val="clear" w:color="auto" w:fill="D9D9D9"/>
          </w:tcPr>
          <w:p>
            <w:pPr>
              <w:spacing w:after="0"/>
              <w:rPr>
                <w:sz w:val="6"/>
                <w:szCs w:val="6"/>
                <w:color w:val="auto"/>
              </w:rPr>
            </w:pPr>
          </w:p>
        </w:tc>
        <w:tc>
          <w:tcPr>
            <w:tcW w:w="760" w:type="dxa"/>
            <w:vAlign w:val="bottom"/>
            <w:tcBorders>
              <w:bottom w:val="single" w:sz="8" w:color="auto"/>
            </w:tcBorders>
            <w:vMerge w:val="continue"/>
            <w:shd w:val="clear" w:color="auto" w:fill="DBDBDB"/>
          </w:tcPr>
          <w:p>
            <w:pPr>
              <w:spacing w:after="0"/>
              <w:rPr>
                <w:sz w:val="6"/>
                <w:szCs w:val="6"/>
                <w:color w:val="auto"/>
              </w:rPr>
            </w:pPr>
          </w:p>
        </w:tc>
        <w:tc>
          <w:tcPr>
            <w:tcW w:w="980" w:type="dxa"/>
            <w:vAlign w:val="bottom"/>
            <w:tcBorders>
              <w:bottom w:val="single" w:sz="8" w:color="auto"/>
            </w:tcBorders>
            <w:gridSpan w:val="2"/>
            <w:vMerge w:val="continue"/>
            <w:shd w:val="clear" w:color="auto" w:fill="DBDBDB"/>
          </w:tcPr>
          <w:p>
            <w:pPr>
              <w:spacing w:after="0"/>
              <w:rPr>
                <w:sz w:val="6"/>
                <w:szCs w:val="6"/>
                <w:color w:val="auto"/>
              </w:rPr>
            </w:pPr>
          </w:p>
        </w:tc>
        <w:tc>
          <w:tcPr>
            <w:tcW w:w="800" w:type="dxa"/>
            <w:vAlign w:val="bottom"/>
            <w:tcBorders>
              <w:bottom w:val="single" w:sz="8" w:color="auto"/>
            </w:tcBorders>
            <w:vMerge w:val="continue"/>
            <w:shd w:val="clear" w:color="auto" w:fill="DBDBDB"/>
          </w:tcPr>
          <w:p>
            <w:pPr>
              <w:spacing w:after="0"/>
              <w:rPr>
                <w:sz w:val="6"/>
                <w:szCs w:val="6"/>
                <w:color w:val="auto"/>
              </w:rPr>
            </w:pPr>
          </w:p>
        </w:tc>
        <w:tc>
          <w:tcPr>
            <w:tcW w:w="860" w:type="dxa"/>
            <w:vAlign w:val="bottom"/>
            <w:tcBorders>
              <w:bottom w:val="single" w:sz="8" w:color="auto"/>
            </w:tcBorders>
            <w:vMerge w:val="continue"/>
            <w:shd w:val="clear" w:color="auto" w:fill="DBDBDB"/>
          </w:tcPr>
          <w:p>
            <w:pPr>
              <w:spacing w:after="0"/>
              <w:rPr>
                <w:sz w:val="6"/>
                <w:szCs w:val="6"/>
                <w:color w:val="auto"/>
              </w:rPr>
            </w:pPr>
          </w:p>
        </w:tc>
        <w:tc>
          <w:tcPr>
            <w:tcW w:w="920" w:type="dxa"/>
            <w:vAlign w:val="bottom"/>
            <w:tcBorders>
              <w:bottom w:val="single" w:sz="8" w:color="auto"/>
            </w:tcBorders>
            <w:gridSpan w:val="2"/>
            <w:vMerge w:val="continue"/>
            <w:shd w:val="clear" w:color="auto" w:fill="DBDBDB"/>
          </w:tcPr>
          <w:p>
            <w:pPr>
              <w:spacing w:after="0"/>
              <w:rPr>
                <w:sz w:val="6"/>
                <w:szCs w:val="6"/>
                <w:color w:val="auto"/>
              </w:rPr>
            </w:pPr>
          </w:p>
        </w:tc>
        <w:tc>
          <w:tcPr>
            <w:tcW w:w="1180" w:type="dxa"/>
            <w:vAlign w:val="bottom"/>
            <w:tcBorders>
              <w:bottom w:val="single" w:sz="8" w:color="auto"/>
            </w:tcBorders>
            <w:gridSpan w:val="2"/>
            <w:vMerge w:val="continue"/>
            <w:shd w:val="clear" w:color="auto" w:fill="DBDBDB"/>
          </w:tcPr>
          <w:p>
            <w:pPr>
              <w:spacing w:after="0"/>
              <w:rPr>
                <w:sz w:val="6"/>
                <w:szCs w:val="6"/>
                <w:color w:val="auto"/>
              </w:rPr>
            </w:pPr>
          </w:p>
        </w:tc>
        <w:tc>
          <w:tcPr>
            <w:tcW w:w="80" w:type="dxa"/>
            <w:vAlign w:val="bottom"/>
            <w:tcBorders>
              <w:bottom w:val="single" w:sz="8" w:color="auto"/>
            </w:tcBorders>
            <w:shd w:val="clear" w:color="auto" w:fill="D9D9D9"/>
          </w:tcPr>
          <w:p>
            <w:pPr>
              <w:spacing w:after="0"/>
              <w:rPr>
                <w:sz w:val="6"/>
                <w:szCs w:val="6"/>
                <w:color w:val="auto"/>
              </w:rPr>
            </w:pPr>
          </w:p>
        </w:tc>
        <w:tc>
          <w:tcPr>
            <w:tcW w:w="880" w:type="dxa"/>
            <w:vAlign w:val="bottom"/>
            <w:tcBorders>
              <w:bottom w:val="single" w:sz="8" w:color="auto"/>
            </w:tcBorders>
            <w:vMerge w:val="continue"/>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3240" w:type="dxa"/>
            <w:vAlign w:val="bottom"/>
          </w:tcPr>
          <w:p>
            <w:pPr>
              <w:ind w:left="80"/>
              <w:spacing w:after="0" w:line="142" w:lineRule="exact"/>
              <w:rPr>
                <w:sz w:val="20"/>
                <w:szCs w:val="20"/>
                <w:color w:val="auto"/>
              </w:rPr>
            </w:pPr>
            <w:r>
              <w:rPr>
                <w:rFonts w:ascii="Arial" w:cs="Arial" w:eastAsia="Arial" w:hAnsi="Arial"/>
                <w:sz w:val="14"/>
                <w:szCs w:val="14"/>
                <w:color w:val="auto"/>
              </w:rPr>
              <w:t>Foreign exchange impact of change in functional</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3240" w:type="dxa"/>
            <w:vAlign w:val="bottom"/>
            <w:vMerge w:val="restart"/>
          </w:tcPr>
          <w:p>
            <w:pPr>
              <w:ind w:left="80"/>
              <w:spacing w:after="0"/>
              <w:rPr>
                <w:sz w:val="20"/>
                <w:szCs w:val="20"/>
                <w:color w:val="auto"/>
              </w:rPr>
            </w:pPr>
            <w:r>
              <w:rPr>
                <w:rFonts w:ascii="Arial" w:cs="Arial" w:eastAsia="Arial" w:hAnsi="Arial"/>
                <w:sz w:val="14"/>
                <w:szCs w:val="14"/>
                <w:color w:val="auto"/>
              </w:rPr>
              <w:t>currency</w:t>
            </w: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(21,936)</w:t>
            </w:r>
          </w:p>
        </w:tc>
        <w:tc>
          <w:tcPr>
            <w:tcW w:w="98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(1,299)</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(3,272)</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(1,731)</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13,856</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color w:val="auto"/>
              </w:rPr>
              <w:t>14,382</w:t>
            </w:r>
          </w:p>
        </w:tc>
        <w:tc>
          <w:tcPr>
            <w:tcW w:w="8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80"/>
        </w:trPr>
        <w:tc>
          <w:tcPr>
            <w:tcW w:w="32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80"/>
              <w:spacing w:after="0" w:line="145" w:lineRule="exact"/>
              <w:rPr>
                <w:sz w:val="20"/>
                <w:szCs w:val="20"/>
                <w:color w:val="auto"/>
              </w:rPr>
            </w:pPr>
            <w:r>
              <w:rPr>
                <w:rFonts w:ascii="Arial" w:cs="Arial" w:eastAsia="Arial" w:hAnsi="Arial"/>
                <w:sz w:val="14"/>
                <w:szCs w:val="14"/>
                <w:color w:val="auto"/>
              </w:rPr>
              <w:t>At-the-market offering - net of share issuance</w:t>
            </w:r>
          </w:p>
        </w:tc>
        <w:tc>
          <w:tcPr>
            <w:tcW w:w="620" w:type="dxa"/>
            <w:vAlign w:val="bottom"/>
          </w:tcPr>
          <w:p>
            <w:pPr>
              <w:spacing w:after="0"/>
              <w:rPr>
                <w:sz w:val="12"/>
                <w:szCs w:val="12"/>
                <w:color w:val="auto"/>
              </w:rPr>
            </w:pPr>
          </w:p>
        </w:tc>
        <w:tc>
          <w:tcPr>
            <w:tcW w:w="92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1,422,423</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3240" w:type="dxa"/>
            <w:vAlign w:val="bottom"/>
            <w:vMerge w:val="restart"/>
          </w:tcPr>
          <w:p>
            <w:pPr>
              <w:ind w:left="80"/>
              <w:spacing w:after="0"/>
              <w:rPr>
                <w:sz w:val="20"/>
                <w:szCs w:val="20"/>
                <w:color w:val="auto"/>
              </w:rPr>
            </w:pPr>
            <w:r>
              <w:rPr>
                <w:rFonts w:ascii="Arial" w:cs="Arial" w:eastAsia="Arial" w:hAnsi="Arial"/>
                <w:sz w:val="14"/>
                <w:szCs w:val="14"/>
                <w:color w:val="auto"/>
              </w:rPr>
              <w:t>costs</w:t>
            </w: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7</w:t>
            </w:r>
          </w:p>
        </w:tc>
        <w:tc>
          <w:tcPr>
            <w:tcW w:w="920" w:type="dxa"/>
            <w:vAlign w:val="bottom"/>
            <w:gridSpan w:val="2"/>
            <w:vMerge w:val="continue"/>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10,133</w:t>
            </w:r>
          </w:p>
        </w:tc>
        <w:tc>
          <w:tcPr>
            <w:tcW w:w="100" w:type="dxa"/>
            <w:vAlign w:val="bottom"/>
          </w:tcPr>
          <w:p>
            <w:pPr>
              <w:spacing w:after="0"/>
              <w:rPr>
                <w:sz w:val="9"/>
                <w:szCs w:val="9"/>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10,133</w:t>
            </w:r>
          </w:p>
        </w:tc>
        <w:tc>
          <w:tcPr>
            <w:tcW w:w="0" w:type="dxa"/>
            <w:vAlign w:val="bottom"/>
          </w:tcPr>
          <w:p>
            <w:pPr>
              <w:spacing w:after="0"/>
              <w:rPr>
                <w:sz w:val="1"/>
                <w:szCs w:val="1"/>
                <w:color w:val="auto"/>
              </w:rPr>
            </w:pPr>
          </w:p>
        </w:tc>
      </w:tr>
      <w:tr>
        <w:trPr>
          <w:trHeight w:val="80"/>
        </w:trPr>
        <w:tc>
          <w:tcPr>
            <w:tcW w:w="32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80"/>
              <w:spacing w:after="0" w:line="145" w:lineRule="exact"/>
              <w:rPr>
                <w:sz w:val="20"/>
                <w:szCs w:val="20"/>
                <w:color w:val="auto"/>
              </w:rPr>
            </w:pPr>
            <w:r>
              <w:rPr>
                <w:rFonts w:ascii="Arial" w:cs="Arial" w:eastAsia="Arial" w:hAnsi="Arial"/>
                <w:sz w:val="14"/>
                <w:szCs w:val="14"/>
                <w:color w:val="auto"/>
              </w:rPr>
              <w:t>Conversion of High Trail - net of share issuance</w:t>
            </w:r>
          </w:p>
        </w:tc>
        <w:tc>
          <w:tcPr>
            <w:tcW w:w="620" w:type="dxa"/>
            <w:vAlign w:val="bottom"/>
          </w:tcPr>
          <w:p>
            <w:pPr>
              <w:spacing w:after="0"/>
              <w:rPr>
                <w:sz w:val="12"/>
                <w:szCs w:val="12"/>
                <w:color w:val="auto"/>
              </w:rPr>
            </w:pPr>
          </w:p>
        </w:tc>
        <w:tc>
          <w:tcPr>
            <w:tcW w:w="92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3,069,555</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3240" w:type="dxa"/>
            <w:vAlign w:val="bottom"/>
            <w:vMerge w:val="restart"/>
          </w:tcPr>
          <w:p>
            <w:pPr>
              <w:ind w:left="80"/>
              <w:spacing w:after="0"/>
              <w:rPr>
                <w:sz w:val="20"/>
                <w:szCs w:val="20"/>
                <w:color w:val="auto"/>
              </w:rPr>
            </w:pPr>
            <w:r>
              <w:rPr>
                <w:rFonts w:ascii="Arial" w:cs="Arial" w:eastAsia="Arial" w:hAnsi="Arial"/>
                <w:sz w:val="14"/>
                <w:szCs w:val="14"/>
                <w:color w:val="auto"/>
              </w:rPr>
              <w:t>costs</w:t>
            </w: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6, 7</w:t>
            </w:r>
          </w:p>
        </w:tc>
        <w:tc>
          <w:tcPr>
            <w:tcW w:w="920" w:type="dxa"/>
            <w:vAlign w:val="bottom"/>
            <w:gridSpan w:val="2"/>
            <w:vMerge w:val="continue"/>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20,724</w:t>
            </w:r>
          </w:p>
        </w:tc>
        <w:tc>
          <w:tcPr>
            <w:tcW w:w="100" w:type="dxa"/>
            <w:vAlign w:val="bottom"/>
          </w:tcPr>
          <w:p>
            <w:pPr>
              <w:spacing w:after="0"/>
              <w:rPr>
                <w:sz w:val="9"/>
                <w:szCs w:val="9"/>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20,724</w:t>
            </w:r>
          </w:p>
        </w:tc>
        <w:tc>
          <w:tcPr>
            <w:tcW w:w="0" w:type="dxa"/>
            <w:vAlign w:val="bottom"/>
          </w:tcPr>
          <w:p>
            <w:pPr>
              <w:spacing w:after="0"/>
              <w:rPr>
                <w:sz w:val="1"/>
                <w:szCs w:val="1"/>
                <w:color w:val="auto"/>
              </w:rPr>
            </w:pPr>
          </w:p>
        </w:tc>
      </w:tr>
      <w:tr>
        <w:trPr>
          <w:trHeight w:val="80"/>
        </w:trPr>
        <w:tc>
          <w:tcPr>
            <w:tcW w:w="32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240" w:type="dxa"/>
            <w:vAlign w:val="bottom"/>
          </w:tcPr>
          <w:p>
            <w:pPr>
              <w:ind w:left="80"/>
              <w:spacing w:after="0"/>
              <w:rPr>
                <w:sz w:val="20"/>
                <w:szCs w:val="20"/>
                <w:color w:val="auto"/>
              </w:rPr>
            </w:pPr>
            <w:r>
              <w:rPr>
                <w:rFonts w:ascii="Arial" w:cs="Arial" w:eastAsia="Arial" w:hAnsi="Arial"/>
                <w:sz w:val="14"/>
                <w:szCs w:val="14"/>
                <w:color w:val="auto"/>
              </w:rPr>
              <w:t>Class B shares cancellation</w:t>
            </w:r>
          </w:p>
        </w:tc>
        <w:tc>
          <w:tcPr>
            <w:tcW w:w="620" w:type="dxa"/>
            <w:vAlign w:val="bottom"/>
          </w:tcPr>
          <w:p>
            <w:pPr>
              <w:jc w:val="center"/>
              <w:spacing w:after="0"/>
              <w:rPr>
                <w:sz w:val="20"/>
                <w:szCs w:val="20"/>
                <w:color w:val="auto"/>
              </w:rPr>
            </w:pPr>
            <w:r>
              <w:rPr>
                <w:rFonts w:ascii="Arial" w:cs="Arial" w:eastAsia="Arial" w:hAnsi="Arial"/>
                <w:sz w:val="14"/>
                <w:szCs w:val="14"/>
                <w:color w:val="auto"/>
              </w:rPr>
              <w:t>7</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(9,496)</w:t>
            </w:r>
          </w:p>
        </w:tc>
        <w:tc>
          <w:tcPr>
            <w:tcW w:w="760" w:type="dxa"/>
            <w:vAlign w:val="bottom"/>
          </w:tcPr>
          <w:p>
            <w:pPr>
              <w:jc w:val="right"/>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373</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3240" w:type="dxa"/>
            <w:vAlign w:val="bottom"/>
          </w:tcPr>
          <w:p>
            <w:pPr>
              <w:ind w:left="60"/>
              <w:spacing w:after="0"/>
              <w:rPr>
                <w:sz w:val="20"/>
                <w:szCs w:val="20"/>
                <w:color w:val="auto"/>
              </w:rPr>
            </w:pPr>
            <w:r>
              <w:rPr>
                <w:rFonts w:ascii="Arial" w:cs="Arial" w:eastAsia="Arial" w:hAnsi="Arial"/>
                <w:sz w:val="14"/>
                <w:szCs w:val="14"/>
                <w:color w:val="auto"/>
              </w:rPr>
              <w:t>Options exercised</w:t>
            </w:r>
          </w:p>
        </w:tc>
        <w:tc>
          <w:tcPr>
            <w:tcW w:w="620" w:type="dxa"/>
            <w:vAlign w:val="bottom"/>
          </w:tcPr>
          <w:p>
            <w:pPr>
              <w:jc w:val="center"/>
              <w:spacing w:after="0"/>
              <w:rPr>
                <w:sz w:val="20"/>
                <w:szCs w:val="20"/>
                <w:color w:val="auto"/>
              </w:rPr>
            </w:pPr>
            <w:r>
              <w:rPr>
                <w:rFonts w:ascii="Arial" w:cs="Arial" w:eastAsia="Arial" w:hAnsi="Arial"/>
                <w:sz w:val="14"/>
                <w:szCs w:val="14"/>
                <w:color w:val="auto"/>
              </w:rPr>
              <w:t>7</w:t>
            </w:r>
          </w:p>
        </w:tc>
        <w:tc>
          <w:tcPr>
            <w:tcW w:w="920" w:type="dxa"/>
            <w:vAlign w:val="bottom"/>
            <w:gridSpan w:val="2"/>
          </w:tcPr>
          <w:p>
            <w:pPr>
              <w:jc w:val="right"/>
              <w:ind w:right="8"/>
              <w:spacing w:after="0"/>
              <w:rPr>
                <w:sz w:val="20"/>
                <w:szCs w:val="20"/>
                <w:color w:val="auto"/>
              </w:rPr>
            </w:pPr>
            <w:r>
              <w:rPr>
                <w:rFonts w:ascii="Arial" w:cs="Arial" w:eastAsia="Arial" w:hAnsi="Arial"/>
                <w:sz w:val="14"/>
                <w:szCs w:val="14"/>
                <w:color w:val="auto"/>
              </w:rPr>
              <w:t>7,894</w:t>
            </w:r>
          </w:p>
        </w:tc>
        <w:tc>
          <w:tcPr>
            <w:tcW w:w="76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(37)</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53</w:t>
            </w:r>
          </w:p>
        </w:tc>
        <w:tc>
          <w:tcPr>
            <w:tcW w:w="0" w:type="dxa"/>
            <w:vAlign w:val="bottom"/>
          </w:tcPr>
          <w:p>
            <w:pPr>
              <w:spacing w:after="0"/>
              <w:rPr>
                <w:sz w:val="1"/>
                <w:szCs w:val="1"/>
                <w:color w:val="auto"/>
              </w:rPr>
            </w:pPr>
          </w:p>
        </w:tc>
      </w:tr>
      <w:tr>
        <w:trPr>
          <w:trHeight w:val="203"/>
        </w:trPr>
        <w:tc>
          <w:tcPr>
            <w:tcW w:w="3240" w:type="dxa"/>
            <w:vAlign w:val="bottom"/>
          </w:tcPr>
          <w:p>
            <w:pPr>
              <w:ind w:left="60"/>
              <w:spacing w:after="0"/>
              <w:rPr>
                <w:sz w:val="20"/>
                <w:szCs w:val="20"/>
                <w:color w:val="auto"/>
              </w:rPr>
            </w:pPr>
            <w:r>
              <w:rPr>
                <w:rFonts w:ascii="Arial" w:cs="Arial" w:eastAsia="Arial" w:hAnsi="Arial"/>
                <w:sz w:val="14"/>
                <w:szCs w:val="14"/>
                <w:color w:val="auto"/>
              </w:rPr>
              <w:t>Options forfeited/expired</w:t>
            </w:r>
          </w:p>
        </w:tc>
        <w:tc>
          <w:tcPr>
            <w:tcW w:w="620" w:type="dxa"/>
            <w:vAlign w:val="bottom"/>
          </w:tcPr>
          <w:p>
            <w:pPr>
              <w:jc w:val="center"/>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(885)</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885</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3240" w:type="dxa"/>
            <w:vAlign w:val="bottom"/>
          </w:tcPr>
          <w:p>
            <w:pPr>
              <w:ind w:left="60"/>
              <w:spacing w:after="0"/>
              <w:rPr>
                <w:sz w:val="20"/>
                <w:szCs w:val="20"/>
                <w:color w:val="auto"/>
              </w:rPr>
            </w:pPr>
            <w:r>
              <w:rPr>
                <w:rFonts w:ascii="Arial" w:cs="Arial" w:eastAsia="Arial" w:hAnsi="Arial"/>
                <w:sz w:val="14"/>
                <w:szCs w:val="14"/>
                <w:color w:val="auto"/>
              </w:rPr>
              <w:t>Share-based compensation</w:t>
            </w:r>
          </w:p>
        </w:tc>
        <w:tc>
          <w:tcPr>
            <w:tcW w:w="620" w:type="dxa"/>
            <w:vAlign w:val="bottom"/>
          </w:tcPr>
          <w:p>
            <w:pPr>
              <w:jc w:val="center"/>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1,130</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1,130</w:t>
            </w:r>
          </w:p>
        </w:tc>
        <w:tc>
          <w:tcPr>
            <w:tcW w:w="0" w:type="dxa"/>
            <w:vAlign w:val="bottom"/>
          </w:tcPr>
          <w:p>
            <w:pPr>
              <w:spacing w:after="0"/>
              <w:rPr>
                <w:sz w:val="1"/>
                <w:szCs w:val="1"/>
                <w:color w:val="auto"/>
              </w:rPr>
            </w:pPr>
          </w:p>
        </w:tc>
      </w:tr>
      <w:tr>
        <w:trPr>
          <w:trHeight w:val="150"/>
        </w:trPr>
        <w:tc>
          <w:tcPr>
            <w:tcW w:w="3240" w:type="dxa"/>
            <w:vAlign w:val="bottom"/>
          </w:tcPr>
          <w:p>
            <w:pPr>
              <w:ind w:left="60"/>
              <w:spacing w:after="0" w:line="151" w:lineRule="exact"/>
              <w:rPr>
                <w:sz w:val="20"/>
                <w:szCs w:val="20"/>
                <w:color w:val="auto"/>
              </w:rPr>
            </w:pPr>
            <w:r>
              <w:rPr>
                <w:rFonts w:ascii="Arial" w:cs="Arial" w:eastAsia="Arial" w:hAnsi="Arial"/>
                <w:sz w:val="14"/>
                <w:szCs w:val="14"/>
                <w:color w:val="auto"/>
              </w:rPr>
              <w:t>Unrealized gain on translation of foreign</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color w:val="auto"/>
              </w:rPr>
              <w:t>294</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3240" w:type="dxa"/>
            <w:vAlign w:val="bottom"/>
            <w:vMerge w:val="restart"/>
          </w:tcPr>
          <w:p>
            <w:pPr>
              <w:ind w:left="20"/>
              <w:spacing w:after="0"/>
              <w:rPr>
                <w:sz w:val="20"/>
                <w:szCs w:val="20"/>
                <w:color w:val="auto"/>
              </w:rPr>
            </w:pPr>
            <w:r>
              <w:rPr>
                <w:rFonts w:ascii="Arial" w:cs="Arial" w:eastAsia="Arial" w:hAnsi="Arial"/>
                <w:sz w:val="14"/>
                <w:szCs w:val="14"/>
                <w:color w:val="auto"/>
              </w:rPr>
              <w:t>operations</w:t>
            </w: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9"/>
                <w:szCs w:val="9"/>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9"/>
                <w:szCs w:val="9"/>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vMerge w:val="continue"/>
          </w:tcPr>
          <w:p>
            <w:pPr>
              <w:spacing w:after="0"/>
              <w:rPr>
                <w:sz w:val="9"/>
                <w:szCs w:val="9"/>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294</w:t>
            </w:r>
          </w:p>
        </w:tc>
        <w:tc>
          <w:tcPr>
            <w:tcW w:w="0" w:type="dxa"/>
            <w:vAlign w:val="bottom"/>
          </w:tcPr>
          <w:p>
            <w:pPr>
              <w:spacing w:after="0"/>
              <w:rPr>
                <w:sz w:val="1"/>
                <w:szCs w:val="1"/>
                <w:color w:val="auto"/>
              </w:rPr>
            </w:pPr>
          </w:p>
        </w:tc>
      </w:tr>
      <w:tr>
        <w:trPr>
          <w:trHeight w:val="80"/>
        </w:trPr>
        <w:tc>
          <w:tcPr>
            <w:tcW w:w="32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Net loss for the period</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(58,335)</w:t>
            </w: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(58,335)</w:t>
            </w:r>
          </w:p>
        </w:tc>
        <w:tc>
          <w:tcPr>
            <w:tcW w:w="0" w:type="dxa"/>
            <w:vAlign w:val="bottom"/>
          </w:tcPr>
          <w:p>
            <w:pPr>
              <w:spacing w:after="0"/>
              <w:rPr>
                <w:sz w:val="1"/>
                <w:szCs w:val="1"/>
                <w:color w:val="auto"/>
              </w:rPr>
            </w:pPr>
          </w:p>
        </w:tc>
      </w:tr>
      <w:tr>
        <w:trPr>
          <w:trHeight w:val="196"/>
        </w:trPr>
        <w:tc>
          <w:tcPr>
            <w:tcW w:w="3240" w:type="dxa"/>
            <w:vAlign w:val="bottom"/>
            <w:tcBorders>
              <w:bottom w:val="single" w:sz="8" w:color="auto"/>
            </w:tcBorders>
            <w:shd w:val="clear" w:color="auto" w:fill="D9D9D9"/>
          </w:tcPr>
          <w:p>
            <w:pPr>
              <w:ind w:left="20"/>
              <w:spacing w:after="0"/>
              <w:rPr>
                <w:sz w:val="20"/>
                <w:szCs w:val="20"/>
                <w:color w:val="auto"/>
              </w:rPr>
            </w:pPr>
            <w:r>
              <w:rPr>
                <w:rFonts w:ascii="Arial" w:cs="Arial" w:eastAsia="Arial" w:hAnsi="Arial"/>
                <w:sz w:val="14"/>
                <w:szCs w:val="14"/>
                <w:b w:val="1"/>
                <w:bCs w:val="1"/>
                <w:color w:val="auto"/>
              </w:rPr>
              <w:t>Balance as at September 30, 2025</w:t>
            </w:r>
          </w:p>
        </w:tc>
        <w:tc>
          <w:tcPr>
            <w:tcW w:w="620" w:type="dxa"/>
            <w:vAlign w:val="bottom"/>
            <w:tcBorders>
              <w:bottom w:val="single" w:sz="8" w:color="auto"/>
            </w:tcBorders>
            <w:shd w:val="clear" w:color="auto" w:fill="D9D9D9"/>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820" w:type="dxa"/>
            <w:vAlign w:val="bottom"/>
            <w:tcBorders>
              <w:bottom w:val="single" w:sz="8" w:color="auto"/>
            </w:tcBorders>
            <w:shd w:val="clear" w:color="auto" w:fill="D9D9D9"/>
          </w:tcPr>
          <w:p>
            <w:pPr>
              <w:jc w:val="right"/>
              <w:ind w:right="8"/>
              <w:spacing w:after="0"/>
              <w:rPr>
                <w:sz w:val="20"/>
                <w:szCs w:val="20"/>
                <w:color w:val="auto"/>
              </w:rPr>
            </w:pPr>
            <w:r>
              <w:rPr>
                <w:rFonts w:ascii="Arial" w:cs="Arial" w:eastAsia="Arial" w:hAnsi="Arial"/>
                <w:sz w:val="14"/>
                <w:szCs w:val="14"/>
                <w:b w:val="1"/>
                <w:bCs w:val="1"/>
                <w:color w:val="auto"/>
                <w:highlight w:val="lightGray"/>
              </w:rPr>
              <w:t>26,101,080</w:t>
            </w:r>
          </w:p>
        </w:tc>
        <w:tc>
          <w:tcPr>
            <w:tcW w:w="7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highlight w:val="lightGray"/>
              </w:rPr>
              <w:t>353,587</w:t>
            </w:r>
          </w:p>
        </w:tc>
        <w:tc>
          <w:tcPr>
            <w:tcW w:w="10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9D9D9"/>
          </w:tcPr>
          <w:p>
            <w:pPr>
              <w:jc w:val="right"/>
              <w:ind w:right="48"/>
              <w:spacing w:after="0"/>
              <w:rPr>
                <w:sz w:val="20"/>
                <w:szCs w:val="20"/>
                <w:color w:val="auto"/>
              </w:rPr>
            </w:pPr>
            <w:r>
              <w:rPr>
                <w:rFonts w:ascii="Arial" w:cs="Arial" w:eastAsia="Arial" w:hAnsi="Arial"/>
                <w:sz w:val="14"/>
                <w:szCs w:val="14"/>
                <w:b w:val="1"/>
                <w:bCs w:val="1"/>
                <w:color w:val="auto"/>
              </w:rPr>
              <w:t>19,194</w:t>
            </w:r>
          </w:p>
        </w:tc>
        <w:tc>
          <w:tcPr>
            <w:tcW w:w="800" w:type="dxa"/>
            <w:vAlign w:val="bottom"/>
            <w:tcBorders>
              <w:bottom w:val="single" w:sz="8" w:color="auto"/>
            </w:tcBorders>
            <w:shd w:val="clear" w:color="auto" w:fill="D9D9D9"/>
          </w:tcPr>
          <w:p>
            <w:pPr>
              <w:jc w:val="right"/>
              <w:ind w:right="8"/>
              <w:spacing w:after="0"/>
              <w:rPr>
                <w:sz w:val="20"/>
                <w:szCs w:val="20"/>
                <w:color w:val="auto"/>
              </w:rPr>
            </w:pPr>
            <w:r>
              <w:rPr>
                <w:rFonts w:ascii="Arial" w:cs="Arial" w:eastAsia="Arial" w:hAnsi="Arial"/>
                <w:sz w:val="14"/>
                <w:szCs w:val="14"/>
                <w:b w:val="1"/>
                <w:bCs w:val="1"/>
                <w:color w:val="auto"/>
              </w:rPr>
              <w:t>33,198</w:t>
            </w:r>
          </w:p>
        </w:tc>
        <w:tc>
          <w:tcPr>
            <w:tcW w:w="860" w:type="dxa"/>
            <w:vAlign w:val="bottom"/>
            <w:tcBorders>
              <w:bottom w:val="single" w:sz="8" w:color="auto"/>
            </w:tcBorders>
            <w:shd w:val="clear" w:color="auto" w:fill="D9D9D9"/>
          </w:tcPr>
          <w:p>
            <w:pPr>
              <w:jc w:val="right"/>
              <w:ind w:right="8"/>
              <w:spacing w:after="0"/>
              <w:rPr>
                <w:sz w:val="20"/>
                <w:szCs w:val="20"/>
                <w:color w:val="auto"/>
              </w:rPr>
            </w:pPr>
            <w:r>
              <w:rPr>
                <w:rFonts w:ascii="Arial" w:cs="Arial" w:eastAsia="Arial" w:hAnsi="Arial"/>
                <w:sz w:val="14"/>
                <w:szCs w:val="14"/>
                <w:b w:val="1"/>
                <w:bCs w:val="1"/>
                <w:color w:val="auto"/>
              </w:rPr>
              <w:t>32,153</w:t>
            </w:r>
          </w:p>
        </w:tc>
        <w:tc>
          <w:tcPr>
            <w:tcW w:w="8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(299,872)</w:t>
            </w:r>
          </w:p>
        </w:tc>
        <w:tc>
          <w:tcPr>
            <w:tcW w:w="8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736</w:t>
            </w:r>
          </w:p>
        </w:tc>
        <w:tc>
          <w:tcPr>
            <w:tcW w:w="8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138,996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condensed interim consolidated financial statements.</w:t>
      </w:r>
    </w:p>
    <w:p>
      <w:pPr>
        <w:sectPr>
          <w:pgSz w:w="11900" w:h="16838" w:orient="portrait"/>
          <w:cols w:equalWidth="0" w:num="1">
            <w:col w:w="11240"/>
          </w:cols>
          <w:pgMar w:left="320" w:top="233" w:right="339" w:bottom="1440" w:gutter="0" w:footer="0" w:header="0"/>
        </w:sectPr>
      </w:pPr>
    </w:p>
    <w:bookmarkStart w:id="8" w:name="page9"/>
    <w:bookmarkEnd w:id="8"/>
    <w:p>
      <w:pPr>
        <w:ind w:left="80"/>
        <w:spacing w:after="0"/>
        <w:rPr>
          <w:sz w:val="20"/>
          <w:szCs w:val="20"/>
          <w:color w:val="auto"/>
        </w:rPr>
      </w:pPr>
      <w:r>
        <w:rPr>
          <w:rFonts w:ascii="Arial" w:cs="Arial" w:eastAsia="Arial" w:hAnsi="Arial"/>
          <w:sz w:val="22"/>
          <w:szCs w:val="22"/>
          <w:b w:val="1"/>
          <w:bCs w:val="1"/>
          <w:color w:val="auto"/>
        </w:rPr>
        <w:t>CYBIN INC.</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CONDENSED INTERIM CONSOLIDATED STATEMENTS OF CASH FLOWS</w:t>
      </w:r>
    </w:p>
    <w:p>
      <w:pPr>
        <w:ind w:left="80"/>
        <w:spacing w:after="0"/>
        <w:rPr>
          <w:sz w:val="20"/>
          <w:szCs w:val="20"/>
          <w:color w:val="auto"/>
        </w:rPr>
      </w:pPr>
      <w:r>
        <w:rPr>
          <w:rFonts w:ascii="Arial" w:cs="Arial" w:eastAsia="Arial" w:hAnsi="Arial"/>
          <w:sz w:val="18"/>
          <w:szCs w:val="18"/>
          <w:b w:val="1"/>
          <w:bCs w:val="1"/>
          <w:color w:val="auto"/>
        </w:rPr>
        <w:t>(All amounts expressed in thousands of United States dollars)</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540" w:type="dxa"/>
            <w:vAlign w:val="bottom"/>
          </w:tcPr>
          <w:p>
            <w:pPr>
              <w:jc w:val="right"/>
              <w:spacing w:after="0"/>
              <w:rPr>
                <w:sz w:val="20"/>
                <w:szCs w:val="20"/>
                <w:color w:val="auto"/>
              </w:rPr>
            </w:pPr>
            <w:r>
              <w:rPr>
                <w:rFonts w:ascii="Arial" w:cs="Arial" w:eastAsia="Arial" w:hAnsi="Arial"/>
                <w:sz w:val="16"/>
                <w:szCs w:val="16"/>
                <w:b w:val="1"/>
                <w:bCs w:val="1"/>
                <w:color w:val="auto"/>
              </w:rPr>
              <w:t>For the six months ended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540" w:type="dxa"/>
            <w:vAlign w:val="bottom"/>
          </w:tcPr>
          <w:p>
            <w:pPr>
              <w:jc w:val="right"/>
              <w:ind w:right="419"/>
              <w:spacing w:after="0"/>
              <w:rPr>
                <w:sz w:val="20"/>
                <w:szCs w:val="20"/>
                <w:color w:val="auto"/>
              </w:rPr>
            </w:pPr>
            <w:r>
              <w:rPr>
                <w:rFonts w:ascii="Arial" w:cs="Arial" w:eastAsia="Arial" w:hAnsi="Arial"/>
                <w:sz w:val="16"/>
                <w:szCs w:val="16"/>
                <w:b w:val="1"/>
                <w:bCs w:val="1"/>
                <w:color w:val="auto"/>
              </w:rPr>
              <w:t>September 30,</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8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58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ind w:left="1220"/>
              <w:spacing w:after="0"/>
              <w:rPr>
                <w:sz w:val="20"/>
                <w:szCs w:val="20"/>
                <w:color w:val="auto"/>
              </w:rPr>
            </w:pPr>
            <w:r>
              <w:rPr>
                <w:rFonts w:ascii="Arial" w:cs="Arial" w:eastAsia="Arial" w:hAnsi="Arial"/>
                <w:sz w:val="16"/>
                <w:szCs w:val="16"/>
                <w:b w:val="1"/>
                <w:bCs w:val="1"/>
                <w:color w:val="auto"/>
              </w:rPr>
              <w:t>Notes</w:t>
            </w:r>
          </w:p>
        </w:tc>
        <w:tc>
          <w:tcPr>
            <w:tcW w:w="254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b w:val="1"/>
                <w:bCs w:val="1"/>
                <w:color w:val="auto"/>
              </w:rPr>
              <w:t>2025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9"/>
        </w:trPr>
        <w:tc>
          <w:tcPr>
            <w:tcW w:w="580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OPERATING ACTIVITIES</w:t>
            </w:r>
          </w:p>
        </w:tc>
        <w:tc>
          <w:tcPr>
            <w:tcW w:w="2160" w:type="dxa"/>
            <w:vAlign w:val="bottom"/>
          </w:tcPr>
          <w:p>
            <w:pPr>
              <w:spacing w:after="0"/>
              <w:rPr>
                <w:sz w:val="19"/>
                <w:szCs w:val="19"/>
                <w:color w:val="auto"/>
              </w:rPr>
            </w:pPr>
          </w:p>
        </w:tc>
        <w:tc>
          <w:tcPr>
            <w:tcW w:w="3280" w:type="dxa"/>
            <w:vAlign w:val="bottom"/>
            <w:gridSpan w:val="2"/>
          </w:tcPr>
          <w:p>
            <w:pPr>
              <w:jc w:val="right"/>
              <w:spacing w:after="0"/>
              <w:rPr>
                <w:sz w:val="20"/>
                <w:szCs w:val="20"/>
                <w:color w:val="auto"/>
              </w:rPr>
            </w:pPr>
            <w:r>
              <w:rPr>
                <w:rFonts w:ascii="Arial" w:cs="Arial" w:eastAsia="Arial" w:hAnsi="Arial"/>
                <w:sz w:val="16"/>
                <w:szCs w:val="16"/>
                <w:b w:val="1"/>
                <w:bCs w:val="1"/>
                <w:i w:val="1"/>
                <w:iCs w:val="1"/>
                <w:color w:val="auto"/>
              </w:rPr>
              <w:t>Restated - Note 2</w:t>
            </w:r>
          </w:p>
        </w:tc>
        <w:tc>
          <w:tcPr>
            <w:tcW w:w="0" w:type="dxa"/>
            <w:vAlign w:val="bottom"/>
          </w:tcPr>
          <w:p>
            <w:pPr>
              <w:spacing w:after="0"/>
              <w:rPr>
                <w:sz w:val="1"/>
                <w:szCs w:val="1"/>
                <w:color w:val="auto"/>
              </w:rPr>
            </w:pPr>
          </w:p>
        </w:tc>
      </w:tr>
      <w:tr>
        <w:trPr>
          <w:trHeight w:val="209"/>
        </w:trPr>
        <w:tc>
          <w:tcPr>
            <w:tcW w:w="580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80"/>
              <w:spacing w:after="0"/>
              <w:rPr>
                <w:sz w:val="20"/>
                <w:szCs w:val="20"/>
                <w:color w:val="auto"/>
              </w:rPr>
            </w:pPr>
            <w:r>
              <w:rPr>
                <w:rFonts w:ascii="Arial" w:cs="Arial" w:eastAsia="Arial" w:hAnsi="Arial"/>
                <w:sz w:val="16"/>
                <w:szCs w:val="16"/>
                <w:b w:val="1"/>
                <w:bCs w:val="1"/>
                <w:color w:val="auto"/>
              </w:rPr>
              <w:t>Net loss for the period</w:t>
            </w:r>
          </w:p>
        </w:tc>
        <w:tc>
          <w:tcPr>
            <w:tcW w:w="2160" w:type="dxa"/>
            <w:vAlign w:val="bottom"/>
          </w:tcPr>
          <w:p>
            <w:pPr>
              <w:spacing w:after="0"/>
              <w:rPr>
                <w:sz w:val="18"/>
                <w:szCs w:val="18"/>
                <w:color w:val="auto"/>
              </w:rPr>
            </w:pPr>
          </w:p>
        </w:tc>
        <w:tc>
          <w:tcPr>
            <w:tcW w:w="2540" w:type="dxa"/>
            <w:vAlign w:val="bottom"/>
          </w:tcPr>
          <w:p>
            <w:pPr>
              <w:jc w:val="right"/>
              <w:ind w:right="1019"/>
              <w:spacing w:after="0"/>
              <w:rPr>
                <w:sz w:val="20"/>
                <w:szCs w:val="20"/>
                <w:color w:val="auto"/>
              </w:rPr>
            </w:pPr>
            <w:r>
              <w:rPr>
                <w:rFonts w:ascii="Arial" w:cs="Arial" w:eastAsia="Arial" w:hAnsi="Arial"/>
                <w:sz w:val="16"/>
                <w:szCs w:val="16"/>
                <w:b w:val="1"/>
                <w:bCs w:val="1"/>
                <w:color w:val="auto"/>
              </w:rPr>
              <w:t>(58,335)</w:t>
            </w:r>
          </w:p>
        </w:tc>
        <w:tc>
          <w:tcPr>
            <w:tcW w:w="740" w:type="dxa"/>
            <w:vAlign w:val="bottom"/>
          </w:tcPr>
          <w:p>
            <w:pPr>
              <w:jc w:val="right"/>
              <w:spacing w:after="0"/>
              <w:rPr>
                <w:sz w:val="20"/>
                <w:szCs w:val="20"/>
                <w:color w:val="auto"/>
              </w:rPr>
            </w:pPr>
            <w:r>
              <w:rPr>
                <w:rFonts w:ascii="Arial" w:cs="Arial" w:eastAsia="Arial" w:hAnsi="Arial"/>
                <w:sz w:val="16"/>
                <w:szCs w:val="16"/>
                <w:color w:val="auto"/>
              </w:rPr>
              <w:t>(52,761)</w:t>
            </w:r>
          </w:p>
        </w:tc>
        <w:tc>
          <w:tcPr>
            <w:tcW w:w="0" w:type="dxa"/>
            <w:vAlign w:val="bottom"/>
          </w:tcPr>
          <w:p>
            <w:pPr>
              <w:spacing w:after="0"/>
              <w:rPr>
                <w:sz w:val="1"/>
                <w:szCs w:val="1"/>
                <w:color w:val="auto"/>
              </w:rPr>
            </w:pPr>
          </w:p>
        </w:tc>
      </w:tr>
      <w:tr>
        <w:trPr>
          <w:trHeight w:val="223"/>
        </w:trPr>
        <w:tc>
          <w:tcPr>
            <w:tcW w:w="5800" w:type="dxa"/>
            <w:vAlign w:val="bottom"/>
          </w:tcPr>
          <w:p>
            <w:pPr>
              <w:ind w:left="180"/>
              <w:spacing w:after="0"/>
              <w:rPr>
                <w:sz w:val="20"/>
                <w:szCs w:val="20"/>
                <w:color w:val="auto"/>
              </w:rPr>
            </w:pPr>
            <w:r>
              <w:rPr>
                <w:rFonts w:ascii="Arial" w:cs="Arial" w:eastAsia="Arial" w:hAnsi="Arial"/>
                <w:sz w:val="16"/>
                <w:szCs w:val="16"/>
                <w:b w:val="1"/>
                <w:bCs w:val="1"/>
                <w:color w:val="auto"/>
              </w:rPr>
              <w:t>Adjustments for items not affecting cash:</w:t>
            </w:r>
          </w:p>
        </w:tc>
        <w:tc>
          <w:tcPr>
            <w:tcW w:w="2160" w:type="dxa"/>
            <w:vAlign w:val="bottom"/>
            <w:vMerge w:val="restart"/>
          </w:tcPr>
          <w:p>
            <w:pPr>
              <w:jc w:val="center"/>
              <w:ind w:left="659"/>
              <w:spacing w:after="0"/>
              <w:rPr>
                <w:sz w:val="20"/>
                <w:szCs w:val="20"/>
                <w:color w:val="auto"/>
              </w:rPr>
            </w:pPr>
            <w:r>
              <w:rPr>
                <w:rFonts w:ascii="Arial" w:cs="Arial" w:eastAsia="Arial" w:hAnsi="Arial"/>
                <w:sz w:val="16"/>
                <w:szCs w:val="16"/>
                <w:i w:val="1"/>
                <w:iCs w:val="1"/>
                <w:color w:val="auto"/>
                <w:w w:val="97"/>
              </w:rPr>
              <w:t>3, 4</w:t>
            </w:r>
          </w:p>
        </w:tc>
        <w:tc>
          <w:tcPr>
            <w:tcW w:w="2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800" w:type="dxa"/>
            <w:vAlign w:val="bottom"/>
            <w:vMerge w:val="restart"/>
          </w:tcPr>
          <w:p>
            <w:pPr>
              <w:ind w:left="360"/>
              <w:spacing w:after="0"/>
              <w:rPr>
                <w:sz w:val="20"/>
                <w:szCs w:val="20"/>
                <w:color w:val="auto"/>
              </w:rPr>
            </w:pPr>
            <w:r>
              <w:rPr>
                <w:rFonts w:ascii="Arial" w:cs="Arial" w:eastAsia="Arial" w:hAnsi="Arial"/>
                <w:sz w:val="16"/>
                <w:szCs w:val="16"/>
                <w:color w:val="auto"/>
              </w:rPr>
              <w:t>Depreciation and amortization</w:t>
            </w:r>
          </w:p>
        </w:tc>
        <w:tc>
          <w:tcPr>
            <w:tcW w:w="2160" w:type="dxa"/>
            <w:vAlign w:val="bottom"/>
            <w:vMerge w:val="continue"/>
          </w:tcPr>
          <w:p>
            <w:pPr>
              <w:spacing w:after="0"/>
              <w:rPr>
                <w:sz w:val="18"/>
                <w:szCs w:val="18"/>
                <w:color w:val="auto"/>
              </w:rPr>
            </w:pPr>
          </w:p>
        </w:tc>
        <w:tc>
          <w:tcPr>
            <w:tcW w:w="2540" w:type="dxa"/>
            <w:vAlign w:val="bottom"/>
            <w:vMerge w:val="restart"/>
          </w:tcPr>
          <w:p>
            <w:pPr>
              <w:jc w:val="right"/>
              <w:ind w:right="1059"/>
              <w:spacing w:after="0"/>
              <w:rPr>
                <w:sz w:val="20"/>
                <w:szCs w:val="20"/>
                <w:color w:val="auto"/>
              </w:rPr>
            </w:pPr>
            <w:r>
              <w:rPr>
                <w:rFonts w:ascii="Arial" w:cs="Arial" w:eastAsia="Arial" w:hAnsi="Arial"/>
                <w:sz w:val="16"/>
                <w:szCs w:val="16"/>
                <w:b w:val="1"/>
                <w:bCs w:val="1"/>
                <w:color w:val="auto"/>
              </w:rPr>
              <w:t>67</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81"/>
        </w:trPr>
        <w:tc>
          <w:tcPr>
            <w:tcW w:w="5800" w:type="dxa"/>
            <w:vAlign w:val="bottom"/>
            <w:vMerge w:val="continue"/>
          </w:tcPr>
          <w:p>
            <w:pPr>
              <w:spacing w:after="0"/>
              <w:rPr>
                <w:sz w:val="7"/>
                <w:szCs w:val="7"/>
                <w:color w:val="auto"/>
              </w:rPr>
            </w:pPr>
          </w:p>
        </w:tc>
        <w:tc>
          <w:tcPr>
            <w:tcW w:w="2160" w:type="dxa"/>
            <w:vAlign w:val="bottom"/>
          </w:tcPr>
          <w:p>
            <w:pPr>
              <w:spacing w:after="0"/>
              <w:rPr>
                <w:sz w:val="7"/>
                <w:szCs w:val="7"/>
                <w:color w:val="auto"/>
              </w:rPr>
            </w:pPr>
          </w:p>
        </w:tc>
        <w:tc>
          <w:tcPr>
            <w:tcW w:w="25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5800" w:type="dxa"/>
            <w:vAlign w:val="bottom"/>
          </w:tcPr>
          <w:p>
            <w:pPr>
              <w:spacing w:after="0"/>
              <w:rPr>
                <w:sz w:val="5"/>
                <w:szCs w:val="5"/>
                <w:color w:val="auto"/>
              </w:rPr>
            </w:pPr>
          </w:p>
        </w:tc>
        <w:tc>
          <w:tcPr>
            <w:tcW w:w="2160" w:type="dxa"/>
            <w:vAlign w:val="bottom"/>
            <w:vMerge w:val="restart"/>
          </w:tcPr>
          <w:p>
            <w:pPr>
              <w:jc w:val="center"/>
              <w:ind w:left="659"/>
              <w:spacing w:after="0"/>
              <w:rPr>
                <w:sz w:val="20"/>
                <w:szCs w:val="20"/>
                <w:color w:val="auto"/>
              </w:rPr>
            </w:pPr>
            <w:r>
              <w:rPr>
                <w:rFonts w:ascii="Arial" w:cs="Arial" w:eastAsia="Arial" w:hAnsi="Arial"/>
                <w:sz w:val="16"/>
                <w:szCs w:val="16"/>
                <w:i w:val="1"/>
                <w:iCs w:val="1"/>
                <w:color w:val="auto"/>
              </w:rPr>
              <w:t>7</w:t>
            </w:r>
          </w:p>
        </w:tc>
        <w:tc>
          <w:tcPr>
            <w:tcW w:w="25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800" w:type="dxa"/>
            <w:vAlign w:val="bottom"/>
            <w:vMerge w:val="restart"/>
          </w:tcPr>
          <w:p>
            <w:pPr>
              <w:ind w:left="360"/>
              <w:spacing w:after="0"/>
              <w:rPr>
                <w:sz w:val="20"/>
                <w:szCs w:val="20"/>
                <w:color w:val="auto"/>
              </w:rPr>
            </w:pPr>
            <w:r>
              <w:rPr>
                <w:rFonts w:ascii="Arial" w:cs="Arial" w:eastAsia="Arial" w:hAnsi="Arial"/>
                <w:sz w:val="16"/>
                <w:szCs w:val="16"/>
                <w:color w:val="auto"/>
              </w:rPr>
              <w:t>Share-based compensation</w:t>
            </w:r>
          </w:p>
        </w:tc>
        <w:tc>
          <w:tcPr>
            <w:tcW w:w="2160" w:type="dxa"/>
            <w:vAlign w:val="bottom"/>
            <w:vMerge w:val="continue"/>
          </w:tcPr>
          <w:p>
            <w:pPr>
              <w:spacing w:after="0"/>
              <w:rPr>
                <w:sz w:val="18"/>
                <w:szCs w:val="18"/>
                <w:color w:val="auto"/>
              </w:rPr>
            </w:pPr>
          </w:p>
        </w:tc>
        <w:tc>
          <w:tcPr>
            <w:tcW w:w="2540" w:type="dxa"/>
            <w:vAlign w:val="bottom"/>
            <w:vMerge w:val="restart"/>
          </w:tcPr>
          <w:p>
            <w:pPr>
              <w:jc w:val="right"/>
              <w:ind w:right="1059"/>
              <w:spacing w:after="0"/>
              <w:rPr>
                <w:sz w:val="20"/>
                <w:szCs w:val="20"/>
                <w:color w:val="auto"/>
              </w:rPr>
            </w:pPr>
            <w:r>
              <w:rPr>
                <w:rFonts w:ascii="Arial" w:cs="Arial" w:eastAsia="Arial" w:hAnsi="Arial"/>
                <w:sz w:val="16"/>
                <w:szCs w:val="16"/>
                <w:b w:val="1"/>
                <w:bCs w:val="1"/>
                <w:color w:val="auto"/>
              </w:rPr>
              <w:t>1,130</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27,434</w:t>
            </w:r>
          </w:p>
        </w:tc>
        <w:tc>
          <w:tcPr>
            <w:tcW w:w="0" w:type="dxa"/>
            <w:vAlign w:val="bottom"/>
          </w:tcPr>
          <w:p>
            <w:pPr>
              <w:spacing w:after="0"/>
              <w:rPr>
                <w:sz w:val="1"/>
                <w:szCs w:val="1"/>
                <w:color w:val="auto"/>
              </w:rPr>
            </w:pPr>
          </w:p>
        </w:tc>
      </w:tr>
      <w:tr>
        <w:trPr>
          <w:trHeight w:val="81"/>
        </w:trPr>
        <w:tc>
          <w:tcPr>
            <w:tcW w:w="5800" w:type="dxa"/>
            <w:vAlign w:val="bottom"/>
            <w:vMerge w:val="continue"/>
          </w:tcPr>
          <w:p>
            <w:pPr>
              <w:spacing w:after="0"/>
              <w:rPr>
                <w:sz w:val="7"/>
                <w:szCs w:val="7"/>
                <w:color w:val="auto"/>
              </w:rPr>
            </w:pPr>
          </w:p>
        </w:tc>
        <w:tc>
          <w:tcPr>
            <w:tcW w:w="2160" w:type="dxa"/>
            <w:vAlign w:val="bottom"/>
          </w:tcPr>
          <w:p>
            <w:pPr>
              <w:spacing w:after="0"/>
              <w:rPr>
                <w:sz w:val="7"/>
                <w:szCs w:val="7"/>
                <w:color w:val="auto"/>
              </w:rPr>
            </w:pPr>
          </w:p>
        </w:tc>
        <w:tc>
          <w:tcPr>
            <w:tcW w:w="25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58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54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360"/>
              <w:spacing w:after="0"/>
              <w:rPr>
                <w:sz w:val="20"/>
                <w:szCs w:val="20"/>
                <w:color w:val="auto"/>
              </w:rPr>
            </w:pPr>
            <w:r>
              <w:rPr>
                <w:rFonts w:ascii="Arial" w:cs="Arial" w:eastAsia="Arial" w:hAnsi="Arial"/>
                <w:sz w:val="16"/>
                <w:szCs w:val="16"/>
                <w:color w:val="auto"/>
              </w:rPr>
              <w:t>Lease interest accretion</w:t>
            </w:r>
          </w:p>
        </w:tc>
        <w:tc>
          <w:tcPr>
            <w:tcW w:w="2160" w:type="dxa"/>
            <w:vAlign w:val="bottom"/>
          </w:tcPr>
          <w:p>
            <w:pPr>
              <w:spacing w:after="0"/>
              <w:rPr>
                <w:sz w:val="18"/>
                <w:szCs w:val="18"/>
                <w:color w:val="auto"/>
              </w:rPr>
            </w:pPr>
          </w:p>
        </w:tc>
        <w:tc>
          <w:tcPr>
            <w:tcW w:w="2540" w:type="dxa"/>
            <w:vAlign w:val="bottom"/>
          </w:tcPr>
          <w:p>
            <w:pPr>
              <w:jc w:val="right"/>
              <w:ind w:right="1059"/>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5800" w:type="dxa"/>
            <w:vAlign w:val="bottom"/>
          </w:tcPr>
          <w:p>
            <w:pPr>
              <w:ind w:left="360"/>
              <w:spacing w:after="0"/>
              <w:rPr>
                <w:sz w:val="20"/>
                <w:szCs w:val="20"/>
                <w:color w:val="auto"/>
              </w:rPr>
            </w:pPr>
            <w:r>
              <w:rPr>
                <w:rFonts w:ascii="Arial" w:cs="Arial" w:eastAsia="Arial" w:hAnsi="Arial"/>
                <w:sz w:val="16"/>
                <w:szCs w:val="16"/>
                <w:color w:val="auto"/>
              </w:rPr>
              <w:t>Gain on sale of lab equipment</w:t>
            </w:r>
          </w:p>
        </w:tc>
        <w:tc>
          <w:tcPr>
            <w:tcW w:w="2160" w:type="dxa"/>
            <w:vAlign w:val="bottom"/>
          </w:tcPr>
          <w:p>
            <w:pPr>
              <w:jc w:val="center"/>
              <w:ind w:left="659"/>
              <w:spacing w:after="0"/>
              <w:rPr>
                <w:sz w:val="20"/>
                <w:szCs w:val="20"/>
                <w:color w:val="auto"/>
              </w:rPr>
            </w:pPr>
            <w:r>
              <w:rPr>
                <w:rFonts w:ascii="Arial" w:cs="Arial" w:eastAsia="Arial" w:hAnsi="Arial"/>
                <w:sz w:val="16"/>
                <w:szCs w:val="16"/>
                <w:i w:val="1"/>
                <w:iCs w:val="1"/>
                <w:color w:val="auto"/>
              </w:rPr>
              <w:t>3</w:t>
            </w:r>
          </w:p>
        </w:tc>
        <w:tc>
          <w:tcPr>
            <w:tcW w:w="2540" w:type="dxa"/>
            <w:vAlign w:val="bottom"/>
          </w:tcPr>
          <w:p>
            <w:pPr>
              <w:jc w:val="right"/>
              <w:ind w:right="1019"/>
              <w:spacing w:after="0"/>
              <w:rPr>
                <w:sz w:val="20"/>
                <w:szCs w:val="20"/>
                <w:color w:val="auto"/>
              </w:rPr>
            </w:pPr>
            <w:r>
              <w:rPr>
                <w:rFonts w:ascii="Arial" w:cs="Arial" w:eastAsia="Arial" w:hAnsi="Arial"/>
                <w:sz w:val="16"/>
                <w:szCs w:val="16"/>
                <w:b w:val="1"/>
                <w:bCs w:val="1"/>
                <w:color w:val="auto"/>
              </w:rPr>
              <w:t>(7)</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800" w:type="dxa"/>
            <w:vAlign w:val="bottom"/>
          </w:tcPr>
          <w:p>
            <w:pPr>
              <w:ind w:left="360"/>
              <w:spacing w:after="0"/>
              <w:rPr>
                <w:sz w:val="20"/>
                <w:szCs w:val="20"/>
                <w:color w:val="auto"/>
              </w:rPr>
            </w:pPr>
            <w:r>
              <w:rPr>
                <w:rFonts w:ascii="Arial" w:cs="Arial" w:eastAsia="Arial" w:hAnsi="Arial"/>
                <w:sz w:val="16"/>
                <w:szCs w:val="16"/>
                <w:color w:val="auto"/>
              </w:rPr>
              <w:t>Fair value loss on financial instruments</w:t>
            </w:r>
          </w:p>
        </w:tc>
        <w:tc>
          <w:tcPr>
            <w:tcW w:w="2160" w:type="dxa"/>
            <w:vAlign w:val="bottom"/>
          </w:tcPr>
          <w:p>
            <w:pPr>
              <w:jc w:val="center"/>
              <w:ind w:left="659"/>
              <w:spacing w:after="0"/>
              <w:rPr>
                <w:sz w:val="20"/>
                <w:szCs w:val="20"/>
                <w:color w:val="auto"/>
              </w:rPr>
            </w:pPr>
            <w:r>
              <w:rPr>
                <w:rFonts w:ascii="Arial" w:cs="Arial" w:eastAsia="Arial" w:hAnsi="Arial"/>
                <w:sz w:val="16"/>
                <w:szCs w:val="16"/>
                <w:i w:val="1"/>
                <w:iCs w:val="1"/>
                <w:color w:val="auto"/>
              </w:rPr>
              <w:t>6</w:t>
            </w:r>
          </w:p>
        </w:tc>
        <w:tc>
          <w:tcPr>
            <w:tcW w:w="2540" w:type="dxa"/>
            <w:vAlign w:val="bottom"/>
          </w:tcPr>
          <w:p>
            <w:pPr>
              <w:jc w:val="right"/>
              <w:ind w:right="1059"/>
              <w:spacing w:after="0"/>
              <w:rPr>
                <w:sz w:val="20"/>
                <w:szCs w:val="20"/>
                <w:color w:val="auto"/>
              </w:rPr>
            </w:pPr>
            <w:r>
              <w:rPr>
                <w:rFonts w:ascii="Arial" w:cs="Arial" w:eastAsia="Arial" w:hAnsi="Arial"/>
                <w:sz w:val="16"/>
                <w:szCs w:val="16"/>
                <w:b w:val="1"/>
                <w:bCs w:val="1"/>
                <w:color w:val="auto"/>
              </w:rPr>
              <w:t>5,138</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1"/>
        </w:trPr>
        <w:tc>
          <w:tcPr>
            <w:tcW w:w="58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Unrealized foreign currency translation</w:t>
            </w:r>
          </w:p>
        </w:tc>
        <w:tc>
          <w:tcPr>
            <w:tcW w:w="2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b w:val="1"/>
                <w:bCs w:val="1"/>
                <w:color w:val="auto"/>
              </w:rPr>
              <w:t>(1,189)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w:t>
            </w:r>
          </w:p>
        </w:tc>
        <w:tc>
          <w:tcPr>
            <w:tcW w:w="0" w:type="dxa"/>
            <w:vAlign w:val="bottom"/>
          </w:tcPr>
          <w:p>
            <w:pPr>
              <w:spacing w:after="0"/>
              <w:rPr>
                <w:sz w:val="1"/>
                <w:szCs w:val="1"/>
                <w:color w:val="auto"/>
              </w:rPr>
            </w:pPr>
          </w:p>
        </w:tc>
      </w:tr>
      <w:tr>
        <w:trPr>
          <w:trHeight w:val="216"/>
        </w:trPr>
        <w:tc>
          <w:tcPr>
            <w:tcW w:w="580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Net changes in non-cash working capital items:</w:t>
            </w:r>
          </w:p>
        </w:tc>
        <w:tc>
          <w:tcPr>
            <w:tcW w:w="2160" w:type="dxa"/>
            <w:vAlign w:val="bottom"/>
          </w:tcPr>
          <w:p>
            <w:pPr>
              <w:spacing w:after="0"/>
              <w:rPr>
                <w:sz w:val="18"/>
                <w:szCs w:val="18"/>
                <w:color w:val="auto"/>
              </w:rPr>
            </w:pPr>
          </w:p>
        </w:tc>
        <w:tc>
          <w:tcPr>
            <w:tcW w:w="2540" w:type="dxa"/>
            <w:vAlign w:val="bottom"/>
          </w:tcPr>
          <w:p>
            <w:pPr>
              <w:jc w:val="right"/>
              <w:ind w:right="1019"/>
              <w:spacing w:after="0"/>
              <w:rPr>
                <w:sz w:val="20"/>
                <w:szCs w:val="20"/>
                <w:color w:val="auto"/>
              </w:rPr>
            </w:pPr>
            <w:r>
              <w:rPr>
                <w:rFonts w:ascii="Arial" w:cs="Arial" w:eastAsia="Arial" w:hAnsi="Arial"/>
                <w:sz w:val="16"/>
                <w:szCs w:val="16"/>
                <w:b w:val="1"/>
                <w:bCs w:val="1"/>
                <w:color w:val="auto"/>
              </w:rPr>
              <w:t>(53,196)</w:t>
            </w:r>
          </w:p>
        </w:tc>
        <w:tc>
          <w:tcPr>
            <w:tcW w:w="740" w:type="dxa"/>
            <w:vAlign w:val="bottom"/>
          </w:tcPr>
          <w:p>
            <w:pPr>
              <w:jc w:val="right"/>
              <w:spacing w:after="0"/>
              <w:rPr>
                <w:sz w:val="20"/>
                <w:szCs w:val="20"/>
                <w:color w:val="auto"/>
              </w:rPr>
            </w:pPr>
            <w:r>
              <w:rPr>
                <w:rFonts w:ascii="Arial" w:cs="Arial" w:eastAsia="Arial" w:hAnsi="Arial"/>
                <w:sz w:val="16"/>
                <w:szCs w:val="16"/>
                <w:color w:val="auto"/>
              </w:rPr>
              <w:t>(26,089)</w:t>
            </w:r>
          </w:p>
        </w:tc>
        <w:tc>
          <w:tcPr>
            <w:tcW w:w="0" w:type="dxa"/>
            <w:vAlign w:val="bottom"/>
          </w:tcPr>
          <w:p>
            <w:pPr>
              <w:spacing w:after="0"/>
              <w:rPr>
                <w:sz w:val="1"/>
                <w:szCs w:val="1"/>
                <w:color w:val="auto"/>
              </w:rPr>
            </w:pPr>
          </w:p>
        </w:tc>
      </w:tr>
      <w:tr>
        <w:trPr>
          <w:trHeight w:val="215"/>
        </w:trPr>
        <w:tc>
          <w:tcPr>
            <w:tcW w:w="580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5800" w:type="dxa"/>
            <w:vAlign w:val="bottom"/>
          </w:tcPr>
          <w:p>
            <w:pPr>
              <w:ind w:left="400"/>
              <w:spacing w:after="0"/>
              <w:rPr>
                <w:sz w:val="20"/>
                <w:szCs w:val="20"/>
                <w:color w:val="auto"/>
              </w:rPr>
            </w:pPr>
            <w:r>
              <w:rPr>
                <w:rFonts w:ascii="Arial" w:cs="Arial" w:eastAsia="Arial" w:hAnsi="Arial"/>
                <w:sz w:val="16"/>
                <w:szCs w:val="16"/>
                <w:color w:val="auto"/>
              </w:rPr>
              <w:t>Accounts receivable</w:t>
            </w:r>
          </w:p>
        </w:tc>
        <w:tc>
          <w:tcPr>
            <w:tcW w:w="2160" w:type="dxa"/>
            <w:vAlign w:val="bottom"/>
          </w:tcPr>
          <w:p>
            <w:pPr>
              <w:spacing w:after="0"/>
              <w:rPr>
                <w:sz w:val="24"/>
                <w:szCs w:val="24"/>
                <w:color w:val="auto"/>
              </w:rPr>
            </w:pPr>
          </w:p>
        </w:tc>
        <w:tc>
          <w:tcPr>
            <w:tcW w:w="2540" w:type="dxa"/>
            <w:vAlign w:val="bottom"/>
            <w:vMerge w:val="restart"/>
          </w:tcPr>
          <w:p>
            <w:pPr>
              <w:jc w:val="right"/>
              <w:ind w:right="1019"/>
              <w:spacing w:after="0"/>
              <w:rPr>
                <w:sz w:val="20"/>
                <w:szCs w:val="20"/>
                <w:color w:val="auto"/>
              </w:rPr>
            </w:pPr>
            <w:r>
              <w:rPr>
                <w:rFonts w:ascii="Arial" w:cs="Arial" w:eastAsia="Arial" w:hAnsi="Arial"/>
                <w:sz w:val="16"/>
                <w:szCs w:val="16"/>
                <w:b w:val="1"/>
                <w:bCs w:val="1"/>
                <w:color w:val="auto"/>
              </w:rPr>
              <w:t>(641)</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(775)</w:t>
            </w:r>
          </w:p>
        </w:tc>
        <w:tc>
          <w:tcPr>
            <w:tcW w:w="0" w:type="dxa"/>
            <w:vAlign w:val="bottom"/>
          </w:tcPr>
          <w:p>
            <w:pPr>
              <w:spacing w:after="0"/>
              <w:rPr>
                <w:sz w:val="1"/>
                <w:szCs w:val="1"/>
                <w:color w:val="auto"/>
              </w:rPr>
            </w:pPr>
          </w:p>
        </w:tc>
      </w:tr>
      <w:tr>
        <w:trPr>
          <w:trHeight w:val="62"/>
        </w:trPr>
        <w:tc>
          <w:tcPr>
            <w:tcW w:w="58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25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9"/>
        </w:trPr>
        <w:tc>
          <w:tcPr>
            <w:tcW w:w="5800" w:type="dxa"/>
            <w:vAlign w:val="bottom"/>
          </w:tcPr>
          <w:p>
            <w:pPr>
              <w:ind w:left="400"/>
              <w:spacing w:after="0"/>
              <w:rPr>
                <w:sz w:val="20"/>
                <w:szCs w:val="20"/>
                <w:color w:val="auto"/>
              </w:rPr>
            </w:pPr>
            <w:r>
              <w:rPr>
                <w:rFonts w:ascii="Arial" w:cs="Arial" w:eastAsia="Arial" w:hAnsi="Arial"/>
                <w:sz w:val="16"/>
                <w:szCs w:val="16"/>
                <w:color w:val="auto"/>
              </w:rPr>
              <w:t>Prepaid expenses</w:t>
            </w:r>
          </w:p>
        </w:tc>
        <w:tc>
          <w:tcPr>
            <w:tcW w:w="2160" w:type="dxa"/>
            <w:vAlign w:val="bottom"/>
          </w:tcPr>
          <w:p>
            <w:pPr>
              <w:spacing w:after="0"/>
              <w:rPr>
                <w:sz w:val="24"/>
                <w:szCs w:val="24"/>
                <w:color w:val="auto"/>
              </w:rPr>
            </w:pPr>
          </w:p>
        </w:tc>
        <w:tc>
          <w:tcPr>
            <w:tcW w:w="2540" w:type="dxa"/>
            <w:vAlign w:val="bottom"/>
            <w:vMerge w:val="restart"/>
          </w:tcPr>
          <w:p>
            <w:pPr>
              <w:jc w:val="right"/>
              <w:ind w:right="1019"/>
              <w:spacing w:after="0"/>
              <w:rPr>
                <w:sz w:val="20"/>
                <w:szCs w:val="20"/>
                <w:color w:val="auto"/>
              </w:rPr>
            </w:pPr>
            <w:r>
              <w:rPr>
                <w:rFonts w:ascii="Arial" w:cs="Arial" w:eastAsia="Arial" w:hAnsi="Arial"/>
                <w:sz w:val="16"/>
                <w:szCs w:val="16"/>
                <w:b w:val="1"/>
                <w:bCs w:val="1"/>
                <w:color w:val="auto"/>
              </w:rPr>
              <w:t>(9,010)</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(10,683)</w:t>
            </w:r>
          </w:p>
        </w:tc>
        <w:tc>
          <w:tcPr>
            <w:tcW w:w="0" w:type="dxa"/>
            <w:vAlign w:val="bottom"/>
          </w:tcPr>
          <w:p>
            <w:pPr>
              <w:spacing w:after="0"/>
              <w:rPr>
                <w:sz w:val="1"/>
                <w:szCs w:val="1"/>
                <w:color w:val="auto"/>
              </w:rPr>
            </w:pPr>
          </w:p>
        </w:tc>
      </w:tr>
      <w:tr>
        <w:trPr>
          <w:trHeight w:val="62"/>
        </w:trPr>
        <w:tc>
          <w:tcPr>
            <w:tcW w:w="58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25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5800" w:type="dxa"/>
            <w:vAlign w:val="bottom"/>
          </w:tcPr>
          <w:p>
            <w:pPr>
              <w:ind w:left="400"/>
              <w:spacing w:after="0"/>
              <w:rPr>
                <w:sz w:val="20"/>
                <w:szCs w:val="20"/>
                <w:color w:val="auto"/>
              </w:rPr>
            </w:pPr>
            <w:r>
              <w:rPr>
                <w:rFonts w:ascii="Arial" w:cs="Arial" w:eastAsia="Arial" w:hAnsi="Arial"/>
                <w:sz w:val="16"/>
                <w:szCs w:val="16"/>
                <w:color w:val="auto"/>
              </w:rPr>
              <w:t>Other current assets</w:t>
            </w:r>
          </w:p>
        </w:tc>
        <w:tc>
          <w:tcPr>
            <w:tcW w:w="2160" w:type="dxa"/>
            <w:vAlign w:val="bottom"/>
          </w:tcPr>
          <w:p>
            <w:pPr>
              <w:spacing w:after="0"/>
              <w:rPr>
                <w:sz w:val="24"/>
                <w:szCs w:val="24"/>
                <w:color w:val="auto"/>
              </w:rPr>
            </w:pPr>
          </w:p>
        </w:tc>
        <w:tc>
          <w:tcPr>
            <w:tcW w:w="2540" w:type="dxa"/>
            <w:vAlign w:val="bottom"/>
          </w:tcPr>
          <w:p>
            <w:pPr>
              <w:jc w:val="right"/>
              <w:ind w:right="1059"/>
              <w:spacing w:after="0"/>
              <w:rPr>
                <w:sz w:val="20"/>
                <w:szCs w:val="20"/>
                <w:color w:val="auto"/>
              </w:rPr>
            </w:pPr>
            <w:r>
              <w:rPr>
                <w:rFonts w:ascii="Arial" w:cs="Arial" w:eastAsia="Arial" w:hAnsi="Arial"/>
                <w:sz w:val="16"/>
                <w:szCs w:val="16"/>
                <w:b w:val="1"/>
                <w:bCs w:val="1"/>
                <w:color w:val="auto"/>
              </w:rPr>
              <w:t>352</w:t>
            </w:r>
          </w:p>
        </w:tc>
        <w:tc>
          <w:tcPr>
            <w:tcW w:w="740" w:type="dxa"/>
            <w:vAlign w:val="bottom"/>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89"/>
        </w:trPr>
        <w:tc>
          <w:tcPr>
            <w:tcW w:w="5800" w:type="dxa"/>
            <w:vAlign w:val="bottom"/>
          </w:tcPr>
          <w:p>
            <w:pPr>
              <w:ind w:left="400"/>
              <w:spacing w:after="0"/>
              <w:rPr>
                <w:sz w:val="20"/>
                <w:szCs w:val="20"/>
                <w:color w:val="auto"/>
              </w:rPr>
            </w:pPr>
            <w:r>
              <w:rPr>
                <w:rFonts w:ascii="Arial" w:cs="Arial" w:eastAsia="Arial" w:hAnsi="Arial"/>
                <w:sz w:val="16"/>
                <w:szCs w:val="16"/>
                <w:color w:val="auto"/>
              </w:rPr>
              <w:t>Accounts payable and accrued liabilities</w:t>
            </w:r>
          </w:p>
        </w:tc>
        <w:tc>
          <w:tcPr>
            <w:tcW w:w="2160" w:type="dxa"/>
            <w:vAlign w:val="bottom"/>
          </w:tcPr>
          <w:p>
            <w:pPr>
              <w:spacing w:after="0"/>
              <w:rPr>
                <w:sz w:val="24"/>
                <w:szCs w:val="24"/>
                <w:color w:val="auto"/>
              </w:rPr>
            </w:pPr>
          </w:p>
        </w:tc>
        <w:tc>
          <w:tcPr>
            <w:tcW w:w="2540" w:type="dxa"/>
            <w:vAlign w:val="bottom"/>
            <w:vMerge w:val="restart"/>
          </w:tcPr>
          <w:p>
            <w:pPr>
              <w:jc w:val="right"/>
              <w:ind w:right="1019"/>
              <w:spacing w:after="0"/>
              <w:rPr>
                <w:sz w:val="20"/>
                <w:szCs w:val="20"/>
                <w:color w:val="auto"/>
              </w:rPr>
            </w:pPr>
            <w:r>
              <w:rPr>
                <w:rFonts w:ascii="Arial" w:cs="Arial" w:eastAsia="Arial" w:hAnsi="Arial"/>
                <w:sz w:val="16"/>
                <w:szCs w:val="16"/>
                <w:b w:val="1"/>
                <w:bCs w:val="1"/>
                <w:color w:val="auto"/>
              </w:rPr>
              <w:t>(1,538)</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(1,873)</w:t>
            </w:r>
          </w:p>
        </w:tc>
        <w:tc>
          <w:tcPr>
            <w:tcW w:w="0" w:type="dxa"/>
            <w:vAlign w:val="bottom"/>
          </w:tcPr>
          <w:p>
            <w:pPr>
              <w:spacing w:after="0"/>
              <w:rPr>
                <w:sz w:val="1"/>
                <w:szCs w:val="1"/>
                <w:color w:val="auto"/>
              </w:rPr>
            </w:pPr>
          </w:p>
        </w:tc>
      </w:tr>
      <w:tr>
        <w:trPr>
          <w:trHeight w:val="56"/>
        </w:trPr>
        <w:tc>
          <w:tcPr>
            <w:tcW w:w="580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vMerge w:val="continue"/>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58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Net cash flows used in operating activities</w:t>
            </w:r>
          </w:p>
        </w:tc>
        <w:tc>
          <w:tcPr>
            <w:tcW w:w="21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b w:val="1"/>
                <w:bCs w:val="1"/>
                <w:color w:val="auto"/>
              </w:rPr>
              <w:t>(64,033)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(39,002)</w:t>
            </w:r>
          </w:p>
        </w:tc>
        <w:tc>
          <w:tcPr>
            <w:tcW w:w="0" w:type="dxa"/>
            <w:vAlign w:val="bottom"/>
          </w:tcPr>
          <w:p>
            <w:pPr>
              <w:spacing w:after="0"/>
              <w:rPr>
                <w:sz w:val="1"/>
                <w:szCs w:val="1"/>
                <w:color w:val="auto"/>
              </w:rPr>
            </w:pPr>
          </w:p>
        </w:tc>
      </w:tr>
      <w:tr>
        <w:trPr>
          <w:trHeight w:val="290"/>
        </w:trPr>
        <w:tc>
          <w:tcPr>
            <w:tcW w:w="5800" w:type="dxa"/>
            <w:vAlign w:val="bottom"/>
          </w:tcPr>
          <w:p>
            <w:pPr>
              <w:ind w:left="80"/>
              <w:spacing w:after="0"/>
              <w:rPr>
                <w:sz w:val="20"/>
                <w:szCs w:val="20"/>
                <w:color w:val="auto"/>
              </w:rPr>
            </w:pPr>
            <w:r>
              <w:rPr>
                <w:rFonts w:ascii="Arial" w:cs="Arial" w:eastAsia="Arial" w:hAnsi="Arial"/>
                <w:sz w:val="16"/>
                <w:szCs w:val="16"/>
                <w:b w:val="1"/>
                <w:bCs w:val="1"/>
                <w:color w:val="auto"/>
              </w:rPr>
              <w:t>INVESTING ACTIVITIES</w:t>
            </w:r>
          </w:p>
        </w:tc>
        <w:tc>
          <w:tcPr>
            <w:tcW w:w="2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380"/>
              <w:spacing w:after="0"/>
              <w:rPr>
                <w:sz w:val="20"/>
                <w:szCs w:val="20"/>
                <w:color w:val="auto"/>
              </w:rPr>
            </w:pPr>
            <w:r>
              <w:rPr>
                <w:rFonts w:ascii="Arial" w:cs="Arial" w:eastAsia="Arial" w:hAnsi="Arial"/>
                <w:sz w:val="16"/>
                <w:szCs w:val="16"/>
                <w:color w:val="auto"/>
              </w:rPr>
              <w:t>Purchase of equipment and intangible assets</w:t>
            </w:r>
          </w:p>
        </w:tc>
        <w:tc>
          <w:tcPr>
            <w:tcW w:w="2160" w:type="dxa"/>
            <w:vAlign w:val="bottom"/>
          </w:tcPr>
          <w:p>
            <w:pPr>
              <w:jc w:val="center"/>
              <w:ind w:left="659"/>
              <w:spacing w:after="0"/>
              <w:rPr>
                <w:sz w:val="20"/>
                <w:szCs w:val="20"/>
                <w:color w:val="auto"/>
              </w:rPr>
            </w:pPr>
            <w:r>
              <w:rPr>
                <w:rFonts w:ascii="Arial" w:cs="Arial" w:eastAsia="Arial" w:hAnsi="Arial"/>
                <w:sz w:val="16"/>
                <w:szCs w:val="16"/>
                <w:i w:val="1"/>
                <w:iCs w:val="1"/>
                <w:color w:val="auto"/>
                <w:w w:val="97"/>
              </w:rPr>
              <w:t>3, 4</w:t>
            </w:r>
          </w:p>
        </w:tc>
        <w:tc>
          <w:tcPr>
            <w:tcW w:w="2540" w:type="dxa"/>
            <w:vAlign w:val="bottom"/>
          </w:tcPr>
          <w:p>
            <w:pPr>
              <w:jc w:val="right"/>
              <w:ind w:right="1019"/>
              <w:spacing w:after="0"/>
              <w:rPr>
                <w:sz w:val="20"/>
                <w:szCs w:val="20"/>
                <w:color w:val="auto"/>
              </w:rPr>
            </w:pPr>
            <w:r>
              <w:rPr>
                <w:rFonts w:ascii="Arial" w:cs="Arial" w:eastAsia="Arial" w:hAnsi="Arial"/>
                <w:sz w:val="16"/>
                <w:szCs w:val="16"/>
                <w:b w:val="1"/>
                <w:bCs w:val="1"/>
                <w:color w:val="auto"/>
              </w:rPr>
              <w:t>(667)</w:t>
            </w:r>
          </w:p>
        </w:tc>
        <w:tc>
          <w:tcPr>
            <w:tcW w:w="740" w:type="dxa"/>
            <w:vAlign w:val="bottom"/>
          </w:tcPr>
          <w:p>
            <w:pPr>
              <w:jc w:val="right"/>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17"/>
        </w:trPr>
        <w:tc>
          <w:tcPr>
            <w:tcW w:w="58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Proceeds received from sale of lab equipment</w:t>
            </w:r>
          </w:p>
        </w:tc>
        <w:tc>
          <w:tcPr>
            <w:tcW w:w="2160" w:type="dxa"/>
            <w:vAlign w:val="bottom"/>
            <w:tcBorders>
              <w:bottom w:val="single" w:sz="8" w:color="auto"/>
            </w:tcBorders>
          </w:tcPr>
          <w:p>
            <w:pPr>
              <w:jc w:val="center"/>
              <w:ind w:left="659"/>
              <w:spacing w:after="0"/>
              <w:rPr>
                <w:sz w:val="20"/>
                <w:szCs w:val="20"/>
                <w:color w:val="auto"/>
              </w:rPr>
            </w:pPr>
            <w:r>
              <w:rPr>
                <w:rFonts w:ascii="Arial" w:cs="Arial" w:eastAsia="Arial" w:hAnsi="Arial"/>
                <w:sz w:val="16"/>
                <w:szCs w:val="16"/>
                <w:i w:val="1"/>
                <w:iCs w:val="1"/>
                <w:color w:val="auto"/>
              </w:rPr>
              <w:t>3</w:t>
            </w:r>
          </w:p>
        </w:tc>
        <w:tc>
          <w:tcPr>
            <w:tcW w:w="254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rPr>
              <w:t>10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Net cash flows used in investing activities</w:t>
            </w:r>
          </w:p>
        </w:tc>
        <w:tc>
          <w:tcPr>
            <w:tcW w:w="21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b w:val="1"/>
                <w:bCs w:val="1"/>
                <w:color w:val="auto"/>
              </w:rPr>
              <w:t>(657)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90"/>
        </w:trPr>
        <w:tc>
          <w:tcPr>
            <w:tcW w:w="5800" w:type="dxa"/>
            <w:vAlign w:val="bottom"/>
          </w:tcPr>
          <w:p>
            <w:pPr>
              <w:ind w:left="80"/>
              <w:spacing w:after="0"/>
              <w:rPr>
                <w:sz w:val="20"/>
                <w:szCs w:val="20"/>
                <w:color w:val="auto"/>
              </w:rPr>
            </w:pPr>
            <w:r>
              <w:rPr>
                <w:rFonts w:ascii="Arial" w:cs="Arial" w:eastAsia="Arial" w:hAnsi="Arial"/>
                <w:sz w:val="16"/>
                <w:szCs w:val="16"/>
                <w:b w:val="1"/>
                <w:bCs w:val="1"/>
                <w:color w:val="auto"/>
              </w:rPr>
              <w:t>FINANCING ACTIVITIES</w:t>
            </w:r>
          </w:p>
        </w:tc>
        <w:tc>
          <w:tcPr>
            <w:tcW w:w="2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380"/>
              <w:spacing w:after="0"/>
              <w:rPr>
                <w:sz w:val="20"/>
                <w:szCs w:val="20"/>
                <w:color w:val="auto"/>
              </w:rPr>
            </w:pPr>
            <w:r>
              <w:rPr>
                <w:rFonts w:ascii="Arial" w:cs="Arial" w:eastAsia="Arial" w:hAnsi="Arial"/>
                <w:sz w:val="16"/>
                <w:szCs w:val="16"/>
                <w:color w:val="auto"/>
              </w:rPr>
              <w:t>Proceeds received on issuance of Convertible Debentures</w:t>
            </w:r>
          </w:p>
        </w:tc>
        <w:tc>
          <w:tcPr>
            <w:tcW w:w="2160" w:type="dxa"/>
            <w:vAlign w:val="bottom"/>
          </w:tcPr>
          <w:p>
            <w:pPr>
              <w:jc w:val="center"/>
              <w:ind w:left="659"/>
              <w:spacing w:after="0"/>
              <w:rPr>
                <w:sz w:val="20"/>
                <w:szCs w:val="20"/>
                <w:color w:val="auto"/>
              </w:rPr>
            </w:pPr>
            <w:r>
              <w:rPr>
                <w:rFonts w:ascii="Arial" w:cs="Arial" w:eastAsia="Arial" w:hAnsi="Arial"/>
                <w:sz w:val="16"/>
                <w:szCs w:val="16"/>
                <w:i w:val="1"/>
                <w:iCs w:val="1"/>
                <w:color w:val="auto"/>
              </w:rPr>
              <w:t>6</w:t>
            </w:r>
          </w:p>
        </w:tc>
        <w:tc>
          <w:tcPr>
            <w:tcW w:w="2540" w:type="dxa"/>
            <w:vAlign w:val="bottom"/>
          </w:tcPr>
          <w:p>
            <w:pPr>
              <w:jc w:val="right"/>
              <w:ind w:right="1059"/>
              <w:spacing w:after="0"/>
              <w:rPr>
                <w:sz w:val="20"/>
                <w:szCs w:val="20"/>
                <w:color w:val="auto"/>
              </w:rPr>
            </w:pPr>
            <w:r>
              <w:rPr>
                <w:rFonts w:ascii="Arial" w:cs="Arial" w:eastAsia="Arial" w:hAnsi="Arial"/>
                <w:sz w:val="16"/>
                <w:szCs w:val="16"/>
                <w:b w:val="1"/>
                <w:bCs w:val="1"/>
                <w:color w:val="auto"/>
              </w:rPr>
              <w:t>44,500</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800" w:type="dxa"/>
            <w:vAlign w:val="bottom"/>
          </w:tcPr>
          <w:p>
            <w:pPr>
              <w:ind w:left="380"/>
              <w:spacing w:after="0"/>
              <w:rPr>
                <w:sz w:val="20"/>
                <w:szCs w:val="20"/>
                <w:color w:val="auto"/>
              </w:rPr>
            </w:pPr>
            <w:r>
              <w:rPr>
                <w:rFonts w:ascii="Arial" w:cs="Arial" w:eastAsia="Arial" w:hAnsi="Arial"/>
                <w:sz w:val="16"/>
                <w:szCs w:val="16"/>
                <w:color w:val="auto"/>
              </w:rPr>
              <w:t>Proceeds on issuance of common shares, net</w:t>
            </w:r>
          </w:p>
        </w:tc>
        <w:tc>
          <w:tcPr>
            <w:tcW w:w="2160" w:type="dxa"/>
            <w:vAlign w:val="bottom"/>
          </w:tcPr>
          <w:p>
            <w:pPr>
              <w:jc w:val="center"/>
              <w:ind w:left="659"/>
              <w:spacing w:after="0"/>
              <w:rPr>
                <w:sz w:val="20"/>
                <w:szCs w:val="20"/>
                <w:color w:val="auto"/>
              </w:rPr>
            </w:pPr>
            <w:r>
              <w:rPr>
                <w:rFonts w:ascii="Arial" w:cs="Arial" w:eastAsia="Arial" w:hAnsi="Arial"/>
                <w:sz w:val="16"/>
                <w:szCs w:val="16"/>
                <w:i w:val="1"/>
                <w:iCs w:val="1"/>
                <w:color w:val="auto"/>
              </w:rPr>
              <w:t>7</w:t>
            </w:r>
          </w:p>
        </w:tc>
        <w:tc>
          <w:tcPr>
            <w:tcW w:w="2540" w:type="dxa"/>
            <w:vAlign w:val="bottom"/>
          </w:tcPr>
          <w:p>
            <w:pPr>
              <w:jc w:val="right"/>
              <w:ind w:right="1059"/>
              <w:spacing w:after="0"/>
              <w:rPr>
                <w:sz w:val="20"/>
                <w:szCs w:val="20"/>
                <w:color w:val="auto"/>
              </w:rPr>
            </w:pPr>
            <w:r>
              <w:rPr>
                <w:rFonts w:ascii="Arial" w:cs="Arial" w:eastAsia="Arial" w:hAnsi="Arial"/>
                <w:sz w:val="16"/>
                <w:szCs w:val="16"/>
                <w:b w:val="1"/>
                <w:bCs w:val="1"/>
                <w:color w:val="auto"/>
              </w:rPr>
              <w:t>10,133</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800" w:type="dxa"/>
            <w:vAlign w:val="bottom"/>
          </w:tcPr>
          <w:p>
            <w:pPr>
              <w:ind w:left="380"/>
              <w:spacing w:after="0"/>
              <w:rPr>
                <w:sz w:val="20"/>
                <w:szCs w:val="20"/>
                <w:color w:val="auto"/>
              </w:rPr>
            </w:pPr>
            <w:r>
              <w:rPr>
                <w:rFonts w:ascii="Arial" w:cs="Arial" w:eastAsia="Arial" w:hAnsi="Arial"/>
                <w:sz w:val="16"/>
                <w:szCs w:val="16"/>
                <w:color w:val="auto"/>
              </w:rPr>
              <w:t>Share issuance costs</w:t>
            </w:r>
          </w:p>
        </w:tc>
        <w:tc>
          <w:tcPr>
            <w:tcW w:w="2160" w:type="dxa"/>
            <w:vAlign w:val="bottom"/>
          </w:tcPr>
          <w:p>
            <w:pPr>
              <w:jc w:val="center"/>
              <w:ind w:left="659"/>
              <w:spacing w:after="0"/>
              <w:rPr>
                <w:sz w:val="20"/>
                <w:szCs w:val="20"/>
                <w:color w:val="auto"/>
              </w:rPr>
            </w:pPr>
            <w:r>
              <w:rPr>
                <w:rFonts w:ascii="Arial" w:cs="Arial" w:eastAsia="Arial" w:hAnsi="Arial"/>
                <w:sz w:val="16"/>
                <w:szCs w:val="16"/>
                <w:i w:val="1"/>
                <w:iCs w:val="1"/>
                <w:color w:val="auto"/>
              </w:rPr>
              <w:t>7</w:t>
            </w:r>
          </w:p>
        </w:tc>
        <w:tc>
          <w:tcPr>
            <w:tcW w:w="2540" w:type="dxa"/>
            <w:vAlign w:val="bottom"/>
          </w:tcPr>
          <w:p>
            <w:pPr>
              <w:jc w:val="right"/>
              <w:ind w:right="1019"/>
              <w:spacing w:after="0"/>
              <w:rPr>
                <w:sz w:val="20"/>
                <w:szCs w:val="20"/>
                <w:color w:val="auto"/>
              </w:rPr>
            </w:pPr>
            <w:r>
              <w:rPr>
                <w:rFonts w:ascii="Arial" w:cs="Arial" w:eastAsia="Arial" w:hAnsi="Arial"/>
                <w:sz w:val="16"/>
                <w:szCs w:val="16"/>
                <w:b w:val="1"/>
                <w:bCs w:val="1"/>
                <w:color w:val="auto"/>
              </w:rPr>
              <w:t>(26)</w:t>
            </w:r>
          </w:p>
        </w:tc>
        <w:tc>
          <w:tcPr>
            <w:tcW w:w="740" w:type="dxa"/>
            <w:vAlign w:val="bottom"/>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16"/>
        </w:trPr>
        <w:tc>
          <w:tcPr>
            <w:tcW w:w="5800" w:type="dxa"/>
            <w:vAlign w:val="bottom"/>
          </w:tcPr>
          <w:p>
            <w:pPr>
              <w:ind w:left="380"/>
              <w:spacing w:after="0"/>
              <w:rPr>
                <w:sz w:val="20"/>
                <w:szCs w:val="20"/>
                <w:color w:val="auto"/>
              </w:rPr>
            </w:pPr>
            <w:r>
              <w:rPr>
                <w:rFonts w:ascii="Arial" w:cs="Arial" w:eastAsia="Arial" w:hAnsi="Arial"/>
                <w:sz w:val="16"/>
                <w:szCs w:val="16"/>
                <w:color w:val="auto"/>
              </w:rPr>
              <w:t>Options exercised</w:t>
            </w:r>
          </w:p>
        </w:tc>
        <w:tc>
          <w:tcPr>
            <w:tcW w:w="2160" w:type="dxa"/>
            <w:vAlign w:val="bottom"/>
          </w:tcPr>
          <w:p>
            <w:pPr>
              <w:jc w:val="center"/>
              <w:ind w:left="659"/>
              <w:spacing w:after="0"/>
              <w:rPr>
                <w:sz w:val="20"/>
                <w:szCs w:val="20"/>
                <w:color w:val="auto"/>
              </w:rPr>
            </w:pPr>
            <w:r>
              <w:rPr>
                <w:rFonts w:ascii="Arial" w:cs="Arial" w:eastAsia="Arial" w:hAnsi="Arial"/>
                <w:sz w:val="16"/>
                <w:szCs w:val="16"/>
                <w:i w:val="1"/>
                <w:iCs w:val="1"/>
                <w:color w:val="auto"/>
              </w:rPr>
              <w:t>7</w:t>
            </w:r>
          </w:p>
        </w:tc>
        <w:tc>
          <w:tcPr>
            <w:tcW w:w="2540" w:type="dxa"/>
            <w:vAlign w:val="bottom"/>
          </w:tcPr>
          <w:p>
            <w:pPr>
              <w:jc w:val="right"/>
              <w:ind w:right="1059"/>
              <w:spacing w:after="0"/>
              <w:rPr>
                <w:sz w:val="20"/>
                <w:szCs w:val="20"/>
                <w:color w:val="auto"/>
              </w:rPr>
            </w:pPr>
            <w:r>
              <w:rPr>
                <w:rFonts w:ascii="Arial" w:cs="Arial" w:eastAsia="Arial" w:hAnsi="Arial"/>
                <w:sz w:val="16"/>
                <w:szCs w:val="16"/>
                <w:b w:val="1"/>
                <w:bCs w:val="1"/>
                <w:color w:val="auto"/>
              </w:rPr>
              <w:t>53</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8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Lease payments</w:t>
            </w:r>
          </w:p>
        </w:tc>
        <w:tc>
          <w:tcPr>
            <w:tcW w:w="21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Net cash flows provided by (used in) financing activities</w:t>
            </w:r>
          </w:p>
        </w:tc>
        <w:tc>
          <w:tcPr>
            <w:tcW w:w="21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rPr>
              <w:t>54,660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Effects of exchange rate changes on cash</w:t>
            </w:r>
          </w:p>
        </w:tc>
        <w:tc>
          <w:tcPr>
            <w:tcW w:w="21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b w:val="1"/>
                <w:bCs w:val="1"/>
                <w:color w:val="auto"/>
              </w:rPr>
              <w:t>(140)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546"/>
        </w:trPr>
        <w:tc>
          <w:tcPr>
            <w:tcW w:w="5800" w:type="dxa"/>
            <w:vAlign w:val="bottom"/>
          </w:tcPr>
          <w:p>
            <w:pPr>
              <w:ind w:left="80"/>
              <w:spacing w:after="0"/>
              <w:rPr>
                <w:sz w:val="20"/>
                <w:szCs w:val="20"/>
                <w:color w:val="auto"/>
              </w:rPr>
            </w:pPr>
            <w:r>
              <w:rPr>
                <w:rFonts w:ascii="Arial" w:cs="Arial" w:eastAsia="Arial" w:hAnsi="Arial"/>
                <w:sz w:val="16"/>
                <w:szCs w:val="16"/>
                <w:b w:val="1"/>
                <w:bCs w:val="1"/>
                <w:color w:val="auto"/>
              </w:rPr>
              <w:t>Net increase (decrease) in cash</w:t>
            </w:r>
          </w:p>
        </w:tc>
        <w:tc>
          <w:tcPr>
            <w:tcW w:w="2160" w:type="dxa"/>
            <w:vAlign w:val="bottom"/>
          </w:tcPr>
          <w:p>
            <w:pPr>
              <w:spacing w:after="0"/>
              <w:rPr>
                <w:sz w:val="24"/>
                <w:szCs w:val="24"/>
                <w:color w:val="auto"/>
              </w:rPr>
            </w:pPr>
          </w:p>
        </w:tc>
        <w:tc>
          <w:tcPr>
            <w:tcW w:w="2540" w:type="dxa"/>
            <w:vAlign w:val="bottom"/>
          </w:tcPr>
          <w:p>
            <w:pPr>
              <w:jc w:val="right"/>
              <w:ind w:right="1019"/>
              <w:spacing w:after="0"/>
              <w:rPr>
                <w:sz w:val="20"/>
                <w:szCs w:val="20"/>
                <w:color w:val="auto"/>
              </w:rPr>
            </w:pPr>
            <w:r>
              <w:rPr>
                <w:rFonts w:ascii="Arial" w:cs="Arial" w:eastAsia="Arial" w:hAnsi="Arial"/>
                <w:sz w:val="16"/>
                <w:szCs w:val="16"/>
                <w:b w:val="1"/>
                <w:bCs w:val="1"/>
                <w:color w:val="auto"/>
              </w:rPr>
              <w:t>(10,170)</w:t>
            </w:r>
          </w:p>
        </w:tc>
        <w:tc>
          <w:tcPr>
            <w:tcW w:w="740" w:type="dxa"/>
            <w:vAlign w:val="bottom"/>
          </w:tcPr>
          <w:p>
            <w:pPr>
              <w:jc w:val="right"/>
              <w:spacing w:after="0"/>
              <w:rPr>
                <w:sz w:val="20"/>
                <w:szCs w:val="20"/>
                <w:color w:val="auto"/>
              </w:rPr>
            </w:pPr>
            <w:r>
              <w:rPr>
                <w:rFonts w:ascii="Arial" w:cs="Arial" w:eastAsia="Arial" w:hAnsi="Arial"/>
                <w:sz w:val="16"/>
                <w:szCs w:val="16"/>
                <w:color w:val="auto"/>
              </w:rPr>
              <w:t>(39,920)</w:t>
            </w:r>
          </w:p>
        </w:tc>
        <w:tc>
          <w:tcPr>
            <w:tcW w:w="0" w:type="dxa"/>
            <w:vAlign w:val="bottom"/>
          </w:tcPr>
          <w:p>
            <w:pPr>
              <w:spacing w:after="0"/>
              <w:rPr>
                <w:sz w:val="1"/>
                <w:szCs w:val="1"/>
                <w:color w:val="auto"/>
              </w:rPr>
            </w:pPr>
          </w:p>
        </w:tc>
      </w:tr>
      <w:tr>
        <w:trPr>
          <w:trHeight w:val="217"/>
        </w:trPr>
        <w:tc>
          <w:tcPr>
            <w:tcW w:w="58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Cash, beginning of period</w:t>
            </w:r>
          </w:p>
        </w:tc>
        <w:tc>
          <w:tcPr>
            <w:tcW w:w="21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rPr>
              <w:t>93,922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154,238</w:t>
            </w:r>
          </w:p>
        </w:tc>
        <w:tc>
          <w:tcPr>
            <w:tcW w:w="0" w:type="dxa"/>
            <w:vAlign w:val="bottom"/>
          </w:tcPr>
          <w:p>
            <w:pPr>
              <w:spacing w:after="0"/>
              <w:rPr>
                <w:sz w:val="1"/>
                <w:szCs w:val="1"/>
                <w:color w:val="auto"/>
              </w:rPr>
            </w:pPr>
          </w:p>
        </w:tc>
      </w:tr>
      <w:tr>
        <w:trPr>
          <w:trHeight w:val="209"/>
        </w:trPr>
        <w:tc>
          <w:tcPr>
            <w:tcW w:w="58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Cash, end of period</w:t>
            </w:r>
          </w:p>
        </w:tc>
        <w:tc>
          <w:tcPr>
            <w:tcW w:w="21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rPr>
              <w:t>83,752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114,318</w:t>
            </w:r>
          </w:p>
        </w:tc>
        <w:tc>
          <w:tcPr>
            <w:tcW w:w="0" w:type="dxa"/>
            <w:vAlign w:val="bottom"/>
          </w:tcPr>
          <w:p>
            <w:pPr>
              <w:spacing w:after="0"/>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condensed interim consolidated financial statements.</w:t>
      </w:r>
    </w:p>
    <w:p>
      <w:pPr>
        <w:sectPr>
          <w:pgSz w:w="11900" w:h="16838" w:orient="portrait"/>
          <w:cols w:equalWidth="0" w:num="1">
            <w:col w:w="11240"/>
          </w:cols>
          <w:pgMar w:left="320" w:top="233" w:right="339" w:bottom="1440" w:gutter="0" w:footer="0" w:header="0"/>
        </w:sectPr>
      </w:pPr>
    </w:p>
    <w:bookmarkStart w:id="9" w:name="page10"/>
    <w:bookmarkEnd w:id="9"/>
    <w:p>
      <w:pPr>
        <w:ind w:left="20"/>
        <w:spacing w:after="0"/>
        <w:rPr>
          <w:sz w:val="20"/>
          <w:szCs w:val="20"/>
          <w:color w:val="auto"/>
        </w:rPr>
      </w:pPr>
      <w:r>
        <w:rPr>
          <w:rFonts w:ascii="Arial" w:cs="Arial" w:eastAsia="Arial" w:hAnsi="Arial"/>
          <w:sz w:val="22"/>
          <w:szCs w:val="22"/>
          <w:b w:val="1"/>
          <w:bCs w:val="1"/>
          <w:color w:val="auto"/>
        </w:rPr>
        <w:t>CYBIN INC.</w:t>
      </w:r>
    </w:p>
    <w:p>
      <w:pPr>
        <w:ind w:left="20" w:right="2740"/>
        <w:spacing w:after="0" w:line="206" w:lineRule="auto"/>
        <w:rPr>
          <w:sz w:val="20"/>
          <w:szCs w:val="20"/>
          <w:color w:val="auto"/>
        </w:rPr>
      </w:pPr>
      <w:r>
        <w:rPr>
          <w:rFonts w:ascii="Arial" w:cs="Arial" w:eastAsia="Arial" w:hAnsi="Arial"/>
          <w:sz w:val="22"/>
          <w:szCs w:val="22"/>
          <w:b w:val="1"/>
          <w:bCs w:val="1"/>
          <w:color w:val="auto"/>
        </w:rPr>
        <w:t>NOTES TO THE CONDENSED INTERIM CONSOLIDATED FINANCIAL STATEMENTS September 30, 2025</w:t>
      </w:r>
    </w:p>
    <w:p>
      <w:pPr>
        <w:ind w:left="20"/>
        <w:spacing w:after="0" w:line="211"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w:t>
      </w:r>
    </w:p>
    <w:p>
      <w:pPr>
        <w:ind w:left="20"/>
        <w:spacing w:after="0" w:line="198" w:lineRule="auto"/>
        <w:rPr>
          <w:sz w:val="20"/>
          <w:szCs w:val="20"/>
          <w:color w:val="auto"/>
        </w:rPr>
      </w:pPr>
      <w:r>
        <w:rPr>
          <w:rFonts w:ascii="Arial" w:cs="Arial" w:eastAsia="Arial" w:hAnsi="Arial"/>
          <w:sz w:val="20"/>
          <w:szCs w:val="20"/>
          <w:b w:val="1"/>
          <w:bCs w:val="1"/>
          <w:color w:val="auto"/>
        </w:rPr>
        <w:t>indicated as being in CAD, Euros or Great Britain Pounds which are in thousands.)</w:t>
      </w:r>
    </w:p>
    <w:p>
      <w:pPr>
        <w:ind w:left="20"/>
        <w:spacing w:after="0"/>
        <w:rPr>
          <w:sz w:val="20"/>
          <w:szCs w:val="20"/>
          <w:color w:val="auto"/>
        </w:rPr>
      </w:pPr>
      <w:r>
        <w:rPr>
          <w:rFonts w:ascii="Arial" w:cs="Arial" w:eastAsia="Arial" w:hAnsi="Arial"/>
          <w:sz w:val="20"/>
          <w:szCs w:val="20"/>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60" w:hanging="352"/>
        <w:spacing w:after="0"/>
        <w:tabs>
          <w:tab w:leader="none" w:pos="360" w:val="left"/>
        </w:tabs>
        <w:numPr>
          <w:ilvl w:val="0"/>
          <w:numId w:val="1"/>
        </w:numPr>
        <w:rPr>
          <w:rFonts w:ascii="Arial" w:cs="Arial" w:eastAsia="Arial" w:hAnsi="Arial"/>
          <w:sz w:val="18"/>
          <w:szCs w:val="18"/>
          <w:b w:val="1"/>
          <w:bCs w:val="1"/>
          <w:color w:val="2D5F91"/>
        </w:rPr>
      </w:pPr>
      <w:r>
        <w:rPr>
          <w:rFonts w:ascii="Arial" w:cs="Arial" w:eastAsia="Arial" w:hAnsi="Arial"/>
          <w:sz w:val="18"/>
          <w:szCs w:val="18"/>
          <w:b w:val="1"/>
          <w:bCs w:val="1"/>
          <w:color w:val="2D5F91"/>
        </w:rPr>
        <w:t>CORPORATE INFORMATION</w:t>
      </w:r>
    </w:p>
    <w:p>
      <w:pPr>
        <w:spacing w:after="0" w:line="198" w:lineRule="exact"/>
        <w:rPr>
          <w:sz w:val="20"/>
          <w:szCs w:val="20"/>
          <w:color w:val="auto"/>
        </w:rPr>
      </w:pPr>
    </w:p>
    <w:p>
      <w:pPr>
        <w:jc w:val="both"/>
        <w:ind w:left="340"/>
        <w:spacing w:after="0" w:line="298" w:lineRule="auto"/>
        <w:rPr>
          <w:sz w:val="20"/>
          <w:szCs w:val="20"/>
          <w:color w:val="auto"/>
        </w:rPr>
      </w:pPr>
      <w:r>
        <w:rPr>
          <w:rFonts w:ascii="Arial" w:cs="Arial" w:eastAsia="Arial" w:hAnsi="Arial"/>
          <w:sz w:val="18"/>
          <w:szCs w:val="18"/>
          <w:color w:val="auto"/>
        </w:rPr>
        <w:t>Cybin Inc. (“</w:t>
      </w:r>
      <w:r>
        <w:rPr>
          <w:rFonts w:ascii="Arial" w:cs="Arial" w:eastAsia="Arial" w:hAnsi="Arial"/>
          <w:sz w:val="18"/>
          <w:szCs w:val="18"/>
          <w:b w:val="1"/>
          <w:bCs w:val="1"/>
          <w:color w:val="auto"/>
        </w:rPr>
        <w:t>Cybin</w:t>
      </w:r>
      <w:r>
        <w:rPr>
          <w:rFonts w:ascii="Arial" w:cs="Arial" w:eastAsia="Arial" w:hAnsi="Arial"/>
          <w:sz w:val="18"/>
          <w:szCs w:val="18"/>
          <w:color w:val="auto"/>
        </w:rPr>
        <w:t>”), was incorporated under the Business Corporations Act (British Columbia) on October 13, 2016. These consolidated financial statements include the accounts of Cybin’s six subsidiaries (together with Cybin, the “</w:t>
      </w:r>
      <w:r>
        <w:rPr>
          <w:rFonts w:ascii="Arial" w:cs="Arial" w:eastAsia="Arial" w:hAnsi="Arial"/>
          <w:sz w:val="18"/>
          <w:szCs w:val="18"/>
          <w:b w:val="1"/>
          <w:bCs w:val="1"/>
          <w:color w:val="auto"/>
        </w:rPr>
        <w:t>Company</w:t>
      </w:r>
      <w:r>
        <w:rPr>
          <w:rFonts w:ascii="Arial" w:cs="Arial" w:eastAsia="Arial" w:hAnsi="Arial"/>
          <w:sz w:val="18"/>
          <w:szCs w:val="18"/>
          <w:color w:val="auto"/>
        </w:rPr>
        <w:t>”): Cybin Corp., Cybin US Holdings Inc. (“</w:t>
      </w:r>
      <w:r>
        <w:rPr>
          <w:rFonts w:ascii="Arial" w:cs="Arial" w:eastAsia="Arial" w:hAnsi="Arial"/>
          <w:sz w:val="18"/>
          <w:szCs w:val="18"/>
          <w:b w:val="1"/>
          <w:bCs w:val="1"/>
          <w:color w:val="auto"/>
        </w:rPr>
        <w:t>Cybin US</w:t>
      </w:r>
      <w:r>
        <w:rPr>
          <w:rFonts w:ascii="Arial" w:cs="Arial" w:eastAsia="Arial" w:hAnsi="Arial"/>
          <w:sz w:val="18"/>
          <w:szCs w:val="18"/>
          <w:color w:val="auto"/>
        </w:rPr>
        <w:t>”), Adelia Therapeutics Inc. (“</w:t>
      </w:r>
      <w:r>
        <w:rPr>
          <w:rFonts w:ascii="Arial" w:cs="Arial" w:eastAsia="Arial" w:hAnsi="Arial"/>
          <w:sz w:val="18"/>
          <w:szCs w:val="18"/>
          <w:b w:val="1"/>
          <w:bCs w:val="1"/>
          <w:color w:val="auto"/>
        </w:rPr>
        <w:t>Adelia</w:t>
      </w:r>
      <w:r>
        <w:rPr>
          <w:rFonts w:ascii="Arial" w:cs="Arial" w:eastAsia="Arial" w:hAnsi="Arial"/>
          <w:sz w:val="18"/>
          <w:szCs w:val="18"/>
          <w:color w:val="auto"/>
        </w:rPr>
        <w:t>”) Cybin IRL Limited (“</w:t>
      </w:r>
      <w:r>
        <w:rPr>
          <w:rFonts w:ascii="Arial" w:cs="Arial" w:eastAsia="Arial" w:hAnsi="Arial"/>
          <w:sz w:val="18"/>
          <w:szCs w:val="18"/>
          <w:b w:val="1"/>
          <w:bCs w:val="1"/>
          <w:color w:val="auto"/>
        </w:rPr>
        <w:t>Cybin IRL</w:t>
      </w:r>
      <w:r>
        <w:rPr>
          <w:rFonts w:ascii="Arial" w:cs="Arial" w:eastAsia="Arial" w:hAnsi="Arial"/>
          <w:sz w:val="18"/>
          <w:szCs w:val="18"/>
          <w:color w:val="auto"/>
        </w:rPr>
        <w:t>”) , Cybin UK Ltd and Cybin International Limited ("</w:t>
      </w:r>
      <w:r>
        <w:rPr>
          <w:rFonts w:ascii="Arial" w:cs="Arial" w:eastAsia="Arial" w:hAnsi="Arial"/>
          <w:sz w:val="18"/>
          <w:szCs w:val="18"/>
          <w:b w:val="1"/>
          <w:bCs w:val="1"/>
          <w:color w:val="auto"/>
        </w:rPr>
        <w:t>Cybin International</w:t>
      </w:r>
      <w:r>
        <w:rPr>
          <w:rFonts w:ascii="Arial" w:cs="Arial" w:eastAsia="Arial" w:hAnsi="Arial"/>
          <w:sz w:val="18"/>
          <w:szCs w:val="18"/>
          <w:color w:val="auto"/>
        </w:rPr>
        <w:t>"). Cybin’s head office, principal address and registered address and records office is 100 King Street West, Suite 5600, Toronto, Ontario M5X 1C9. The Company acquired Small Pharma Inc. and its subsidiary Small Pharma Ltd. on October 23, 2023. On April 1, 2024, Small Pharma Inc. was amalgamated with Cybin Corp. and continued as Cybin Corp. Effective on December 16, 2023, Small Pharma Ltd.'s name was changed to Cybin UK Ltd.</w:t>
      </w:r>
    </w:p>
    <w:p>
      <w:pPr>
        <w:spacing w:after="0" w:line="131" w:lineRule="exact"/>
        <w:rPr>
          <w:sz w:val="20"/>
          <w:szCs w:val="20"/>
          <w:color w:val="auto"/>
        </w:rPr>
      </w:pPr>
    </w:p>
    <w:p>
      <w:pPr>
        <w:jc w:val="both"/>
        <w:ind w:left="340"/>
        <w:spacing w:after="0" w:line="307" w:lineRule="auto"/>
        <w:rPr>
          <w:sz w:val="20"/>
          <w:szCs w:val="20"/>
          <w:color w:val="auto"/>
        </w:rPr>
      </w:pPr>
      <w:r>
        <w:rPr>
          <w:rFonts w:ascii="Arial" w:cs="Arial" w:eastAsia="Arial" w:hAnsi="Arial"/>
          <w:sz w:val="18"/>
          <w:szCs w:val="18"/>
          <w:color w:val="auto"/>
        </w:rPr>
        <w:t>Effective June 4, 2025, the Company completed the formal dissolution of the wholly-owned subsidiaries Natures Journey Inc. ("</w:t>
      </w:r>
      <w:r>
        <w:rPr>
          <w:rFonts w:ascii="Arial" w:cs="Arial" w:eastAsia="Arial" w:hAnsi="Arial"/>
          <w:sz w:val="18"/>
          <w:szCs w:val="18"/>
          <w:b w:val="1"/>
          <w:bCs w:val="1"/>
          <w:color w:val="auto"/>
        </w:rPr>
        <w:t>Journey</w:t>
      </w:r>
      <w:r>
        <w:rPr>
          <w:rFonts w:ascii="Arial" w:cs="Arial" w:eastAsia="Arial" w:hAnsi="Arial"/>
          <w:sz w:val="18"/>
          <w:szCs w:val="18"/>
          <w:color w:val="auto"/>
        </w:rPr>
        <w:t>") and Serenity Life Sciences Inc. ("</w:t>
      </w:r>
      <w:r>
        <w:rPr>
          <w:rFonts w:ascii="Arial" w:cs="Arial" w:eastAsia="Arial" w:hAnsi="Arial"/>
          <w:sz w:val="18"/>
          <w:szCs w:val="18"/>
          <w:b w:val="1"/>
          <w:bCs w:val="1"/>
          <w:color w:val="auto"/>
        </w:rPr>
        <w:t>Serenity</w:t>
      </w:r>
      <w:r>
        <w:rPr>
          <w:rFonts w:ascii="Arial" w:cs="Arial" w:eastAsia="Arial" w:hAnsi="Arial"/>
          <w:sz w:val="18"/>
          <w:szCs w:val="18"/>
          <w:color w:val="auto"/>
        </w:rPr>
        <w:t>"). These entities were non-operational prior to their dissolution and had no material impact on the Company’s condensed interim consolidated financial statements. Cybin International Limited ("</w:t>
      </w:r>
      <w:r>
        <w:rPr>
          <w:rFonts w:ascii="Arial" w:cs="Arial" w:eastAsia="Arial" w:hAnsi="Arial"/>
          <w:sz w:val="18"/>
          <w:szCs w:val="18"/>
          <w:b w:val="1"/>
          <w:bCs w:val="1"/>
          <w:color w:val="auto"/>
        </w:rPr>
        <w:t>Cybin</w:t>
      </w:r>
      <w:r>
        <w:rPr>
          <w:rFonts w:ascii="Arial" w:cs="Arial" w:eastAsia="Arial" w:hAnsi="Arial"/>
          <w:sz w:val="18"/>
          <w:szCs w:val="18"/>
          <w:color w:val="auto"/>
        </w:rPr>
        <w:t xml:space="preserve"> </w:t>
      </w:r>
      <w:r>
        <w:rPr>
          <w:rFonts w:ascii="Arial" w:cs="Arial" w:eastAsia="Arial" w:hAnsi="Arial"/>
          <w:sz w:val="18"/>
          <w:szCs w:val="18"/>
          <w:b w:val="1"/>
          <w:bCs w:val="1"/>
          <w:color w:val="auto"/>
        </w:rPr>
        <w:t>Internationa</w:t>
      </w:r>
      <w:r>
        <w:rPr>
          <w:rFonts w:ascii="Arial" w:cs="Arial" w:eastAsia="Arial" w:hAnsi="Arial"/>
          <w:sz w:val="18"/>
          <w:szCs w:val="18"/>
          <w:color w:val="auto"/>
        </w:rPr>
        <w:t>l") was incorporated on September 1, 2025, and is a wholly-owned subsidiary of Cybin Corp.</w:t>
      </w:r>
    </w:p>
    <w:p>
      <w:pPr>
        <w:spacing w:after="0" w:line="129" w:lineRule="exact"/>
        <w:rPr>
          <w:sz w:val="20"/>
          <w:szCs w:val="20"/>
          <w:color w:val="auto"/>
        </w:rPr>
      </w:pPr>
    </w:p>
    <w:p>
      <w:pPr>
        <w:jc w:val="both"/>
        <w:ind w:left="340"/>
        <w:spacing w:after="0" w:line="299" w:lineRule="auto"/>
        <w:rPr>
          <w:sz w:val="20"/>
          <w:szCs w:val="20"/>
          <w:color w:val="auto"/>
        </w:rPr>
      </w:pPr>
      <w:r>
        <w:rPr>
          <w:rFonts w:ascii="Arial" w:cs="Arial" w:eastAsia="Arial" w:hAnsi="Arial"/>
          <w:sz w:val="18"/>
          <w:szCs w:val="18"/>
          <w:color w:val="auto"/>
        </w:rPr>
        <w:t>The Company is a clinical-stage neuropsychiatric company focused on advancing therapies, delivery mechanisms, novel compounds and protocols as potential treatments for various psychiatric and neurological conditions. The Company is developing technologies and delivery systems aimed at improving the pharmacokinetics of its proprietary molecules while retaining the therapeutic benefit. These new molecules and delivery systems are expected to be studied through clinical trials to confirm safety and efficacy.</w:t>
      </w:r>
    </w:p>
    <w:p>
      <w:pPr>
        <w:spacing w:after="0" w:line="143" w:lineRule="exact"/>
        <w:rPr>
          <w:sz w:val="20"/>
          <w:szCs w:val="20"/>
          <w:color w:val="auto"/>
        </w:rPr>
      </w:pPr>
    </w:p>
    <w:p>
      <w:pPr>
        <w:jc w:val="both"/>
        <w:ind w:left="340"/>
        <w:spacing w:after="0" w:line="334" w:lineRule="auto"/>
        <w:rPr>
          <w:sz w:val="20"/>
          <w:szCs w:val="20"/>
          <w:color w:val="auto"/>
        </w:rPr>
      </w:pPr>
      <w:r>
        <w:rPr>
          <w:rFonts w:ascii="Arial" w:cs="Arial" w:eastAsia="Arial" w:hAnsi="Arial"/>
          <w:sz w:val="18"/>
          <w:szCs w:val="18"/>
          <w:color w:val="auto"/>
        </w:rPr>
        <w:t>These condensed interim consolidated financial statements as at, and for the three and six months ended September 30, 2025 were approved and authorized for issue by the board of directors on November 12, 2025.</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Stock exchange listings</w:t>
      </w:r>
    </w:p>
    <w:p>
      <w:pPr>
        <w:spacing w:after="0" w:line="223" w:lineRule="exact"/>
        <w:rPr>
          <w:sz w:val="20"/>
          <w:szCs w:val="20"/>
          <w:color w:val="auto"/>
        </w:rPr>
      </w:pPr>
    </w:p>
    <w:p>
      <w:pPr>
        <w:jc w:val="both"/>
        <w:ind w:left="340"/>
        <w:spacing w:after="0" w:line="327" w:lineRule="auto"/>
        <w:rPr>
          <w:sz w:val="20"/>
          <w:szCs w:val="20"/>
          <w:color w:val="auto"/>
        </w:rPr>
      </w:pPr>
      <w:r>
        <w:rPr>
          <w:rFonts w:ascii="Arial" w:cs="Arial" w:eastAsia="Arial" w:hAnsi="Arial"/>
          <w:sz w:val="18"/>
          <w:szCs w:val="18"/>
          <w:color w:val="auto"/>
        </w:rPr>
        <w:t>Cybin’s common shares (the “</w:t>
      </w:r>
      <w:r>
        <w:rPr>
          <w:rFonts w:ascii="Arial" w:cs="Arial" w:eastAsia="Arial" w:hAnsi="Arial"/>
          <w:sz w:val="18"/>
          <w:szCs w:val="18"/>
          <w:b w:val="1"/>
          <w:bCs w:val="1"/>
          <w:color w:val="auto"/>
        </w:rPr>
        <w:t>Common Shares</w:t>
      </w:r>
      <w:r>
        <w:rPr>
          <w:rFonts w:ascii="Arial" w:cs="Arial" w:eastAsia="Arial" w:hAnsi="Arial"/>
          <w:sz w:val="18"/>
          <w:szCs w:val="18"/>
          <w:color w:val="auto"/>
        </w:rPr>
        <w:t>”) are listed for trading on Cboe Canada Inc. (“</w:t>
      </w:r>
      <w:r>
        <w:rPr>
          <w:rFonts w:ascii="Arial" w:cs="Arial" w:eastAsia="Arial" w:hAnsi="Arial"/>
          <w:sz w:val="18"/>
          <w:szCs w:val="18"/>
          <w:b w:val="1"/>
          <w:bCs w:val="1"/>
          <w:color w:val="auto"/>
        </w:rPr>
        <w:t>Cboe Canada</w:t>
      </w:r>
      <w:r>
        <w:rPr>
          <w:rFonts w:ascii="Arial" w:cs="Arial" w:eastAsia="Arial" w:hAnsi="Arial"/>
          <w:sz w:val="18"/>
          <w:szCs w:val="18"/>
          <w:color w:val="auto"/>
        </w:rPr>
        <w:t>") and NYSE American LLC ("</w:t>
      </w:r>
      <w:r>
        <w:rPr>
          <w:rFonts w:ascii="Arial" w:cs="Arial" w:eastAsia="Arial" w:hAnsi="Arial"/>
          <w:sz w:val="18"/>
          <w:szCs w:val="18"/>
          <w:b w:val="1"/>
          <w:bCs w:val="1"/>
          <w:color w:val="auto"/>
        </w:rPr>
        <w:t>NYSE American</w:t>
      </w:r>
      <w:r>
        <w:rPr>
          <w:rFonts w:ascii="Arial" w:cs="Arial" w:eastAsia="Arial" w:hAnsi="Arial"/>
          <w:sz w:val="18"/>
          <w:szCs w:val="18"/>
          <w:color w:val="auto"/>
        </w:rPr>
        <w:t>") under the symbol “CYBN” and on the Frankfurt Stock Exchange under the symbol “R7E1”.</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Share consolidation</w:t>
      </w:r>
    </w:p>
    <w:p>
      <w:pPr>
        <w:spacing w:after="0" w:line="169" w:lineRule="exact"/>
        <w:rPr>
          <w:sz w:val="20"/>
          <w:szCs w:val="20"/>
          <w:color w:val="auto"/>
        </w:rPr>
      </w:pPr>
    </w:p>
    <w:p>
      <w:pPr>
        <w:jc w:val="both"/>
        <w:ind w:left="340"/>
        <w:spacing w:after="0" w:line="283" w:lineRule="auto"/>
        <w:rPr>
          <w:sz w:val="20"/>
          <w:szCs w:val="20"/>
          <w:color w:val="auto"/>
        </w:rPr>
      </w:pPr>
      <w:r>
        <w:rPr>
          <w:rFonts w:ascii="Arial" w:cs="Arial" w:eastAsia="Arial" w:hAnsi="Arial"/>
          <w:sz w:val="18"/>
          <w:szCs w:val="18"/>
          <w:color w:val="auto"/>
        </w:rPr>
        <w:t>On September 19, 2024, the Company consolidated its outstanding Common Shares on the basis of one new Common Share for every 38 previously existing Common Shares (the "</w:t>
      </w:r>
      <w:r>
        <w:rPr>
          <w:rFonts w:ascii="Arial" w:cs="Arial" w:eastAsia="Arial" w:hAnsi="Arial"/>
          <w:sz w:val="18"/>
          <w:szCs w:val="18"/>
          <w:b w:val="1"/>
          <w:bCs w:val="1"/>
          <w:color w:val="auto"/>
        </w:rPr>
        <w:t>Consolidation</w:t>
      </w:r>
      <w:r>
        <w:rPr>
          <w:rFonts w:ascii="Arial" w:cs="Arial" w:eastAsia="Arial" w:hAnsi="Arial"/>
          <w:sz w:val="18"/>
          <w:szCs w:val="18"/>
          <w:color w:val="auto"/>
        </w:rPr>
        <w:t>"). As a result, the number of Common Shares, warrants, options and earnings per share presented in these condensed interim consolidated financial statements have been restated retrospectively to reflect the Consolidation.</w:t>
      </w:r>
    </w:p>
    <w:p>
      <w:pPr>
        <w:spacing w:after="0" w:line="131" w:lineRule="exact"/>
        <w:rPr>
          <w:sz w:val="20"/>
          <w:szCs w:val="20"/>
          <w:color w:val="auto"/>
        </w:rPr>
      </w:pPr>
    </w:p>
    <w:p>
      <w:pPr>
        <w:ind w:left="360" w:hanging="352"/>
        <w:spacing w:after="0"/>
        <w:tabs>
          <w:tab w:leader="none" w:pos="360" w:val="left"/>
        </w:tabs>
        <w:numPr>
          <w:ilvl w:val="0"/>
          <w:numId w:val="2"/>
        </w:numPr>
        <w:rPr>
          <w:rFonts w:ascii="Arial" w:cs="Arial" w:eastAsia="Arial" w:hAnsi="Arial"/>
          <w:sz w:val="18"/>
          <w:szCs w:val="18"/>
          <w:b w:val="1"/>
          <w:bCs w:val="1"/>
          <w:color w:val="2D5F91"/>
        </w:rPr>
      </w:pPr>
      <w:r>
        <w:rPr>
          <w:rFonts w:ascii="Arial" w:cs="Arial" w:eastAsia="Arial" w:hAnsi="Arial"/>
          <w:sz w:val="18"/>
          <w:szCs w:val="18"/>
          <w:b w:val="1"/>
          <w:bCs w:val="1"/>
          <w:color w:val="2D5F91"/>
        </w:rPr>
        <w:t>MATERIAL ACCOUNTING POLICY INFORMATION AND BASIS OF PREPARATION</w:t>
      </w: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Statement of compliance</w:t>
      </w:r>
    </w:p>
    <w:p>
      <w:pPr>
        <w:spacing w:after="0" w:line="250" w:lineRule="exact"/>
        <w:rPr>
          <w:sz w:val="20"/>
          <w:szCs w:val="20"/>
          <w:color w:val="auto"/>
        </w:rPr>
      </w:pPr>
    </w:p>
    <w:p>
      <w:pPr>
        <w:ind w:left="340"/>
        <w:spacing w:after="0" w:line="303" w:lineRule="auto"/>
        <w:rPr>
          <w:sz w:val="20"/>
          <w:szCs w:val="20"/>
          <w:color w:val="auto"/>
        </w:rPr>
      </w:pPr>
      <w:r>
        <w:rPr>
          <w:rFonts w:ascii="Arial" w:cs="Arial" w:eastAsia="Arial" w:hAnsi="Arial"/>
          <w:sz w:val="18"/>
          <w:szCs w:val="18"/>
          <w:color w:val="auto"/>
        </w:rPr>
        <w:t>These condensed interim consolidated financial statements have been prepared in accordance with International Accounting Standard 34 “Interim Financial Reporting”. Accordingly, certain information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7 of 26</w:t>
      </w:r>
    </w:p>
    <w:p>
      <w:pPr>
        <w:sectPr>
          <w:pgSz w:w="11900" w:h="16838" w:orient="portrait"/>
          <w:cols w:equalWidth="0" w:num="1">
            <w:col w:w="11240"/>
          </w:cols>
          <w:pgMar w:left="320" w:top="137"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CYBIN INC.</w:t>
      </w:r>
    </w:p>
    <w:p>
      <w:pPr>
        <w:spacing w:after="0" w:line="26" w:lineRule="exact"/>
        <w:rPr>
          <w:sz w:val="20"/>
          <w:szCs w:val="20"/>
          <w:color w:val="auto"/>
        </w:rPr>
      </w:pPr>
    </w:p>
    <w:p>
      <w:pPr>
        <w:ind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September 30, 2025</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260"/>
        <w:spacing w:after="0" w:line="303" w:lineRule="auto"/>
        <w:rPr>
          <w:sz w:val="20"/>
          <w:szCs w:val="20"/>
          <w:color w:val="auto"/>
        </w:rPr>
      </w:pPr>
      <w:r>
        <w:rPr>
          <w:rFonts w:ascii="Arial" w:cs="Arial" w:eastAsia="Arial" w:hAnsi="Arial"/>
          <w:sz w:val="18"/>
          <w:szCs w:val="18"/>
          <w:color w:val="auto"/>
        </w:rPr>
        <w:t>footnote disclosure normally included in annual financial statements prepared in accordance with IFRS Accounting Standards (“</w:t>
      </w:r>
      <w:r>
        <w:rPr>
          <w:rFonts w:ascii="Arial" w:cs="Arial" w:eastAsia="Arial" w:hAnsi="Arial"/>
          <w:sz w:val="18"/>
          <w:szCs w:val="18"/>
          <w:b w:val="1"/>
          <w:bCs w:val="1"/>
          <w:color w:val="auto"/>
        </w:rPr>
        <w:t>IFRS</w:t>
      </w:r>
      <w:r>
        <w:rPr>
          <w:rFonts w:ascii="Arial" w:cs="Arial" w:eastAsia="Arial" w:hAnsi="Arial"/>
          <w:sz w:val="18"/>
          <w:szCs w:val="18"/>
          <w:color w:val="auto"/>
        </w:rPr>
        <w:t>”) have been omitted or condensed.</w:t>
      </w:r>
    </w:p>
    <w:p>
      <w:pPr>
        <w:spacing w:after="0" w:line="166" w:lineRule="exact"/>
        <w:rPr>
          <w:sz w:val="20"/>
          <w:szCs w:val="20"/>
          <w:color w:val="auto"/>
        </w:rPr>
      </w:pPr>
    </w:p>
    <w:p>
      <w:pPr>
        <w:jc w:val="both"/>
        <w:ind w:left="260"/>
        <w:spacing w:after="0" w:line="276" w:lineRule="auto"/>
        <w:rPr>
          <w:sz w:val="20"/>
          <w:szCs w:val="20"/>
          <w:color w:val="auto"/>
        </w:rPr>
      </w:pPr>
      <w:r>
        <w:rPr>
          <w:rFonts w:ascii="Arial" w:cs="Arial" w:eastAsia="Arial" w:hAnsi="Arial"/>
          <w:sz w:val="18"/>
          <w:szCs w:val="18"/>
          <w:color w:val="auto"/>
        </w:rPr>
        <w:t>The accounting policies adopted in the preparation of the condensed interim consolidated financial statements are consistent with those set out in note 2 “Significant accounting policies and basis of preparation” of the Company’s annual consolidated financial statements for the year ended March 31, 2025.</w:t>
      </w:r>
    </w:p>
    <w:p>
      <w:pPr>
        <w:spacing w:after="0" w:line="204" w:lineRule="exact"/>
        <w:rPr>
          <w:sz w:val="20"/>
          <w:szCs w:val="20"/>
          <w:color w:val="auto"/>
        </w:rPr>
      </w:pPr>
    </w:p>
    <w:p>
      <w:pPr>
        <w:jc w:val="both"/>
        <w:ind w:left="260"/>
        <w:spacing w:after="0" w:line="287" w:lineRule="auto"/>
        <w:rPr>
          <w:sz w:val="20"/>
          <w:szCs w:val="20"/>
          <w:color w:val="auto"/>
        </w:rPr>
      </w:pPr>
      <w:r>
        <w:rPr>
          <w:rFonts w:ascii="Arial" w:cs="Arial" w:eastAsia="Arial" w:hAnsi="Arial"/>
          <w:sz w:val="18"/>
          <w:szCs w:val="18"/>
          <w:color w:val="auto"/>
        </w:rPr>
        <w:t>These condensed interim consolidated financial statements should be read in conjunction with the consolidated financial statements for the year ended March 31, 2025.</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Basis of measurement</w:t>
      </w:r>
    </w:p>
    <w:p>
      <w:pPr>
        <w:spacing w:after="0" w:line="264" w:lineRule="exact"/>
        <w:rPr>
          <w:sz w:val="20"/>
          <w:szCs w:val="20"/>
          <w:color w:val="auto"/>
        </w:rPr>
      </w:pPr>
    </w:p>
    <w:p>
      <w:pPr>
        <w:jc w:val="both"/>
        <w:ind w:left="260"/>
        <w:spacing w:after="0" w:line="303" w:lineRule="auto"/>
        <w:rPr>
          <w:sz w:val="20"/>
          <w:szCs w:val="20"/>
          <w:color w:val="auto"/>
        </w:rPr>
      </w:pPr>
      <w:r>
        <w:rPr>
          <w:rFonts w:ascii="Arial" w:cs="Arial" w:eastAsia="Arial" w:hAnsi="Arial"/>
          <w:sz w:val="18"/>
          <w:szCs w:val="18"/>
          <w:color w:val="auto"/>
        </w:rPr>
        <w:t>These condensed interim consolidated financial statements have been prepared on a going concern basis, under the historical cost convention, except for certain financial instruments classified at fair value upon initial recognition.</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Functional and presentation currency</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These condensed interim consolidated financial statements are presented in United States dollars ("</w:t>
      </w:r>
      <w:r>
        <w:rPr>
          <w:rFonts w:ascii="Arial" w:cs="Arial" w:eastAsia="Arial" w:hAnsi="Arial"/>
          <w:sz w:val="18"/>
          <w:szCs w:val="18"/>
          <w:b w:val="1"/>
          <w:b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U.S. Dollars</w:t>
      </w:r>
      <w:r>
        <w:rPr>
          <w:rFonts w:ascii="Arial" w:cs="Arial" w:eastAsia="Arial" w:hAnsi="Arial"/>
          <w:sz w:val="18"/>
          <w:szCs w:val="18"/>
          <w:color w:val="auto"/>
        </w:rPr>
        <w:t>" or "</w:t>
      </w:r>
      <w:r>
        <w:rPr>
          <w:rFonts w:ascii="Arial" w:cs="Arial" w:eastAsia="Arial" w:hAnsi="Arial"/>
          <w:sz w:val="18"/>
          <w:szCs w:val="18"/>
          <w:b w:val="1"/>
          <w:bCs w:val="1"/>
          <w:color w:val="auto"/>
        </w:rPr>
        <w:t>USD</w:t>
      </w:r>
      <w:r>
        <w:rPr>
          <w:rFonts w:ascii="Arial" w:cs="Arial" w:eastAsia="Arial" w:hAnsi="Arial"/>
          <w:sz w:val="18"/>
          <w:szCs w:val="18"/>
          <w:color w:val="auto"/>
        </w:rPr>
        <w:t>"), the</w:t>
      </w:r>
    </w:p>
    <w:p>
      <w:pPr>
        <w:spacing w:after="0" w:line="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Company’s new presentation currency. The subsidiaries’ functional currencies as of April 1, 2025 are as follows:</w:t>
      </w:r>
    </w:p>
    <w:p>
      <w:pPr>
        <w:spacing w:after="0" w:line="221" w:lineRule="exact"/>
        <w:rPr>
          <w:sz w:val="20"/>
          <w:szCs w:val="20"/>
          <w:color w:val="auto"/>
        </w:rPr>
      </w:pPr>
    </w:p>
    <w:tbl>
      <w:tblPr>
        <w:tblLayout w:type="fixed"/>
        <w:tblInd w:w="260" w:type="dxa"/>
        <w:tblCellMar>
          <w:top w:w="0" w:type="dxa"/>
          <w:left w:w="0" w:type="dxa"/>
          <w:bottom w:w="0" w:type="dxa"/>
          <w:right w:w="0" w:type="dxa"/>
        </w:tblCellMar>
      </w:tblPr>
      <w:tr>
        <w:trPr>
          <w:trHeight w:val="235"/>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Entity</w:t>
            </w:r>
          </w:p>
        </w:tc>
        <w:tc>
          <w:tcPr>
            <w:tcW w:w="3580" w:type="dxa"/>
            <w:vAlign w:val="bottom"/>
            <w:tcBorders>
              <w:bottom w:val="single" w:sz="8" w:color="auto"/>
            </w:tcBorders>
          </w:tcPr>
          <w:p>
            <w:pPr>
              <w:ind w:left="1220"/>
              <w:spacing w:after="0"/>
              <w:rPr>
                <w:sz w:val="20"/>
                <w:szCs w:val="20"/>
                <w:color w:val="auto"/>
              </w:rPr>
            </w:pPr>
            <w:r>
              <w:rPr>
                <w:rFonts w:ascii="Arial" w:cs="Arial" w:eastAsia="Arial" w:hAnsi="Arial"/>
                <w:sz w:val="18"/>
                <w:szCs w:val="18"/>
                <w:b w:val="1"/>
                <w:bCs w:val="1"/>
                <w:color w:val="auto"/>
              </w:rPr>
              <w:t>Currency</w:t>
            </w:r>
          </w:p>
        </w:tc>
        <w:tc>
          <w:tcPr>
            <w:tcW w:w="406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Ownership</w:t>
            </w:r>
          </w:p>
        </w:tc>
      </w:tr>
      <w:tr>
        <w:trPr>
          <w:trHeight w:val="218"/>
        </w:trPr>
        <w:tc>
          <w:tcPr>
            <w:tcW w:w="2820" w:type="dxa"/>
            <w:vAlign w:val="bottom"/>
          </w:tcPr>
          <w:p>
            <w:pPr>
              <w:ind w:left="20"/>
              <w:spacing w:after="0"/>
              <w:rPr>
                <w:sz w:val="20"/>
                <w:szCs w:val="20"/>
                <w:color w:val="auto"/>
              </w:rPr>
            </w:pPr>
            <w:r>
              <w:rPr>
                <w:rFonts w:ascii="Arial" w:cs="Arial" w:eastAsia="Arial" w:hAnsi="Arial"/>
                <w:sz w:val="18"/>
                <w:szCs w:val="18"/>
                <w:color w:val="auto"/>
              </w:rPr>
              <w:t>Cybin Corp.</w:t>
            </w:r>
          </w:p>
        </w:tc>
        <w:tc>
          <w:tcPr>
            <w:tcW w:w="3580" w:type="dxa"/>
            <w:vAlign w:val="bottom"/>
          </w:tcPr>
          <w:p>
            <w:pPr>
              <w:ind w:left="1220"/>
              <w:spacing w:after="0"/>
              <w:rPr>
                <w:sz w:val="20"/>
                <w:szCs w:val="20"/>
                <w:color w:val="auto"/>
              </w:rPr>
            </w:pPr>
            <w:r>
              <w:rPr>
                <w:rFonts w:ascii="Arial" w:cs="Arial" w:eastAsia="Arial" w:hAnsi="Arial"/>
                <w:sz w:val="18"/>
                <w:szCs w:val="18"/>
                <w:color w:val="auto"/>
              </w:rPr>
              <w:t>U.S. dollars</w:t>
            </w:r>
          </w:p>
        </w:tc>
        <w:tc>
          <w:tcPr>
            <w:tcW w:w="4060" w:type="dxa"/>
            <w:vAlign w:val="bottom"/>
          </w:tcPr>
          <w:p>
            <w:pPr>
              <w:ind w:left="680"/>
              <w:spacing w:after="0"/>
              <w:rPr>
                <w:sz w:val="20"/>
                <w:szCs w:val="20"/>
                <w:color w:val="auto"/>
              </w:rPr>
            </w:pPr>
            <w:r>
              <w:rPr>
                <w:rFonts w:ascii="Arial" w:cs="Arial" w:eastAsia="Arial" w:hAnsi="Arial"/>
                <w:sz w:val="18"/>
                <w:szCs w:val="18"/>
                <w:color w:val="auto"/>
              </w:rPr>
              <w:t>100%</w:t>
            </w:r>
          </w:p>
        </w:tc>
      </w:tr>
      <w:tr>
        <w:trPr>
          <w:trHeight w:val="322"/>
        </w:trPr>
        <w:tc>
          <w:tcPr>
            <w:tcW w:w="2820" w:type="dxa"/>
            <w:vAlign w:val="bottom"/>
          </w:tcPr>
          <w:p>
            <w:pPr>
              <w:ind w:left="20"/>
              <w:spacing w:after="0"/>
              <w:rPr>
                <w:sz w:val="20"/>
                <w:szCs w:val="20"/>
                <w:color w:val="auto"/>
              </w:rPr>
            </w:pPr>
            <w:r>
              <w:rPr>
                <w:rFonts w:ascii="Arial" w:cs="Arial" w:eastAsia="Arial" w:hAnsi="Arial"/>
                <w:sz w:val="18"/>
                <w:szCs w:val="18"/>
                <w:color w:val="auto"/>
              </w:rPr>
              <w:t>Journey</w:t>
            </w:r>
            <w:r>
              <w:rPr>
                <w:rFonts w:ascii="Arial" w:cs="Arial" w:eastAsia="Arial" w:hAnsi="Arial"/>
                <w:sz w:val="23"/>
                <w:szCs w:val="23"/>
                <w:color w:val="auto"/>
                <w:vertAlign w:val="superscript"/>
              </w:rPr>
              <w:t>1</w:t>
            </w:r>
          </w:p>
        </w:tc>
        <w:tc>
          <w:tcPr>
            <w:tcW w:w="3580" w:type="dxa"/>
            <w:vAlign w:val="bottom"/>
          </w:tcPr>
          <w:p>
            <w:pPr>
              <w:ind w:left="1220"/>
              <w:spacing w:after="0"/>
              <w:rPr>
                <w:sz w:val="20"/>
                <w:szCs w:val="20"/>
                <w:color w:val="auto"/>
              </w:rPr>
            </w:pPr>
            <w:r>
              <w:rPr>
                <w:rFonts w:ascii="Arial" w:cs="Arial" w:eastAsia="Arial" w:hAnsi="Arial"/>
                <w:sz w:val="18"/>
                <w:szCs w:val="18"/>
                <w:color w:val="auto"/>
              </w:rPr>
              <w:t>Canadian dollars</w:t>
            </w:r>
          </w:p>
        </w:tc>
        <w:tc>
          <w:tcPr>
            <w:tcW w:w="4060" w:type="dxa"/>
            <w:vAlign w:val="bottom"/>
          </w:tcPr>
          <w:p>
            <w:pPr>
              <w:ind w:left="680"/>
              <w:spacing w:after="0"/>
              <w:rPr>
                <w:sz w:val="20"/>
                <w:szCs w:val="20"/>
                <w:color w:val="auto"/>
              </w:rPr>
            </w:pPr>
            <w:r>
              <w:rPr>
                <w:rFonts w:ascii="Arial" w:cs="Arial" w:eastAsia="Arial" w:hAnsi="Arial"/>
                <w:sz w:val="18"/>
                <w:szCs w:val="18"/>
                <w:color w:val="auto"/>
              </w:rPr>
              <w:t>100%</w:t>
            </w:r>
          </w:p>
        </w:tc>
      </w:tr>
      <w:tr>
        <w:trPr>
          <w:trHeight w:val="394"/>
        </w:trPr>
        <w:tc>
          <w:tcPr>
            <w:tcW w:w="2820" w:type="dxa"/>
            <w:vAlign w:val="bottom"/>
          </w:tcPr>
          <w:p>
            <w:pPr>
              <w:ind w:left="20"/>
              <w:spacing w:after="0"/>
              <w:rPr>
                <w:sz w:val="20"/>
                <w:szCs w:val="20"/>
                <w:color w:val="auto"/>
              </w:rPr>
            </w:pPr>
            <w:r>
              <w:rPr>
                <w:rFonts w:ascii="Arial" w:cs="Arial" w:eastAsia="Arial" w:hAnsi="Arial"/>
                <w:sz w:val="18"/>
                <w:szCs w:val="18"/>
                <w:color w:val="auto"/>
              </w:rPr>
              <w:t>Serenity</w:t>
            </w:r>
            <w:r>
              <w:rPr>
                <w:rFonts w:ascii="Arial" w:cs="Arial" w:eastAsia="Arial" w:hAnsi="Arial"/>
                <w:sz w:val="23"/>
                <w:szCs w:val="23"/>
                <w:color w:val="auto"/>
                <w:vertAlign w:val="superscript"/>
              </w:rPr>
              <w:t>1</w:t>
            </w:r>
          </w:p>
        </w:tc>
        <w:tc>
          <w:tcPr>
            <w:tcW w:w="3580" w:type="dxa"/>
            <w:vAlign w:val="bottom"/>
          </w:tcPr>
          <w:p>
            <w:pPr>
              <w:ind w:left="1220"/>
              <w:spacing w:after="0"/>
              <w:rPr>
                <w:sz w:val="20"/>
                <w:szCs w:val="20"/>
                <w:color w:val="auto"/>
              </w:rPr>
            </w:pPr>
            <w:r>
              <w:rPr>
                <w:rFonts w:ascii="Arial" w:cs="Arial" w:eastAsia="Arial" w:hAnsi="Arial"/>
                <w:sz w:val="18"/>
                <w:szCs w:val="18"/>
                <w:color w:val="auto"/>
              </w:rPr>
              <w:t>Canadian dollars</w:t>
            </w:r>
          </w:p>
        </w:tc>
        <w:tc>
          <w:tcPr>
            <w:tcW w:w="4060" w:type="dxa"/>
            <w:vAlign w:val="bottom"/>
          </w:tcPr>
          <w:p>
            <w:pPr>
              <w:ind w:left="680"/>
              <w:spacing w:after="0"/>
              <w:rPr>
                <w:sz w:val="20"/>
                <w:szCs w:val="20"/>
                <w:color w:val="auto"/>
              </w:rPr>
            </w:pPr>
            <w:r>
              <w:rPr>
                <w:rFonts w:ascii="Arial" w:cs="Arial" w:eastAsia="Arial" w:hAnsi="Arial"/>
                <w:sz w:val="18"/>
                <w:szCs w:val="18"/>
                <w:color w:val="auto"/>
              </w:rPr>
              <w:t>100%</w:t>
            </w:r>
          </w:p>
        </w:tc>
      </w:tr>
      <w:tr>
        <w:trPr>
          <w:trHeight w:val="284"/>
        </w:trPr>
        <w:tc>
          <w:tcPr>
            <w:tcW w:w="2820" w:type="dxa"/>
            <w:vAlign w:val="bottom"/>
          </w:tcPr>
          <w:p>
            <w:pPr>
              <w:ind w:left="20"/>
              <w:spacing w:after="0"/>
              <w:rPr>
                <w:sz w:val="20"/>
                <w:szCs w:val="20"/>
                <w:color w:val="auto"/>
              </w:rPr>
            </w:pPr>
            <w:r>
              <w:rPr>
                <w:rFonts w:ascii="Arial" w:cs="Arial" w:eastAsia="Arial" w:hAnsi="Arial"/>
                <w:sz w:val="18"/>
                <w:szCs w:val="18"/>
                <w:color w:val="auto"/>
              </w:rPr>
              <w:t>Cybin US</w:t>
            </w:r>
          </w:p>
        </w:tc>
        <w:tc>
          <w:tcPr>
            <w:tcW w:w="3580" w:type="dxa"/>
            <w:vAlign w:val="bottom"/>
          </w:tcPr>
          <w:p>
            <w:pPr>
              <w:ind w:left="1220"/>
              <w:spacing w:after="0"/>
              <w:rPr>
                <w:sz w:val="20"/>
                <w:szCs w:val="20"/>
                <w:color w:val="auto"/>
              </w:rPr>
            </w:pPr>
            <w:r>
              <w:rPr>
                <w:rFonts w:ascii="Arial" w:cs="Arial" w:eastAsia="Arial" w:hAnsi="Arial"/>
                <w:sz w:val="18"/>
                <w:szCs w:val="18"/>
                <w:color w:val="auto"/>
              </w:rPr>
              <w:t>U.S. dollars</w:t>
            </w:r>
          </w:p>
        </w:tc>
        <w:tc>
          <w:tcPr>
            <w:tcW w:w="4060" w:type="dxa"/>
            <w:vAlign w:val="bottom"/>
          </w:tcPr>
          <w:p>
            <w:pPr>
              <w:ind w:left="680"/>
              <w:spacing w:after="0"/>
              <w:rPr>
                <w:sz w:val="20"/>
                <w:szCs w:val="20"/>
                <w:color w:val="auto"/>
              </w:rPr>
            </w:pPr>
            <w:r>
              <w:rPr>
                <w:rFonts w:ascii="Arial" w:cs="Arial" w:eastAsia="Arial" w:hAnsi="Arial"/>
                <w:sz w:val="18"/>
                <w:szCs w:val="18"/>
                <w:color w:val="auto"/>
              </w:rPr>
              <w:t>100%</w:t>
            </w:r>
          </w:p>
        </w:tc>
      </w:tr>
      <w:tr>
        <w:trPr>
          <w:trHeight w:val="230"/>
        </w:trPr>
        <w:tc>
          <w:tcPr>
            <w:tcW w:w="2820" w:type="dxa"/>
            <w:vAlign w:val="bottom"/>
          </w:tcPr>
          <w:p>
            <w:pPr>
              <w:ind w:left="20"/>
              <w:spacing w:after="0"/>
              <w:rPr>
                <w:sz w:val="20"/>
                <w:szCs w:val="20"/>
                <w:color w:val="auto"/>
              </w:rPr>
            </w:pPr>
            <w:r>
              <w:rPr>
                <w:rFonts w:ascii="Arial" w:cs="Arial" w:eastAsia="Arial" w:hAnsi="Arial"/>
                <w:sz w:val="18"/>
                <w:szCs w:val="18"/>
                <w:color w:val="auto"/>
              </w:rPr>
              <w:t>Adelia</w:t>
            </w:r>
          </w:p>
        </w:tc>
        <w:tc>
          <w:tcPr>
            <w:tcW w:w="3580" w:type="dxa"/>
            <w:vAlign w:val="bottom"/>
          </w:tcPr>
          <w:p>
            <w:pPr>
              <w:ind w:left="1220"/>
              <w:spacing w:after="0"/>
              <w:rPr>
                <w:sz w:val="20"/>
                <w:szCs w:val="20"/>
                <w:color w:val="auto"/>
              </w:rPr>
            </w:pPr>
            <w:r>
              <w:rPr>
                <w:rFonts w:ascii="Arial" w:cs="Arial" w:eastAsia="Arial" w:hAnsi="Arial"/>
                <w:sz w:val="18"/>
                <w:szCs w:val="18"/>
                <w:color w:val="auto"/>
              </w:rPr>
              <w:t>U.S. dollars</w:t>
            </w:r>
          </w:p>
        </w:tc>
        <w:tc>
          <w:tcPr>
            <w:tcW w:w="4060" w:type="dxa"/>
            <w:vAlign w:val="bottom"/>
          </w:tcPr>
          <w:p>
            <w:pPr>
              <w:ind w:left="680"/>
              <w:spacing w:after="0"/>
              <w:rPr>
                <w:sz w:val="20"/>
                <w:szCs w:val="20"/>
                <w:color w:val="auto"/>
              </w:rPr>
            </w:pPr>
            <w:r>
              <w:rPr>
                <w:rFonts w:ascii="Arial" w:cs="Arial" w:eastAsia="Arial" w:hAnsi="Arial"/>
                <w:sz w:val="18"/>
                <w:szCs w:val="18"/>
                <w:color w:val="auto"/>
              </w:rPr>
              <w:t>100%</w:t>
            </w:r>
          </w:p>
        </w:tc>
      </w:tr>
      <w:tr>
        <w:trPr>
          <w:trHeight w:val="239"/>
        </w:trPr>
        <w:tc>
          <w:tcPr>
            <w:tcW w:w="2820" w:type="dxa"/>
            <w:vAlign w:val="bottom"/>
          </w:tcPr>
          <w:p>
            <w:pPr>
              <w:ind w:left="20"/>
              <w:spacing w:after="0"/>
              <w:rPr>
                <w:sz w:val="20"/>
                <w:szCs w:val="20"/>
                <w:color w:val="auto"/>
              </w:rPr>
            </w:pPr>
            <w:r>
              <w:rPr>
                <w:rFonts w:ascii="Arial" w:cs="Arial" w:eastAsia="Arial" w:hAnsi="Arial"/>
                <w:sz w:val="18"/>
                <w:szCs w:val="18"/>
                <w:color w:val="auto"/>
              </w:rPr>
              <w:t>Cybin IRL</w:t>
            </w:r>
          </w:p>
        </w:tc>
        <w:tc>
          <w:tcPr>
            <w:tcW w:w="3580" w:type="dxa"/>
            <w:vAlign w:val="bottom"/>
          </w:tcPr>
          <w:p>
            <w:pPr>
              <w:ind w:left="1220"/>
              <w:spacing w:after="0"/>
              <w:rPr>
                <w:sz w:val="20"/>
                <w:szCs w:val="20"/>
                <w:color w:val="auto"/>
              </w:rPr>
            </w:pPr>
            <w:r>
              <w:rPr>
                <w:rFonts w:ascii="Arial" w:cs="Arial" w:eastAsia="Arial" w:hAnsi="Arial"/>
                <w:sz w:val="18"/>
                <w:szCs w:val="18"/>
                <w:color w:val="auto"/>
              </w:rPr>
              <w:t>U.S. dollars</w:t>
            </w:r>
          </w:p>
        </w:tc>
        <w:tc>
          <w:tcPr>
            <w:tcW w:w="4060" w:type="dxa"/>
            <w:vAlign w:val="bottom"/>
          </w:tcPr>
          <w:p>
            <w:pPr>
              <w:ind w:left="680"/>
              <w:spacing w:after="0"/>
              <w:rPr>
                <w:sz w:val="20"/>
                <w:szCs w:val="20"/>
                <w:color w:val="auto"/>
              </w:rPr>
            </w:pPr>
            <w:r>
              <w:rPr>
                <w:rFonts w:ascii="Arial" w:cs="Arial" w:eastAsia="Arial" w:hAnsi="Arial"/>
                <w:sz w:val="18"/>
                <w:szCs w:val="18"/>
                <w:color w:val="auto"/>
              </w:rPr>
              <w:t>100%</w:t>
            </w:r>
          </w:p>
        </w:tc>
      </w:tr>
      <w:tr>
        <w:trPr>
          <w:trHeight w:val="314"/>
        </w:trPr>
        <w:tc>
          <w:tcPr>
            <w:tcW w:w="2820" w:type="dxa"/>
            <w:vAlign w:val="bottom"/>
          </w:tcPr>
          <w:p>
            <w:pPr>
              <w:ind w:left="20"/>
              <w:spacing w:after="0"/>
              <w:rPr>
                <w:sz w:val="20"/>
                <w:szCs w:val="20"/>
                <w:color w:val="auto"/>
              </w:rPr>
            </w:pPr>
            <w:r>
              <w:rPr>
                <w:rFonts w:ascii="Arial" w:cs="Arial" w:eastAsia="Arial" w:hAnsi="Arial"/>
                <w:sz w:val="18"/>
                <w:szCs w:val="18"/>
                <w:color w:val="auto"/>
              </w:rPr>
              <w:t>Cybin UK Ltd</w:t>
            </w:r>
            <w:r>
              <w:rPr>
                <w:rFonts w:ascii="Arial" w:cs="Arial" w:eastAsia="Arial" w:hAnsi="Arial"/>
                <w:sz w:val="23"/>
                <w:szCs w:val="23"/>
                <w:color w:val="auto"/>
                <w:vertAlign w:val="superscript"/>
              </w:rPr>
              <w:t>.</w:t>
            </w:r>
          </w:p>
        </w:tc>
        <w:tc>
          <w:tcPr>
            <w:tcW w:w="3580" w:type="dxa"/>
            <w:vAlign w:val="bottom"/>
          </w:tcPr>
          <w:p>
            <w:pPr>
              <w:ind w:left="1220"/>
              <w:spacing w:after="0"/>
              <w:rPr>
                <w:sz w:val="20"/>
                <w:szCs w:val="20"/>
                <w:color w:val="auto"/>
              </w:rPr>
            </w:pPr>
            <w:r>
              <w:rPr>
                <w:rFonts w:ascii="Arial" w:cs="Arial" w:eastAsia="Arial" w:hAnsi="Arial"/>
                <w:sz w:val="18"/>
                <w:szCs w:val="18"/>
                <w:color w:val="auto"/>
              </w:rPr>
              <w:t>Great Britain pounds</w:t>
            </w:r>
          </w:p>
        </w:tc>
        <w:tc>
          <w:tcPr>
            <w:tcW w:w="4060" w:type="dxa"/>
            <w:vAlign w:val="bottom"/>
          </w:tcPr>
          <w:p>
            <w:pPr>
              <w:ind w:left="680"/>
              <w:spacing w:after="0"/>
              <w:rPr>
                <w:sz w:val="20"/>
                <w:szCs w:val="20"/>
                <w:color w:val="auto"/>
              </w:rPr>
            </w:pPr>
            <w:r>
              <w:rPr>
                <w:rFonts w:ascii="Arial" w:cs="Arial" w:eastAsia="Arial" w:hAnsi="Arial"/>
                <w:sz w:val="18"/>
                <w:szCs w:val="18"/>
                <w:color w:val="auto"/>
              </w:rPr>
              <w:t>100%</w:t>
            </w:r>
          </w:p>
        </w:tc>
      </w:tr>
      <w:tr>
        <w:trPr>
          <w:trHeight w:val="353"/>
        </w:trPr>
        <w:tc>
          <w:tcPr>
            <w:tcW w:w="2820" w:type="dxa"/>
            <w:vAlign w:val="bottom"/>
          </w:tcPr>
          <w:p>
            <w:pPr>
              <w:ind w:left="20"/>
              <w:spacing w:after="0"/>
              <w:rPr>
                <w:sz w:val="20"/>
                <w:szCs w:val="20"/>
                <w:color w:val="auto"/>
              </w:rPr>
            </w:pPr>
            <w:r>
              <w:rPr>
                <w:rFonts w:ascii="Arial" w:cs="Arial" w:eastAsia="Arial" w:hAnsi="Arial"/>
                <w:sz w:val="18"/>
                <w:szCs w:val="18"/>
                <w:color w:val="auto"/>
              </w:rPr>
              <w:t>Cybin International</w:t>
            </w:r>
            <w:r>
              <w:rPr>
                <w:rFonts w:ascii="Times New Roman" w:cs="Times New Roman" w:eastAsia="Times New Roman" w:hAnsi="Times New Roman"/>
                <w:sz w:val="28"/>
                <w:szCs w:val="28"/>
                <w:color w:val="auto"/>
                <w:vertAlign w:val="superscript"/>
              </w:rPr>
              <w:t>2</w:t>
            </w:r>
          </w:p>
        </w:tc>
        <w:tc>
          <w:tcPr>
            <w:tcW w:w="3580" w:type="dxa"/>
            <w:vAlign w:val="bottom"/>
          </w:tcPr>
          <w:p>
            <w:pPr>
              <w:ind w:left="1220"/>
              <w:spacing w:after="0"/>
              <w:rPr>
                <w:sz w:val="20"/>
                <w:szCs w:val="20"/>
                <w:color w:val="auto"/>
              </w:rPr>
            </w:pPr>
            <w:r>
              <w:rPr>
                <w:rFonts w:ascii="Arial" w:cs="Arial" w:eastAsia="Arial" w:hAnsi="Arial"/>
                <w:sz w:val="18"/>
                <w:szCs w:val="18"/>
                <w:color w:val="auto"/>
              </w:rPr>
              <w:t>U.S. dollars</w:t>
            </w:r>
          </w:p>
        </w:tc>
        <w:tc>
          <w:tcPr>
            <w:tcW w:w="4060" w:type="dxa"/>
            <w:vAlign w:val="bottom"/>
          </w:tcPr>
          <w:p>
            <w:pPr>
              <w:ind w:left="680"/>
              <w:spacing w:after="0"/>
              <w:rPr>
                <w:sz w:val="20"/>
                <w:szCs w:val="20"/>
                <w:color w:val="auto"/>
              </w:rPr>
            </w:pPr>
            <w:r>
              <w:rPr>
                <w:rFonts w:ascii="Arial" w:cs="Arial" w:eastAsia="Arial" w:hAnsi="Arial"/>
                <w:sz w:val="18"/>
                <w:szCs w:val="18"/>
                <w:color w:val="auto"/>
              </w:rPr>
              <w:t>100%</w:t>
            </w:r>
          </w:p>
        </w:tc>
      </w:tr>
    </w:tbl>
    <w:p>
      <w:pPr>
        <w:ind w:left="340" w:hanging="88"/>
        <w:spacing w:after="0" w:line="202" w:lineRule="auto"/>
        <w:tabs>
          <w:tab w:leader="none" w:pos="340" w:val="left"/>
        </w:tabs>
        <w:numPr>
          <w:ilvl w:val="0"/>
          <w:numId w:val="3"/>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Effective June 4, 2025, the Company completed the formal dissolution of this wholly-owned subsidiary</w:t>
      </w:r>
    </w:p>
    <w:p>
      <w:pPr>
        <w:ind w:left="260"/>
        <w:spacing w:after="0"/>
        <w:rPr>
          <w:rFonts w:ascii="Arial" w:cs="Arial" w:eastAsia="Arial" w:hAnsi="Arial"/>
          <w:sz w:val="19"/>
          <w:szCs w:val="19"/>
          <w:i w:val="1"/>
          <w:iCs w:val="1"/>
          <w:color w:val="auto"/>
          <w:vertAlign w:val="superscript"/>
        </w:rPr>
      </w:pPr>
      <w:r>
        <w:rPr>
          <w:rFonts w:ascii="Arial" w:cs="Arial" w:eastAsia="Arial" w:hAnsi="Arial"/>
          <w:sz w:val="18"/>
          <w:szCs w:val="18"/>
          <w:i w:val="1"/>
          <w:iCs w:val="1"/>
          <w:color w:val="auto"/>
          <w:vertAlign w:val="superscript"/>
        </w:rPr>
        <w:t>2</w:t>
      </w:r>
      <w:r>
        <w:rPr>
          <w:rFonts w:ascii="Arial" w:cs="Arial" w:eastAsia="Arial" w:hAnsi="Arial"/>
          <w:sz w:val="14"/>
          <w:szCs w:val="14"/>
          <w:i w:val="1"/>
          <w:iCs w:val="1"/>
          <w:color w:val="auto"/>
        </w:rPr>
        <w:t xml:space="preserve"> Cybin International was incorporated on September 1, 2025</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Change in presentation currency</w:t>
      </w:r>
    </w:p>
    <w:p>
      <w:pPr>
        <w:spacing w:after="0" w:line="169" w:lineRule="exact"/>
        <w:rPr>
          <w:sz w:val="20"/>
          <w:szCs w:val="20"/>
          <w:color w:val="auto"/>
        </w:rPr>
      </w:pPr>
    </w:p>
    <w:p>
      <w:pPr>
        <w:jc w:val="both"/>
        <w:ind w:left="260"/>
        <w:spacing w:after="0" w:line="283" w:lineRule="auto"/>
        <w:rPr>
          <w:sz w:val="20"/>
          <w:szCs w:val="20"/>
          <w:color w:val="auto"/>
        </w:rPr>
      </w:pPr>
      <w:r>
        <w:rPr>
          <w:rFonts w:ascii="Arial" w:cs="Arial" w:eastAsia="Arial" w:hAnsi="Arial"/>
          <w:sz w:val="18"/>
          <w:szCs w:val="18"/>
          <w:color w:val="auto"/>
        </w:rPr>
        <w:t>Effective April 1, 2025, the Company changed its presentation currency from Canadian dollars ("</w:t>
      </w:r>
      <w:r>
        <w:rPr>
          <w:rFonts w:ascii="Arial" w:cs="Arial" w:eastAsia="Arial" w:hAnsi="Arial"/>
          <w:sz w:val="18"/>
          <w:szCs w:val="18"/>
          <w:b w:val="1"/>
          <w:bCs w:val="1"/>
          <w:color w:val="auto"/>
        </w:rPr>
        <w:t>C$</w:t>
      </w:r>
      <w:r>
        <w:rPr>
          <w:rFonts w:ascii="Arial" w:cs="Arial" w:eastAsia="Arial" w:hAnsi="Arial"/>
          <w:sz w:val="18"/>
          <w:szCs w:val="18"/>
          <w:color w:val="auto"/>
        </w:rPr>
        <w:t>" or "</w:t>
      </w:r>
      <w:r>
        <w:rPr>
          <w:rFonts w:ascii="Arial" w:cs="Arial" w:eastAsia="Arial" w:hAnsi="Arial"/>
          <w:sz w:val="18"/>
          <w:szCs w:val="18"/>
          <w:b w:val="1"/>
          <w:bCs w:val="1"/>
          <w:color w:val="auto"/>
        </w:rPr>
        <w:t>CAD</w:t>
      </w:r>
      <w:r>
        <w:rPr>
          <w:rFonts w:ascii="Arial" w:cs="Arial" w:eastAsia="Arial" w:hAnsi="Arial"/>
          <w:sz w:val="18"/>
          <w:szCs w:val="18"/>
          <w:color w:val="auto"/>
        </w:rPr>
        <w:t>") to USD to better reflect the Company's operations, align with the currency in which the majority of cash based expenses are denominated, and improve comparability of its financial results with other publicly traded businesses in the industry. In accordance with IAS 21.39, prior-period comparative financial statement amounts have been translated as follows:</w:t>
      </w:r>
    </w:p>
    <w:p>
      <w:pPr>
        <w:spacing w:after="0" w:line="144" w:lineRule="exact"/>
        <w:rPr>
          <w:sz w:val="20"/>
          <w:szCs w:val="20"/>
          <w:color w:val="auto"/>
        </w:rPr>
      </w:pPr>
    </w:p>
    <w:p>
      <w:pPr>
        <w:ind w:left="860" w:hanging="28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Assets and liabilities at comparative balance sheet dates were translated at the closing rate on those dates.</w:t>
      </w:r>
    </w:p>
    <w:p>
      <w:pPr>
        <w:spacing w:after="0" w:line="31" w:lineRule="exact"/>
        <w:rPr>
          <w:rFonts w:ascii="Arial" w:cs="Arial" w:eastAsia="Arial" w:hAnsi="Arial"/>
          <w:sz w:val="18"/>
          <w:szCs w:val="18"/>
          <w:color w:val="auto"/>
        </w:rPr>
      </w:pPr>
    </w:p>
    <w:p>
      <w:pPr>
        <w:ind w:left="900" w:hanging="324"/>
        <w:spacing w:after="0" w:line="217" w:lineRule="auto"/>
        <w:tabs>
          <w:tab w:leader="none" w:pos="90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Income and expense items for prior periods were translated using the average rate for the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Page 8 of 26</w:t>
      </w:r>
    </w:p>
    <w:p>
      <w:pPr>
        <w:sectPr>
          <w:pgSz w:w="11900" w:h="16838" w:orient="portrait"/>
          <w:cols w:equalWidth="0" w:num="1">
            <w:col w:w="11160"/>
          </w:cols>
          <w:pgMar w:left="400" w:top="233"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CYBIN INC.</w:t>
      </w:r>
    </w:p>
    <w:p>
      <w:pPr>
        <w:spacing w:after="0" w:line="26" w:lineRule="exact"/>
        <w:rPr>
          <w:sz w:val="20"/>
          <w:szCs w:val="20"/>
          <w:color w:val="auto"/>
        </w:rPr>
      </w:pPr>
    </w:p>
    <w:p>
      <w:pPr>
        <w:ind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September 30, 2025</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00" w:hanging="324"/>
        <w:spacing w:after="0"/>
        <w:tabs>
          <w:tab w:leader="none" w:pos="90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Equity transactions were translated at the historical rates on the dates they occurred.</w:t>
      </w:r>
    </w:p>
    <w:p>
      <w:pPr>
        <w:spacing w:after="0" w:line="153" w:lineRule="exact"/>
        <w:rPr>
          <w:sz w:val="20"/>
          <w:szCs w:val="20"/>
          <w:color w:val="auto"/>
        </w:rPr>
      </w:pPr>
    </w:p>
    <w:p>
      <w:pPr>
        <w:ind w:left="260" w:right="180"/>
        <w:spacing w:after="0" w:line="318" w:lineRule="auto"/>
        <w:rPr>
          <w:sz w:val="20"/>
          <w:szCs w:val="20"/>
          <w:color w:val="auto"/>
        </w:rPr>
      </w:pPr>
      <w:r>
        <w:rPr>
          <w:rFonts w:ascii="Arial" w:cs="Arial" w:eastAsia="Arial" w:hAnsi="Arial"/>
          <w:sz w:val="18"/>
          <w:szCs w:val="18"/>
          <w:color w:val="auto"/>
        </w:rPr>
        <w:t>These adjustments are for presentation purposes only and did not result in a restatement of previously issued Canadian dollar financial statements.</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Change in functional currency</w:t>
      </w:r>
    </w:p>
    <w:p>
      <w:pPr>
        <w:spacing w:after="0" w:line="183" w:lineRule="exact"/>
        <w:rPr>
          <w:sz w:val="20"/>
          <w:szCs w:val="20"/>
          <w:color w:val="auto"/>
        </w:rPr>
      </w:pPr>
    </w:p>
    <w:p>
      <w:pPr>
        <w:jc w:val="both"/>
        <w:ind w:left="260"/>
        <w:spacing w:after="0" w:line="303" w:lineRule="auto"/>
        <w:rPr>
          <w:sz w:val="20"/>
          <w:szCs w:val="20"/>
          <w:color w:val="auto"/>
        </w:rPr>
      </w:pPr>
      <w:r>
        <w:rPr>
          <w:rFonts w:ascii="Arial" w:cs="Arial" w:eastAsia="Arial" w:hAnsi="Arial"/>
          <w:sz w:val="18"/>
          <w:szCs w:val="18"/>
          <w:color w:val="auto"/>
        </w:rPr>
        <w:t>The functional currency of a company is the currency of the primary economic environment in which the company operates. The presentation currency for a company is the currency in which the company chooses to present its financial statements.</w:t>
      </w:r>
    </w:p>
    <w:p>
      <w:pPr>
        <w:spacing w:after="0" w:line="125" w:lineRule="exact"/>
        <w:rPr>
          <w:sz w:val="20"/>
          <w:szCs w:val="20"/>
          <w:color w:val="auto"/>
        </w:rPr>
      </w:pPr>
    </w:p>
    <w:p>
      <w:pPr>
        <w:jc w:val="both"/>
        <w:ind w:left="260"/>
        <w:spacing w:after="0" w:line="284" w:lineRule="auto"/>
        <w:rPr>
          <w:sz w:val="20"/>
          <w:szCs w:val="20"/>
          <w:color w:val="auto"/>
        </w:rPr>
      </w:pPr>
      <w:r>
        <w:rPr>
          <w:rFonts w:ascii="Arial" w:cs="Arial" w:eastAsia="Arial" w:hAnsi="Arial"/>
          <w:sz w:val="18"/>
          <w:szCs w:val="18"/>
          <w:color w:val="auto"/>
        </w:rPr>
        <w:t>Effective April 1, 2025, the Company changed the functional currency of Cybin Inc., Cybin Corp., and Cybin US (the "</w:t>
      </w:r>
      <w:r>
        <w:rPr>
          <w:rFonts w:ascii="Arial" w:cs="Arial" w:eastAsia="Arial" w:hAnsi="Arial"/>
          <w:sz w:val="18"/>
          <w:szCs w:val="18"/>
          <w:b w:val="1"/>
          <w:bCs w:val="1"/>
          <w:color w:val="auto"/>
        </w:rPr>
        <w:t>Affected Entities</w:t>
      </w:r>
      <w:r>
        <w:rPr>
          <w:rFonts w:ascii="Arial" w:cs="Arial" w:eastAsia="Arial" w:hAnsi="Arial"/>
          <w:sz w:val="18"/>
          <w:szCs w:val="18"/>
          <w:color w:val="auto"/>
        </w:rPr>
        <w:t>") from Canadian dollars to United States dollars. This change was driven by a shift in the primary economic environment in which these entities operate, including changes in the currency of underlying transactions such as purchases, and financing activities.</w:t>
      </w:r>
    </w:p>
    <w:p>
      <w:pPr>
        <w:spacing w:after="0" w:line="143" w:lineRule="exact"/>
        <w:rPr>
          <w:sz w:val="20"/>
          <w:szCs w:val="20"/>
          <w:color w:val="auto"/>
        </w:rPr>
      </w:pPr>
    </w:p>
    <w:p>
      <w:pPr>
        <w:ind w:left="260" w:right="500"/>
        <w:spacing w:after="0" w:line="303" w:lineRule="auto"/>
        <w:rPr>
          <w:sz w:val="20"/>
          <w:szCs w:val="20"/>
          <w:color w:val="auto"/>
        </w:rPr>
      </w:pPr>
      <w:r>
        <w:rPr>
          <w:rFonts w:ascii="Arial" w:cs="Arial" w:eastAsia="Arial" w:hAnsi="Arial"/>
          <w:sz w:val="18"/>
          <w:szCs w:val="18"/>
          <w:color w:val="auto"/>
        </w:rPr>
        <w:t>In accordance with IAS 21 The Effects of Changes in Foreign Exchange Rates, the change in functional currency has been applied prospectively from April 1, 2025, and on that date:</w:t>
      </w:r>
    </w:p>
    <w:p>
      <w:pPr>
        <w:spacing w:after="0" w:line="125" w:lineRule="exact"/>
        <w:rPr>
          <w:sz w:val="20"/>
          <w:szCs w:val="20"/>
          <w:color w:val="auto"/>
        </w:rPr>
      </w:pPr>
    </w:p>
    <w:p>
      <w:pPr>
        <w:ind w:left="900" w:right="140" w:hanging="324"/>
        <w:spacing w:after="0" w:line="271" w:lineRule="auto"/>
        <w:tabs>
          <w:tab w:leader="none" w:pos="868"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assets, liabilities, and equity balances were translated from CAD to USD using the spot exchange rate on the date of change (1 CAD = 0.6956 USD).</w:t>
      </w:r>
    </w:p>
    <w:p>
      <w:pPr>
        <w:spacing w:after="0" w:line="17" w:lineRule="exact"/>
        <w:rPr>
          <w:rFonts w:ascii="Arial" w:cs="Arial" w:eastAsia="Arial" w:hAnsi="Arial"/>
          <w:sz w:val="18"/>
          <w:szCs w:val="18"/>
          <w:color w:val="auto"/>
        </w:rPr>
      </w:pPr>
    </w:p>
    <w:p>
      <w:pPr>
        <w:ind w:left="900" w:hanging="324"/>
        <w:spacing w:after="0"/>
        <w:tabs>
          <w:tab w:leader="none" w:pos="900"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No retrospective restatement of prior-period comparatives was performed in the Company’s books and records.</w:t>
      </w:r>
    </w:p>
    <w:p>
      <w:pPr>
        <w:spacing w:after="0" w:line="31" w:lineRule="exact"/>
        <w:rPr>
          <w:rFonts w:ascii="Times New Roman" w:cs="Times New Roman" w:eastAsia="Times New Roman" w:hAnsi="Times New Roman"/>
          <w:sz w:val="22"/>
          <w:szCs w:val="22"/>
          <w:color w:val="auto"/>
        </w:rPr>
      </w:pPr>
    </w:p>
    <w:p>
      <w:pPr>
        <w:ind w:left="900" w:right="160" w:hanging="324"/>
        <w:spacing w:after="0" w:line="281" w:lineRule="auto"/>
        <w:tabs>
          <w:tab w:leader="none" w:pos="895"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From April 1, 2025 onward, all transactions in Cybin Inc., Cybin Corp., and Cybin US are recorded in USD, and the USD is now the primary currency used for measurement and financial reporting.</w:t>
      </w:r>
    </w:p>
    <w:p>
      <w:pPr>
        <w:spacing w:after="0" w:line="204" w:lineRule="exact"/>
        <w:rPr>
          <w:sz w:val="20"/>
          <w:szCs w:val="20"/>
          <w:color w:val="auto"/>
        </w:rPr>
      </w:pPr>
    </w:p>
    <w:p>
      <w:pPr>
        <w:jc w:val="both"/>
        <w:ind w:left="260"/>
        <w:spacing w:after="0" w:line="278" w:lineRule="auto"/>
        <w:rPr>
          <w:sz w:val="20"/>
          <w:szCs w:val="20"/>
          <w:color w:val="auto"/>
        </w:rPr>
      </w:pPr>
      <w:r>
        <w:rPr>
          <w:rFonts w:ascii="Arial" w:cs="Arial" w:eastAsia="Arial" w:hAnsi="Arial"/>
          <w:sz w:val="18"/>
          <w:szCs w:val="18"/>
          <w:color w:val="auto"/>
        </w:rPr>
        <w:t>As a result of the change in functional currency, equity balances that had been translated at historical rates as a result of the change in presentation currency, were revised on April 1, 2025, for the Affected Entities, to reflect the exchange rate on the date of the functional currency change. The resulting impact is presented in the condensed interim consolidated statement of changes of equity as "Foreign exchange impact from change in functional currency".</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Material accounting policy information</w:t>
      </w:r>
    </w:p>
    <w:p>
      <w:pPr>
        <w:spacing w:after="0" w:line="223" w:lineRule="exact"/>
        <w:rPr>
          <w:sz w:val="20"/>
          <w:szCs w:val="20"/>
          <w:color w:val="auto"/>
        </w:rPr>
      </w:pPr>
    </w:p>
    <w:p>
      <w:pPr>
        <w:jc w:val="both"/>
        <w:ind w:left="260"/>
        <w:spacing w:after="0" w:line="318" w:lineRule="auto"/>
        <w:rPr>
          <w:sz w:val="20"/>
          <w:szCs w:val="20"/>
          <w:color w:val="auto"/>
        </w:rPr>
      </w:pPr>
      <w:r>
        <w:rPr>
          <w:rFonts w:ascii="Arial" w:cs="Arial" w:eastAsia="Arial" w:hAnsi="Arial"/>
          <w:sz w:val="18"/>
          <w:szCs w:val="18"/>
          <w:color w:val="auto"/>
        </w:rPr>
        <w:t>These condensed interim consolidated financial statements have been prepared using the same accounting policies and methods as those used in the Company’s annual consolidated financial statements for the year ended March 31, 2025.</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Use of significant estimates and assumptions</w:t>
      </w:r>
    </w:p>
    <w:p>
      <w:pPr>
        <w:spacing w:after="0" w:line="223" w:lineRule="exact"/>
        <w:rPr>
          <w:sz w:val="20"/>
          <w:szCs w:val="20"/>
          <w:color w:val="auto"/>
        </w:rPr>
      </w:pPr>
    </w:p>
    <w:p>
      <w:pPr>
        <w:jc w:val="both"/>
        <w:ind w:left="260"/>
        <w:spacing w:after="0" w:line="304" w:lineRule="auto"/>
        <w:rPr>
          <w:sz w:val="20"/>
          <w:szCs w:val="20"/>
          <w:color w:val="auto"/>
        </w:rPr>
      </w:pPr>
      <w:r>
        <w:rPr>
          <w:rFonts w:ascii="Arial" w:cs="Arial" w:eastAsia="Arial" w:hAnsi="Arial"/>
          <w:sz w:val="18"/>
          <w:szCs w:val="18"/>
          <w:color w:val="auto"/>
        </w:rPr>
        <w:t>The preparation of financial statements in accordance with IAS 34 requires the use of certain significant estimates and assumptions. It also requires management to exercise judgment when applying the Company’s accounting policies. For the six months ended September 30, 2025, the Company introduced new significant estimates and assumptions related to the valuation of convertible debentures.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Page 9 of 26</w:t>
      </w:r>
    </w:p>
    <w:p>
      <w:pPr>
        <w:sectPr>
          <w:pgSz w:w="11900" w:h="16838" w:orient="portrait"/>
          <w:cols w:equalWidth="0" w:num="1">
            <w:col w:w="11160"/>
          </w:cols>
          <w:pgMar w:left="400" w:top="233"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CYBIN INC.</w:t>
      </w:r>
    </w:p>
    <w:p>
      <w:pPr>
        <w:spacing w:after="0" w:line="26" w:lineRule="exact"/>
        <w:rPr>
          <w:sz w:val="20"/>
          <w:szCs w:val="20"/>
          <w:color w:val="auto"/>
        </w:rPr>
      </w:pPr>
    </w:p>
    <w:p>
      <w:pPr>
        <w:ind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September 30, 2025</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260"/>
        <w:spacing w:after="0" w:line="279" w:lineRule="auto"/>
        <w:rPr>
          <w:sz w:val="20"/>
          <w:szCs w:val="20"/>
          <w:color w:val="auto"/>
        </w:rPr>
      </w:pPr>
      <w:r>
        <w:rPr>
          <w:rFonts w:ascii="Arial" w:cs="Arial" w:eastAsia="Arial" w:hAnsi="Arial"/>
          <w:sz w:val="18"/>
          <w:szCs w:val="18"/>
          <w:color w:val="auto"/>
        </w:rPr>
        <w:t>The Company measures the fair value of its convertible debentures at fair value through profit and loss using a discounted cash flow model for the debt component and Black Scholes pricing model with an embedded Monte Carlo simulation to calculate the conversions component fair value. Key assumptions used in the models include the risk free interest rate, stock volatility, and the price per Common Share, as well as certain unobservable inputs including forecasted price per Common Share and the five day average volume weighted average price ("</w:t>
      </w:r>
      <w:r>
        <w:rPr>
          <w:rFonts w:ascii="Arial" w:cs="Arial" w:eastAsia="Arial" w:hAnsi="Arial"/>
          <w:sz w:val="18"/>
          <w:szCs w:val="18"/>
          <w:b w:val="1"/>
          <w:bCs w:val="1"/>
          <w:color w:val="auto"/>
        </w:rPr>
        <w:t>VWAP</w:t>
      </w:r>
      <w:r>
        <w:rPr>
          <w:rFonts w:ascii="Arial" w:cs="Arial" w:eastAsia="Arial" w:hAnsi="Arial"/>
          <w:sz w:val="18"/>
          <w:szCs w:val="18"/>
          <w:color w:val="auto"/>
        </w:rPr>
        <w:t>'), expected timing and amount of conversions that will occur over the course of the convertible debentures' maturity. Changes to these inputs and assumptions could have a significant impact on the measurement of the convertible debentures.</w:t>
      </w:r>
    </w:p>
    <w:p>
      <w:pPr>
        <w:spacing w:after="0" w:line="203" w:lineRule="exact"/>
        <w:rPr>
          <w:sz w:val="20"/>
          <w:szCs w:val="20"/>
          <w:color w:val="auto"/>
        </w:rPr>
      </w:pPr>
    </w:p>
    <w:p>
      <w:pPr>
        <w:jc w:val="both"/>
        <w:ind w:left="260" w:right="20"/>
        <w:spacing w:after="0" w:line="303" w:lineRule="auto"/>
        <w:rPr>
          <w:sz w:val="20"/>
          <w:szCs w:val="20"/>
          <w:color w:val="auto"/>
        </w:rPr>
      </w:pPr>
      <w:r>
        <w:rPr>
          <w:rFonts w:ascii="Arial" w:cs="Arial" w:eastAsia="Arial" w:hAnsi="Arial"/>
          <w:sz w:val="18"/>
          <w:szCs w:val="18"/>
          <w:color w:val="auto"/>
        </w:rPr>
        <w:t>Except as noted above, there have been no material changes to the critical accounting estimates and judgments set out in note 3 of the Company’s annual consolidated financial statements for the year ended March 31, 2025.</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New standards and interpretations not yet adopted</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IFRS 18, Presentation and Disclosure in Financial Statements</w:t>
      </w:r>
    </w:p>
    <w:p>
      <w:pPr>
        <w:spacing w:after="0" w:line="293" w:lineRule="exact"/>
        <w:rPr>
          <w:sz w:val="20"/>
          <w:szCs w:val="20"/>
          <w:color w:val="auto"/>
        </w:rPr>
      </w:pPr>
    </w:p>
    <w:p>
      <w:pPr>
        <w:jc w:val="both"/>
        <w:ind w:left="260"/>
        <w:spacing w:after="0" w:line="279" w:lineRule="auto"/>
        <w:rPr>
          <w:sz w:val="20"/>
          <w:szCs w:val="20"/>
          <w:color w:val="auto"/>
        </w:rPr>
      </w:pPr>
      <w:r>
        <w:rPr>
          <w:rFonts w:ascii="Arial" w:cs="Arial" w:eastAsia="Arial" w:hAnsi="Arial"/>
          <w:sz w:val="18"/>
          <w:szCs w:val="18"/>
          <w:color w:val="auto"/>
        </w:rPr>
        <w:t>In April 2024, the IASB issued IFRS 18 that is to replace IAS 1, Presentation of Financial Statements. The new standard aims to improve the quality of financial reporting by: (i) requiring defined subtotals in the statement of profit or loss; (ii) requiring disclosure about management defined performance measures; and (iii) adding new principles for aggregation and disaggregation of information. The standard is effective for the annual reporting periods beginning on or after January 1, 2027, with early application permitted. The Company is in the process of assessing the impact of this new standard on its consolidated financial statements.</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IFRS 9, Financial Instruments (“IFRS 9”) and IFRS 7, Financial Instruments: Disclosures (“IFRS 7”)</w:t>
      </w:r>
    </w:p>
    <w:p>
      <w:pPr>
        <w:spacing w:after="0" w:line="252" w:lineRule="exact"/>
        <w:rPr>
          <w:sz w:val="20"/>
          <w:szCs w:val="20"/>
          <w:color w:val="auto"/>
        </w:rPr>
      </w:pPr>
    </w:p>
    <w:p>
      <w:pPr>
        <w:jc w:val="both"/>
        <w:ind w:left="260"/>
        <w:spacing w:after="0" w:line="275" w:lineRule="auto"/>
        <w:rPr>
          <w:sz w:val="20"/>
          <w:szCs w:val="20"/>
          <w:color w:val="auto"/>
        </w:rPr>
      </w:pPr>
      <w:r>
        <w:rPr>
          <w:rFonts w:ascii="Arial" w:cs="Arial" w:eastAsia="Arial" w:hAnsi="Arial"/>
          <w:sz w:val="18"/>
          <w:szCs w:val="18"/>
          <w:color w:val="auto"/>
        </w:rPr>
        <w:t>In May 2024, the IASB issued targeted amendments to IFRS 9 and IFRS 7 in response to practical implementation issues and to introduce new requirements applicable to both financial institutions and corporate entities. These amendments aim to enhance the clarity and consistency of financial reporting for various types of financial instruments and their related disclosures by (i) clarifying the date of recognition and derecognition for certain financial assets and liabilities, including a new exception for financial liabilities settled through an electronic cash transfer system (ii) providing help to determine whether a financial asset meets the Solely Payments of Principal and Interest criterion (iii) introducing new disclosures for instruments with contractual terms that may alter cash flows, such as financial instruments linked to the achievement of environmental, social, and governance targets, and (iv) updating the disclosure requirements for equity instruments designated at fair value through other comprehensive income. The new standard is to be effective for annual periods beginning on or after January 1, 2026. The Company is in the process of assessing the impact of the standard on the consolidated financial statements.</w:t>
      </w:r>
    </w:p>
    <w:p>
      <w:pPr>
        <w:spacing w:after="0" w:line="207" w:lineRule="exact"/>
        <w:rPr>
          <w:sz w:val="20"/>
          <w:szCs w:val="20"/>
          <w:color w:val="auto"/>
        </w:rPr>
      </w:pPr>
    </w:p>
    <w:p>
      <w:pPr>
        <w:ind w:left="260" w:right="480"/>
        <w:spacing w:after="0" w:line="303" w:lineRule="auto"/>
        <w:rPr>
          <w:sz w:val="20"/>
          <w:szCs w:val="20"/>
          <w:color w:val="auto"/>
        </w:rPr>
      </w:pPr>
      <w:r>
        <w:rPr>
          <w:rFonts w:ascii="Arial" w:cs="Arial" w:eastAsia="Arial" w:hAnsi="Arial"/>
          <w:sz w:val="18"/>
          <w:szCs w:val="18"/>
          <w:color w:val="auto"/>
        </w:rPr>
        <w:t>All other IFRSs and amendments issued but not yet effective have been assessed by the Company and are not expected to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Page 10 of 26</w:t>
      </w:r>
    </w:p>
    <w:p>
      <w:pPr>
        <w:sectPr>
          <w:pgSz w:w="11900" w:h="16838" w:orient="portrait"/>
          <w:cols w:equalWidth="0" w:num="1">
            <w:col w:w="11160"/>
          </w:cols>
          <w:pgMar w:left="400" w:top="233" w:right="339" w:bottom="1440" w:gutter="0" w:footer="0" w:header="0"/>
        </w:sectPr>
      </w:pPr>
    </w:p>
    <w:bookmarkStart w:id="13" w:name="page14"/>
    <w:bookmarkEnd w:id="13"/>
    <w:p>
      <w:pPr>
        <w:ind w:left="80"/>
        <w:spacing w:after="0"/>
        <w:rPr>
          <w:sz w:val="20"/>
          <w:szCs w:val="20"/>
          <w:color w:val="auto"/>
        </w:rPr>
      </w:pPr>
      <w:r>
        <w:rPr>
          <w:rFonts w:ascii="Arial" w:cs="Arial" w:eastAsia="Arial" w:hAnsi="Arial"/>
          <w:sz w:val="22"/>
          <w:szCs w:val="22"/>
          <w:b w:val="1"/>
          <w:bCs w:val="1"/>
          <w:color w:val="auto"/>
        </w:rPr>
        <w:t>CYBIN INC.</w:t>
      </w:r>
    </w:p>
    <w:p>
      <w:pPr>
        <w:spacing w:after="0" w:line="26" w:lineRule="exact"/>
        <w:rPr>
          <w:sz w:val="20"/>
          <w:szCs w:val="20"/>
          <w:color w:val="auto"/>
        </w:rPr>
      </w:pPr>
    </w:p>
    <w:p>
      <w:pPr>
        <w:ind w:left="80"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September 30, 2025</w:t>
      </w:r>
    </w:p>
    <w:p>
      <w:pPr>
        <w:spacing w:after="0" w:line="1" w:lineRule="exact"/>
        <w:rPr>
          <w:sz w:val="20"/>
          <w:szCs w:val="20"/>
          <w:color w:val="auto"/>
        </w:rPr>
      </w:pPr>
    </w:p>
    <w:p>
      <w:pPr>
        <w:ind w:left="80"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620" w:type="dxa"/>
            <w:vAlign w:val="bottom"/>
            <w:gridSpan w:val="2"/>
          </w:tcPr>
          <w:p>
            <w:pPr>
              <w:spacing w:after="0"/>
              <w:rPr>
                <w:sz w:val="20"/>
                <w:szCs w:val="20"/>
                <w:color w:val="auto"/>
              </w:rPr>
            </w:pPr>
            <w:r>
              <w:rPr>
                <w:rFonts w:ascii="Arial" w:cs="Arial" w:eastAsia="Arial" w:hAnsi="Arial"/>
                <w:sz w:val="18"/>
                <w:szCs w:val="18"/>
                <w:b w:val="1"/>
                <w:bCs w:val="1"/>
                <w:color w:val="2D5F91"/>
              </w:rPr>
              <w:t>3.  EQUIPMENT</w:t>
            </w:r>
          </w:p>
        </w:tc>
        <w:tc>
          <w:tcPr>
            <w:tcW w:w="22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9"/>
        </w:trPr>
        <w:tc>
          <w:tcPr>
            <w:tcW w:w="3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2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Lab Equipment</w:t>
            </w:r>
          </w:p>
        </w:tc>
        <w:tc>
          <w:tcPr>
            <w:tcW w:w="1880" w:type="dxa"/>
            <w:vAlign w:val="bottom"/>
          </w:tcPr>
          <w:p>
            <w:pPr>
              <w:jc w:val="right"/>
              <w:ind w:right="530"/>
              <w:spacing w:after="0"/>
              <w:rPr>
                <w:sz w:val="20"/>
                <w:szCs w:val="20"/>
                <w:color w:val="auto"/>
              </w:rPr>
            </w:pPr>
            <w:r>
              <w:rPr>
                <w:rFonts w:ascii="Arial" w:cs="Arial" w:eastAsia="Arial" w:hAnsi="Arial"/>
                <w:sz w:val="18"/>
                <w:szCs w:val="18"/>
                <w:b w:val="1"/>
                <w:bCs w:val="1"/>
                <w:color w:val="auto"/>
              </w:rPr>
              <w:t>Computer</w:t>
            </w: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240" w:type="dxa"/>
            <w:vAlign w:val="bottom"/>
            <w:vMerge w:val="continue"/>
          </w:tcPr>
          <w:p>
            <w:pPr>
              <w:spacing w:after="0"/>
              <w:rPr>
                <w:sz w:val="20"/>
                <w:szCs w:val="20"/>
                <w:color w:val="auto"/>
              </w:rPr>
            </w:pPr>
          </w:p>
        </w:tc>
        <w:tc>
          <w:tcPr>
            <w:tcW w:w="1880" w:type="dxa"/>
            <w:vAlign w:val="bottom"/>
          </w:tcPr>
          <w:p>
            <w:pPr>
              <w:jc w:val="right"/>
              <w:ind w:right="530"/>
              <w:spacing w:after="0"/>
              <w:rPr>
                <w:sz w:val="20"/>
                <w:szCs w:val="20"/>
                <w:color w:val="auto"/>
              </w:rPr>
            </w:pPr>
            <w:r>
              <w:rPr>
                <w:rFonts w:ascii="Arial" w:cs="Arial" w:eastAsia="Arial" w:hAnsi="Arial"/>
                <w:sz w:val="18"/>
                <w:szCs w:val="18"/>
                <w:b w:val="1"/>
                <w:bCs w:val="1"/>
                <w:color w:val="auto"/>
              </w:rPr>
              <w:t>Equipment</w:t>
            </w: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40" w:type="dxa"/>
            <w:vAlign w:val="bottom"/>
          </w:tcPr>
          <w:p>
            <w:pPr>
              <w:spacing w:after="0"/>
              <w:rPr>
                <w:sz w:val="20"/>
                <w:szCs w:val="20"/>
                <w:color w:val="auto"/>
              </w:rPr>
            </w:pP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Cost</w:t>
            </w:r>
          </w:p>
        </w:tc>
        <w:tc>
          <w:tcPr>
            <w:tcW w:w="2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8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 xml:space="preserve">Balance as at March 31, 2025 - </w:t>
            </w:r>
            <w:r>
              <w:rPr>
                <w:rFonts w:ascii="Arial" w:cs="Arial" w:eastAsia="Arial" w:hAnsi="Arial"/>
                <w:sz w:val="18"/>
                <w:szCs w:val="18"/>
                <w:b w:val="1"/>
                <w:bCs w:val="1"/>
                <w:i w:val="1"/>
                <w:iCs w:val="1"/>
                <w:color w:val="auto"/>
              </w:rPr>
              <w:t>Restated - Note 2</w:t>
            </w:r>
          </w:p>
        </w:tc>
        <w:tc>
          <w:tcPr>
            <w:tcW w:w="2240" w:type="dxa"/>
            <w:vAlign w:val="bottom"/>
          </w:tcPr>
          <w:p>
            <w:pPr>
              <w:jc w:val="right"/>
              <w:ind w:right="310"/>
              <w:spacing w:after="0"/>
              <w:rPr>
                <w:sz w:val="20"/>
                <w:szCs w:val="20"/>
                <w:color w:val="auto"/>
              </w:rPr>
            </w:pPr>
            <w:r>
              <w:rPr>
                <w:rFonts w:ascii="Arial" w:cs="Arial" w:eastAsia="Arial" w:hAnsi="Arial"/>
                <w:sz w:val="18"/>
                <w:szCs w:val="18"/>
                <w:b w:val="1"/>
                <w:bCs w:val="1"/>
                <w:color w:val="auto"/>
              </w:rPr>
              <w:t>477</w:t>
            </w:r>
          </w:p>
        </w:tc>
        <w:tc>
          <w:tcPr>
            <w:tcW w:w="1880" w:type="dxa"/>
            <w:vAlign w:val="bottom"/>
          </w:tcPr>
          <w:p>
            <w:pPr>
              <w:jc w:val="right"/>
              <w:ind w:right="570"/>
              <w:spacing w:after="0"/>
              <w:rPr>
                <w:sz w:val="20"/>
                <w:szCs w:val="20"/>
                <w:color w:val="auto"/>
              </w:rPr>
            </w:pPr>
            <w:r>
              <w:rPr>
                <w:rFonts w:ascii="Arial" w:cs="Arial" w:eastAsia="Arial" w:hAnsi="Arial"/>
                <w:sz w:val="18"/>
                <w:szCs w:val="18"/>
                <w:b w:val="1"/>
                <w:bCs w:val="1"/>
                <w:color w:val="auto"/>
              </w:rPr>
              <w:t>210</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687</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Additions</w:t>
            </w:r>
          </w:p>
        </w:tc>
        <w:tc>
          <w:tcPr>
            <w:tcW w:w="22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570"/>
              <w:spacing w:after="0"/>
              <w:rPr>
                <w:sz w:val="20"/>
                <w:szCs w:val="20"/>
                <w:color w:val="auto"/>
              </w:rPr>
            </w:pPr>
            <w:r>
              <w:rPr>
                <w:rFonts w:ascii="Arial" w:cs="Arial" w:eastAsia="Arial" w:hAnsi="Arial"/>
                <w:sz w:val="18"/>
                <w:szCs w:val="18"/>
                <w:color w:val="auto"/>
              </w:rPr>
              <w:t>79</w:t>
            </w: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5"/>
        </w:trPr>
        <w:tc>
          <w:tcPr>
            <w:tcW w:w="340" w:type="dxa"/>
            <w:vAlign w:val="bottom"/>
          </w:tcPr>
          <w:p>
            <w:pPr>
              <w:spacing w:after="0"/>
              <w:rPr>
                <w:sz w:val="20"/>
                <w:szCs w:val="20"/>
                <w:color w:val="auto"/>
              </w:rPr>
            </w:pP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Lap equipment disposal</w:t>
            </w:r>
          </w:p>
        </w:tc>
        <w:tc>
          <w:tcPr>
            <w:tcW w:w="2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(46)</w:t>
            </w:r>
          </w:p>
        </w:tc>
        <w:tc>
          <w:tcPr>
            <w:tcW w:w="18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as at September 30, 2025</w:t>
            </w:r>
          </w:p>
        </w:tc>
        <w:tc>
          <w:tcPr>
            <w:tcW w:w="2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431</w:t>
            </w:r>
          </w:p>
        </w:tc>
        <w:tc>
          <w:tcPr>
            <w:tcW w:w="18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289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720</w:t>
            </w:r>
          </w:p>
        </w:tc>
        <w:tc>
          <w:tcPr>
            <w:tcW w:w="0" w:type="dxa"/>
            <w:vAlign w:val="bottom"/>
          </w:tcPr>
          <w:p>
            <w:pPr>
              <w:spacing w:after="0"/>
              <w:rPr>
                <w:sz w:val="1"/>
                <w:szCs w:val="1"/>
                <w:color w:val="auto"/>
              </w:rPr>
            </w:pPr>
          </w:p>
        </w:tc>
      </w:tr>
      <w:tr>
        <w:trPr>
          <w:trHeight w:val="480"/>
        </w:trPr>
        <w:tc>
          <w:tcPr>
            <w:tcW w:w="340" w:type="dxa"/>
            <w:vAlign w:val="bottom"/>
          </w:tcPr>
          <w:p>
            <w:pPr>
              <w:spacing w:after="0"/>
              <w:rPr>
                <w:sz w:val="24"/>
                <w:szCs w:val="24"/>
                <w:color w:val="auto"/>
              </w:rPr>
            </w:pP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Accumulated Depreciation</w:t>
            </w:r>
          </w:p>
        </w:tc>
        <w:tc>
          <w:tcPr>
            <w:tcW w:w="2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 xml:space="preserve">Balance as at March 31, 2025 - </w:t>
            </w:r>
            <w:r>
              <w:rPr>
                <w:rFonts w:ascii="Arial" w:cs="Arial" w:eastAsia="Arial" w:hAnsi="Arial"/>
                <w:sz w:val="18"/>
                <w:szCs w:val="18"/>
                <w:b w:val="1"/>
                <w:bCs w:val="1"/>
                <w:i w:val="1"/>
                <w:iCs w:val="1"/>
                <w:color w:val="auto"/>
              </w:rPr>
              <w:t>Restated - Note 2</w:t>
            </w:r>
          </w:p>
        </w:tc>
        <w:tc>
          <w:tcPr>
            <w:tcW w:w="2240" w:type="dxa"/>
            <w:vAlign w:val="bottom"/>
          </w:tcPr>
          <w:p>
            <w:pPr>
              <w:jc w:val="right"/>
              <w:ind w:right="310"/>
              <w:spacing w:after="0"/>
              <w:rPr>
                <w:sz w:val="20"/>
                <w:szCs w:val="20"/>
                <w:color w:val="auto"/>
              </w:rPr>
            </w:pPr>
            <w:r>
              <w:rPr>
                <w:rFonts w:ascii="Arial" w:cs="Arial" w:eastAsia="Arial" w:hAnsi="Arial"/>
                <w:sz w:val="18"/>
                <w:szCs w:val="18"/>
                <w:b w:val="1"/>
                <w:bCs w:val="1"/>
                <w:color w:val="auto"/>
              </w:rPr>
              <w:t>408</w:t>
            </w:r>
          </w:p>
        </w:tc>
        <w:tc>
          <w:tcPr>
            <w:tcW w:w="1880" w:type="dxa"/>
            <w:vAlign w:val="bottom"/>
          </w:tcPr>
          <w:p>
            <w:pPr>
              <w:jc w:val="right"/>
              <w:ind w:right="570"/>
              <w:spacing w:after="0"/>
              <w:rPr>
                <w:sz w:val="20"/>
                <w:szCs w:val="20"/>
                <w:color w:val="auto"/>
              </w:rPr>
            </w:pPr>
            <w:r>
              <w:rPr>
                <w:rFonts w:ascii="Arial" w:cs="Arial" w:eastAsia="Arial" w:hAnsi="Arial"/>
                <w:sz w:val="18"/>
                <w:szCs w:val="18"/>
                <w:b w:val="1"/>
                <w:bCs w:val="1"/>
                <w:color w:val="auto"/>
              </w:rPr>
              <w:t>181</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589</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Depreciation charge</w:t>
            </w:r>
          </w:p>
        </w:tc>
        <w:tc>
          <w:tcPr>
            <w:tcW w:w="2240" w:type="dxa"/>
            <w:vAlign w:val="bottom"/>
          </w:tcPr>
          <w:p>
            <w:pPr>
              <w:jc w:val="right"/>
              <w:ind w:right="310"/>
              <w:spacing w:after="0"/>
              <w:rPr>
                <w:sz w:val="20"/>
                <w:szCs w:val="20"/>
                <w:color w:val="auto"/>
              </w:rPr>
            </w:pPr>
            <w:r>
              <w:rPr>
                <w:rFonts w:ascii="Arial" w:cs="Arial" w:eastAsia="Arial" w:hAnsi="Arial"/>
                <w:sz w:val="18"/>
                <w:szCs w:val="18"/>
                <w:color w:val="auto"/>
              </w:rPr>
              <w:t>35</w:t>
            </w:r>
          </w:p>
        </w:tc>
        <w:tc>
          <w:tcPr>
            <w:tcW w:w="1880" w:type="dxa"/>
            <w:vAlign w:val="bottom"/>
          </w:tcPr>
          <w:p>
            <w:pPr>
              <w:jc w:val="right"/>
              <w:ind w:right="570"/>
              <w:spacing w:after="0"/>
              <w:rPr>
                <w:sz w:val="20"/>
                <w:szCs w:val="20"/>
                <w:color w:val="auto"/>
              </w:rPr>
            </w:pPr>
            <w:r>
              <w:rPr>
                <w:rFonts w:ascii="Arial" w:cs="Arial" w:eastAsia="Arial" w:hAnsi="Arial"/>
                <w:sz w:val="18"/>
                <w:szCs w:val="18"/>
                <w:color w:val="auto"/>
              </w:rPr>
              <w:t>14</w:t>
            </w: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5"/>
        </w:trPr>
        <w:tc>
          <w:tcPr>
            <w:tcW w:w="340" w:type="dxa"/>
            <w:vAlign w:val="bottom"/>
          </w:tcPr>
          <w:p>
            <w:pPr>
              <w:spacing w:after="0"/>
              <w:rPr>
                <w:sz w:val="20"/>
                <w:szCs w:val="20"/>
                <w:color w:val="auto"/>
              </w:rPr>
            </w:pP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Lap equipment disposal</w:t>
            </w:r>
          </w:p>
        </w:tc>
        <w:tc>
          <w:tcPr>
            <w:tcW w:w="2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(43)</w:t>
            </w:r>
          </w:p>
        </w:tc>
        <w:tc>
          <w:tcPr>
            <w:tcW w:w="18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as at September 30, 2025</w:t>
            </w:r>
          </w:p>
        </w:tc>
        <w:tc>
          <w:tcPr>
            <w:tcW w:w="2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400</w:t>
            </w:r>
          </w:p>
        </w:tc>
        <w:tc>
          <w:tcPr>
            <w:tcW w:w="18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195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595</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528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Net book value as at March 31, 2025 - </w:t>
            </w:r>
            <w:r>
              <w:rPr>
                <w:rFonts w:ascii="Arial" w:cs="Arial" w:eastAsia="Arial" w:hAnsi="Arial"/>
                <w:sz w:val="18"/>
                <w:szCs w:val="18"/>
                <w:b w:val="1"/>
                <w:bCs w:val="1"/>
                <w:i w:val="1"/>
                <w:iCs w:val="1"/>
                <w:color w:val="auto"/>
              </w:rPr>
              <w:t>Restated - Note 2</w:t>
            </w:r>
          </w:p>
        </w:tc>
        <w:tc>
          <w:tcPr>
            <w:tcW w:w="2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69</w:t>
            </w:r>
          </w:p>
        </w:tc>
        <w:tc>
          <w:tcPr>
            <w:tcW w:w="18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book value as at September 30, 2025</w:t>
            </w:r>
          </w:p>
        </w:tc>
        <w:tc>
          <w:tcPr>
            <w:tcW w:w="2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31</w:t>
            </w:r>
          </w:p>
        </w:tc>
        <w:tc>
          <w:tcPr>
            <w:tcW w:w="18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94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w:t>
            </w: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ind w:left="340"/>
        <w:spacing w:after="0" w:line="284" w:lineRule="auto"/>
        <w:rPr>
          <w:sz w:val="20"/>
          <w:szCs w:val="20"/>
          <w:color w:val="auto"/>
        </w:rPr>
      </w:pPr>
      <w:r>
        <w:rPr>
          <w:rFonts w:ascii="Arial" w:cs="Arial" w:eastAsia="Arial" w:hAnsi="Arial"/>
          <w:sz w:val="18"/>
          <w:szCs w:val="18"/>
          <w:color w:val="auto"/>
        </w:rPr>
        <w:t xml:space="preserve">During the six months ended September 30, 2025, the Company disposed of lab equipment with a carrying amount of $3 for proceeds of $10, resulting in a gain of $7 recognized in the condensed interim consolidated statement of loss and comprehensive loss as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200" w:type="dxa"/>
            <w:vAlign w:val="bottom"/>
            <w:gridSpan w:val="2"/>
          </w:tcPr>
          <w:p>
            <w:pPr>
              <w:spacing w:after="0"/>
              <w:rPr>
                <w:sz w:val="20"/>
                <w:szCs w:val="20"/>
                <w:color w:val="auto"/>
              </w:rPr>
            </w:pPr>
            <w:r>
              <w:rPr>
                <w:rFonts w:ascii="Arial" w:cs="Arial" w:eastAsia="Arial" w:hAnsi="Arial"/>
                <w:sz w:val="18"/>
                <w:szCs w:val="18"/>
                <w:b w:val="1"/>
                <w:bCs w:val="1"/>
                <w:color w:val="2D5F91"/>
              </w:rPr>
              <w:t>4.  INTANGIBLE ASSETS</w:t>
            </w:r>
          </w:p>
        </w:tc>
        <w:tc>
          <w:tcPr>
            <w:tcW w:w="1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3"/>
        </w:trPr>
        <w:tc>
          <w:tcPr>
            <w:tcW w:w="3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b w:val="1"/>
                <w:bCs w:val="1"/>
                <w:color w:val="auto"/>
              </w:rPr>
              <w:t>IP Research &amp;</w:t>
            </w:r>
          </w:p>
        </w:tc>
        <w:tc>
          <w:tcPr>
            <w:tcW w:w="10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Patents</w:t>
            </w:r>
          </w:p>
        </w:tc>
        <w:tc>
          <w:tcPr>
            <w:tcW w:w="10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License</w:t>
            </w:r>
          </w:p>
        </w:tc>
        <w:tc>
          <w:tcPr>
            <w:tcW w:w="11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Software</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b w:val="1"/>
                <w:bCs w:val="1"/>
                <w:color w:val="auto"/>
              </w:rPr>
              <w:t>Development</w:t>
            </w:r>
          </w:p>
        </w:tc>
        <w:tc>
          <w:tcPr>
            <w:tcW w:w="104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40" w:type="dxa"/>
            <w:vAlign w:val="bottom"/>
          </w:tcPr>
          <w:p>
            <w:pPr>
              <w:spacing w:after="0"/>
              <w:rPr>
                <w:sz w:val="20"/>
                <w:szCs w:val="20"/>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Cost</w:t>
            </w:r>
          </w:p>
        </w:tc>
        <w:tc>
          <w:tcPr>
            <w:tcW w:w="1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 xml:space="preserve">Balance as at March 31, 2025 - </w:t>
            </w:r>
            <w:r>
              <w:rPr>
                <w:rFonts w:ascii="Arial" w:cs="Arial" w:eastAsia="Arial" w:hAnsi="Arial"/>
                <w:sz w:val="18"/>
                <w:szCs w:val="18"/>
                <w:b w:val="1"/>
                <w:bCs w:val="1"/>
                <w:i w:val="1"/>
                <w:iCs w:val="1"/>
                <w:color w:val="auto"/>
              </w:rPr>
              <w:t>Restated - Note 2</w:t>
            </w:r>
          </w:p>
        </w:tc>
        <w:tc>
          <w:tcPr>
            <w:tcW w:w="1560" w:type="dxa"/>
            <w:vAlign w:val="bottom"/>
          </w:tcPr>
          <w:p>
            <w:pPr>
              <w:jc w:val="right"/>
              <w:ind w:right="170"/>
              <w:spacing w:after="0"/>
              <w:rPr>
                <w:sz w:val="20"/>
                <w:szCs w:val="20"/>
                <w:color w:val="auto"/>
              </w:rPr>
            </w:pPr>
            <w:r>
              <w:rPr>
                <w:rFonts w:ascii="Arial" w:cs="Arial" w:eastAsia="Arial" w:hAnsi="Arial"/>
                <w:sz w:val="18"/>
                <w:szCs w:val="18"/>
                <w:b w:val="1"/>
                <w:bCs w:val="1"/>
                <w:color w:val="auto"/>
              </w:rPr>
              <w:t>24,938</w:t>
            </w: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rPr>
              <w:t>2,639</w:t>
            </w: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1,019</w:t>
            </w: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51</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28,647</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588</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35"/>
        </w:trPr>
        <w:tc>
          <w:tcPr>
            <w:tcW w:w="340" w:type="dxa"/>
            <w:vAlign w:val="bottom"/>
          </w:tcPr>
          <w:p>
            <w:pPr>
              <w:spacing w:after="0"/>
              <w:rPr>
                <w:sz w:val="20"/>
                <w:szCs w:val="20"/>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 of foreign exchange</w:t>
            </w:r>
          </w:p>
        </w:tc>
        <w:tc>
          <w:tcPr>
            <w:tcW w:w="1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903</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as at September 30, 2025</w:t>
            </w:r>
          </w:p>
        </w:tc>
        <w:tc>
          <w:tcPr>
            <w:tcW w:w="1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25,841</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3,251</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1,019</w:t>
            </w: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51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30,162</w:t>
            </w:r>
          </w:p>
        </w:tc>
        <w:tc>
          <w:tcPr>
            <w:tcW w:w="0" w:type="dxa"/>
            <w:vAlign w:val="bottom"/>
          </w:tcPr>
          <w:p>
            <w:pPr>
              <w:spacing w:after="0"/>
              <w:rPr>
                <w:sz w:val="1"/>
                <w:szCs w:val="1"/>
                <w:color w:val="auto"/>
              </w:rPr>
            </w:pPr>
          </w:p>
        </w:tc>
      </w:tr>
      <w:tr>
        <w:trPr>
          <w:trHeight w:val="480"/>
        </w:trPr>
        <w:tc>
          <w:tcPr>
            <w:tcW w:w="340" w:type="dxa"/>
            <w:vAlign w:val="bottom"/>
          </w:tcPr>
          <w:p>
            <w:pPr>
              <w:spacing w:after="0"/>
              <w:rPr>
                <w:sz w:val="24"/>
                <w:szCs w:val="24"/>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Accumulated Amortization</w:t>
            </w:r>
          </w:p>
        </w:tc>
        <w:tc>
          <w:tcPr>
            <w:tcW w:w="1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 xml:space="preserve">Balance as at March 31, 2025 - </w:t>
            </w:r>
            <w:r>
              <w:rPr>
                <w:rFonts w:ascii="Arial" w:cs="Arial" w:eastAsia="Arial" w:hAnsi="Arial"/>
                <w:sz w:val="18"/>
                <w:szCs w:val="18"/>
                <w:b w:val="1"/>
                <w:bCs w:val="1"/>
                <w:i w:val="1"/>
                <w:iCs w:val="1"/>
                <w:color w:val="auto"/>
              </w:rPr>
              <w:t>Restated - Note 2</w:t>
            </w:r>
          </w:p>
        </w:tc>
        <w:tc>
          <w:tcPr>
            <w:tcW w:w="15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68</w:t>
            </w: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47</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r>
        <w:trPr>
          <w:trHeight w:val="235"/>
        </w:trPr>
        <w:tc>
          <w:tcPr>
            <w:tcW w:w="340" w:type="dxa"/>
            <w:vAlign w:val="bottom"/>
          </w:tcPr>
          <w:p>
            <w:pPr>
              <w:spacing w:after="0"/>
              <w:rPr>
                <w:sz w:val="20"/>
                <w:szCs w:val="20"/>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Amortization charge</w:t>
            </w:r>
          </w:p>
        </w:tc>
        <w:tc>
          <w:tcPr>
            <w:tcW w:w="1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w:t>
            </w: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as at September 30, 2025</w:t>
            </w:r>
          </w:p>
        </w:tc>
        <w:tc>
          <w:tcPr>
            <w:tcW w:w="1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82</w:t>
            </w: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51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w:t>
            </w: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Net book value as at March 31, 2025 - </w:t>
            </w:r>
            <w:r>
              <w:rPr>
                <w:rFonts w:ascii="Arial" w:cs="Arial" w:eastAsia="Arial" w:hAnsi="Arial"/>
                <w:sz w:val="18"/>
                <w:szCs w:val="18"/>
                <w:b w:val="1"/>
                <w:bCs w:val="1"/>
                <w:i w:val="1"/>
                <w:iCs w:val="1"/>
                <w:color w:val="auto"/>
              </w:rPr>
              <w:t>Restated - Note 2</w:t>
            </w:r>
          </w:p>
        </w:tc>
        <w:tc>
          <w:tcPr>
            <w:tcW w:w="1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24,938</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2,639</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951</w:t>
            </w: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28,532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book value as at September 30, 2025</w:t>
            </w:r>
          </w:p>
        </w:tc>
        <w:tc>
          <w:tcPr>
            <w:tcW w:w="1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25,841</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3,251</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937</w:t>
            </w: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30,029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Page 11 of 26</w:t>
      </w:r>
    </w:p>
    <w:p>
      <w:pPr>
        <w:sectPr>
          <w:pgSz w:w="11900" w:h="16838" w:orient="portrait"/>
          <w:cols w:equalWidth="0" w:num="1">
            <w:col w:w="11240"/>
          </w:cols>
          <w:pgMar w:left="320" w:top="233" w:right="339" w:bottom="1440" w:gutter="0" w:footer="0" w:header="0"/>
          <w:type w:val="continuous"/>
        </w:sectPr>
      </w:pPr>
    </w:p>
    <w:bookmarkStart w:id="14" w:name="page15"/>
    <w:bookmarkEnd w:id="14"/>
    <w:p>
      <w:pPr>
        <w:ind w:left="80"/>
        <w:spacing w:after="0"/>
        <w:rPr>
          <w:sz w:val="20"/>
          <w:szCs w:val="20"/>
          <w:color w:val="auto"/>
        </w:rPr>
      </w:pPr>
      <w:r>
        <w:rPr>
          <w:rFonts w:ascii="Arial" w:cs="Arial" w:eastAsia="Arial" w:hAnsi="Arial"/>
          <w:sz w:val="22"/>
          <w:szCs w:val="22"/>
          <w:b w:val="1"/>
          <w:bCs w:val="1"/>
          <w:color w:val="auto"/>
        </w:rPr>
        <w:t>CYBIN INC.</w:t>
      </w:r>
    </w:p>
    <w:p>
      <w:pPr>
        <w:spacing w:after="0" w:line="26" w:lineRule="exact"/>
        <w:rPr>
          <w:sz w:val="20"/>
          <w:szCs w:val="20"/>
          <w:color w:val="auto"/>
        </w:rPr>
      </w:pPr>
    </w:p>
    <w:p>
      <w:pPr>
        <w:ind w:left="80"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September 30, 2025</w:t>
      </w:r>
    </w:p>
    <w:p>
      <w:pPr>
        <w:spacing w:after="0" w:line="1" w:lineRule="exact"/>
        <w:rPr>
          <w:sz w:val="20"/>
          <w:szCs w:val="20"/>
          <w:color w:val="auto"/>
        </w:rPr>
      </w:pPr>
    </w:p>
    <w:p>
      <w:pPr>
        <w:ind w:left="80"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840" w:type="dxa"/>
            <w:vAlign w:val="bottom"/>
            <w:gridSpan w:val="2"/>
          </w:tcPr>
          <w:p>
            <w:pPr>
              <w:spacing w:after="0"/>
              <w:rPr>
                <w:sz w:val="20"/>
                <w:szCs w:val="20"/>
                <w:color w:val="auto"/>
              </w:rPr>
            </w:pPr>
            <w:r>
              <w:rPr>
                <w:rFonts w:ascii="Arial" w:cs="Arial" w:eastAsia="Arial" w:hAnsi="Arial"/>
                <w:sz w:val="18"/>
                <w:szCs w:val="18"/>
                <w:b w:val="1"/>
                <w:bCs w:val="1"/>
                <w:color w:val="2D5F91"/>
              </w:rPr>
              <w:t>5. GOODWILL</w:t>
            </w:r>
          </w:p>
        </w:tc>
        <w:tc>
          <w:tcPr>
            <w:tcW w:w="960" w:type="dxa"/>
            <w:vAlign w:val="bottom"/>
          </w:tcPr>
          <w:p>
            <w:pPr>
              <w:spacing w:after="0"/>
              <w:rPr>
                <w:sz w:val="21"/>
                <w:szCs w:val="21"/>
                <w:color w:val="auto"/>
              </w:rPr>
            </w:pPr>
          </w:p>
        </w:tc>
      </w:tr>
      <w:tr>
        <w:trPr>
          <w:trHeight w:val="411"/>
        </w:trPr>
        <w:tc>
          <w:tcPr>
            <w:tcW w:w="340" w:type="dxa"/>
            <w:vAlign w:val="bottom"/>
          </w:tcPr>
          <w:p>
            <w:pPr>
              <w:spacing w:after="0"/>
              <w:rPr>
                <w:sz w:val="24"/>
                <w:szCs w:val="24"/>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Goodwill is recognized at the acquisition date when total consideration exceeds the net identifiable assets acquired.</w:t>
            </w:r>
          </w:p>
        </w:tc>
        <w:tc>
          <w:tcPr>
            <w:tcW w:w="960" w:type="dxa"/>
            <w:vAlign w:val="bottom"/>
          </w:tcPr>
          <w:p>
            <w:pPr>
              <w:spacing w:after="0"/>
              <w:rPr>
                <w:sz w:val="24"/>
                <w:szCs w:val="24"/>
                <w:color w:val="auto"/>
              </w:rPr>
            </w:pPr>
          </w:p>
        </w:tc>
      </w:tr>
      <w:tr>
        <w:trPr>
          <w:trHeight w:val="548"/>
        </w:trPr>
        <w:tc>
          <w:tcPr>
            <w:tcW w:w="340" w:type="dxa"/>
            <w:vAlign w:val="bottom"/>
          </w:tcPr>
          <w:p>
            <w:pPr>
              <w:spacing w:after="0"/>
              <w:rPr>
                <w:sz w:val="24"/>
                <w:szCs w:val="24"/>
                <w:color w:val="auto"/>
              </w:rPr>
            </w:pPr>
          </w:p>
        </w:tc>
        <w:tc>
          <w:tcPr>
            <w:tcW w:w="9500" w:type="dxa"/>
            <w:vAlign w:val="bottom"/>
          </w:tcPr>
          <w:p>
            <w:pPr>
              <w:ind w:left="60"/>
              <w:spacing w:after="0"/>
              <w:rPr>
                <w:sz w:val="20"/>
                <w:szCs w:val="20"/>
                <w:color w:val="auto"/>
              </w:rPr>
            </w:pPr>
            <w:r>
              <w:rPr>
                <w:rFonts w:ascii="Arial" w:cs="Arial" w:eastAsia="Arial" w:hAnsi="Arial"/>
                <w:sz w:val="18"/>
                <w:szCs w:val="18"/>
                <w:b w:val="1"/>
                <w:bCs w:val="1"/>
                <w:color w:val="auto"/>
              </w:rPr>
              <w:t>Cost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56"/>
        </w:trPr>
        <w:tc>
          <w:tcPr>
            <w:tcW w:w="340" w:type="dxa"/>
            <w:vAlign w:val="bottom"/>
          </w:tcPr>
          <w:p>
            <w:pPr>
              <w:spacing w:after="0"/>
              <w:rPr>
                <w:sz w:val="4"/>
                <w:szCs w:val="4"/>
                <w:color w:val="auto"/>
              </w:rPr>
            </w:pPr>
          </w:p>
        </w:tc>
        <w:tc>
          <w:tcPr>
            <w:tcW w:w="9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18"/>
        </w:trPr>
        <w:tc>
          <w:tcPr>
            <w:tcW w:w="340" w:type="dxa"/>
            <w:vAlign w:val="bottom"/>
          </w:tcPr>
          <w:p>
            <w:pPr>
              <w:spacing w:after="0"/>
              <w:rPr>
                <w:sz w:val="18"/>
                <w:szCs w:val="18"/>
                <w:color w:val="auto"/>
              </w:rPr>
            </w:pPr>
          </w:p>
        </w:tc>
        <w:tc>
          <w:tcPr>
            <w:tcW w:w="9500" w:type="dxa"/>
            <w:vAlign w:val="bottom"/>
          </w:tcPr>
          <w:p>
            <w:pPr>
              <w:ind w:left="20"/>
              <w:spacing w:after="0"/>
              <w:rPr>
                <w:sz w:val="20"/>
                <w:szCs w:val="20"/>
                <w:color w:val="auto"/>
              </w:rPr>
            </w:pPr>
            <w:r>
              <w:rPr>
                <w:rFonts w:ascii="Arial" w:cs="Arial" w:eastAsia="Arial" w:hAnsi="Arial"/>
                <w:sz w:val="18"/>
                <w:szCs w:val="18"/>
                <w:b w:val="1"/>
                <w:bCs w:val="1"/>
                <w:color w:val="auto"/>
              </w:rPr>
              <w:t xml:space="preserve">Balance as at March 31, 2025 - </w:t>
            </w:r>
            <w:r>
              <w:rPr>
                <w:rFonts w:ascii="Arial" w:cs="Arial" w:eastAsia="Arial" w:hAnsi="Arial"/>
                <w:sz w:val="18"/>
                <w:szCs w:val="18"/>
                <w:b w:val="1"/>
                <w:bCs w:val="1"/>
                <w:i w:val="1"/>
                <w:iCs w:val="1"/>
                <w:color w:val="auto"/>
              </w:rPr>
              <w:t>Restated - Note 2</w:t>
            </w:r>
          </w:p>
        </w:tc>
        <w:tc>
          <w:tcPr>
            <w:tcW w:w="960" w:type="dxa"/>
            <w:vAlign w:val="bottom"/>
          </w:tcPr>
          <w:p>
            <w:pPr>
              <w:jc w:val="right"/>
              <w:spacing w:after="0"/>
              <w:rPr>
                <w:sz w:val="20"/>
                <w:szCs w:val="20"/>
                <w:color w:val="auto"/>
              </w:rPr>
            </w:pPr>
            <w:r>
              <w:rPr>
                <w:rFonts w:ascii="Arial" w:cs="Arial" w:eastAsia="Arial" w:hAnsi="Arial"/>
                <w:sz w:val="18"/>
                <w:szCs w:val="18"/>
                <w:color w:val="auto"/>
              </w:rPr>
              <w:t>35,815</w:t>
            </w:r>
          </w:p>
        </w:tc>
      </w:tr>
      <w:tr>
        <w:trPr>
          <w:trHeight w:val="235"/>
        </w:trPr>
        <w:tc>
          <w:tcPr>
            <w:tcW w:w="340" w:type="dxa"/>
            <w:vAlign w:val="bottom"/>
          </w:tcPr>
          <w:p>
            <w:pPr>
              <w:spacing w:after="0"/>
              <w:rPr>
                <w:sz w:val="20"/>
                <w:szCs w:val="20"/>
                <w:color w:val="auto"/>
              </w:rPr>
            </w:pPr>
          </w:p>
        </w:tc>
        <w:tc>
          <w:tcPr>
            <w:tcW w:w="9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 of foreign exchange</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r>
      <w:tr>
        <w:trPr>
          <w:trHeight w:val="223"/>
        </w:trPr>
        <w:tc>
          <w:tcPr>
            <w:tcW w:w="340" w:type="dxa"/>
            <w:vAlign w:val="bottom"/>
          </w:tcPr>
          <w:p>
            <w:pPr>
              <w:spacing w:after="0"/>
              <w:rPr>
                <w:sz w:val="19"/>
                <w:szCs w:val="19"/>
                <w:color w:val="auto"/>
              </w:rPr>
            </w:pPr>
          </w:p>
        </w:tc>
        <w:tc>
          <w:tcPr>
            <w:tcW w:w="9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as at September 30, 2025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36,511</w:t>
            </w:r>
          </w:p>
        </w:tc>
      </w:tr>
    </w:tbl>
    <w:p>
      <w:pPr>
        <w:spacing w:after="0" w:line="200" w:lineRule="exact"/>
        <w:rPr>
          <w:sz w:val="20"/>
          <w:szCs w:val="20"/>
          <w:color w:val="auto"/>
        </w:rPr>
      </w:pPr>
    </w:p>
    <w:p>
      <w:pPr>
        <w:spacing w:after="0" w:line="308"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2D5F91"/>
        </w:rPr>
      </w:pPr>
      <w:r>
        <w:rPr>
          <w:rFonts w:ascii="Arial" w:cs="Arial" w:eastAsia="Arial" w:hAnsi="Arial"/>
          <w:sz w:val="18"/>
          <w:szCs w:val="18"/>
          <w:b w:val="1"/>
          <w:bCs w:val="1"/>
          <w:color w:val="2D5F91"/>
        </w:rPr>
        <w:t>CONVERTIBLE DEBENTURES</w:t>
      </w:r>
    </w:p>
    <w:p>
      <w:pPr>
        <w:spacing w:after="0" w:line="279" w:lineRule="exact"/>
        <w:rPr>
          <w:sz w:val="20"/>
          <w:szCs w:val="20"/>
          <w:color w:val="auto"/>
        </w:rPr>
      </w:pPr>
    </w:p>
    <w:p>
      <w:pPr>
        <w:jc w:val="both"/>
        <w:ind w:left="340"/>
        <w:spacing w:after="0" w:line="286" w:lineRule="auto"/>
        <w:rPr>
          <w:sz w:val="20"/>
          <w:szCs w:val="20"/>
          <w:color w:val="auto"/>
        </w:rPr>
      </w:pPr>
      <w:r>
        <w:rPr>
          <w:rFonts w:ascii="Arial" w:cs="Arial" w:eastAsia="Arial" w:hAnsi="Arial"/>
          <w:sz w:val="18"/>
          <w:szCs w:val="18"/>
          <w:color w:val="auto"/>
        </w:rPr>
        <w:t>On June 30, 2025, the Company entered into a securities purchase agreement (the “</w:t>
      </w:r>
      <w:r>
        <w:rPr>
          <w:rFonts w:ascii="Arial" w:cs="Arial" w:eastAsia="Arial" w:hAnsi="Arial"/>
          <w:sz w:val="18"/>
          <w:szCs w:val="18"/>
          <w:b w:val="1"/>
          <w:bCs w:val="1"/>
          <w:color w:val="auto"/>
        </w:rPr>
        <w:t>SPA</w:t>
      </w:r>
      <w:r>
        <w:rPr>
          <w:rFonts w:ascii="Arial" w:cs="Arial" w:eastAsia="Arial" w:hAnsi="Arial"/>
          <w:sz w:val="18"/>
          <w:szCs w:val="18"/>
          <w:color w:val="auto"/>
        </w:rPr>
        <w:t>”) with High Trail Special Situations LLC (“</w:t>
      </w:r>
      <w:r>
        <w:rPr>
          <w:rFonts w:ascii="Arial" w:cs="Arial" w:eastAsia="Arial" w:hAnsi="Arial"/>
          <w:sz w:val="18"/>
          <w:szCs w:val="18"/>
          <w:b w:val="1"/>
          <w:bCs w:val="1"/>
          <w:color w:val="auto"/>
        </w:rPr>
        <w:t>High</w:t>
      </w:r>
      <w:r>
        <w:rPr>
          <w:rFonts w:ascii="Arial" w:cs="Arial" w:eastAsia="Arial" w:hAnsi="Arial"/>
          <w:sz w:val="18"/>
          <w:szCs w:val="18"/>
          <w:color w:val="auto"/>
        </w:rPr>
        <w:t xml:space="preserve"> </w:t>
      </w:r>
      <w:r>
        <w:rPr>
          <w:rFonts w:ascii="Arial" w:cs="Arial" w:eastAsia="Arial" w:hAnsi="Arial"/>
          <w:sz w:val="18"/>
          <w:szCs w:val="18"/>
          <w:b w:val="1"/>
          <w:bCs w:val="1"/>
          <w:color w:val="auto"/>
        </w:rPr>
        <w:t>Trail</w:t>
      </w:r>
      <w:r>
        <w:rPr>
          <w:rFonts w:ascii="Arial" w:cs="Arial" w:eastAsia="Arial" w:hAnsi="Arial"/>
          <w:sz w:val="18"/>
          <w:szCs w:val="18"/>
          <w:color w:val="auto"/>
        </w:rPr>
        <w:t>”), pursuant to which the Company agreed to issue to High Trail up to $500,000 of unsecured convertible debentures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Convertible Debentures</w:t>
      </w:r>
      <w:r>
        <w:rPr>
          <w:rFonts w:ascii="Arial" w:cs="Arial" w:eastAsia="Arial" w:hAnsi="Arial"/>
          <w:sz w:val="18"/>
          <w:szCs w:val="18"/>
          <w:color w:val="auto"/>
        </w:rPr>
        <w:t>”). The sale and issuance of Convertible Debentures with a principal amount of $50,000 was completed on June 30, 2025 (the "</w:t>
      </w:r>
      <w:r>
        <w:rPr>
          <w:rFonts w:ascii="Arial" w:cs="Arial" w:eastAsia="Arial" w:hAnsi="Arial"/>
          <w:sz w:val="18"/>
          <w:szCs w:val="18"/>
          <w:b w:val="1"/>
          <w:bCs w:val="1"/>
          <w:color w:val="auto"/>
        </w:rPr>
        <w:t>Initial Issuance Date</w:t>
      </w:r>
      <w:r>
        <w:rPr>
          <w:rFonts w:ascii="Arial" w:cs="Arial" w:eastAsia="Arial" w:hAnsi="Arial"/>
          <w:sz w:val="18"/>
          <w:szCs w:val="18"/>
          <w:color w:val="auto"/>
        </w:rPr>
        <w:t>").</w:t>
      </w:r>
    </w:p>
    <w:p>
      <w:pPr>
        <w:spacing w:after="0" w:line="188" w:lineRule="exact"/>
        <w:rPr>
          <w:sz w:val="20"/>
          <w:szCs w:val="20"/>
          <w:color w:val="auto"/>
        </w:rPr>
      </w:pPr>
    </w:p>
    <w:p>
      <w:pPr>
        <w:jc w:val="both"/>
        <w:ind w:left="340"/>
        <w:spacing w:after="0" w:line="292" w:lineRule="auto"/>
        <w:rPr>
          <w:sz w:val="20"/>
          <w:szCs w:val="20"/>
          <w:color w:val="auto"/>
        </w:rPr>
      </w:pPr>
      <w:r>
        <w:rPr>
          <w:rFonts w:ascii="Arial" w:cs="Arial" w:eastAsia="Arial" w:hAnsi="Arial"/>
          <w:sz w:val="18"/>
          <w:szCs w:val="18"/>
          <w:color w:val="auto"/>
        </w:rPr>
        <w:t>The Convertible Debentures have a two-year term (the “</w:t>
      </w:r>
      <w:r>
        <w:rPr>
          <w:rFonts w:ascii="Arial" w:cs="Arial" w:eastAsia="Arial" w:hAnsi="Arial"/>
          <w:sz w:val="18"/>
          <w:szCs w:val="18"/>
          <w:b w:val="1"/>
          <w:bCs w:val="1"/>
          <w:color w:val="auto"/>
        </w:rPr>
        <w:t>Convertible Debenture Term</w:t>
      </w:r>
      <w:r>
        <w:rPr>
          <w:rFonts w:ascii="Arial" w:cs="Arial" w:eastAsia="Arial" w:hAnsi="Arial"/>
          <w:sz w:val="18"/>
          <w:szCs w:val="18"/>
          <w:color w:val="auto"/>
        </w:rPr>
        <w:t>”). On closing, the Company pre-paid guaranteed interest of $5,500, equal to 11% of the principal for the Convertible Debenture Term (the equivalent of 5.5% per annum). Upon the occurrence of an event of default, interest would increase to 18% per annum on the outstanding principal balance.</w:t>
      </w:r>
    </w:p>
    <w:p>
      <w:pPr>
        <w:spacing w:after="0" w:line="190" w:lineRule="exact"/>
        <w:rPr>
          <w:sz w:val="20"/>
          <w:szCs w:val="20"/>
          <w:color w:val="auto"/>
        </w:rPr>
      </w:pPr>
    </w:p>
    <w:p>
      <w:pPr>
        <w:jc w:val="both"/>
        <w:ind w:left="340"/>
        <w:spacing w:after="0" w:line="283" w:lineRule="auto"/>
        <w:rPr>
          <w:sz w:val="20"/>
          <w:szCs w:val="20"/>
          <w:color w:val="auto"/>
        </w:rPr>
      </w:pPr>
      <w:r>
        <w:rPr>
          <w:rFonts w:ascii="Arial" w:cs="Arial" w:eastAsia="Arial" w:hAnsi="Arial"/>
          <w:sz w:val="18"/>
          <w:szCs w:val="18"/>
          <w:color w:val="auto"/>
        </w:rPr>
        <w:t>Subject to the terms of the SPA and the Convertible Debentures, High Trail is to be entitled to convert the principal amount and accrued and unpaid interest, if any, in whole or in part, from time to time, into Common Shares at a conversion price per Common Share equal to the lower of (a) $10.92, which is equal to 130% VWAP of the Common Shares on the day prior to the Initial Issuance Date or (b) the VWAP of the Common Shares during the five trading days immediately prior to conversion.</w:t>
      </w:r>
    </w:p>
    <w:p>
      <w:pPr>
        <w:spacing w:after="0" w:line="212" w:lineRule="exact"/>
        <w:rPr>
          <w:sz w:val="20"/>
          <w:szCs w:val="20"/>
          <w:color w:val="auto"/>
        </w:rPr>
      </w:pPr>
    </w:p>
    <w:p>
      <w:pPr>
        <w:jc w:val="both"/>
        <w:ind w:left="340"/>
        <w:spacing w:after="0" w:line="283" w:lineRule="auto"/>
        <w:rPr>
          <w:sz w:val="20"/>
          <w:szCs w:val="20"/>
          <w:color w:val="auto"/>
        </w:rPr>
      </w:pPr>
      <w:r>
        <w:rPr>
          <w:rFonts w:ascii="Arial" w:cs="Arial" w:eastAsia="Arial" w:hAnsi="Arial"/>
          <w:sz w:val="18"/>
          <w:szCs w:val="18"/>
          <w:color w:val="auto"/>
        </w:rPr>
        <w:t>The Company, in its sole discretion, may prepay any outstanding amount under the Convertible Debentures, in whole or in part, in cash by providing High Trail with advance written notice prior to such prepayment. The prepayment is to include, (i) if paid during the first year after closing, a 5% premium on the amount of the prepayment or (ii) if paid during the second year after closing, a 3% premium on the amount of the prepayment.</w:t>
      </w:r>
    </w:p>
    <w:p>
      <w:pPr>
        <w:spacing w:after="0" w:line="198" w:lineRule="exact"/>
        <w:rPr>
          <w:sz w:val="20"/>
          <w:szCs w:val="20"/>
          <w:color w:val="auto"/>
        </w:rPr>
      </w:pPr>
    </w:p>
    <w:p>
      <w:pPr>
        <w:jc w:val="both"/>
        <w:ind w:left="340"/>
        <w:spacing w:after="0" w:line="292" w:lineRule="auto"/>
        <w:rPr>
          <w:sz w:val="20"/>
          <w:szCs w:val="20"/>
          <w:color w:val="auto"/>
        </w:rPr>
      </w:pPr>
      <w:r>
        <w:rPr>
          <w:rFonts w:ascii="Arial" w:cs="Arial" w:eastAsia="Arial" w:hAnsi="Arial"/>
          <w:sz w:val="18"/>
          <w:szCs w:val="18"/>
          <w:color w:val="auto"/>
        </w:rPr>
        <w:t>The terms of the Convertible Debentures restrict the conversion of Convertible Debentures by High Trail if such a conversion or exercise would cause High Trail, together with any affiliate thereof, to beneficially own in excess of 4.99% of the number of Common Shares outstanding immediately after giving effect to such conversion.</w:t>
      </w:r>
    </w:p>
    <w:p>
      <w:pPr>
        <w:spacing w:after="0" w:line="203" w:lineRule="exact"/>
        <w:rPr>
          <w:sz w:val="20"/>
          <w:szCs w:val="20"/>
          <w:color w:val="auto"/>
        </w:rPr>
      </w:pPr>
    </w:p>
    <w:p>
      <w:pPr>
        <w:jc w:val="both"/>
        <w:ind w:left="340"/>
        <w:spacing w:after="0" w:line="283" w:lineRule="auto"/>
        <w:rPr>
          <w:sz w:val="20"/>
          <w:szCs w:val="20"/>
          <w:color w:val="auto"/>
        </w:rPr>
      </w:pPr>
      <w:r>
        <w:rPr>
          <w:rFonts w:ascii="Arial" w:cs="Arial" w:eastAsia="Arial" w:hAnsi="Arial"/>
          <w:sz w:val="18"/>
          <w:szCs w:val="18"/>
          <w:color w:val="auto"/>
        </w:rPr>
        <w:t>The Convertible Debentures qualifies as a hybrid financial instrument under IFRS 9. The embedded conversion feature does not meet the ‘fixed-for-fixed’ criterion under IAS 32, and therefore the instrument does not qualify for any equity classification, until conversion occurs. Additionally, the embedded derivative could not be separated from the host contract due to the interdependence of their contractual cash flows. As a result, in accordance with IFRS 9 – Financial Instruments, the entire instrument has been classified as a financial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12 of 26</w:t>
      </w:r>
    </w:p>
    <w:p>
      <w:pPr>
        <w:sectPr>
          <w:pgSz w:w="11900" w:h="16838" w:orient="portrait"/>
          <w:cols w:equalWidth="0" w:num="1">
            <w:col w:w="11240"/>
          </w:cols>
          <w:pgMar w:left="320" w:top="233"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auto"/>
        </w:rPr>
        <w:t>CYBIN INC.</w:t>
      </w:r>
    </w:p>
    <w:p>
      <w:pPr>
        <w:spacing w:after="0" w:line="26" w:lineRule="exact"/>
        <w:rPr>
          <w:sz w:val="20"/>
          <w:szCs w:val="20"/>
          <w:color w:val="auto"/>
        </w:rPr>
      </w:pPr>
    </w:p>
    <w:p>
      <w:pPr>
        <w:ind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September 30, 2025</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260" w:right="20"/>
        <w:spacing w:after="0" w:line="318" w:lineRule="auto"/>
        <w:rPr>
          <w:sz w:val="20"/>
          <w:szCs w:val="20"/>
          <w:color w:val="auto"/>
        </w:rPr>
      </w:pPr>
      <w:r>
        <w:rPr>
          <w:rFonts w:ascii="Arial" w:cs="Arial" w:eastAsia="Arial" w:hAnsi="Arial"/>
          <w:sz w:val="18"/>
          <w:szCs w:val="18"/>
          <w:color w:val="auto"/>
        </w:rPr>
        <w:t>at fair value through profit or loss ("</w:t>
      </w:r>
      <w:r>
        <w:rPr>
          <w:rFonts w:ascii="Arial" w:cs="Arial" w:eastAsia="Arial" w:hAnsi="Arial"/>
          <w:sz w:val="18"/>
          <w:szCs w:val="18"/>
          <w:b w:val="1"/>
          <w:bCs w:val="1"/>
          <w:color w:val="auto"/>
        </w:rPr>
        <w:t>FVTPL</w:t>
      </w:r>
      <w:r>
        <w:rPr>
          <w:rFonts w:ascii="Arial" w:cs="Arial" w:eastAsia="Arial" w:hAnsi="Arial"/>
          <w:sz w:val="18"/>
          <w:szCs w:val="18"/>
          <w:color w:val="auto"/>
        </w:rPr>
        <w:t>"). The liability is therefore measured at fair value at each reporting date, with any changes in fair value recognized in profit or loss.</w:t>
      </w:r>
    </w:p>
    <w:p>
      <w:pPr>
        <w:spacing w:after="0" w:line="180" w:lineRule="exact"/>
        <w:rPr>
          <w:sz w:val="20"/>
          <w:szCs w:val="20"/>
          <w:color w:val="auto"/>
        </w:rPr>
      </w:pPr>
    </w:p>
    <w:p>
      <w:pPr>
        <w:jc w:val="both"/>
        <w:ind w:left="260"/>
        <w:spacing w:after="0" w:line="274" w:lineRule="auto"/>
        <w:rPr>
          <w:sz w:val="20"/>
          <w:szCs w:val="20"/>
          <w:color w:val="auto"/>
        </w:rPr>
      </w:pPr>
      <w:r>
        <w:rPr>
          <w:rFonts w:ascii="Arial" w:cs="Arial" w:eastAsia="Arial" w:hAnsi="Arial"/>
          <w:sz w:val="18"/>
          <w:szCs w:val="18"/>
          <w:color w:val="auto"/>
        </w:rPr>
        <w:t>The fair value of the Convertible Debentures was determined using a valuation model that incorporates observable inputs such as the risk free interest rate, stock volatility, and the price per Common Share, as well as certain unobservable inputs including forecasted share price and five day VWAP, expected timing and amount of conversions that will occur over the course of the Convertible Debentures' maturity. The Company used a Monte Carlo simulation to forecast the price per Common Share throughout the conversion period. On the Initial Issuance Date, the fair value of the Convertible Debentures was determined to be $45,700 (the "</w:t>
      </w:r>
      <w:r>
        <w:rPr>
          <w:rFonts w:ascii="Arial" w:cs="Arial" w:eastAsia="Arial" w:hAnsi="Arial"/>
          <w:sz w:val="18"/>
          <w:szCs w:val="18"/>
          <w:b w:val="1"/>
          <w:bCs w:val="1"/>
          <w:color w:val="auto"/>
        </w:rPr>
        <w:t>Fair Value</w:t>
      </w:r>
      <w:r>
        <w:rPr>
          <w:rFonts w:ascii="Arial" w:cs="Arial" w:eastAsia="Arial" w:hAnsi="Arial"/>
          <w:sz w:val="18"/>
          <w:szCs w:val="18"/>
          <w:color w:val="auto"/>
        </w:rPr>
        <w:t>"). Key assumptions used in determining the Fair Value include a discount rate of approximately 20% and volatility of approximately 67.5%. The net cash received on issuance was $44,500 (the "</w:t>
      </w:r>
      <w:r>
        <w:rPr>
          <w:rFonts w:ascii="Arial" w:cs="Arial" w:eastAsia="Arial" w:hAnsi="Arial"/>
          <w:sz w:val="18"/>
          <w:szCs w:val="18"/>
          <w:b w:val="1"/>
          <w:bCs w:val="1"/>
          <w:color w:val="auto"/>
        </w:rPr>
        <w:t>Transaction Price</w:t>
      </w:r>
      <w:r>
        <w:rPr>
          <w:rFonts w:ascii="Arial" w:cs="Arial" w:eastAsia="Arial" w:hAnsi="Arial"/>
          <w:sz w:val="18"/>
          <w:szCs w:val="18"/>
          <w:color w:val="auto"/>
        </w:rPr>
        <w:t>"), representing the principal amount of $50,000 less pre-paid guaranteed interest of $5,500. The difference between the Fair Value and the Transaction Price resulted in a deferred day 1 loss of $1,200, which was unrecognized on the Initial Issuance Date and as at June 30, 2025. The day 1 loss is not recognized at initial recognition because the Fair Value of the Convertible Debentures is based on a valuation technique where not all the inputs are observable. This deferred day 1 loss is recognized in net loss over time, to the extent that it arises from changes in factors that market participants would consider when pricing the Convertible Debentures, such as the passage of time and the conversion of the Convertible Debentures into Common Shares. The future changes in fair value, including the recognition of the deferred day 1 loss, are recognized in the condensed interim consolidated statements of loss and comprehensive loss as “</w:t>
      </w:r>
      <w:r>
        <w:rPr>
          <w:rFonts w:ascii="Arial" w:cs="Arial" w:eastAsia="Arial" w:hAnsi="Arial"/>
          <w:sz w:val="18"/>
          <w:szCs w:val="18"/>
          <w:i w:val="1"/>
          <w:iCs w:val="1"/>
          <w:color w:val="auto"/>
        </w:rPr>
        <w:t>Fair value loss on financial instruments</w:t>
      </w:r>
      <w:r>
        <w:rPr>
          <w:rFonts w:ascii="Arial" w:cs="Arial" w:eastAsia="Arial" w:hAnsi="Arial"/>
          <w:sz w:val="18"/>
          <w:szCs w:val="18"/>
          <w:color w:val="auto"/>
        </w:rPr>
        <w:t>”.</w:t>
      </w:r>
    </w:p>
    <w:p>
      <w:pPr>
        <w:spacing w:after="0" w:line="229" w:lineRule="exact"/>
        <w:rPr>
          <w:sz w:val="20"/>
          <w:szCs w:val="20"/>
          <w:color w:val="auto"/>
        </w:rPr>
      </w:pPr>
    </w:p>
    <w:p>
      <w:pPr>
        <w:jc w:val="both"/>
        <w:ind w:left="260"/>
        <w:spacing w:after="0" w:line="304" w:lineRule="auto"/>
        <w:rPr>
          <w:sz w:val="20"/>
          <w:szCs w:val="20"/>
          <w:color w:val="auto"/>
        </w:rPr>
      </w:pPr>
      <w:r>
        <w:rPr>
          <w:rFonts w:ascii="Arial" w:cs="Arial" w:eastAsia="Arial" w:hAnsi="Arial"/>
          <w:sz w:val="18"/>
          <w:szCs w:val="18"/>
          <w:color w:val="auto"/>
        </w:rPr>
        <w:t>In connection with the issuance of the Convertible Debentures, the Company incurred debt issuance costs of $2,917, which is composed of placement agent fees, advisory fees and other professional fees directly attributable to the issuance of the Convertible Debentures. The debt issuance costs have been expensed as incurred in accordance with IFRS 9 for financial liabilities that are measured at FVTPL and are presented in the condensed interim consolidated statements of loss and comprehensive loss as "</w:t>
      </w:r>
      <w:r>
        <w:rPr>
          <w:rFonts w:ascii="Arial" w:cs="Arial" w:eastAsia="Arial" w:hAnsi="Arial"/>
          <w:sz w:val="18"/>
          <w:szCs w:val="18"/>
          <w:i w:val="1"/>
          <w:iCs w:val="1"/>
          <w:color w:val="auto"/>
        </w:rPr>
        <w:t>Debt issuance costs</w:t>
      </w:r>
      <w:r>
        <w:rPr>
          <w:rFonts w:ascii="Arial" w:cs="Arial" w:eastAsia="Arial" w:hAnsi="Arial"/>
          <w:sz w:val="18"/>
          <w:szCs w:val="18"/>
          <w:color w:val="auto"/>
        </w:rPr>
        <w:t>".</w:t>
      </w:r>
    </w:p>
    <w:p>
      <w:pPr>
        <w:spacing w:after="0" w:line="220" w:lineRule="exact"/>
        <w:rPr>
          <w:sz w:val="20"/>
          <w:szCs w:val="20"/>
          <w:color w:val="auto"/>
        </w:rPr>
      </w:pPr>
    </w:p>
    <w:p>
      <w:pPr>
        <w:jc w:val="both"/>
        <w:ind w:left="260"/>
        <w:spacing w:after="0" w:line="276" w:lineRule="auto"/>
        <w:rPr>
          <w:sz w:val="20"/>
          <w:szCs w:val="20"/>
          <w:color w:val="auto"/>
        </w:rPr>
      </w:pPr>
      <w:r>
        <w:rPr>
          <w:rFonts w:ascii="Arial" w:cs="Arial" w:eastAsia="Arial" w:hAnsi="Arial"/>
          <w:sz w:val="18"/>
          <w:szCs w:val="18"/>
          <w:color w:val="auto"/>
        </w:rPr>
        <w:t>During the three and six month periods ended September 30, 2025, High Trail converted $20,750 of the Convertible Debentures into 3,069,555 Common Shares at an average conversion price of $6.7599 which represented the VWAP of the Common Shares for the five trading days immediately prior to each conversion. As per IFRS, the conversions were accounted for as extinguishments of the Convertible Debenture. The principal converted was derecognized from the note and share capital increased correspondingly. Common Share issuance costs related to conversion of the Convertible Debentures for the period were $26. As of September 30, 2025, the remaining principal balance of the Convertible Debentures was $29,250.</w:t>
      </w:r>
    </w:p>
    <w:p>
      <w:pPr>
        <w:spacing w:after="0" w:line="219" w:lineRule="exact"/>
        <w:rPr>
          <w:sz w:val="20"/>
          <w:szCs w:val="20"/>
          <w:color w:val="auto"/>
        </w:rPr>
      </w:pPr>
    </w:p>
    <w:p>
      <w:pPr>
        <w:jc w:val="both"/>
        <w:ind w:left="260"/>
        <w:spacing w:after="0" w:line="284" w:lineRule="auto"/>
        <w:rPr>
          <w:sz w:val="20"/>
          <w:szCs w:val="20"/>
          <w:color w:val="auto"/>
        </w:rPr>
      </w:pPr>
      <w:r>
        <w:rPr>
          <w:rFonts w:ascii="Arial" w:cs="Arial" w:eastAsia="Arial" w:hAnsi="Arial"/>
          <w:sz w:val="18"/>
          <w:szCs w:val="18"/>
          <w:color w:val="auto"/>
        </w:rPr>
        <w:t>During the three and six months ended September 30, 2025, a total of $674 of the deferred Day 1 loss was recognized in the condensed interim consolidated statements of loss and comprehensive loss within “</w:t>
      </w:r>
      <w:r>
        <w:rPr>
          <w:rFonts w:ascii="Arial" w:cs="Arial" w:eastAsia="Arial" w:hAnsi="Arial"/>
          <w:sz w:val="18"/>
          <w:szCs w:val="18"/>
          <w:i w:val="1"/>
          <w:iCs w:val="1"/>
          <w:color w:val="auto"/>
        </w:rPr>
        <w:t>Fair value loss on financial instruments</w:t>
      </w:r>
      <w:r>
        <w:rPr>
          <w:rFonts w:ascii="Arial" w:cs="Arial" w:eastAsia="Arial" w:hAnsi="Arial"/>
          <w:sz w:val="18"/>
          <w:szCs w:val="18"/>
          <w:color w:val="auto"/>
        </w:rPr>
        <w:t>” The remaining unrecognized portion of the Day 1 loss as at September 30, 2025, was $526.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Page 13 of 26</w:t>
      </w:r>
    </w:p>
    <w:p>
      <w:pPr>
        <w:sectPr>
          <w:pgSz w:w="11900" w:h="16838" w:orient="portrait"/>
          <w:cols w:equalWidth="0" w:num="1">
            <w:col w:w="11160"/>
          </w:cols>
          <w:pgMar w:left="400" w:top="233" w:right="339" w:bottom="1440" w:gutter="0" w:footer="0" w:header="0"/>
        </w:sectPr>
      </w:pPr>
    </w:p>
    <w:bookmarkStart w:id="16" w:name="page17"/>
    <w:bookmarkEnd w:id="16"/>
    <w:p>
      <w:pPr>
        <w:ind w:left="80"/>
        <w:spacing w:after="0"/>
        <w:rPr>
          <w:sz w:val="20"/>
          <w:szCs w:val="20"/>
          <w:color w:val="auto"/>
        </w:rPr>
      </w:pPr>
      <w:r>
        <w:rPr>
          <w:rFonts w:ascii="Arial" w:cs="Arial" w:eastAsia="Arial" w:hAnsi="Arial"/>
          <w:sz w:val="22"/>
          <w:szCs w:val="22"/>
          <w:b w:val="1"/>
          <w:bCs w:val="1"/>
          <w:color w:val="auto"/>
        </w:rPr>
        <w:t>CYBIN INC.</w:t>
      </w:r>
    </w:p>
    <w:p>
      <w:pPr>
        <w:spacing w:after="0" w:line="26" w:lineRule="exact"/>
        <w:rPr>
          <w:sz w:val="20"/>
          <w:szCs w:val="20"/>
          <w:color w:val="auto"/>
        </w:rPr>
      </w:pPr>
    </w:p>
    <w:p>
      <w:pPr>
        <w:ind w:left="80"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September 30, 2025</w:t>
      </w:r>
    </w:p>
    <w:p>
      <w:pPr>
        <w:spacing w:after="0" w:line="1" w:lineRule="exact"/>
        <w:rPr>
          <w:sz w:val="20"/>
          <w:szCs w:val="20"/>
          <w:color w:val="auto"/>
        </w:rPr>
      </w:pPr>
    </w:p>
    <w:p>
      <w:pPr>
        <w:ind w:left="80"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340" w:type="dxa"/>
        <w:tblCellMar>
          <w:top w:w="0" w:type="dxa"/>
          <w:left w:w="0" w:type="dxa"/>
          <w:bottom w:w="0" w:type="dxa"/>
          <w:right w:w="0" w:type="dxa"/>
        </w:tblCellMar>
      </w:tblPr>
      <w:tr>
        <w:trPr>
          <w:trHeight w:val="235"/>
        </w:trPr>
        <w:tc>
          <w:tcPr>
            <w:tcW w:w="70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18"/>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Unrecognized Day 1 loss at June 30, 2025</w:t>
            </w:r>
          </w:p>
        </w:tc>
        <w:tc>
          <w:tcPr>
            <w:tcW w:w="344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35"/>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Recognized in profit or loss during the period</w:t>
            </w:r>
          </w:p>
        </w:tc>
        <w:tc>
          <w:tcPr>
            <w:tcW w:w="3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r>
      <w:tr>
        <w:trPr>
          <w:trHeight w:val="223"/>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Unrecognized Day 1 loss at September 30, 2025</w:t>
            </w:r>
          </w:p>
        </w:tc>
        <w:tc>
          <w:tcPr>
            <w:tcW w:w="3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w:t>
            </w:r>
          </w:p>
        </w:tc>
      </w:tr>
    </w:tbl>
    <w:p>
      <w:pPr>
        <w:spacing w:after="0" w:line="332" w:lineRule="exact"/>
        <w:rPr>
          <w:sz w:val="20"/>
          <w:szCs w:val="20"/>
          <w:color w:val="auto"/>
        </w:rPr>
      </w:pPr>
    </w:p>
    <w:p>
      <w:pPr>
        <w:jc w:val="both"/>
        <w:ind w:left="340"/>
        <w:spacing w:after="0" w:line="295" w:lineRule="auto"/>
        <w:rPr>
          <w:sz w:val="20"/>
          <w:szCs w:val="20"/>
          <w:color w:val="auto"/>
        </w:rPr>
      </w:pPr>
      <w:r>
        <w:rPr>
          <w:rFonts w:ascii="Arial" w:cs="Arial" w:eastAsia="Arial" w:hAnsi="Arial"/>
          <w:sz w:val="18"/>
          <w:szCs w:val="18"/>
          <w:color w:val="auto"/>
        </w:rPr>
        <w:t>As at September 30, 2025, the fair value of the Convertible Debentures was determined to be $29,414. Key assumptions used in determining the fair value as at September 30, 2025, include a discount rate of approximately 20% and a volatility rate of approximately 73.5%. The Company also updated its Monte Carlo simulation to account for current Common Share prices and adjusted the expected conversion period based on the actual conversion pattern to date. As at September 30, 2025, the fair value net of the unrecognized day 1 loss was $28,888. As a result of the change in fair value, during the three and six month period ended September 30, 2025, the Company recorded a fair value loss of $5,138 in the condensed interim consolidated statements of loss and comprehensive loss as “</w:t>
      </w:r>
      <w:r>
        <w:rPr>
          <w:rFonts w:ascii="Arial" w:cs="Arial" w:eastAsia="Arial" w:hAnsi="Arial"/>
          <w:sz w:val="18"/>
          <w:szCs w:val="18"/>
          <w:i w:val="1"/>
          <w:iCs w:val="1"/>
          <w:color w:val="auto"/>
        </w:rPr>
        <w:t>Fair</w:t>
      </w:r>
      <w:r>
        <w:rPr>
          <w:rFonts w:ascii="Arial" w:cs="Arial" w:eastAsia="Arial" w:hAnsi="Arial"/>
          <w:sz w:val="18"/>
          <w:szCs w:val="18"/>
          <w:color w:val="auto"/>
        </w:rPr>
        <w:t xml:space="preserve"> </w:t>
      </w:r>
      <w:r>
        <w:rPr>
          <w:rFonts w:ascii="Arial" w:cs="Arial" w:eastAsia="Arial" w:hAnsi="Arial"/>
          <w:sz w:val="18"/>
          <w:szCs w:val="18"/>
          <w:i w:val="1"/>
          <w:iCs w:val="1"/>
          <w:color w:val="auto"/>
        </w:rPr>
        <w:t>value loss on financial instruments</w:t>
      </w:r>
      <w:r>
        <w:rPr>
          <w:rFonts w:ascii="Arial" w:cs="Arial" w:eastAsia="Arial" w:hAnsi="Arial"/>
          <w:sz w:val="18"/>
          <w:szCs w:val="18"/>
          <w:color w:val="auto"/>
        </w:rPr>
        <w:t>”, including the recognition of the deferred day 1 loss of $674.</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continuity of the fair value of the Convertible Debentures for the six months ended September 30, 2025, is as follows:</w:t>
      </w:r>
    </w:p>
    <w:p>
      <w:pPr>
        <w:spacing w:after="0" w:line="50" w:lineRule="exact"/>
        <w:rPr>
          <w:sz w:val="20"/>
          <w:szCs w:val="20"/>
          <w:color w:val="auto"/>
        </w:rPr>
      </w:pPr>
    </w:p>
    <w:tbl>
      <w:tblPr>
        <w:tblLayout w:type="fixed"/>
        <w:tblInd w:w="340" w:type="dxa"/>
        <w:tblCellMar>
          <w:top w:w="0" w:type="dxa"/>
          <w:left w:w="0" w:type="dxa"/>
          <w:bottom w:w="0" w:type="dxa"/>
          <w:right w:w="0" w:type="dxa"/>
        </w:tblCellMar>
      </w:tblPr>
      <w:tr>
        <w:trPr>
          <w:trHeight w:val="235"/>
        </w:trPr>
        <w:tc>
          <w:tcPr>
            <w:tcW w:w="70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18"/>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Balance as at March 31, 2025</w:t>
            </w:r>
          </w:p>
        </w:tc>
        <w:tc>
          <w:tcPr>
            <w:tcW w:w="34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Convertible debentures Issued, net of prepaid interest</w:t>
            </w:r>
          </w:p>
        </w:tc>
        <w:tc>
          <w:tcPr>
            <w:tcW w:w="3420" w:type="dxa"/>
            <w:vAlign w:val="bottom"/>
          </w:tcPr>
          <w:p>
            <w:pPr>
              <w:jc w:val="right"/>
              <w:spacing w:after="0"/>
              <w:rPr>
                <w:sz w:val="20"/>
                <w:szCs w:val="20"/>
                <w:color w:val="auto"/>
              </w:rPr>
            </w:pPr>
            <w:r>
              <w:rPr>
                <w:rFonts w:ascii="Arial" w:cs="Arial" w:eastAsia="Arial" w:hAnsi="Arial"/>
                <w:sz w:val="18"/>
                <w:szCs w:val="18"/>
                <w:color w:val="auto"/>
              </w:rPr>
              <w:t>44,500</w:t>
            </w: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Convertible debentures converted</w:t>
            </w:r>
          </w:p>
        </w:tc>
        <w:tc>
          <w:tcPr>
            <w:tcW w:w="3420" w:type="dxa"/>
            <w:vAlign w:val="bottom"/>
          </w:tcPr>
          <w:p>
            <w:pPr>
              <w:jc w:val="right"/>
              <w:spacing w:after="0"/>
              <w:rPr>
                <w:sz w:val="20"/>
                <w:szCs w:val="20"/>
                <w:color w:val="auto"/>
              </w:rPr>
            </w:pPr>
            <w:r>
              <w:rPr>
                <w:rFonts w:ascii="Arial" w:cs="Arial" w:eastAsia="Arial" w:hAnsi="Arial"/>
                <w:sz w:val="18"/>
                <w:szCs w:val="18"/>
                <w:color w:val="auto"/>
              </w:rPr>
              <w:t>(20,750)</w:t>
            </w:r>
          </w:p>
        </w:tc>
      </w:tr>
      <w:tr>
        <w:trPr>
          <w:trHeight w:val="235"/>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Change in fair value</w:t>
            </w:r>
          </w:p>
        </w:tc>
        <w:tc>
          <w:tcPr>
            <w:tcW w:w="3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5,138</w:t>
            </w:r>
          </w:p>
        </w:tc>
      </w:tr>
      <w:tr>
        <w:trPr>
          <w:trHeight w:val="223"/>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as at September 30, 2025</w:t>
            </w:r>
          </w:p>
        </w:tc>
        <w:tc>
          <w:tcPr>
            <w:tcW w:w="3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28,888</w:t>
            </w:r>
          </w:p>
        </w:tc>
      </w:tr>
    </w:tbl>
    <w:p>
      <w:pPr>
        <w:spacing w:after="0" w:line="3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Convertible Debentures are classified as a Level 3 financial instrument in the fair value hierarchy under IFRS 13.</w:t>
      </w:r>
    </w:p>
    <w:p>
      <w:pPr>
        <w:spacing w:after="0" w:line="198"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2D5F91"/>
        </w:rPr>
      </w:pPr>
      <w:r>
        <w:rPr>
          <w:rFonts w:ascii="Arial" w:cs="Arial" w:eastAsia="Arial" w:hAnsi="Arial"/>
          <w:sz w:val="18"/>
          <w:szCs w:val="18"/>
          <w:b w:val="1"/>
          <w:bCs w:val="1"/>
          <w:color w:val="2D5F91"/>
        </w:rPr>
        <w:t>SHARE CAPITAL</w:t>
      </w:r>
    </w:p>
    <w:p>
      <w:pPr>
        <w:spacing w:after="0" w:line="225" w:lineRule="exact"/>
        <w:rPr>
          <w:rFonts w:ascii="Arial" w:cs="Arial" w:eastAsia="Arial" w:hAnsi="Arial"/>
          <w:sz w:val="18"/>
          <w:szCs w:val="18"/>
          <w:b w:val="1"/>
          <w:bCs w:val="1"/>
          <w:color w:val="2D5F91"/>
        </w:rPr>
      </w:pPr>
    </w:p>
    <w:p>
      <w:pPr>
        <w:ind w:left="660" w:hanging="328"/>
        <w:spacing w:after="0"/>
        <w:tabs>
          <w:tab w:leader="none" w:pos="66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Authorized share capital</w:t>
      </w:r>
    </w:p>
    <w:p>
      <w:pPr>
        <w:spacing w:after="0" w:line="225" w:lineRule="exact"/>
        <w:rPr>
          <w:sz w:val="20"/>
          <w:szCs w:val="20"/>
          <w:color w:val="auto"/>
        </w:rPr>
      </w:pPr>
    </w:p>
    <w:p>
      <w:pPr>
        <w:jc w:val="both"/>
        <w:ind w:left="340"/>
        <w:spacing w:after="0" w:line="308" w:lineRule="auto"/>
        <w:rPr>
          <w:sz w:val="20"/>
          <w:szCs w:val="20"/>
          <w:color w:val="auto"/>
        </w:rPr>
      </w:pPr>
      <w:r>
        <w:rPr>
          <w:rFonts w:ascii="Arial" w:cs="Arial" w:eastAsia="Arial" w:hAnsi="Arial"/>
          <w:sz w:val="18"/>
          <w:szCs w:val="18"/>
          <w:color w:val="auto"/>
        </w:rPr>
        <w:t>The authorized share capital of Cybin consists of an unlimited number of Common Shares and an unlimited number of preferred shares without par value. The board of directors of Cybin would determine the designation, rights, privileges, and conditions attached to any preferred shares prior to issuance.</w:t>
      </w:r>
    </w:p>
    <w:p>
      <w:pPr>
        <w:spacing w:after="0" w:line="13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Issued share capital</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During the six months ended September 30, 2025, the Company completed the following share issuances:</w:t>
      </w:r>
    </w:p>
    <w:p>
      <w:pPr>
        <w:spacing w:after="0" w:line="264" w:lineRule="exact"/>
        <w:rPr>
          <w:sz w:val="20"/>
          <w:szCs w:val="20"/>
          <w:color w:val="auto"/>
        </w:rPr>
      </w:pPr>
    </w:p>
    <w:p>
      <w:pPr>
        <w:jc w:val="both"/>
        <w:ind w:left="340"/>
        <w:spacing w:after="0" w:line="281" w:lineRule="auto"/>
        <w:rPr>
          <w:sz w:val="20"/>
          <w:szCs w:val="20"/>
          <w:color w:val="auto"/>
        </w:rPr>
      </w:pPr>
      <w:r>
        <w:rPr>
          <w:rFonts w:ascii="Arial" w:cs="Arial" w:eastAsia="Arial" w:hAnsi="Arial"/>
          <w:sz w:val="18"/>
          <w:szCs w:val="18"/>
          <w:color w:val="auto"/>
        </w:rPr>
        <w:t>The Company sold 1,422,423 Common Shares at an average price of $7.36 per Common Share for aggregate gross proceeds of $10,465 under an at-the-market equity program (the “</w:t>
      </w:r>
      <w:r>
        <w:rPr>
          <w:rFonts w:ascii="Arial" w:cs="Arial" w:eastAsia="Arial" w:hAnsi="Arial"/>
          <w:sz w:val="18"/>
          <w:szCs w:val="18"/>
          <w:b w:val="1"/>
          <w:bCs w:val="1"/>
          <w:color w:val="auto"/>
        </w:rPr>
        <w:t>2025 ATM Program</w:t>
      </w:r>
      <w:r>
        <w:rPr>
          <w:rFonts w:ascii="Arial" w:cs="Arial" w:eastAsia="Arial" w:hAnsi="Arial"/>
          <w:sz w:val="18"/>
          <w:szCs w:val="18"/>
          <w:color w:val="auto"/>
        </w:rPr>
        <w:t>”) established on February 10, 2025 that allows the Company to issue and sell up to US$100,000 of Common Shares from treasury to the public, from time to time. Distributions of Common Shares under the 2025 ATM Program are made pursuant to the terms and conditions of an at-the-market equity distribution agreement (the “</w:t>
      </w:r>
      <w:r>
        <w:rPr>
          <w:rFonts w:ascii="Arial" w:cs="Arial" w:eastAsia="Arial" w:hAnsi="Arial"/>
          <w:sz w:val="18"/>
          <w:szCs w:val="18"/>
          <w:b w:val="1"/>
          <w:bCs w:val="1"/>
          <w:color w:val="auto"/>
        </w:rPr>
        <w:t>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14 of 26</w:t>
      </w:r>
    </w:p>
    <w:p>
      <w:pPr>
        <w:sectPr>
          <w:pgSz w:w="11900" w:h="16838" w:orient="portrait"/>
          <w:cols w:equalWidth="0" w:num="1">
            <w:col w:w="11240"/>
          </w:cols>
          <w:pgMar w:left="320" w:top="233" w:right="33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auto"/>
        </w:rPr>
        <w:t>CYBIN INC.</w:t>
      </w:r>
    </w:p>
    <w:p>
      <w:pPr>
        <w:spacing w:after="0" w:line="26" w:lineRule="exact"/>
        <w:rPr>
          <w:sz w:val="20"/>
          <w:szCs w:val="20"/>
          <w:color w:val="auto"/>
        </w:rPr>
      </w:pPr>
    </w:p>
    <w:p>
      <w:pPr>
        <w:ind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September 30, 2025</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Distribution Agreement</w:t>
      </w:r>
      <w:r>
        <w:rPr>
          <w:rFonts w:ascii="Arial" w:cs="Arial" w:eastAsia="Arial" w:hAnsi="Arial"/>
          <w:sz w:val="18"/>
          <w:szCs w:val="18"/>
          <w:color w:val="auto"/>
        </w:rPr>
        <w:t>”) dated February 10, 2025, among the Company, Cantor Fitzgerald Canada Corporation and Cantor Fitzgerald</w:t>
      </w:r>
    </w:p>
    <w:p>
      <w:pPr>
        <w:spacing w:after="0" w:line="40" w:lineRule="exact"/>
        <w:rPr>
          <w:sz w:val="20"/>
          <w:szCs w:val="20"/>
          <w:color w:val="auto"/>
        </w:rPr>
      </w:pPr>
    </w:p>
    <w:p>
      <w:pPr>
        <w:ind w:left="260" w:hanging="8"/>
        <w:spacing w:after="0" w:line="298" w:lineRule="auto"/>
        <w:tabs>
          <w:tab w:leader="none" w:pos="437"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 The 2025 ATM Program was effective until September 17, 2025 when it was terminated in accordance with the terms of the 2025 Distribution Agreement.</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Common Share issuance costs related to the 2025 ATM Program for the period were $332.</w:t>
      </w:r>
    </w:p>
    <w:p>
      <w:pPr>
        <w:spacing w:after="0" w:line="266" w:lineRule="exact"/>
        <w:rPr>
          <w:sz w:val="20"/>
          <w:szCs w:val="20"/>
          <w:color w:val="auto"/>
        </w:rPr>
      </w:pPr>
    </w:p>
    <w:p>
      <w:pPr>
        <w:jc w:val="both"/>
        <w:ind w:left="260"/>
        <w:spacing w:after="0" w:line="292" w:lineRule="auto"/>
        <w:rPr>
          <w:sz w:val="20"/>
          <w:szCs w:val="20"/>
          <w:color w:val="auto"/>
        </w:rPr>
      </w:pPr>
      <w:r>
        <w:rPr>
          <w:rFonts w:ascii="Arial" w:cs="Arial" w:eastAsia="Arial" w:hAnsi="Arial"/>
          <w:sz w:val="18"/>
          <w:szCs w:val="18"/>
          <w:color w:val="auto"/>
        </w:rPr>
        <w:t>High Trail converted $20,750 of the Convertible Debentures into 3,069,555 Common Shares at an average conversion price of $6.7599 representing the VWAP of the Common Shares for the five trading days immediately prior to each conversion. Common Share issuance costs related to conversion of the Convertible Debentures for the period were $26.</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at September 30, 2025, the Company had no preferred shares outstanding.</w:t>
      </w: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Cybin US Class B Shares</w:t>
      </w:r>
    </w:p>
    <w:p>
      <w:pPr>
        <w:spacing w:after="0" w:line="38" w:lineRule="exact"/>
        <w:rPr>
          <w:sz w:val="20"/>
          <w:szCs w:val="20"/>
          <w:color w:val="auto"/>
        </w:rPr>
      </w:pPr>
    </w:p>
    <w:tbl>
      <w:tblPr>
        <w:tblLayout w:type="fixed"/>
        <w:tblInd w:w="260" w:type="dxa"/>
        <w:tblCellMar>
          <w:top w:w="0" w:type="dxa"/>
          <w:left w:w="0" w:type="dxa"/>
          <w:bottom w:w="0" w:type="dxa"/>
          <w:right w:w="0" w:type="dxa"/>
        </w:tblCellMar>
      </w:tblPr>
      <w:tr>
        <w:trPr>
          <w:trHeight w:val="218"/>
        </w:trPr>
        <w:tc>
          <w:tcPr>
            <w:tcW w:w="554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Number of Class B Shares</w:t>
            </w:r>
          </w:p>
        </w:tc>
      </w:tr>
      <w:tr>
        <w:trPr>
          <w:trHeight w:val="218"/>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Balance as at March 31, 2025</w:t>
            </w:r>
          </w:p>
        </w:tc>
        <w:tc>
          <w:tcPr>
            <w:tcW w:w="4920" w:type="dxa"/>
            <w:vAlign w:val="bottom"/>
          </w:tcPr>
          <w:p>
            <w:pPr>
              <w:jc w:val="right"/>
              <w:spacing w:after="0"/>
              <w:rPr>
                <w:sz w:val="20"/>
                <w:szCs w:val="20"/>
                <w:color w:val="auto"/>
              </w:rPr>
            </w:pPr>
            <w:r>
              <w:rPr>
                <w:rFonts w:ascii="Arial" w:cs="Arial" w:eastAsia="Arial" w:hAnsi="Arial"/>
                <w:sz w:val="18"/>
                <w:szCs w:val="18"/>
                <w:color w:val="auto"/>
              </w:rPr>
              <w:t>36,084.7</w:t>
            </w:r>
          </w:p>
        </w:tc>
      </w:tr>
      <w:tr>
        <w:trPr>
          <w:trHeight w:val="235"/>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Cancelled</w:t>
            </w:r>
          </w:p>
        </w:tc>
        <w:tc>
          <w:tcPr>
            <w:tcW w:w="4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(36,084.7)</w:t>
            </w:r>
          </w:p>
        </w:tc>
      </w:tr>
      <w:tr>
        <w:trPr>
          <w:trHeight w:val="223"/>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as at September 30, 2025</w:t>
            </w:r>
          </w:p>
        </w:tc>
        <w:tc>
          <w:tcPr>
            <w:tcW w:w="4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65" w:lineRule="exact"/>
        <w:rPr>
          <w:sz w:val="20"/>
          <w:szCs w:val="20"/>
          <w:color w:val="auto"/>
        </w:rPr>
      </w:pPr>
    </w:p>
    <w:p>
      <w:pPr>
        <w:jc w:val="both"/>
        <w:ind w:left="260"/>
        <w:spacing w:after="0" w:line="298" w:lineRule="auto"/>
        <w:rPr>
          <w:sz w:val="20"/>
          <w:szCs w:val="20"/>
          <w:color w:val="auto"/>
        </w:rPr>
      </w:pPr>
      <w:r>
        <w:rPr>
          <w:rFonts w:ascii="Arial" w:cs="Arial" w:eastAsia="Arial" w:hAnsi="Arial"/>
          <w:sz w:val="18"/>
          <w:szCs w:val="18"/>
          <w:color w:val="auto"/>
        </w:rPr>
        <w:t>Effective August 20, 2025, the remaining 36,084.7 class B common shares of Cybin US (“</w:t>
      </w:r>
      <w:r>
        <w:rPr>
          <w:rFonts w:ascii="Arial" w:cs="Arial" w:eastAsia="Arial" w:hAnsi="Arial"/>
          <w:sz w:val="18"/>
          <w:szCs w:val="18"/>
          <w:b w:val="1"/>
          <w:bCs w:val="1"/>
          <w:color w:val="auto"/>
        </w:rPr>
        <w:t>Class B Shares</w:t>
      </w:r>
      <w:r>
        <w:rPr>
          <w:rFonts w:ascii="Arial" w:cs="Arial" w:eastAsia="Arial" w:hAnsi="Arial"/>
          <w:sz w:val="18"/>
          <w:szCs w:val="18"/>
          <w:color w:val="auto"/>
        </w:rPr>
        <w:t>”) were cancelled. The Class B shares had been exchangeable for a total of 9,496 Common Shares and the Company's consolidated financial statements had reflected the issued Class B Shares on an as-converted basis. As a result of the cancellation, $373 was reclassified from "</w:t>
      </w:r>
      <w:r>
        <w:rPr>
          <w:rFonts w:ascii="Arial" w:cs="Arial" w:eastAsia="Arial" w:hAnsi="Arial"/>
          <w:sz w:val="18"/>
          <w:szCs w:val="18"/>
          <w:i w:val="1"/>
          <w:iCs w:val="1"/>
          <w:color w:val="auto"/>
        </w:rPr>
        <w:t>share capital</w:t>
      </w:r>
      <w:r>
        <w:rPr>
          <w:rFonts w:ascii="Arial" w:cs="Arial" w:eastAsia="Arial" w:hAnsi="Arial"/>
          <w:sz w:val="18"/>
          <w:szCs w:val="18"/>
          <w:color w:val="auto"/>
        </w:rPr>
        <w:t>" to "</w:t>
      </w:r>
      <w:r>
        <w:rPr>
          <w:rFonts w:ascii="Arial" w:cs="Arial" w:eastAsia="Arial" w:hAnsi="Arial"/>
          <w:sz w:val="18"/>
          <w:szCs w:val="18"/>
          <w:i w:val="1"/>
          <w:iCs w:val="1"/>
          <w:color w:val="auto"/>
        </w:rPr>
        <w:t>contributed surplus</w:t>
      </w:r>
      <w:r>
        <w:rPr>
          <w:rFonts w:ascii="Arial" w:cs="Arial" w:eastAsia="Arial" w:hAnsi="Arial"/>
          <w:sz w:val="18"/>
          <w:szCs w:val="18"/>
          <w:color w:val="auto"/>
        </w:rPr>
        <w:t>" on the condensed interim consolidated statements of financial position and changes in shareholders equity. As at September 30, 2025, no Class B Shares were outstanding.</w:t>
      </w:r>
    </w:p>
    <w:p>
      <w:pPr>
        <w:spacing w:after="0" w:line="146" w:lineRule="exact"/>
        <w:rPr>
          <w:sz w:val="20"/>
          <w:szCs w:val="20"/>
          <w:color w:val="auto"/>
        </w:rPr>
      </w:pPr>
    </w:p>
    <w:p>
      <w:pPr>
        <w:ind w:left="600" w:hanging="351"/>
        <w:spacing w:after="0"/>
        <w:tabs>
          <w:tab w:leader="none" w:pos="6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Warrants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continuity of the outstanding warrants for the six months ended September 30, 2025, is as follows:</w:t>
      </w:r>
    </w:p>
    <w:p>
      <w:pPr>
        <w:spacing w:after="0" w:line="278" w:lineRule="exact"/>
        <w:rPr>
          <w:sz w:val="20"/>
          <w:szCs w:val="20"/>
          <w:color w:val="auto"/>
        </w:rPr>
      </w:pPr>
    </w:p>
    <w:tbl>
      <w:tblPr>
        <w:tblLayout w:type="fixed"/>
        <w:tblInd w:w="260" w:type="dxa"/>
        <w:tblCellMar>
          <w:top w:w="0" w:type="dxa"/>
          <w:left w:w="0" w:type="dxa"/>
          <w:bottom w:w="0" w:type="dxa"/>
          <w:right w:w="0" w:type="dxa"/>
        </w:tblCellMar>
      </w:tblPr>
      <w:tr>
        <w:trPr>
          <w:trHeight w:val="189"/>
        </w:trPr>
        <w:tc>
          <w:tcPr>
            <w:tcW w:w="5020" w:type="dxa"/>
            <w:vAlign w:val="bottom"/>
            <w:tcBorders>
              <w:top w:val="single" w:sz="8" w:color="auto"/>
            </w:tcBorders>
          </w:tcPr>
          <w:p>
            <w:pPr>
              <w:spacing w:after="0"/>
              <w:rPr>
                <w:sz w:val="16"/>
                <w:szCs w:val="16"/>
                <w:color w:val="auto"/>
              </w:rPr>
            </w:pPr>
          </w:p>
        </w:tc>
        <w:tc>
          <w:tcPr>
            <w:tcW w:w="368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b w:val="1"/>
                <w:bCs w:val="1"/>
                <w:color w:val="auto"/>
              </w:rPr>
              <w:t>Number of Warrants</w:t>
            </w:r>
          </w:p>
        </w:tc>
        <w:tc>
          <w:tcPr>
            <w:tcW w:w="17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243"/>
        </w:trPr>
        <w:tc>
          <w:tcPr>
            <w:tcW w:w="5020" w:type="dxa"/>
            <w:vAlign w:val="bottom"/>
            <w:tcBorders>
              <w:bottom w:val="single" w:sz="8" w:color="auto"/>
            </w:tcBorders>
          </w:tcPr>
          <w:p>
            <w:pPr>
              <w:spacing w:after="0"/>
              <w:rPr>
                <w:sz w:val="21"/>
                <w:szCs w:val="21"/>
                <w:color w:val="auto"/>
              </w:rPr>
            </w:pPr>
          </w:p>
        </w:tc>
        <w:tc>
          <w:tcPr>
            <w:tcW w:w="3680" w:type="dxa"/>
            <w:vAlign w:val="bottom"/>
            <w:tcBorders>
              <w:bottom w:val="single" w:sz="8" w:color="auto"/>
            </w:tcBorders>
            <w:vMerge w:val="continue"/>
          </w:tcPr>
          <w:p>
            <w:pPr>
              <w:spacing w:after="0"/>
              <w:rPr>
                <w:sz w:val="21"/>
                <w:szCs w:val="21"/>
                <w:color w:val="auto"/>
              </w:rPr>
            </w:pPr>
          </w:p>
        </w:tc>
        <w:tc>
          <w:tcPr>
            <w:tcW w:w="176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18"/>
                <w:szCs w:val="18"/>
                <w:b w:val="1"/>
                <w:bCs w:val="1"/>
                <w:color w:val="auto"/>
              </w:rPr>
              <w:t>exercise price</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89"/>
        </w:trPr>
        <w:tc>
          <w:tcPr>
            <w:tcW w:w="50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5"/>
        </w:trPr>
        <w:tc>
          <w:tcPr>
            <w:tcW w:w="50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i w:val="1"/>
                <w:iCs w:val="1"/>
                <w:color w:val="auto"/>
              </w:rPr>
              <w:t>Common Share Purchase Warrants</w:t>
            </w:r>
          </w:p>
        </w:tc>
        <w:tc>
          <w:tcPr>
            <w:tcW w:w="36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020" w:type="dxa"/>
            <w:vAlign w:val="bottom"/>
          </w:tcPr>
          <w:p>
            <w:pPr>
              <w:ind w:left="20"/>
              <w:spacing w:after="0"/>
              <w:rPr>
                <w:sz w:val="20"/>
                <w:szCs w:val="20"/>
                <w:color w:val="auto"/>
              </w:rPr>
            </w:pPr>
            <w:r>
              <w:rPr>
                <w:rFonts w:ascii="Arial" w:cs="Arial" w:eastAsia="Arial" w:hAnsi="Arial"/>
                <w:sz w:val="18"/>
                <w:szCs w:val="18"/>
                <w:color w:val="auto"/>
              </w:rPr>
              <w:t>As at March 31, 2025</w:t>
            </w:r>
          </w:p>
        </w:tc>
        <w:tc>
          <w:tcPr>
            <w:tcW w:w="3680" w:type="dxa"/>
            <w:vAlign w:val="bottom"/>
          </w:tcPr>
          <w:p>
            <w:pPr>
              <w:jc w:val="right"/>
              <w:ind w:right="130"/>
              <w:spacing w:after="0"/>
              <w:rPr>
                <w:sz w:val="20"/>
                <w:szCs w:val="20"/>
                <w:color w:val="auto"/>
              </w:rPr>
            </w:pPr>
            <w:r>
              <w:rPr>
                <w:rFonts w:ascii="Arial" w:cs="Arial" w:eastAsia="Arial" w:hAnsi="Arial"/>
                <w:sz w:val="18"/>
                <w:szCs w:val="18"/>
                <w:color w:val="auto"/>
              </w:rPr>
              <w:t>2,796,197</w:t>
            </w:r>
          </w:p>
        </w:tc>
        <w:tc>
          <w:tcPr>
            <w:tcW w:w="1760" w:type="dxa"/>
            <w:vAlign w:val="bottom"/>
          </w:tcPr>
          <w:p>
            <w:pPr>
              <w:jc w:val="right"/>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Issued</w:t>
            </w:r>
          </w:p>
        </w:tc>
        <w:tc>
          <w:tcPr>
            <w:tcW w:w="36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Exercised</w:t>
            </w:r>
          </w:p>
        </w:tc>
        <w:tc>
          <w:tcPr>
            <w:tcW w:w="36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Expired</w:t>
            </w:r>
          </w:p>
        </w:tc>
        <w:tc>
          <w:tcPr>
            <w:tcW w:w="3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Outstanding as at September 30, 2025</w:t>
            </w:r>
          </w:p>
        </w:tc>
        <w:tc>
          <w:tcPr>
            <w:tcW w:w="3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2,796,197</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16.75</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Exercisable as at September 30, 2025</w:t>
            </w:r>
          </w:p>
        </w:tc>
        <w:tc>
          <w:tcPr>
            <w:tcW w:w="3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2,796,197</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16.75</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260" w:right="20"/>
        <w:spacing w:after="0" w:line="244" w:lineRule="auto"/>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6"/>
          <w:szCs w:val="16"/>
          <w:i w:val="1"/>
          <w:iCs w:val="1"/>
          <w:color w:val="auto"/>
        </w:rPr>
        <w:t>Certain warrants were issued in CAD, the weighted average exercise price is calculated using the closing exchange rate in effect as at the respective dates.</w:t>
      </w:r>
    </w:p>
    <w:p>
      <w:pPr>
        <w:sectPr>
          <w:pgSz w:w="11900" w:h="16838" w:orient="portrait"/>
          <w:cols w:equalWidth="0" w:num="1">
            <w:col w:w="11160"/>
          </w:cols>
          <w:pgMar w:left="40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Page 15 of 26</w:t>
      </w:r>
    </w:p>
    <w:p>
      <w:pPr>
        <w:sectPr>
          <w:pgSz w:w="11900" w:h="16838" w:orient="portrait"/>
          <w:cols w:equalWidth="0" w:num="1">
            <w:col w:w="11160"/>
          </w:cols>
          <w:pgMar w:left="400" w:top="233" w:right="339" w:bottom="1440" w:gutter="0" w:footer="0" w:header="0"/>
          <w:type w:val="continuous"/>
        </w:sectPr>
      </w:pPr>
    </w:p>
    <w:bookmarkStart w:id="18" w:name="page19"/>
    <w:bookmarkEnd w:id="18"/>
    <w:p>
      <w:pPr>
        <w:ind w:left="80"/>
        <w:spacing w:after="0"/>
        <w:rPr>
          <w:sz w:val="20"/>
          <w:szCs w:val="20"/>
          <w:color w:val="auto"/>
        </w:rPr>
      </w:pPr>
      <w:r>
        <w:rPr>
          <w:rFonts w:ascii="Arial" w:cs="Arial" w:eastAsia="Arial" w:hAnsi="Arial"/>
          <w:sz w:val="22"/>
          <w:szCs w:val="22"/>
          <w:b w:val="1"/>
          <w:bCs w:val="1"/>
          <w:color w:val="auto"/>
        </w:rPr>
        <w:t>CYBIN INC.</w:t>
      </w:r>
    </w:p>
    <w:p>
      <w:pPr>
        <w:spacing w:after="0" w:line="26" w:lineRule="exact"/>
        <w:rPr>
          <w:sz w:val="20"/>
          <w:szCs w:val="20"/>
          <w:color w:val="auto"/>
        </w:rPr>
      </w:pPr>
    </w:p>
    <w:p>
      <w:pPr>
        <w:ind w:left="80"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September 30, 2025</w:t>
      </w:r>
    </w:p>
    <w:p>
      <w:pPr>
        <w:spacing w:after="0" w:line="1" w:lineRule="exact"/>
        <w:rPr>
          <w:sz w:val="20"/>
          <w:szCs w:val="20"/>
          <w:color w:val="auto"/>
        </w:rPr>
      </w:pPr>
    </w:p>
    <w:p>
      <w:pPr>
        <w:ind w:left="80"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information about warrants outstanding as at September 30, 2025:</w:t>
      </w:r>
    </w:p>
    <w:p>
      <w:pPr>
        <w:spacing w:after="0" w:line="36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Estimated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59"/>
        </w:trPr>
        <w:tc>
          <w:tcPr>
            <w:tcW w:w="32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4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Weighted</w:t>
            </w:r>
          </w:p>
        </w:tc>
        <w:tc>
          <w:tcPr>
            <w:tcW w:w="1400" w:type="dxa"/>
            <w:vAlign w:val="bottom"/>
            <w:vMerge w:val="continue"/>
          </w:tcPr>
          <w:p>
            <w:pPr>
              <w:spacing w:after="0"/>
              <w:rPr>
                <w:sz w:val="5"/>
                <w:szCs w:val="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175"/>
        </w:trPr>
        <w:tc>
          <w:tcPr>
            <w:tcW w:w="3280" w:type="dxa"/>
            <w:vAlign w:val="bottom"/>
          </w:tcPr>
          <w:p>
            <w:pPr>
              <w:spacing w:after="0"/>
              <w:rPr>
                <w:sz w:val="15"/>
                <w:szCs w:val="15"/>
                <w:color w:val="auto"/>
              </w:rPr>
            </w:pPr>
          </w:p>
        </w:tc>
        <w:tc>
          <w:tcPr>
            <w:tcW w:w="15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Warrants</w:t>
            </w:r>
          </w:p>
        </w:tc>
        <w:tc>
          <w:tcPr>
            <w:tcW w:w="1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Warrants</w:t>
            </w:r>
          </w:p>
        </w:tc>
        <w:tc>
          <w:tcPr>
            <w:tcW w:w="1460" w:type="dxa"/>
            <w:vAlign w:val="bottom"/>
            <w:vMerge w:val="continue"/>
          </w:tcPr>
          <w:p>
            <w:pPr>
              <w:spacing w:after="0"/>
              <w:rPr>
                <w:sz w:val="15"/>
                <w:szCs w:val="15"/>
                <w:color w:val="auto"/>
              </w:rPr>
            </w:pPr>
          </w:p>
        </w:tc>
        <w:tc>
          <w:tcPr>
            <w:tcW w:w="1400" w:type="dxa"/>
            <w:vAlign w:val="bottom"/>
          </w:tcPr>
          <w:p>
            <w:pPr>
              <w:jc w:val="right"/>
              <w:ind w:right="30"/>
              <w:spacing w:after="0" w:line="176" w:lineRule="exact"/>
              <w:rPr>
                <w:sz w:val="20"/>
                <w:szCs w:val="20"/>
                <w:color w:val="auto"/>
              </w:rPr>
            </w:pPr>
            <w:r>
              <w:rPr>
                <w:rFonts w:ascii="Arial" w:cs="Arial" w:eastAsia="Arial" w:hAnsi="Arial"/>
                <w:sz w:val="18"/>
                <w:szCs w:val="18"/>
                <w:b w:val="1"/>
                <w:bCs w:val="1"/>
                <w:color w:val="auto"/>
              </w:rPr>
              <w:t>issue date fair</w:t>
            </w: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28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1460" w:type="dxa"/>
            <w:vAlign w:val="bottom"/>
          </w:tcPr>
          <w:p>
            <w:pPr>
              <w:jc w:val="right"/>
              <w:ind w:right="30"/>
              <w:spacing w:after="0" w:line="197" w:lineRule="exact"/>
              <w:rPr>
                <w:sz w:val="20"/>
                <w:szCs w:val="20"/>
                <w:color w:val="auto"/>
              </w:rPr>
            </w:pPr>
            <w:r>
              <w:rPr>
                <w:rFonts w:ascii="Arial" w:cs="Arial" w:eastAsia="Arial" w:hAnsi="Arial"/>
                <w:sz w:val="18"/>
                <w:szCs w:val="18"/>
                <w:b w:val="1"/>
                <w:bCs w:val="1"/>
                <w:color w:val="auto"/>
              </w:rPr>
              <w:t>average</w:t>
            </w:r>
          </w:p>
        </w:tc>
        <w:tc>
          <w:tcPr>
            <w:tcW w:w="1400" w:type="dxa"/>
            <w:vAlign w:val="bottom"/>
          </w:tcPr>
          <w:p>
            <w:pPr>
              <w:jc w:val="right"/>
              <w:ind w:right="30"/>
              <w:spacing w:after="0" w:line="197" w:lineRule="exact"/>
              <w:rPr>
                <w:sz w:val="20"/>
                <w:szCs w:val="20"/>
                <w:color w:val="auto"/>
              </w:rPr>
            </w:pPr>
            <w:r>
              <w:rPr>
                <w:rFonts w:ascii="Arial" w:cs="Arial" w:eastAsia="Arial" w:hAnsi="Arial"/>
                <w:sz w:val="18"/>
                <w:szCs w:val="18"/>
                <w:b w:val="1"/>
                <w:bCs w:val="1"/>
                <w:color w:val="auto"/>
              </w:rPr>
              <w:t>value</w:t>
            </w:r>
          </w:p>
        </w:tc>
        <w:tc>
          <w:tcPr>
            <w:tcW w:w="1420" w:type="dxa"/>
            <w:vAlign w:val="bottom"/>
          </w:tcPr>
          <w:p>
            <w:pPr>
              <w:jc w:val="right"/>
              <w:spacing w:after="0" w:line="197" w:lineRule="exact"/>
              <w:rPr>
                <w:sz w:val="20"/>
                <w:szCs w:val="20"/>
                <w:color w:val="auto"/>
              </w:rPr>
            </w:pPr>
            <w:r>
              <w:rPr>
                <w:rFonts w:ascii="Arial" w:cs="Arial" w:eastAsia="Arial" w:hAnsi="Arial"/>
                <w:sz w:val="18"/>
                <w:szCs w:val="18"/>
                <w:b w:val="1"/>
                <w:bCs w:val="1"/>
                <w:color w:val="auto"/>
              </w:rPr>
              <w:t>contractual life</w:t>
            </w:r>
          </w:p>
        </w:tc>
        <w:tc>
          <w:tcPr>
            <w:tcW w:w="0" w:type="dxa"/>
            <w:vAlign w:val="bottom"/>
          </w:tcPr>
          <w:p>
            <w:pPr>
              <w:spacing w:after="0"/>
              <w:rPr>
                <w:sz w:val="1"/>
                <w:szCs w:val="1"/>
                <w:color w:val="auto"/>
              </w:rPr>
            </w:pPr>
          </w:p>
        </w:tc>
      </w:tr>
      <w:tr>
        <w:trPr>
          <w:trHeight w:val="289"/>
        </w:trPr>
        <w:tc>
          <w:tcPr>
            <w:tcW w:w="3280" w:type="dxa"/>
            <w:vAlign w:val="bottom"/>
          </w:tcPr>
          <w:p>
            <w:pPr>
              <w:ind w:left="60"/>
              <w:spacing w:after="0"/>
              <w:rPr>
                <w:sz w:val="20"/>
                <w:szCs w:val="20"/>
                <w:color w:val="auto"/>
              </w:rPr>
            </w:pPr>
            <w:r>
              <w:rPr>
                <w:rFonts w:ascii="Arial" w:cs="Arial" w:eastAsia="Arial" w:hAnsi="Arial"/>
                <w:sz w:val="18"/>
                <w:szCs w:val="18"/>
                <w:b w:val="1"/>
                <w:bCs w:val="1"/>
                <w:color w:val="auto"/>
              </w:rPr>
              <w:t>Date of Expiry</w:t>
            </w: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outstanding</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exercisable</w:t>
            </w: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exercise price</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18"/>
        </w:trPr>
        <w:tc>
          <w:tcPr>
            <w:tcW w:w="3280" w:type="dxa"/>
            <w:vAlign w:val="bottom"/>
          </w:tcPr>
          <w:p>
            <w:pPr>
              <w:ind w:left="20"/>
              <w:spacing w:after="0"/>
              <w:rPr>
                <w:sz w:val="20"/>
                <w:szCs w:val="20"/>
                <w:color w:val="auto"/>
              </w:rPr>
            </w:pPr>
            <w:r>
              <w:rPr>
                <w:rFonts w:ascii="Arial" w:cs="Arial" w:eastAsia="Arial" w:hAnsi="Arial"/>
                <w:sz w:val="18"/>
                <w:szCs w:val="18"/>
                <w:color w:val="auto"/>
              </w:rPr>
              <w:t>August 4, 2028</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635,887</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635,887</w:t>
            </w:r>
          </w:p>
        </w:tc>
        <w:tc>
          <w:tcPr>
            <w:tcW w:w="1460" w:type="dxa"/>
            <w:vAlign w:val="bottom"/>
          </w:tcPr>
          <w:p>
            <w:pPr>
              <w:jc w:val="right"/>
              <w:spacing w:after="0"/>
              <w:rPr>
                <w:sz w:val="20"/>
                <w:szCs w:val="20"/>
                <w:color w:val="auto"/>
              </w:rPr>
            </w:pPr>
            <w:r>
              <w:rPr>
                <w:rFonts w:ascii="Arial" w:cs="Arial" w:eastAsia="Arial" w:hAnsi="Arial"/>
                <w:sz w:val="18"/>
                <w:szCs w:val="18"/>
                <w:color w:val="auto"/>
              </w:rPr>
              <w:t>$15.20</w:t>
            </w:r>
          </w:p>
        </w:tc>
        <w:tc>
          <w:tcPr>
            <w:tcW w:w="1400" w:type="dxa"/>
            <w:vAlign w:val="bottom"/>
          </w:tcPr>
          <w:p>
            <w:pPr>
              <w:jc w:val="right"/>
              <w:spacing w:after="0"/>
              <w:rPr>
                <w:sz w:val="20"/>
                <w:szCs w:val="20"/>
                <w:color w:val="auto"/>
              </w:rPr>
            </w:pPr>
            <w:r>
              <w:rPr>
                <w:rFonts w:ascii="Arial" w:cs="Arial" w:eastAsia="Arial" w:hAnsi="Arial"/>
                <w:sz w:val="18"/>
                <w:szCs w:val="18"/>
                <w:color w:val="auto"/>
              </w:rPr>
              <w:t>3,184</w:t>
            </w:r>
          </w:p>
        </w:tc>
        <w:tc>
          <w:tcPr>
            <w:tcW w:w="1420" w:type="dxa"/>
            <w:vAlign w:val="bottom"/>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May 14, 2029</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1,754,386</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1,754,386</w:t>
            </w:r>
          </w:p>
        </w:tc>
        <w:tc>
          <w:tcPr>
            <w:tcW w:w="1460" w:type="dxa"/>
            <w:vAlign w:val="bottom"/>
          </w:tcPr>
          <w:p>
            <w:pPr>
              <w:jc w:val="right"/>
              <w:spacing w:after="0"/>
              <w:rPr>
                <w:sz w:val="20"/>
                <w:szCs w:val="20"/>
                <w:color w:val="auto"/>
              </w:rPr>
            </w:pPr>
            <w:r>
              <w:rPr>
                <w:rFonts w:ascii="Arial" w:cs="Arial" w:eastAsia="Arial" w:hAnsi="Arial"/>
                <w:sz w:val="18"/>
                <w:szCs w:val="18"/>
                <w:color w:val="auto"/>
              </w:rPr>
              <w:t>$19.38</w:t>
            </w:r>
          </w:p>
        </w:tc>
        <w:tc>
          <w:tcPr>
            <w:tcW w:w="1400" w:type="dxa"/>
            <w:vAlign w:val="bottom"/>
          </w:tcPr>
          <w:p>
            <w:pPr>
              <w:jc w:val="right"/>
              <w:spacing w:after="0"/>
              <w:rPr>
                <w:sz w:val="20"/>
                <w:szCs w:val="20"/>
                <w:color w:val="auto"/>
              </w:rPr>
            </w:pPr>
            <w:r>
              <w:rPr>
                <w:rFonts w:ascii="Arial" w:cs="Arial" w:eastAsia="Arial" w:hAnsi="Arial"/>
                <w:sz w:val="18"/>
                <w:szCs w:val="18"/>
                <w:color w:val="auto"/>
              </w:rPr>
              <w:t>12,419</w:t>
            </w:r>
          </w:p>
        </w:tc>
        <w:tc>
          <w:tcPr>
            <w:tcW w:w="1420" w:type="dxa"/>
            <w:vAlign w:val="bottom"/>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June 15, 2030</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336,843</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336,843</w:t>
            </w:r>
          </w:p>
        </w:tc>
        <w:tc>
          <w:tcPr>
            <w:tcW w:w="1460" w:type="dxa"/>
            <w:vAlign w:val="bottom"/>
          </w:tcPr>
          <w:p>
            <w:pPr>
              <w:jc w:val="right"/>
              <w:spacing w:after="0"/>
              <w:rPr>
                <w:sz w:val="20"/>
                <w:szCs w:val="20"/>
                <w:color w:val="auto"/>
              </w:rPr>
            </w:pPr>
            <w:r>
              <w:rPr>
                <w:rFonts w:ascii="Arial" w:cs="Arial" w:eastAsia="Arial" w:hAnsi="Arial"/>
                <w:sz w:val="18"/>
                <w:szCs w:val="18"/>
                <w:color w:val="auto"/>
              </w:rPr>
              <w:t>C$9.50</w:t>
            </w:r>
          </w:p>
        </w:tc>
        <w:tc>
          <w:tcPr>
            <w:tcW w:w="1400" w:type="dxa"/>
            <w:vAlign w:val="bottom"/>
          </w:tcPr>
          <w:p>
            <w:pPr>
              <w:jc w:val="right"/>
              <w:spacing w:after="0"/>
              <w:rPr>
                <w:sz w:val="20"/>
                <w:szCs w:val="20"/>
                <w:color w:val="auto"/>
              </w:rPr>
            </w:pPr>
            <w:r>
              <w:rPr>
                <w:rFonts w:ascii="Arial" w:cs="Arial" w:eastAsia="Arial" w:hAnsi="Arial"/>
                <w:sz w:val="18"/>
                <w:szCs w:val="18"/>
                <w:color w:val="auto"/>
              </w:rPr>
              <w:t>2,707</w:t>
            </w:r>
          </w:p>
        </w:tc>
        <w:tc>
          <w:tcPr>
            <w:tcW w:w="1420" w:type="dxa"/>
            <w:vAlign w:val="bottom"/>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August 20, 2030</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38,818</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38,818</w:t>
            </w:r>
          </w:p>
        </w:tc>
        <w:tc>
          <w:tcPr>
            <w:tcW w:w="1460" w:type="dxa"/>
            <w:vAlign w:val="bottom"/>
          </w:tcPr>
          <w:p>
            <w:pPr>
              <w:jc w:val="right"/>
              <w:spacing w:after="0"/>
              <w:rPr>
                <w:sz w:val="20"/>
                <w:szCs w:val="20"/>
                <w:color w:val="auto"/>
              </w:rPr>
            </w:pPr>
            <w:r>
              <w:rPr>
                <w:rFonts w:ascii="Arial" w:cs="Arial" w:eastAsia="Arial" w:hAnsi="Arial"/>
                <w:sz w:val="18"/>
                <w:szCs w:val="18"/>
                <w:color w:val="auto"/>
              </w:rPr>
              <w:t>C$24.32</w:t>
            </w:r>
          </w:p>
        </w:tc>
        <w:tc>
          <w:tcPr>
            <w:tcW w:w="1400" w:type="dxa"/>
            <w:vAlign w:val="bottom"/>
          </w:tcPr>
          <w:p>
            <w:pPr>
              <w:jc w:val="right"/>
              <w:spacing w:after="0"/>
              <w:rPr>
                <w:sz w:val="20"/>
                <w:szCs w:val="20"/>
                <w:color w:val="auto"/>
              </w:rPr>
            </w:pPr>
            <w:r>
              <w:rPr>
                <w:rFonts w:ascii="Arial" w:cs="Arial" w:eastAsia="Arial" w:hAnsi="Arial"/>
                <w:sz w:val="18"/>
                <w:szCs w:val="18"/>
                <w:color w:val="auto"/>
              </w:rPr>
              <w:t>651</w:t>
            </w:r>
          </w:p>
        </w:tc>
        <w:tc>
          <w:tcPr>
            <w:tcW w:w="1420" w:type="dxa"/>
            <w:vAlign w:val="bottom"/>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35"/>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November 15, 2030</w:t>
            </w: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30,263</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30,263</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C$9.50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2,796,197</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2,796,197</w:t>
            </w:r>
          </w:p>
        </w:tc>
        <w:tc>
          <w:tcPr>
            <w:tcW w:w="1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19,194</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3.61</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Stock options</w:t>
      </w:r>
    </w:p>
    <w:p>
      <w:pPr>
        <w:spacing w:after="0" w:line="225" w:lineRule="exact"/>
        <w:rPr>
          <w:sz w:val="20"/>
          <w:szCs w:val="20"/>
          <w:color w:val="auto"/>
        </w:rPr>
      </w:pPr>
    </w:p>
    <w:p>
      <w:pPr>
        <w:jc w:val="both"/>
        <w:ind w:left="340"/>
        <w:spacing w:after="0" w:line="295" w:lineRule="auto"/>
        <w:rPr>
          <w:sz w:val="20"/>
          <w:szCs w:val="20"/>
          <w:color w:val="auto"/>
        </w:rPr>
      </w:pPr>
      <w:r>
        <w:rPr>
          <w:rFonts w:ascii="Arial" w:cs="Arial" w:eastAsia="Arial" w:hAnsi="Arial"/>
          <w:sz w:val="18"/>
          <w:szCs w:val="18"/>
          <w:color w:val="auto"/>
        </w:rPr>
        <w:t>On November 5, 2020, Cybin adopted an equity incentive plan ("</w:t>
      </w:r>
      <w:r>
        <w:rPr>
          <w:rFonts w:ascii="Arial" w:cs="Arial" w:eastAsia="Arial" w:hAnsi="Arial"/>
          <w:sz w:val="18"/>
          <w:szCs w:val="18"/>
          <w:b w:val="1"/>
          <w:bCs w:val="1"/>
          <w:color w:val="auto"/>
        </w:rPr>
        <w:t>Equity Incentive Plan</w:t>
      </w:r>
      <w:r>
        <w:rPr>
          <w:rFonts w:ascii="Arial" w:cs="Arial" w:eastAsia="Arial" w:hAnsi="Arial"/>
          <w:sz w:val="18"/>
          <w:szCs w:val="18"/>
          <w:color w:val="auto"/>
        </w:rPr>
        <w:t>"). Under the Equity Incentive Plan, the board of directors may grant share-based awards to acquire such number of Common Shares as is equal to up to 20% of the total number of issued and outstanding Common Shares at the time such awards are granted. Awards granted under the plan vest over a period of time at the discretion of the board of directors. On August 27, 2024, the board of directors and the shareholders re-approved the equity incentive plan and approved certain amendments to the plan, including an increase to the fixed number of Incentive Stock Options (as defined in the plan), certain changes to the board of directors' authority to amend existing awards, and certain other housekeeping amendments.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options for the six months ended September 30, 2025 are as follows:</w:t>
      </w:r>
    </w:p>
    <w:p>
      <w:pPr>
        <w:spacing w:after="0" w:line="10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820" w:type="dxa"/>
            <w:vAlign w:val="bottom"/>
          </w:tcPr>
          <w:p>
            <w:pPr>
              <w:jc w:val="right"/>
              <w:ind w:right="30"/>
              <w:spacing w:after="0"/>
              <w:rPr>
                <w:sz w:val="20"/>
                <w:szCs w:val="20"/>
                <w:color w:val="auto"/>
              </w:rPr>
            </w:pPr>
            <w:r>
              <w:rPr>
                <w:rFonts w:ascii="Arial" w:cs="Arial" w:eastAsia="Arial" w:hAnsi="Arial"/>
                <w:sz w:val="18"/>
                <w:szCs w:val="18"/>
                <w:b w:val="1"/>
                <w:bCs w:val="1"/>
                <w:color w:val="auto"/>
              </w:rPr>
              <w:t>Number of</w:t>
            </w:r>
          </w:p>
        </w:tc>
        <w:tc>
          <w:tcPr>
            <w:tcW w:w="2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Weighted average exercise</w:t>
            </w:r>
          </w:p>
        </w:tc>
        <w:tc>
          <w:tcPr>
            <w:tcW w:w="0" w:type="dxa"/>
            <w:vAlign w:val="bottom"/>
          </w:tcPr>
          <w:p>
            <w:pPr>
              <w:spacing w:after="0"/>
              <w:rPr>
                <w:sz w:val="1"/>
                <w:szCs w:val="1"/>
                <w:color w:val="auto"/>
              </w:rPr>
            </w:pPr>
          </w:p>
        </w:tc>
      </w:tr>
      <w:tr>
        <w:trPr>
          <w:trHeight w:val="59"/>
        </w:trPr>
        <w:tc>
          <w:tcPr>
            <w:tcW w:w="5080" w:type="dxa"/>
            <w:vAlign w:val="bottom"/>
          </w:tcPr>
          <w:p>
            <w:pPr>
              <w:spacing w:after="0"/>
              <w:rPr>
                <w:sz w:val="5"/>
                <w:szCs w:val="5"/>
                <w:color w:val="auto"/>
              </w:rPr>
            </w:pPr>
          </w:p>
        </w:tc>
        <w:tc>
          <w:tcPr>
            <w:tcW w:w="28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Options</w:t>
            </w: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08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vMerge w:val="continue"/>
          </w:tcPr>
          <w:p>
            <w:pPr>
              <w:spacing w:after="0"/>
              <w:rPr>
                <w:sz w:val="21"/>
                <w:szCs w:val="21"/>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price</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w:t>
            </w:r>
          </w:p>
        </w:tc>
        <w:tc>
          <w:tcPr>
            <w:tcW w:w="0" w:type="dxa"/>
            <w:vAlign w:val="bottom"/>
          </w:tcPr>
          <w:p>
            <w:pPr>
              <w:spacing w:after="0"/>
              <w:rPr>
                <w:sz w:val="1"/>
                <w:szCs w:val="1"/>
                <w:color w:val="auto"/>
              </w:rPr>
            </w:pPr>
          </w:p>
        </w:tc>
      </w:tr>
      <w:tr>
        <w:trPr>
          <w:trHeight w:val="218"/>
        </w:trPr>
        <w:tc>
          <w:tcPr>
            <w:tcW w:w="5080" w:type="dxa"/>
            <w:vAlign w:val="bottom"/>
          </w:tcPr>
          <w:p>
            <w:pPr>
              <w:ind w:left="20"/>
              <w:spacing w:after="0"/>
              <w:rPr>
                <w:sz w:val="20"/>
                <w:szCs w:val="20"/>
                <w:color w:val="auto"/>
              </w:rPr>
            </w:pPr>
            <w:r>
              <w:rPr>
                <w:rFonts w:ascii="Arial" w:cs="Arial" w:eastAsia="Arial" w:hAnsi="Arial"/>
                <w:sz w:val="18"/>
                <w:szCs w:val="18"/>
                <w:color w:val="auto"/>
              </w:rPr>
              <w:t>As at March 31, 2025</w:t>
            </w:r>
          </w:p>
        </w:tc>
        <w:tc>
          <w:tcPr>
            <w:tcW w:w="2820" w:type="dxa"/>
            <w:vAlign w:val="bottom"/>
          </w:tcPr>
          <w:p>
            <w:pPr>
              <w:jc w:val="right"/>
              <w:ind w:right="30"/>
              <w:spacing w:after="0"/>
              <w:rPr>
                <w:sz w:val="20"/>
                <w:szCs w:val="20"/>
                <w:color w:val="auto"/>
              </w:rPr>
            </w:pPr>
            <w:r>
              <w:rPr>
                <w:rFonts w:ascii="Arial" w:cs="Arial" w:eastAsia="Arial" w:hAnsi="Arial"/>
                <w:sz w:val="18"/>
                <w:szCs w:val="18"/>
                <w:color w:val="auto"/>
              </w:rPr>
              <w:t>3,956,684</w:t>
            </w:r>
          </w:p>
        </w:tc>
        <w:tc>
          <w:tcPr>
            <w:tcW w:w="2420" w:type="dxa"/>
            <w:vAlign w:val="bottom"/>
          </w:tcPr>
          <w:p>
            <w:pPr>
              <w:jc w:val="right"/>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Granted</w:t>
            </w:r>
          </w:p>
        </w:tc>
        <w:tc>
          <w:tcPr>
            <w:tcW w:w="2820" w:type="dxa"/>
            <w:vAlign w:val="bottom"/>
          </w:tcPr>
          <w:p>
            <w:pPr>
              <w:jc w:val="right"/>
              <w:ind w:right="30"/>
              <w:spacing w:after="0"/>
              <w:rPr>
                <w:sz w:val="20"/>
                <w:szCs w:val="20"/>
                <w:color w:val="auto"/>
              </w:rPr>
            </w:pPr>
            <w:r>
              <w:rPr>
                <w:rFonts w:ascii="Arial" w:cs="Arial" w:eastAsia="Arial" w:hAnsi="Arial"/>
                <w:sz w:val="18"/>
                <w:szCs w:val="18"/>
                <w:color w:val="auto"/>
              </w:rPr>
              <w:t>148,800</w:t>
            </w:r>
          </w:p>
        </w:tc>
        <w:tc>
          <w:tcPr>
            <w:tcW w:w="2420" w:type="dxa"/>
            <w:vAlign w:val="bottom"/>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Exercised</w:t>
            </w:r>
          </w:p>
        </w:tc>
        <w:tc>
          <w:tcPr>
            <w:tcW w:w="2820" w:type="dxa"/>
            <w:vAlign w:val="bottom"/>
          </w:tcPr>
          <w:p>
            <w:pPr>
              <w:jc w:val="right"/>
              <w:spacing w:after="0"/>
              <w:rPr>
                <w:sz w:val="20"/>
                <w:szCs w:val="20"/>
                <w:color w:val="auto"/>
              </w:rPr>
            </w:pPr>
            <w:r>
              <w:rPr>
                <w:rFonts w:ascii="Arial" w:cs="Arial" w:eastAsia="Arial" w:hAnsi="Arial"/>
                <w:sz w:val="18"/>
                <w:szCs w:val="18"/>
                <w:color w:val="auto"/>
              </w:rPr>
              <w:t>(7,894)</w:t>
            </w:r>
          </w:p>
        </w:tc>
        <w:tc>
          <w:tcPr>
            <w:tcW w:w="2420" w:type="dxa"/>
            <w:vAlign w:val="bottom"/>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35"/>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Forfeited/Expired</w:t>
            </w:r>
          </w:p>
        </w:tc>
        <w:tc>
          <w:tcPr>
            <w:tcW w:w="2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(109,980)</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Outstanding as at September 30, 2025</w:t>
            </w:r>
          </w:p>
        </w:tc>
        <w:tc>
          <w:tcPr>
            <w:tcW w:w="2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3,987,610</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14.95</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Exercisable as at September 30, 2025</w:t>
            </w:r>
          </w:p>
        </w:tc>
        <w:tc>
          <w:tcPr>
            <w:tcW w:w="2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3,759,044</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15.07</w:t>
            </w: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ind w:left="340"/>
        <w:spacing w:after="0" w:line="308" w:lineRule="auto"/>
        <w:rPr>
          <w:sz w:val="20"/>
          <w:szCs w:val="20"/>
          <w:color w:val="auto"/>
        </w:rPr>
      </w:pPr>
      <w:r>
        <w:rPr>
          <w:rFonts w:ascii="Arial" w:cs="Arial" w:eastAsia="Arial" w:hAnsi="Arial"/>
          <w:sz w:val="18"/>
          <w:szCs w:val="18"/>
          <w:color w:val="auto"/>
        </w:rPr>
        <w:t>On August 15, 2025, the Company granted options to purchase up to 80,000 Common Shares to certain consultants. The options have an exercise price of C$11.00 per Common Share, expire on August 15, 2035, and vest over two years. The aggregate estimated grant date fair value was determined to be $472, calculated using the Black-Scholes option pricing model with the following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16 of 26</w:t>
      </w:r>
    </w:p>
    <w:p>
      <w:pPr>
        <w:sectPr>
          <w:pgSz w:w="11900" w:h="16838" w:orient="portrait"/>
          <w:cols w:equalWidth="0" w:num="1">
            <w:col w:w="11240"/>
          </w:cols>
          <w:pgMar w:left="320" w:top="233" w:right="339" w:bottom="1440" w:gutter="0" w:footer="0" w:header="0"/>
        </w:sectPr>
      </w:pPr>
    </w:p>
    <w:bookmarkStart w:id="19" w:name="page20"/>
    <w:bookmarkEnd w:id="19"/>
    <w:p>
      <w:pPr>
        <w:spacing w:after="0"/>
        <w:rPr>
          <w:sz w:val="20"/>
          <w:szCs w:val="20"/>
          <w:color w:val="auto"/>
        </w:rPr>
      </w:pPr>
      <w:r>
        <w:rPr>
          <w:rFonts w:ascii="Arial" w:cs="Arial" w:eastAsia="Arial" w:hAnsi="Arial"/>
          <w:sz w:val="22"/>
          <w:szCs w:val="22"/>
          <w:b w:val="1"/>
          <w:bCs w:val="1"/>
          <w:color w:val="auto"/>
        </w:rPr>
        <w:t>CYBIN INC.</w:t>
      </w:r>
    </w:p>
    <w:p>
      <w:pPr>
        <w:spacing w:after="0" w:line="26" w:lineRule="exact"/>
        <w:rPr>
          <w:sz w:val="20"/>
          <w:szCs w:val="20"/>
          <w:color w:val="auto"/>
        </w:rPr>
      </w:pPr>
    </w:p>
    <w:p>
      <w:pPr>
        <w:ind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September 30, 2025</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260" w:type="dxa"/>
        <w:tblCellMar>
          <w:top w:w="0" w:type="dxa"/>
          <w:left w:w="0" w:type="dxa"/>
          <w:bottom w:w="0" w:type="dxa"/>
          <w:right w:w="0" w:type="dxa"/>
        </w:tblCellMar>
      </w:tblP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Risk-free interest rate</w:t>
            </w:r>
          </w:p>
        </w:tc>
        <w:tc>
          <w:tcPr>
            <w:tcW w:w="19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Expected annual volatility, based on historical share price of the Company</w:t>
            </w:r>
          </w:p>
        </w:tc>
        <w:tc>
          <w:tcPr>
            <w:tcW w:w="19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82.77%</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Expected life (in years)</w:t>
            </w:r>
          </w:p>
        </w:tc>
        <w:tc>
          <w:tcPr>
            <w:tcW w:w="19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Expected dividend yield</w:t>
            </w:r>
          </w:p>
        </w:tc>
        <w:tc>
          <w:tcPr>
            <w:tcW w:w="19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Unvested forfeiture rate</w:t>
            </w:r>
          </w:p>
        </w:tc>
        <w:tc>
          <w:tcPr>
            <w:tcW w:w="19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 to 2.9%</w:t>
            </w:r>
          </w:p>
        </w:tc>
      </w:t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CAD/USD exchange rate on date of grant</w:t>
            </w:r>
          </w:p>
        </w:tc>
        <w:tc>
          <w:tcPr>
            <w:tcW w:w="19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0.7243</w:t>
            </w:r>
          </w:p>
        </w:tc>
      </w:t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Share price</w:t>
            </w:r>
          </w:p>
        </w:tc>
        <w:tc>
          <w:tcPr>
            <w:tcW w:w="1940" w:type="dxa"/>
            <w:vAlign w:val="bottom"/>
          </w:tcPr>
          <w:p>
            <w:pPr>
              <w:ind w:left="1280"/>
              <w:spacing w:after="0"/>
              <w:rPr>
                <w:sz w:val="20"/>
                <w:szCs w:val="20"/>
                <w:color w:val="auto"/>
              </w:rPr>
            </w:pPr>
            <w:r>
              <w:rPr>
                <w:rFonts w:ascii="Arial" w:cs="Arial" w:eastAsia="Arial" w:hAnsi="Arial"/>
                <w:sz w:val="18"/>
                <w:szCs w:val="18"/>
                <w:color w:val="auto"/>
              </w:rPr>
              <w:t>C$</w:t>
            </w:r>
          </w:p>
        </w:tc>
        <w:tc>
          <w:tcPr>
            <w:tcW w:w="1340" w:type="dxa"/>
            <w:vAlign w:val="bottom"/>
          </w:tcPr>
          <w:p>
            <w:pPr>
              <w:jc w:val="right"/>
              <w:spacing w:after="0"/>
              <w:rPr>
                <w:sz w:val="20"/>
                <w:szCs w:val="20"/>
                <w:color w:val="auto"/>
              </w:rPr>
            </w:pPr>
            <w:r>
              <w:rPr>
                <w:rFonts w:ascii="Arial" w:cs="Arial" w:eastAsia="Arial" w:hAnsi="Arial"/>
                <w:sz w:val="18"/>
                <w:szCs w:val="18"/>
                <w:color w:val="auto"/>
              </w:rPr>
              <w:t>9.81</w:t>
            </w:r>
          </w:p>
        </w:tc>
      </w:tr>
      <w:tr>
        <w:trPr>
          <w:trHeight w:val="235"/>
        </w:trPr>
        <w:tc>
          <w:tcPr>
            <w:tcW w:w="7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Exercise price</w:t>
            </w:r>
          </w:p>
        </w:tc>
        <w:tc>
          <w:tcPr>
            <w:tcW w:w="194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C$</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r>
    </w:tbl>
    <w:p>
      <w:pPr>
        <w:spacing w:after="0" w:line="265" w:lineRule="exact"/>
        <w:rPr>
          <w:sz w:val="20"/>
          <w:szCs w:val="20"/>
          <w:color w:val="auto"/>
        </w:rPr>
      </w:pPr>
    </w:p>
    <w:p>
      <w:pPr>
        <w:jc w:val="both"/>
        <w:ind w:left="260"/>
        <w:spacing w:after="0" w:line="304" w:lineRule="auto"/>
        <w:rPr>
          <w:sz w:val="20"/>
          <w:szCs w:val="20"/>
          <w:color w:val="auto"/>
        </w:rPr>
      </w:pPr>
      <w:r>
        <w:rPr>
          <w:rFonts w:ascii="Arial" w:cs="Arial" w:eastAsia="Arial" w:hAnsi="Arial"/>
          <w:sz w:val="18"/>
          <w:szCs w:val="18"/>
          <w:color w:val="auto"/>
        </w:rPr>
        <w:t>On August 15, 2025, the Company granted options to purchase up to 53,800 Common Shares to certain employees of the Company. The options have an exercise price of C$10.00 per Common Share, expire on August 15, 2035, and vest over two years. The aggregate estimated grant date fair value was determined to be $321, calculated using the Black-Scholes option pricing model with the following assumptions:</w:t>
      </w:r>
    </w:p>
    <w:p>
      <w:pPr>
        <w:spacing w:after="0" w:line="200" w:lineRule="exact"/>
        <w:rPr>
          <w:sz w:val="20"/>
          <w:szCs w:val="20"/>
          <w:color w:val="auto"/>
        </w:rPr>
      </w:pPr>
    </w:p>
    <w:p>
      <w:pPr>
        <w:spacing w:after="0" w:line="263"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Risk-free interest rate</w:t>
            </w:r>
          </w:p>
        </w:tc>
        <w:tc>
          <w:tcPr>
            <w:tcW w:w="19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Expected annual volatility, based on historical share price of the Company</w:t>
            </w:r>
          </w:p>
        </w:tc>
        <w:tc>
          <w:tcPr>
            <w:tcW w:w="19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82.77%</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Expected life (in years)</w:t>
            </w:r>
          </w:p>
        </w:tc>
        <w:tc>
          <w:tcPr>
            <w:tcW w:w="19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Expected dividend yield</w:t>
            </w:r>
          </w:p>
        </w:tc>
        <w:tc>
          <w:tcPr>
            <w:tcW w:w="19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Unvested forfeiture rate</w:t>
            </w:r>
          </w:p>
        </w:tc>
        <w:tc>
          <w:tcPr>
            <w:tcW w:w="19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 to 3.0%</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CAD/USD exchange rate on date of grant</w:t>
            </w:r>
          </w:p>
        </w:tc>
        <w:tc>
          <w:tcPr>
            <w:tcW w:w="19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0.7243</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Share price</w:t>
            </w:r>
          </w:p>
        </w:tc>
        <w:tc>
          <w:tcPr>
            <w:tcW w:w="1940" w:type="dxa"/>
            <w:vAlign w:val="bottom"/>
          </w:tcPr>
          <w:p>
            <w:pPr>
              <w:ind w:left="1280"/>
              <w:spacing w:after="0"/>
              <w:rPr>
                <w:sz w:val="20"/>
                <w:szCs w:val="20"/>
                <w:color w:val="auto"/>
              </w:rPr>
            </w:pPr>
            <w:r>
              <w:rPr>
                <w:rFonts w:ascii="Arial" w:cs="Arial" w:eastAsia="Arial" w:hAnsi="Arial"/>
                <w:sz w:val="18"/>
                <w:szCs w:val="18"/>
                <w:color w:val="auto"/>
              </w:rPr>
              <w:t>C$</w:t>
            </w:r>
          </w:p>
        </w:tc>
        <w:tc>
          <w:tcPr>
            <w:tcW w:w="1340" w:type="dxa"/>
            <w:vAlign w:val="bottom"/>
          </w:tcPr>
          <w:p>
            <w:pPr>
              <w:jc w:val="right"/>
              <w:spacing w:after="0"/>
              <w:rPr>
                <w:sz w:val="20"/>
                <w:szCs w:val="20"/>
                <w:color w:val="auto"/>
              </w:rPr>
            </w:pPr>
            <w:r>
              <w:rPr>
                <w:rFonts w:ascii="Arial" w:cs="Arial" w:eastAsia="Arial" w:hAnsi="Arial"/>
                <w:sz w:val="18"/>
                <w:szCs w:val="18"/>
                <w:color w:val="auto"/>
              </w:rPr>
              <w:t>9.81</w:t>
            </w:r>
          </w:p>
        </w:tc>
      </w:tr>
      <w:tr>
        <w:trPr>
          <w:trHeight w:val="235"/>
        </w:trPr>
        <w:tc>
          <w:tcPr>
            <w:tcW w:w="7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Exercise price</w:t>
            </w:r>
          </w:p>
        </w:tc>
        <w:tc>
          <w:tcPr>
            <w:tcW w:w="194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C$</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bl>
    <w:p>
      <w:pPr>
        <w:spacing w:after="0" w:line="265" w:lineRule="exact"/>
        <w:rPr>
          <w:sz w:val="20"/>
          <w:szCs w:val="20"/>
          <w:color w:val="auto"/>
        </w:rPr>
      </w:pPr>
    </w:p>
    <w:p>
      <w:pPr>
        <w:jc w:val="both"/>
        <w:ind w:left="260"/>
        <w:spacing w:after="0" w:line="308" w:lineRule="auto"/>
        <w:rPr>
          <w:sz w:val="20"/>
          <w:szCs w:val="20"/>
          <w:color w:val="auto"/>
        </w:rPr>
      </w:pPr>
      <w:r>
        <w:rPr>
          <w:rFonts w:ascii="Arial" w:cs="Arial" w:eastAsia="Arial" w:hAnsi="Arial"/>
          <w:sz w:val="18"/>
          <w:szCs w:val="18"/>
          <w:color w:val="auto"/>
        </w:rPr>
        <w:t>On August 29, 2025, the Company granted options to purchase up to 15,000 Common Shares to a consultant. The options have an exercise price of C$11.00, per Common Share, expire on August 29, 2035, and vest over two years. The aggregate estimated grant date fair value was determined to be $94 calculated using the Black-Scholes option pricing model with the following assumptions:</w:t>
      </w:r>
    </w:p>
    <w:p>
      <w:pPr>
        <w:spacing w:after="0" w:line="229"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Risk-free interest rate</w:t>
            </w:r>
          </w:p>
        </w:tc>
        <w:tc>
          <w:tcPr>
            <w:tcW w:w="19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Expected annual volatility, based on historical share price of the Company</w:t>
            </w:r>
          </w:p>
        </w:tc>
        <w:tc>
          <w:tcPr>
            <w:tcW w:w="19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82.54%</w:t>
            </w:r>
          </w:p>
        </w:tc>
      </w:t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Expected life (in years)</w:t>
            </w:r>
          </w:p>
        </w:tc>
        <w:tc>
          <w:tcPr>
            <w:tcW w:w="19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Expected dividend yield</w:t>
            </w:r>
          </w:p>
        </w:tc>
        <w:tc>
          <w:tcPr>
            <w:tcW w:w="19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Unvested forfeiture rate</w:t>
            </w:r>
          </w:p>
        </w:tc>
        <w:tc>
          <w:tcPr>
            <w:tcW w:w="19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 to 2.9%</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CAD/USD exchange rate on date of grant</w:t>
            </w:r>
          </w:p>
        </w:tc>
        <w:tc>
          <w:tcPr>
            <w:tcW w:w="19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0.7277</w:t>
            </w:r>
          </w:p>
        </w:tc>
      </w:t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Share price</w:t>
            </w:r>
          </w:p>
        </w:tc>
        <w:tc>
          <w:tcPr>
            <w:tcW w:w="1900" w:type="dxa"/>
            <w:vAlign w:val="bottom"/>
          </w:tcPr>
          <w:p>
            <w:pPr>
              <w:ind w:left="1280"/>
              <w:spacing w:after="0"/>
              <w:rPr>
                <w:sz w:val="20"/>
                <w:szCs w:val="20"/>
                <w:color w:val="auto"/>
              </w:rPr>
            </w:pPr>
            <w:r>
              <w:rPr>
                <w:rFonts w:ascii="Arial" w:cs="Arial" w:eastAsia="Arial" w:hAnsi="Arial"/>
                <w:sz w:val="18"/>
                <w:szCs w:val="18"/>
                <w:color w:val="auto"/>
              </w:rPr>
              <w:t>C$</w:t>
            </w:r>
          </w:p>
        </w:tc>
        <w:tc>
          <w:tcPr>
            <w:tcW w:w="1380" w:type="dxa"/>
            <w:vAlign w:val="bottom"/>
          </w:tcPr>
          <w:p>
            <w:pPr>
              <w:jc w:val="right"/>
              <w:spacing w:after="0"/>
              <w:rPr>
                <w:sz w:val="20"/>
                <w:szCs w:val="20"/>
                <w:color w:val="auto"/>
              </w:rPr>
            </w:pPr>
            <w:r>
              <w:rPr>
                <w:rFonts w:ascii="Arial" w:cs="Arial" w:eastAsia="Arial" w:hAnsi="Arial"/>
                <w:sz w:val="18"/>
                <w:szCs w:val="18"/>
                <w:color w:val="auto"/>
              </w:rPr>
              <w:t>10.32</w:t>
            </w:r>
          </w:p>
        </w:tc>
      </w:tr>
      <w:tr>
        <w:trPr>
          <w:trHeight w:val="235"/>
        </w:trPr>
        <w:tc>
          <w:tcPr>
            <w:tcW w:w="7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Exercise price</w:t>
            </w:r>
          </w:p>
        </w:tc>
        <w:tc>
          <w:tcPr>
            <w:tcW w:w="190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C$</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r>
    </w:tbl>
    <w:p>
      <w:pPr>
        <w:spacing w:after="0" w:line="76" w:lineRule="exact"/>
        <w:rPr>
          <w:sz w:val="20"/>
          <w:szCs w:val="20"/>
          <w:color w:val="auto"/>
        </w:rPr>
      </w:pPr>
    </w:p>
    <w:p>
      <w:pPr>
        <w:ind w:left="260"/>
        <w:spacing w:after="0" w:line="334" w:lineRule="auto"/>
        <w:rPr>
          <w:sz w:val="20"/>
          <w:szCs w:val="20"/>
          <w:color w:val="auto"/>
        </w:rPr>
      </w:pPr>
      <w:r>
        <w:rPr>
          <w:rFonts w:ascii="Arial" w:cs="Arial" w:eastAsia="Arial" w:hAnsi="Arial"/>
          <w:sz w:val="18"/>
          <w:szCs w:val="18"/>
          <w:color w:val="auto"/>
        </w:rPr>
        <w:t>During the six months ended September 30, 2025, 7,894 options were exercised by various holders for aggregate proceeds to the Company of $53.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Page 17 of 26</w:t>
      </w:r>
    </w:p>
    <w:p>
      <w:pPr>
        <w:sectPr>
          <w:pgSz w:w="11900" w:h="16838" w:orient="portrait"/>
          <w:cols w:equalWidth="0" w:num="1">
            <w:col w:w="11160"/>
          </w:cols>
          <w:pgMar w:left="400" w:top="233" w:right="339" w:bottom="1440" w:gutter="0" w:footer="0" w:header="0"/>
        </w:sectPr>
      </w:pPr>
    </w:p>
    <w:bookmarkStart w:id="20" w:name="page21"/>
    <w:bookmarkEnd w:id="20"/>
    <w:p>
      <w:pPr>
        <w:spacing w:after="0"/>
        <w:rPr>
          <w:sz w:val="20"/>
          <w:szCs w:val="20"/>
          <w:color w:val="auto"/>
        </w:rPr>
      </w:pPr>
      <w:r>
        <w:rPr>
          <w:rFonts w:ascii="Arial" w:cs="Arial" w:eastAsia="Arial" w:hAnsi="Arial"/>
          <w:sz w:val="22"/>
          <w:szCs w:val="22"/>
          <w:b w:val="1"/>
          <w:bCs w:val="1"/>
          <w:color w:val="auto"/>
        </w:rPr>
        <w:t>CYBIN INC.</w:t>
      </w:r>
    </w:p>
    <w:p>
      <w:pPr>
        <w:spacing w:after="0" w:line="26" w:lineRule="exact"/>
        <w:rPr>
          <w:sz w:val="20"/>
          <w:szCs w:val="20"/>
          <w:color w:val="auto"/>
        </w:rPr>
      </w:pPr>
    </w:p>
    <w:p>
      <w:pPr>
        <w:ind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September 30, 2025</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260" w:type="dxa"/>
        <w:tblCellMar>
          <w:top w:w="0" w:type="dxa"/>
          <w:left w:w="0" w:type="dxa"/>
          <w:bottom w:w="0" w:type="dxa"/>
          <w:right w:w="0" w:type="dxa"/>
        </w:tblCellMar>
      </w:tblPr>
      <w:tr>
        <w:trPr>
          <w:trHeight w:val="239"/>
        </w:trPr>
        <w:tc>
          <w:tcPr>
            <w:tcW w:w="480" w:type="dxa"/>
            <w:vAlign w:val="bottom"/>
          </w:tcPr>
          <w:p>
            <w:pPr>
              <w:spacing w:after="0"/>
              <w:rPr>
                <w:sz w:val="20"/>
                <w:szCs w:val="20"/>
                <w:color w:val="auto"/>
              </w:rPr>
            </w:pPr>
            <w:r>
              <w:rPr>
                <w:rFonts w:ascii="Arial" w:cs="Arial" w:eastAsia="Arial" w:hAnsi="Arial"/>
                <w:sz w:val="18"/>
                <w:szCs w:val="18"/>
                <w:color w:val="auto"/>
              </w:rPr>
              <w:t>The</w:t>
            </w:r>
          </w:p>
        </w:tc>
        <w:tc>
          <w:tcPr>
            <w:tcW w:w="1200" w:type="dxa"/>
            <w:vAlign w:val="bottom"/>
          </w:tcPr>
          <w:p>
            <w:pPr>
              <w:ind w:left="180"/>
              <w:spacing w:after="0"/>
              <w:rPr>
                <w:sz w:val="20"/>
                <w:szCs w:val="20"/>
                <w:color w:val="auto"/>
              </w:rPr>
            </w:pPr>
            <w:r>
              <w:rPr>
                <w:rFonts w:ascii="Arial" w:cs="Arial" w:eastAsia="Arial" w:hAnsi="Arial"/>
                <w:sz w:val="18"/>
                <w:szCs w:val="18"/>
                <w:color w:val="auto"/>
              </w:rPr>
              <w:t>following</w:t>
            </w:r>
          </w:p>
        </w:tc>
        <w:tc>
          <w:tcPr>
            <w:tcW w:w="1180" w:type="dxa"/>
            <w:vAlign w:val="bottom"/>
          </w:tcPr>
          <w:p>
            <w:pPr>
              <w:ind w:left="20"/>
              <w:spacing w:after="0"/>
              <w:rPr>
                <w:sz w:val="20"/>
                <w:szCs w:val="20"/>
                <w:color w:val="auto"/>
              </w:rPr>
            </w:pPr>
            <w:r>
              <w:rPr>
                <w:rFonts w:ascii="Arial" w:cs="Arial" w:eastAsia="Arial" w:hAnsi="Arial"/>
                <w:sz w:val="18"/>
                <w:szCs w:val="18"/>
                <w:color w:val="auto"/>
              </w:rPr>
              <w:t>summarizes</w:t>
            </w:r>
          </w:p>
        </w:tc>
        <w:tc>
          <w:tcPr>
            <w:tcW w:w="1080" w:type="dxa"/>
            <w:vAlign w:val="bottom"/>
          </w:tcPr>
          <w:p>
            <w:pPr>
              <w:ind w:left="160"/>
              <w:spacing w:after="0"/>
              <w:rPr>
                <w:sz w:val="20"/>
                <w:szCs w:val="20"/>
                <w:color w:val="auto"/>
              </w:rPr>
            </w:pPr>
            <w:r>
              <w:rPr>
                <w:rFonts w:ascii="Arial" w:cs="Arial" w:eastAsia="Arial" w:hAnsi="Arial"/>
                <w:sz w:val="18"/>
                <w:szCs w:val="18"/>
                <w:color w:val="auto"/>
              </w:rPr>
              <w:t>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about</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stock</w:t>
            </w:r>
          </w:p>
        </w:tc>
        <w:tc>
          <w:tcPr>
            <w:tcW w:w="760" w:type="dxa"/>
            <w:vAlign w:val="bottom"/>
          </w:tcPr>
          <w:p>
            <w:pPr>
              <w:ind w:left="60"/>
              <w:spacing w:after="0"/>
              <w:rPr>
                <w:sz w:val="20"/>
                <w:szCs w:val="20"/>
                <w:color w:val="auto"/>
              </w:rPr>
            </w:pPr>
            <w:r>
              <w:rPr>
                <w:rFonts w:ascii="Arial" w:cs="Arial" w:eastAsia="Arial" w:hAnsi="Arial"/>
                <w:sz w:val="18"/>
                <w:szCs w:val="18"/>
                <w:color w:val="auto"/>
              </w:rPr>
              <w:t>options</w:t>
            </w:r>
          </w:p>
        </w:tc>
        <w:tc>
          <w:tcPr>
            <w:tcW w:w="1340" w:type="dxa"/>
            <w:vAlign w:val="bottom"/>
            <w:gridSpan w:val="2"/>
          </w:tcPr>
          <w:p>
            <w:pPr>
              <w:ind w:left="240"/>
              <w:spacing w:after="0"/>
              <w:rPr>
                <w:sz w:val="20"/>
                <w:szCs w:val="20"/>
                <w:color w:val="auto"/>
              </w:rPr>
            </w:pPr>
            <w:r>
              <w:rPr>
                <w:rFonts w:ascii="Arial" w:cs="Arial" w:eastAsia="Arial" w:hAnsi="Arial"/>
                <w:sz w:val="18"/>
                <w:szCs w:val="18"/>
                <w:color w:val="auto"/>
              </w:rPr>
              <w:t>outstanding</w:t>
            </w:r>
          </w:p>
        </w:tc>
        <w:tc>
          <w:tcPr>
            <w:tcW w:w="420" w:type="dxa"/>
            <w:vAlign w:val="bottom"/>
          </w:tcPr>
          <w:p>
            <w:pPr>
              <w:ind w:left="180"/>
              <w:spacing w:after="0"/>
              <w:rPr>
                <w:sz w:val="20"/>
                <w:szCs w:val="20"/>
                <w:color w:val="auto"/>
              </w:rPr>
            </w:pPr>
            <w:r>
              <w:rPr>
                <w:rFonts w:ascii="Arial" w:cs="Arial" w:eastAsia="Arial" w:hAnsi="Arial"/>
                <w:sz w:val="18"/>
                <w:szCs w:val="18"/>
                <w:color w:val="auto"/>
              </w:rPr>
              <w:t>on</w:t>
            </w: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September</w:t>
            </w: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3"/>
        </w:trPr>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6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Number of</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options</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options</w:t>
            </w:r>
          </w:p>
        </w:tc>
        <w:tc>
          <w:tcPr>
            <w:tcW w:w="1580" w:type="dxa"/>
            <w:vAlign w:val="bottom"/>
            <w:gridSpan w:val="2"/>
            <w:vMerge w:val="restart"/>
          </w:tcPr>
          <w:p>
            <w:pPr>
              <w:jc w:val="right"/>
              <w:ind w:right="50"/>
              <w:spacing w:after="0"/>
              <w:rPr>
                <w:sz w:val="20"/>
                <w:szCs w:val="20"/>
                <w:color w:val="auto"/>
              </w:rPr>
            </w:pPr>
            <w:r>
              <w:rPr>
                <w:rFonts w:ascii="Arial" w:cs="Arial" w:eastAsia="Arial" w:hAnsi="Arial"/>
                <w:sz w:val="18"/>
                <w:szCs w:val="18"/>
                <w:b w:val="1"/>
                <w:bCs w:val="1"/>
                <w:color w:val="auto"/>
              </w:rPr>
              <w:t>Exercise price</w:t>
            </w:r>
          </w:p>
        </w:tc>
        <w:tc>
          <w:tcPr>
            <w:tcW w:w="1700" w:type="dxa"/>
            <w:vAlign w:val="bottom"/>
            <w:gridSpan w:val="3"/>
            <w:vMerge w:val="restart"/>
          </w:tcPr>
          <w:p>
            <w:pPr>
              <w:jc w:val="right"/>
              <w:ind w:right="90"/>
              <w:spacing w:after="0"/>
              <w:rPr>
                <w:sz w:val="20"/>
                <w:szCs w:val="20"/>
                <w:color w:val="auto"/>
              </w:rPr>
            </w:pPr>
            <w:r>
              <w:rPr>
                <w:rFonts w:ascii="Arial" w:cs="Arial" w:eastAsia="Arial" w:hAnsi="Arial"/>
                <w:sz w:val="18"/>
                <w:szCs w:val="18"/>
                <w:b w:val="1"/>
                <w:bCs w:val="1"/>
                <w:color w:val="auto"/>
              </w:rPr>
              <w:t>Estimated issue</w:t>
            </w:r>
          </w:p>
        </w:tc>
        <w:tc>
          <w:tcPr>
            <w:tcW w:w="184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remaining life</w:t>
            </w:r>
          </w:p>
        </w:tc>
        <w:tc>
          <w:tcPr>
            <w:tcW w:w="0" w:type="dxa"/>
            <w:vAlign w:val="bottom"/>
          </w:tcPr>
          <w:p>
            <w:pPr>
              <w:spacing w:after="0"/>
              <w:rPr>
                <w:sz w:val="1"/>
                <w:szCs w:val="1"/>
                <w:color w:val="auto"/>
              </w:rPr>
            </w:pPr>
          </w:p>
        </w:tc>
      </w:tr>
      <w:tr>
        <w:trPr>
          <w:trHeight w:val="46"/>
        </w:trPr>
        <w:tc>
          <w:tcPr>
            <w:tcW w:w="16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Date of Expiry</w:t>
            </w:r>
          </w:p>
        </w:tc>
        <w:tc>
          <w:tcPr>
            <w:tcW w:w="1180" w:type="dxa"/>
            <w:vAlign w:val="bottom"/>
          </w:tcPr>
          <w:p>
            <w:pPr>
              <w:spacing w:after="0"/>
              <w:rPr>
                <w:sz w:val="3"/>
                <w:szCs w:val="3"/>
                <w:color w:val="auto"/>
              </w:rPr>
            </w:pPr>
          </w:p>
        </w:tc>
        <w:tc>
          <w:tcPr>
            <w:tcW w:w="1860" w:type="dxa"/>
            <w:vAlign w:val="bottom"/>
            <w:gridSpan w:val="2"/>
            <w:vMerge w:val="restart"/>
          </w:tcPr>
          <w:p>
            <w:pPr>
              <w:jc w:val="right"/>
              <w:ind w:right="350"/>
              <w:spacing w:after="0"/>
              <w:rPr>
                <w:sz w:val="20"/>
                <w:szCs w:val="20"/>
                <w:color w:val="auto"/>
              </w:rPr>
            </w:pPr>
            <w:r>
              <w:rPr>
                <w:rFonts w:ascii="Arial" w:cs="Arial" w:eastAsia="Arial" w:hAnsi="Arial"/>
                <w:sz w:val="18"/>
                <w:szCs w:val="18"/>
                <w:b w:val="1"/>
                <w:bCs w:val="1"/>
                <w:color w:val="auto"/>
              </w:rPr>
              <w:t>outstanding</w:t>
            </w: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exercisable</w:t>
            </w:r>
          </w:p>
        </w:tc>
        <w:tc>
          <w:tcPr>
            <w:tcW w:w="1580" w:type="dxa"/>
            <w:vAlign w:val="bottom"/>
            <w:gridSpan w:val="2"/>
            <w:vMerge w:val="continue"/>
          </w:tcPr>
          <w:p>
            <w:pPr>
              <w:spacing w:after="0"/>
              <w:rPr>
                <w:sz w:val="3"/>
                <w:szCs w:val="3"/>
                <w:color w:val="auto"/>
              </w:rPr>
            </w:pPr>
          </w:p>
        </w:tc>
        <w:tc>
          <w:tcPr>
            <w:tcW w:w="1700" w:type="dxa"/>
            <w:vAlign w:val="bottom"/>
            <w:gridSpan w:val="3"/>
            <w:vMerge w:val="continue"/>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gridSpan w:val="3"/>
            <w:vMerge w:val="restart"/>
          </w:tcPr>
          <w:p>
            <w:pPr>
              <w:jc w:val="right"/>
              <w:ind w:right="500"/>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43"/>
        </w:trPr>
        <w:tc>
          <w:tcPr>
            <w:tcW w:w="1680" w:type="dxa"/>
            <w:vAlign w:val="bottom"/>
            <w:gridSpan w:val="2"/>
            <w:vMerge w:val="continue"/>
          </w:tcPr>
          <w:p>
            <w:pPr>
              <w:spacing w:after="0"/>
              <w:rPr>
                <w:sz w:val="21"/>
                <w:szCs w:val="21"/>
                <w:color w:val="auto"/>
              </w:rPr>
            </w:pPr>
          </w:p>
        </w:tc>
        <w:tc>
          <w:tcPr>
            <w:tcW w:w="1180" w:type="dxa"/>
            <w:vAlign w:val="bottom"/>
          </w:tcPr>
          <w:p>
            <w:pPr>
              <w:spacing w:after="0"/>
              <w:rPr>
                <w:sz w:val="21"/>
                <w:szCs w:val="21"/>
                <w:color w:val="auto"/>
              </w:rPr>
            </w:pPr>
          </w:p>
        </w:tc>
        <w:tc>
          <w:tcPr>
            <w:tcW w:w="1860" w:type="dxa"/>
            <w:vAlign w:val="bottom"/>
            <w:gridSpan w:val="2"/>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C$</w:t>
            </w:r>
          </w:p>
        </w:tc>
        <w:tc>
          <w:tcPr>
            <w:tcW w:w="17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date fair value</w:t>
            </w:r>
          </w:p>
        </w:tc>
        <w:tc>
          <w:tcPr>
            <w:tcW w:w="480" w:type="dxa"/>
            <w:vAlign w:val="bottom"/>
          </w:tcPr>
          <w:p>
            <w:pPr>
              <w:spacing w:after="0"/>
              <w:rPr>
                <w:sz w:val="21"/>
                <w:szCs w:val="21"/>
                <w:color w:val="auto"/>
              </w:rPr>
            </w:pPr>
          </w:p>
        </w:tc>
        <w:tc>
          <w:tcPr>
            <w:tcW w:w="136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16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November 4, 2025</w:t>
            </w:r>
          </w:p>
        </w:tc>
        <w:tc>
          <w:tcPr>
            <w:tcW w:w="118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25,000</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7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28.50</w:t>
            </w:r>
          </w:p>
        </w:tc>
        <w:tc>
          <w:tcPr>
            <w:tcW w:w="5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354</w:t>
            </w:r>
          </w:p>
        </w:tc>
        <w:tc>
          <w:tcPr>
            <w:tcW w:w="4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0.10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November 15, 2025</w:t>
            </w:r>
          </w:p>
        </w:tc>
        <w:tc>
          <w:tcPr>
            <w:tcW w:w="1180" w:type="dxa"/>
            <w:vAlign w:val="bottom"/>
          </w:tcPr>
          <w:p>
            <w:pPr>
              <w:spacing w:after="0"/>
              <w:rPr>
                <w:sz w:val="19"/>
                <w:szCs w:val="19"/>
                <w:color w:val="auto"/>
              </w:rPr>
            </w:pPr>
          </w:p>
        </w:tc>
        <w:tc>
          <w:tcPr>
            <w:tcW w:w="1860" w:type="dxa"/>
            <w:vAlign w:val="bottom"/>
            <w:gridSpan w:val="2"/>
          </w:tcPr>
          <w:p>
            <w:pPr>
              <w:jc w:val="right"/>
              <w:ind w:right="350"/>
              <w:spacing w:after="0"/>
              <w:rPr>
                <w:sz w:val="20"/>
                <w:szCs w:val="20"/>
                <w:color w:val="auto"/>
              </w:rPr>
            </w:pPr>
            <w:r>
              <w:rPr>
                <w:rFonts w:ascii="Arial" w:cs="Arial" w:eastAsia="Arial" w:hAnsi="Arial"/>
                <w:sz w:val="18"/>
                <w:szCs w:val="18"/>
                <w:color w:val="auto"/>
              </w:rPr>
              <w:t>9,869</w:t>
            </w:r>
          </w:p>
        </w:tc>
        <w:tc>
          <w:tcPr>
            <w:tcW w:w="1060" w:type="dxa"/>
            <w:vAlign w:val="bottom"/>
          </w:tcPr>
          <w:p>
            <w:pPr>
              <w:jc w:val="right"/>
              <w:spacing w:after="0"/>
              <w:rPr>
                <w:sz w:val="20"/>
                <w:szCs w:val="20"/>
                <w:color w:val="auto"/>
              </w:rPr>
            </w:pPr>
            <w:r>
              <w:rPr>
                <w:rFonts w:ascii="Arial" w:cs="Arial" w:eastAsia="Arial" w:hAnsi="Arial"/>
                <w:sz w:val="18"/>
                <w:szCs w:val="18"/>
                <w:color w:val="auto"/>
              </w:rPr>
              <w:t>9,869</w:t>
            </w:r>
          </w:p>
        </w:tc>
        <w:tc>
          <w:tcPr>
            <w:tcW w:w="76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28.50</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76</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0.13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November 15, 2025</w:t>
            </w:r>
          </w:p>
        </w:tc>
        <w:tc>
          <w:tcPr>
            <w:tcW w:w="1180" w:type="dxa"/>
            <w:vAlign w:val="bottom"/>
          </w:tcPr>
          <w:p>
            <w:pPr>
              <w:spacing w:after="0"/>
              <w:rPr>
                <w:sz w:val="19"/>
                <w:szCs w:val="19"/>
                <w:color w:val="auto"/>
              </w:rPr>
            </w:pPr>
          </w:p>
        </w:tc>
        <w:tc>
          <w:tcPr>
            <w:tcW w:w="1860" w:type="dxa"/>
            <w:vAlign w:val="bottom"/>
            <w:gridSpan w:val="2"/>
          </w:tcPr>
          <w:p>
            <w:pPr>
              <w:jc w:val="right"/>
              <w:ind w:right="350"/>
              <w:spacing w:after="0"/>
              <w:rPr>
                <w:sz w:val="20"/>
                <w:szCs w:val="20"/>
                <w:color w:val="auto"/>
              </w:rPr>
            </w:pPr>
            <w:r>
              <w:rPr>
                <w:rFonts w:ascii="Arial" w:cs="Arial" w:eastAsia="Arial" w:hAnsi="Arial"/>
                <w:sz w:val="18"/>
                <w:szCs w:val="18"/>
                <w:color w:val="auto"/>
              </w:rPr>
              <w:t>5,263</w:t>
            </w:r>
          </w:p>
        </w:tc>
        <w:tc>
          <w:tcPr>
            <w:tcW w:w="1060" w:type="dxa"/>
            <w:vAlign w:val="bottom"/>
          </w:tcPr>
          <w:p>
            <w:pPr>
              <w:jc w:val="right"/>
              <w:spacing w:after="0"/>
              <w:rPr>
                <w:sz w:val="20"/>
                <w:szCs w:val="20"/>
                <w:color w:val="auto"/>
              </w:rPr>
            </w:pPr>
            <w:r>
              <w:rPr>
                <w:rFonts w:ascii="Arial" w:cs="Arial" w:eastAsia="Arial" w:hAnsi="Arial"/>
                <w:sz w:val="18"/>
                <w:szCs w:val="18"/>
                <w:color w:val="auto"/>
              </w:rPr>
              <w:t>5,263</w:t>
            </w:r>
          </w:p>
        </w:tc>
        <w:tc>
          <w:tcPr>
            <w:tcW w:w="76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34.58</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37</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0.13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December 11, 2025</w:t>
            </w:r>
          </w:p>
        </w:tc>
        <w:tc>
          <w:tcPr>
            <w:tcW w:w="1180" w:type="dxa"/>
            <w:vAlign w:val="bottom"/>
          </w:tcPr>
          <w:p>
            <w:pPr>
              <w:spacing w:after="0"/>
              <w:rPr>
                <w:sz w:val="19"/>
                <w:szCs w:val="19"/>
                <w:color w:val="auto"/>
              </w:rPr>
            </w:pPr>
          </w:p>
        </w:tc>
        <w:tc>
          <w:tcPr>
            <w:tcW w:w="1860" w:type="dxa"/>
            <w:vAlign w:val="bottom"/>
            <w:gridSpan w:val="2"/>
          </w:tcPr>
          <w:p>
            <w:pPr>
              <w:jc w:val="right"/>
              <w:ind w:right="350"/>
              <w:spacing w:after="0"/>
              <w:rPr>
                <w:sz w:val="20"/>
                <w:szCs w:val="20"/>
                <w:color w:val="auto"/>
              </w:rPr>
            </w:pPr>
            <w:r>
              <w:rPr>
                <w:rFonts w:ascii="Arial" w:cs="Arial" w:eastAsia="Arial" w:hAnsi="Arial"/>
                <w:sz w:val="18"/>
                <w:szCs w:val="18"/>
                <w:color w:val="auto"/>
              </w:rPr>
              <w:t>5,263</w:t>
            </w:r>
          </w:p>
        </w:tc>
        <w:tc>
          <w:tcPr>
            <w:tcW w:w="1060" w:type="dxa"/>
            <w:vAlign w:val="bottom"/>
          </w:tcPr>
          <w:p>
            <w:pPr>
              <w:jc w:val="right"/>
              <w:spacing w:after="0"/>
              <w:rPr>
                <w:sz w:val="20"/>
                <w:szCs w:val="20"/>
                <w:color w:val="auto"/>
              </w:rPr>
            </w:pPr>
            <w:r>
              <w:rPr>
                <w:rFonts w:ascii="Arial" w:cs="Arial" w:eastAsia="Arial" w:hAnsi="Arial"/>
                <w:sz w:val="18"/>
                <w:szCs w:val="18"/>
                <w:color w:val="auto"/>
              </w:rPr>
              <w:t>5,263</w:t>
            </w:r>
          </w:p>
        </w:tc>
        <w:tc>
          <w:tcPr>
            <w:tcW w:w="76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56.24</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147</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0.20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December 14, 2025</w:t>
            </w:r>
          </w:p>
        </w:tc>
        <w:tc>
          <w:tcPr>
            <w:tcW w:w="1180" w:type="dxa"/>
            <w:vAlign w:val="bottom"/>
          </w:tcPr>
          <w:p>
            <w:pPr>
              <w:spacing w:after="0"/>
              <w:rPr>
                <w:sz w:val="19"/>
                <w:szCs w:val="19"/>
                <w:color w:val="auto"/>
              </w:rPr>
            </w:pPr>
          </w:p>
        </w:tc>
        <w:tc>
          <w:tcPr>
            <w:tcW w:w="1860" w:type="dxa"/>
            <w:vAlign w:val="bottom"/>
            <w:gridSpan w:val="2"/>
          </w:tcPr>
          <w:p>
            <w:pPr>
              <w:jc w:val="right"/>
              <w:ind w:right="350"/>
              <w:spacing w:after="0"/>
              <w:rPr>
                <w:sz w:val="20"/>
                <w:szCs w:val="20"/>
                <w:color w:val="auto"/>
              </w:rPr>
            </w:pPr>
            <w:r>
              <w:rPr>
                <w:rFonts w:ascii="Arial" w:cs="Arial" w:eastAsia="Arial" w:hAnsi="Arial"/>
                <w:sz w:val="18"/>
                <w:szCs w:val="18"/>
                <w:color w:val="auto"/>
              </w:rPr>
              <w:t>2,829</w:t>
            </w:r>
          </w:p>
        </w:tc>
        <w:tc>
          <w:tcPr>
            <w:tcW w:w="1060" w:type="dxa"/>
            <w:vAlign w:val="bottom"/>
          </w:tcPr>
          <w:p>
            <w:pPr>
              <w:jc w:val="right"/>
              <w:spacing w:after="0"/>
              <w:rPr>
                <w:sz w:val="20"/>
                <w:szCs w:val="20"/>
                <w:color w:val="auto"/>
              </w:rPr>
            </w:pPr>
            <w:r>
              <w:rPr>
                <w:rFonts w:ascii="Arial" w:cs="Arial" w:eastAsia="Arial" w:hAnsi="Arial"/>
                <w:sz w:val="18"/>
                <w:szCs w:val="18"/>
                <w:color w:val="auto"/>
              </w:rPr>
              <w:t>2,829</w:t>
            </w:r>
          </w:p>
        </w:tc>
        <w:tc>
          <w:tcPr>
            <w:tcW w:w="76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66.12</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91</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0.21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December 31, 2025</w:t>
            </w:r>
          </w:p>
        </w:tc>
        <w:tc>
          <w:tcPr>
            <w:tcW w:w="1180" w:type="dxa"/>
            <w:vAlign w:val="bottom"/>
          </w:tcPr>
          <w:p>
            <w:pPr>
              <w:spacing w:after="0"/>
              <w:rPr>
                <w:sz w:val="19"/>
                <w:szCs w:val="19"/>
                <w:color w:val="auto"/>
              </w:rPr>
            </w:pPr>
          </w:p>
        </w:tc>
        <w:tc>
          <w:tcPr>
            <w:tcW w:w="1860" w:type="dxa"/>
            <w:vAlign w:val="bottom"/>
            <w:gridSpan w:val="2"/>
          </w:tcPr>
          <w:p>
            <w:pPr>
              <w:jc w:val="right"/>
              <w:ind w:right="350"/>
              <w:spacing w:after="0"/>
              <w:rPr>
                <w:sz w:val="20"/>
                <w:szCs w:val="20"/>
                <w:color w:val="auto"/>
              </w:rPr>
            </w:pPr>
            <w:r>
              <w:rPr>
                <w:rFonts w:ascii="Arial" w:cs="Arial" w:eastAsia="Arial" w:hAnsi="Arial"/>
                <w:sz w:val="18"/>
                <w:szCs w:val="18"/>
                <w:color w:val="auto"/>
              </w:rPr>
              <w:t>2,500</w:t>
            </w:r>
          </w:p>
        </w:tc>
        <w:tc>
          <w:tcPr>
            <w:tcW w:w="1060" w:type="dxa"/>
            <w:vAlign w:val="bottom"/>
          </w:tcPr>
          <w:p>
            <w:pPr>
              <w:jc w:val="right"/>
              <w:spacing w:after="0"/>
              <w:rPr>
                <w:sz w:val="20"/>
                <w:szCs w:val="20"/>
                <w:color w:val="auto"/>
              </w:rPr>
            </w:pPr>
            <w:r>
              <w:rPr>
                <w:rFonts w:ascii="Arial" w:cs="Arial" w:eastAsia="Arial" w:hAnsi="Arial"/>
                <w:sz w:val="18"/>
                <w:szCs w:val="18"/>
                <w:color w:val="auto"/>
              </w:rPr>
              <w:t>2,500</w:t>
            </w:r>
          </w:p>
        </w:tc>
        <w:tc>
          <w:tcPr>
            <w:tcW w:w="76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13.11</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0.25</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December 31, 2025</w:t>
            </w:r>
          </w:p>
        </w:tc>
        <w:tc>
          <w:tcPr>
            <w:tcW w:w="1180" w:type="dxa"/>
            <w:vAlign w:val="bottom"/>
          </w:tcPr>
          <w:p>
            <w:pPr>
              <w:spacing w:after="0"/>
              <w:rPr>
                <w:sz w:val="19"/>
                <w:szCs w:val="19"/>
                <w:color w:val="auto"/>
              </w:rPr>
            </w:pPr>
          </w:p>
        </w:tc>
        <w:tc>
          <w:tcPr>
            <w:tcW w:w="1860" w:type="dxa"/>
            <w:vAlign w:val="bottom"/>
            <w:gridSpan w:val="2"/>
          </w:tcPr>
          <w:p>
            <w:pPr>
              <w:jc w:val="right"/>
              <w:ind w:right="350"/>
              <w:spacing w:after="0"/>
              <w:rPr>
                <w:sz w:val="20"/>
                <w:szCs w:val="20"/>
                <w:color w:val="auto"/>
              </w:rPr>
            </w:pPr>
            <w:r>
              <w:rPr>
                <w:rFonts w:ascii="Arial" w:cs="Arial" w:eastAsia="Arial" w:hAnsi="Arial"/>
                <w:sz w:val="18"/>
                <w:szCs w:val="18"/>
                <w:color w:val="auto"/>
              </w:rPr>
              <w:t>3,947</w:t>
            </w:r>
          </w:p>
        </w:tc>
        <w:tc>
          <w:tcPr>
            <w:tcW w:w="1060" w:type="dxa"/>
            <w:vAlign w:val="bottom"/>
          </w:tcPr>
          <w:p>
            <w:pPr>
              <w:jc w:val="right"/>
              <w:spacing w:after="0"/>
              <w:rPr>
                <w:sz w:val="20"/>
                <w:szCs w:val="20"/>
                <w:color w:val="auto"/>
              </w:rPr>
            </w:pPr>
            <w:r>
              <w:rPr>
                <w:rFonts w:ascii="Arial" w:cs="Arial" w:eastAsia="Arial" w:hAnsi="Arial"/>
                <w:sz w:val="18"/>
                <w:szCs w:val="18"/>
                <w:color w:val="auto"/>
              </w:rPr>
              <w:t>3,947</w:t>
            </w:r>
          </w:p>
        </w:tc>
        <w:tc>
          <w:tcPr>
            <w:tcW w:w="76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16.72</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37</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0.25</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December 31, 2025</w:t>
            </w:r>
          </w:p>
        </w:tc>
        <w:tc>
          <w:tcPr>
            <w:tcW w:w="1180" w:type="dxa"/>
            <w:vAlign w:val="bottom"/>
          </w:tcPr>
          <w:p>
            <w:pPr>
              <w:spacing w:after="0"/>
              <w:rPr>
                <w:sz w:val="19"/>
                <w:szCs w:val="19"/>
                <w:color w:val="auto"/>
              </w:rPr>
            </w:pPr>
          </w:p>
        </w:tc>
        <w:tc>
          <w:tcPr>
            <w:tcW w:w="1860" w:type="dxa"/>
            <w:vAlign w:val="bottom"/>
            <w:gridSpan w:val="2"/>
          </w:tcPr>
          <w:p>
            <w:pPr>
              <w:jc w:val="right"/>
              <w:ind w:right="350"/>
              <w:spacing w:after="0"/>
              <w:rPr>
                <w:sz w:val="20"/>
                <w:szCs w:val="20"/>
                <w:color w:val="auto"/>
              </w:rPr>
            </w:pPr>
            <w:r>
              <w:rPr>
                <w:rFonts w:ascii="Arial" w:cs="Arial" w:eastAsia="Arial" w:hAnsi="Arial"/>
                <w:sz w:val="18"/>
                <w:szCs w:val="18"/>
                <w:color w:val="auto"/>
              </w:rPr>
              <w:t>5,263</w:t>
            </w:r>
          </w:p>
        </w:tc>
        <w:tc>
          <w:tcPr>
            <w:tcW w:w="1060" w:type="dxa"/>
            <w:vAlign w:val="bottom"/>
          </w:tcPr>
          <w:p>
            <w:pPr>
              <w:jc w:val="right"/>
              <w:spacing w:after="0"/>
              <w:rPr>
                <w:sz w:val="20"/>
                <w:szCs w:val="20"/>
                <w:color w:val="auto"/>
              </w:rPr>
            </w:pPr>
            <w:r>
              <w:rPr>
                <w:rFonts w:ascii="Arial" w:cs="Arial" w:eastAsia="Arial" w:hAnsi="Arial"/>
                <w:sz w:val="18"/>
                <w:szCs w:val="18"/>
                <w:color w:val="auto"/>
              </w:rPr>
              <w:t>5,263</w:t>
            </w:r>
          </w:p>
        </w:tc>
        <w:tc>
          <w:tcPr>
            <w:tcW w:w="76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21.28</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55</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0.25</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February 15, 2026</w:t>
            </w:r>
          </w:p>
        </w:tc>
        <w:tc>
          <w:tcPr>
            <w:tcW w:w="1180" w:type="dxa"/>
            <w:vAlign w:val="bottom"/>
          </w:tcPr>
          <w:p>
            <w:pPr>
              <w:spacing w:after="0"/>
              <w:rPr>
                <w:sz w:val="19"/>
                <w:szCs w:val="19"/>
                <w:color w:val="auto"/>
              </w:rPr>
            </w:pPr>
          </w:p>
        </w:tc>
        <w:tc>
          <w:tcPr>
            <w:tcW w:w="1860" w:type="dxa"/>
            <w:vAlign w:val="bottom"/>
            <w:gridSpan w:val="2"/>
          </w:tcPr>
          <w:p>
            <w:pPr>
              <w:jc w:val="right"/>
              <w:ind w:right="350"/>
              <w:spacing w:after="0"/>
              <w:rPr>
                <w:sz w:val="20"/>
                <w:szCs w:val="20"/>
                <w:color w:val="auto"/>
              </w:rPr>
            </w:pPr>
            <w:r>
              <w:rPr>
                <w:rFonts w:ascii="Arial" w:cs="Arial" w:eastAsia="Arial" w:hAnsi="Arial"/>
                <w:sz w:val="18"/>
                <w:szCs w:val="18"/>
                <w:color w:val="auto"/>
              </w:rPr>
              <w:t>1,974</w:t>
            </w:r>
          </w:p>
        </w:tc>
        <w:tc>
          <w:tcPr>
            <w:tcW w:w="1060" w:type="dxa"/>
            <w:vAlign w:val="bottom"/>
          </w:tcPr>
          <w:p>
            <w:pPr>
              <w:jc w:val="right"/>
              <w:spacing w:after="0"/>
              <w:rPr>
                <w:sz w:val="20"/>
                <w:szCs w:val="20"/>
                <w:color w:val="auto"/>
              </w:rPr>
            </w:pPr>
            <w:r>
              <w:rPr>
                <w:rFonts w:ascii="Arial" w:cs="Arial" w:eastAsia="Arial" w:hAnsi="Arial"/>
                <w:sz w:val="18"/>
                <w:szCs w:val="18"/>
                <w:color w:val="auto"/>
              </w:rPr>
              <w:t>1,974</w:t>
            </w:r>
          </w:p>
        </w:tc>
        <w:tc>
          <w:tcPr>
            <w:tcW w:w="76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77.14</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76</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0.38</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March 10, 2026</w:t>
            </w:r>
          </w:p>
        </w:tc>
        <w:tc>
          <w:tcPr>
            <w:tcW w:w="1180" w:type="dxa"/>
            <w:vAlign w:val="bottom"/>
          </w:tcPr>
          <w:p>
            <w:pPr>
              <w:spacing w:after="0"/>
              <w:rPr>
                <w:sz w:val="19"/>
                <w:szCs w:val="19"/>
                <w:color w:val="auto"/>
              </w:rPr>
            </w:pPr>
          </w:p>
        </w:tc>
        <w:tc>
          <w:tcPr>
            <w:tcW w:w="1860" w:type="dxa"/>
            <w:vAlign w:val="bottom"/>
            <w:gridSpan w:val="2"/>
          </w:tcPr>
          <w:p>
            <w:pPr>
              <w:jc w:val="right"/>
              <w:ind w:right="350"/>
              <w:spacing w:after="0"/>
              <w:rPr>
                <w:sz w:val="20"/>
                <w:szCs w:val="20"/>
                <w:color w:val="auto"/>
              </w:rPr>
            </w:pPr>
            <w:r>
              <w:rPr>
                <w:rFonts w:ascii="Arial" w:cs="Arial" w:eastAsia="Arial" w:hAnsi="Arial"/>
                <w:sz w:val="18"/>
                <w:szCs w:val="18"/>
                <w:color w:val="auto"/>
              </w:rPr>
              <w:t>5,725</w:t>
            </w:r>
          </w:p>
        </w:tc>
        <w:tc>
          <w:tcPr>
            <w:tcW w:w="1060" w:type="dxa"/>
            <w:vAlign w:val="bottom"/>
          </w:tcPr>
          <w:p>
            <w:pPr>
              <w:jc w:val="right"/>
              <w:spacing w:after="0"/>
              <w:rPr>
                <w:sz w:val="20"/>
                <w:szCs w:val="20"/>
                <w:color w:val="auto"/>
              </w:rPr>
            </w:pPr>
            <w:r>
              <w:rPr>
                <w:rFonts w:ascii="Arial" w:cs="Arial" w:eastAsia="Arial" w:hAnsi="Arial"/>
                <w:sz w:val="18"/>
                <w:szCs w:val="18"/>
                <w:color w:val="auto"/>
              </w:rPr>
              <w:t>5,725</w:t>
            </w:r>
          </w:p>
        </w:tc>
        <w:tc>
          <w:tcPr>
            <w:tcW w:w="76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52.82</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151</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0.44</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March 15, 2026</w:t>
            </w:r>
          </w:p>
        </w:tc>
        <w:tc>
          <w:tcPr>
            <w:tcW w:w="1180" w:type="dxa"/>
            <w:vAlign w:val="bottom"/>
          </w:tcPr>
          <w:p>
            <w:pPr>
              <w:spacing w:after="0"/>
              <w:rPr>
                <w:sz w:val="19"/>
                <w:szCs w:val="19"/>
                <w:color w:val="auto"/>
              </w:rPr>
            </w:pPr>
          </w:p>
        </w:tc>
        <w:tc>
          <w:tcPr>
            <w:tcW w:w="1860" w:type="dxa"/>
            <w:vAlign w:val="bottom"/>
            <w:gridSpan w:val="2"/>
          </w:tcPr>
          <w:p>
            <w:pPr>
              <w:jc w:val="right"/>
              <w:ind w:right="350"/>
              <w:spacing w:after="0"/>
              <w:rPr>
                <w:sz w:val="20"/>
                <w:szCs w:val="20"/>
                <w:color w:val="auto"/>
              </w:rPr>
            </w:pPr>
            <w:r>
              <w:rPr>
                <w:rFonts w:ascii="Arial" w:cs="Arial" w:eastAsia="Arial" w:hAnsi="Arial"/>
                <w:sz w:val="18"/>
                <w:szCs w:val="18"/>
                <w:color w:val="auto"/>
              </w:rPr>
              <w:t>7,895</w:t>
            </w:r>
          </w:p>
        </w:tc>
        <w:tc>
          <w:tcPr>
            <w:tcW w:w="1060" w:type="dxa"/>
            <w:vAlign w:val="bottom"/>
          </w:tcPr>
          <w:p>
            <w:pPr>
              <w:jc w:val="right"/>
              <w:spacing w:after="0"/>
              <w:rPr>
                <w:sz w:val="20"/>
                <w:szCs w:val="20"/>
                <w:color w:val="auto"/>
              </w:rPr>
            </w:pPr>
            <w:r>
              <w:rPr>
                <w:rFonts w:ascii="Arial" w:cs="Arial" w:eastAsia="Arial" w:hAnsi="Arial"/>
                <w:sz w:val="18"/>
                <w:szCs w:val="18"/>
                <w:color w:val="auto"/>
              </w:rPr>
              <w:t>7,895</w:t>
            </w:r>
          </w:p>
        </w:tc>
        <w:tc>
          <w:tcPr>
            <w:tcW w:w="76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58.90</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250</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0.45</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March 29, 2026</w:t>
            </w: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jc w:val="right"/>
              <w:ind w:right="350"/>
              <w:spacing w:after="0"/>
              <w:rPr>
                <w:sz w:val="20"/>
                <w:szCs w:val="20"/>
                <w:color w:val="auto"/>
              </w:rPr>
            </w:pPr>
            <w:r>
              <w:rPr>
                <w:rFonts w:ascii="Arial" w:cs="Arial" w:eastAsia="Arial" w:hAnsi="Arial"/>
                <w:sz w:val="18"/>
                <w:szCs w:val="18"/>
                <w:color w:val="auto"/>
              </w:rPr>
              <w:t>987</w:t>
            </w:r>
          </w:p>
        </w:tc>
        <w:tc>
          <w:tcPr>
            <w:tcW w:w="1060" w:type="dxa"/>
            <w:vAlign w:val="bottom"/>
          </w:tcPr>
          <w:p>
            <w:pPr>
              <w:jc w:val="right"/>
              <w:spacing w:after="0"/>
              <w:rPr>
                <w:sz w:val="20"/>
                <w:szCs w:val="20"/>
                <w:color w:val="auto"/>
              </w:rPr>
            </w:pPr>
            <w:r>
              <w:rPr>
                <w:rFonts w:ascii="Arial" w:cs="Arial" w:eastAsia="Arial" w:hAnsi="Arial"/>
                <w:sz w:val="18"/>
                <w:szCs w:val="18"/>
                <w:color w:val="auto"/>
              </w:rPr>
              <w:t>987</w:t>
            </w:r>
          </w:p>
        </w:tc>
        <w:tc>
          <w:tcPr>
            <w:tcW w:w="76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50.16</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0.49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March 31, 2026</w:t>
            </w:r>
          </w:p>
        </w:tc>
        <w:tc>
          <w:tcPr>
            <w:tcW w:w="1180" w:type="dxa"/>
            <w:vAlign w:val="bottom"/>
          </w:tcPr>
          <w:p>
            <w:pPr>
              <w:spacing w:after="0"/>
              <w:rPr>
                <w:sz w:val="19"/>
                <w:szCs w:val="19"/>
                <w:color w:val="auto"/>
              </w:rPr>
            </w:pPr>
          </w:p>
        </w:tc>
        <w:tc>
          <w:tcPr>
            <w:tcW w:w="1860" w:type="dxa"/>
            <w:vAlign w:val="bottom"/>
            <w:gridSpan w:val="2"/>
          </w:tcPr>
          <w:p>
            <w:pPr>
              <w:jc w:val="right"/>
              <w:ind w:right="350"/>
              <w:spacing w:after="0"/>
              <w:rPr>
                <w:sz w:val="20"/>
                <w:szCs w:val="20"/>
                <w:color w:val="auto"/>
              </w:rPr>
            </w:pPr>
            <w:r>
              <w:rPr>
                <w:rFonts w:ascii="Arial" w:cs="Arial" w:eastAsia="Arial" w:hAnsi="Arial"/>
                <w:sz w:val="18"/>
                <w:szCs w:val="18"/>
                <w:color w:val="auto"/>
              </w:rPr>
              <w:t>157,474</w:t>
            </w:r>
          </w:p>
        </w:tc>
        <w:tc>
          <w:tcPr>
            <w:tcW w:w="1060" w:type="dxa"/>
            <w:vAlign w:val="bottom"/>
          </w:tcPr>
          <w:p>
            <w:pPr>
              <w:jc w:val="right"/>
              <w:spacing w:after="0"/>
              <w:rPr>
                <w:sz w:val="20"/>
                <w:szCs w:val="20"/>
                <w:color w:val="auto"/>
              </w:rPr>
            </w:pPr>
            <w:r>
              <w:rPr>
                <w:rFonts w:ascii="Arial" w:cs="Arial" w:eastAsia="Arial" w:hAnsi="Arial"/>
                <w:sz w:val="18"/>
                <w:szCs w:val="18"/>
                <w:color w:val="auto"/>
              </w:rPr>
              <w:t>157,474</w:t>
            </w:r>
          </w:p>
        </w:tc>
        <w:tc>
          <w:tcPr>
            <w:tcW w:w="76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13.11</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1,246</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0.50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March 31, 2026</w:t>
            </w:r>
          </w:p>
        </w:tc>
        <w:tc>
          <w:tcPr>
            <w:tcW w:w="1180" w:type="dxa"/>
            <w:vAlign w:val="bottom"/>
          </w:tcPr>
          <w:p>
            <w:pPr>
              <w:spacing w:after="0"/>
              <w:rPr>
                <w:sz w:val="19"/>
                <w:szCs w:val="19"/>
                <w:color w:val="auto"/>
              </w:rPr>
            </w:pPr>
          </w:p>
        </w:tc>
        <w:tc>
          <w:tcPr>
            <w:tcW w:w="1860" w:type="dxa"/>
            <w:vAlign w:val="bottom"/>
            <w:gridSpan w:val="2"/>
          </w:tcPr>
          <w:p>
            <w:pPr>
              <w:jc w:val="right"/>
              <w:ind w:right="350"/>
              <w:spacing w:after="0"/>
              <w:rPr>
                <w:sz w:val="20"/>
                <w:szCs w:val="20"/>
                <w:color w:val="auto"/>
              </w:rPr>
            </w:pPr>
            <w:r>
              <w:rPr>
                <w:rFonts w:ascii="Arial" w:cs="Arial" w:eastAsia="Arial" w:hAnsi="Arial"/>
                <w:sz w:val="18"/>
                <w:szCs w:val="18"/>
                <w:color w:val="auto"/>
              </w:rPr>
              <w:t>3,339</w:t>
            </w:r>
          </w:p>
        </w:tc>
        <w:tc>
          <w:tcPr>
            <w:tcW w:w="1060" w:type="dxa"/>
            <w:vAlign w:val="bottom"/>
          </w:tcPr>
          <w:p>
            <w:pPr>
              <w:jc w:val="right"/>
              <w:spacing w:after="0"/>
              <w:rPr>
                <w:sz w:val="20"/>
                <w:szCs w:val="20"/>
                <w:color w:val="auto"/>
              </w:rPr>
            </w:pPr>
            <w:r>
              <w:rPr>
                <w:rFonts w:ascii="Arial" w:cs="Arial" w:eastAsia="Arial" w:hAnsi="Arial"/>
                <w:sz w:val="18"/>
                <w:szCs w:val="18"/>
                <w:color w:val="auto"/>
              </w:rPr>
              <w:t>3,339</w:t>
            </w:r>
          </w:p>
        </w:tc>
        <w:tc>
          <w:tcPr>
            <w:tcW w:w="76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16.72</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0.50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March 31, 2026</w:t>
            </w: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jc w:val="right"/>
              <w:ind w:right="350"/>
              <w:spacing w:after="0"/>
              <w:rPr>
                <w:sz w:val="20"/>
                <w:szCs w:val="20"/>
                <w:color w:val="auto"/>
              </w:rPr>
            </w:pPr>
            <w:r>
              <w:rPr>
                <w:rFonts w:ascii="Arial" w:cs="Arial" w:eastAsia="Arial" w:hAnsi="Arial"/>
                <w:sz w:val="18"/>
                <w:szCs w:val="18"/>
                <w:color w:val="auto"/>
              </w:rPr>
              <w:t>986</w:t>
            </w:r>
          </w:p>
        </w:tc>
        <w:tc>
          <w:tcPr>
            <w:tcW w:w="1060" w:type="dxa"/>
            <w:vAlign w:val="bottom"/>
          </w:tcPr>
          <w:p>
            <w:pPr>
              <w:jc w:val="right"/>
              <w:spacing w:after="0"/>
              <w:rPr>
                <w:sz w:val="20"/>
                <w:szCs w:val="20"/>
                <w:color w:val="auto"/>
              </w:rPr>
            </w:pPr>
            <w:r>
              <w:rPr>
                <w:rFonts w:ascii="Arial" w:cs="Arial" w:eastAsia="Arial" w:hAnsi="Arial"/>
                <w:sz w:val="18"/>
                <w:szCs w:val="18"/>
                <w:color w:val="auto"/>
              </w:rPr>
              <w:t>986</w:t>
            </w:r>
          </w:p>
        </w:tc>
        <w:tc>
          <w:tcPr>
            <w:tcW w:w="76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21.28</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0.50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June 28, 2026</w:t>
            </w:r>
          </w:p>
        </w:tc>
        <w:tc>
          <w:tcPr>
            <w:tcW w:w="1180" w:type="dxa"/>
            <w:vAlign w:val="bottom"/>
          </w:tcPr>
          <w:p>
            <w:pPr>
              <w:spacing w:after="0"/>
              <w:rPr>
                <w:sz w:val="19"/>
                <w:szCs w:val="19"/>
                <w:color w:val="auto"/>
              </w:rPr>
            </w:pPr>
          </w:p>
        </w:tc>
        <w:tc>
          <w:tcPr>
            <w:tcW w:w="1860" w:type="dxa"/>
            <w:vAlign w:val="bottom"/>
            <w:gridSpan w:val="2"/>
          </w:tcPr>
          <w:p>
            <w:pPr>
              <w:jc w:val="right"/>
              <w:ind w:right="350"/>
              <w:spacing w:after="0"/>
              <w:rPr>
                <w:sz w:val="20"/>
                <w:szCs w:val="20"/>
                <w:color w:val="auto"/>
              </w:rPr>
            </w:pPr>
            <w:r>
              <w:rPr>
                <w:rFonts w:ascii="Arial" w:cs="Arial" w:eastAsia="Arial" w:hAnsi="Arial"/>
                <w:sz w:val="18"/>
                <w:szCs w:val="18"/>
                <w:color w:val="auto"/>
              </w:rPr>
              <w:t>4,475</w:t>
            </w:r>
          </w:p>
        </w:tc>
        <w:tc>
          <w:tcPr>
            <w:tcW w:w="1060" w:type="dxa"/>
            <w:vAlign w:val="bottom"/>
          </w:tcPr>
          <w:p>
            <w:pPr>
              <w:jc w:val="right"/>
              <w:spacing w:after="0"/>
              <w:rPr>
                <w:sz w:val="20"/>
                <w:szCs w:val="20"/>
                <w:color w:val="auto"/>
              </w:rPr>
            </w:pPr>
            <w:r>
              <w:rPr>
                <w:rFonts w:ascii="Arial" w:cs="Arial" w:eastAsia="Arial" w:hAnsi="Arial"/>
                <w:sz w:val="18"/>
                <w:szCs w:val="18"/>
                <w:color w:val="auto"/>
              </w:rPr>
              <w:t>4,475</w:t>
            </w:r>
          </w:p>
        </w:tc>
        <w:tc>
          <w:tcPr>
            <w:tcW w:w="76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110.20</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246</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0.74</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September 26, 2026</w:t>
            </w:r>
          </w:p>
        </w:tc>
        <w:tc>
          <w:tcPr>
            <w:tcW w:w="1180" w:type="dxa"/>
            <w:vAlign w:val="bottom"/>
          </w:tcPr>
          <w:p>
            <w:pPr>
              <w:spacing w:after="0"/>
              <w:rPr>
                <w:sz w:val="19"/>
                <w:szCs w:val="19"/>
                <w:color w:val="auto"/>
              </w:rPr>
            </w:pPr>
          </w:p>
        </w:tc>
        <w:tc>
          <w:tcPr>
            <w:tcW w:w="1860" w:type="dxa"/>
            <w:vAlign w:val="bottom"/>
            <w:gridSpan w:val="2"/>
          </w:tcPr>
          <w:p>
            <w:pPr>
              <w:jc w:val="right"/>
              <w:ind w:right="350"/>
              <w:spacing w:after="0"/>
              <w:rPr>
                <w:sz w:val="20"/>
                <w:szCs w:val="20"/>
                <w:color w:val="auto"/>
              </w:rPr>
            </w:pPr>
            <w:r>
              <w:rPr>
                <w:rFonts w:ascii="Arial" w:cs="Arial" w:eastAsia="Arial" w:hAnsi="Arial"/>
                <w:sz w:val="18"/>
                <w:szCs w:val="18"/>
                <w:color w:val="auto"/>
              </w:rPr>
              <w:t>25,657</w:t>
            </w:r>
          </w:p>
        </w:tc>
        <w:tc>
          <w:tcPr>
            <w:tcW w:w="1060" w:type="dxa"/>
            <w:vAlign w:val="bottom"/>
          </w:tcPr>
          <w:p>
            <w:pPr>
              <w:jc w:val="right"/>
              <w:spacing w:after="0"/>
              <w:rPr>
                <w:sz w:val="20"/>
                <w:szCs w:val="20"/>
                <w:color w:val="auto"/>
              </w:rPr>
            </w:pPr>
            <w:r>
              <w:rPr>
                <w:rFonts w:ascii="Arial" w:cs="Arial" w:eastAsia="Arial" w:hAnsi="Arial"/>
                <w:sz w:val="18"/>
                <w:szCs w:val="18"/>
                <w:color w:val="auto"/>
              </w:rPr>
              <w:t>25,657</w:t>
            </w:r>
          </w:p>
        </w:tc>
        <w:tc>
          <w:tcPr>
            <w:tcW w:w="76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30.02</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306</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0.99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November 15, 2026</w:t>
            </w:r>
          </w:p>
        </w:tc>
        <w:tc>
          <w:tcPr>
            <w:tcW w:w="1180" w:type="dxa"/>
            <w:vAlign w:val="bottom"/>
          </w:tcPr>
          <w:p>
            <w:pPr>
              <w:spacing w:after="0"/>
              <w:rPr>
                <w:sz w:val="19"/>
                <w:szCs w:val="19"/>
                <w:color w:val="auto"/>
              </w:rPr>
            </w:pPr>
          </w:p>
        </w:tc>
        <w:tc>
          <w:tcPr>
            <w:tcW w:w="1860" w:type="dxa"/>
            <w:vAlign w:val="bottom"/>
            <w:gridSpan w:val="2"/>
          </w:tcPr>
          <w:p>
            <w:pPr>
              <w:jc w:val="right"/>
              <w:ind w:right="350"/>
              <w:spacing w:after="0"/>
              <w:rPr>
                <w:sz w:val="20"/>
                <w:szCs w:val="20"/>
                <w:color w:val="auto"/>
              </w:rPr>
            </w:pPr>
            <w:r>
              <w:rPr>
                <w:rFonts w:ascii="Arial" w:cs="Arial" w:eastAsia="Arial" w:hAnsi="Arial"/>
                <w:sz w:val="18"/>
                <w:szCs w:val="18"/>
                <w:color w:val="auto"/>
              </w:rPr>
              <w:t>13,158</w:t>
            </w:r>
          </w:p>
        </w:tc>
        <w:tc>
          <w:tcPr>
            <w:tcW w:w="1060" w:type="dxa"/>
            <w:vAlign w:val="bottom"/>
          </w:tcPr>
          <w:p>
            <w:pPr>
              <w:jc w:val="right"/>
              <w:spacing w:after="0"/>
              <w:rPr>
                <w:sz w:val="20"/>
                <w:szCs w:val="20"/>
                <w:color w:val="auto"/>
              </w:rPr>
            </w:pPr>
            <w:r>
              <w:rPr>
                <w:rFonts w:ascii="Arial" w:cs="Arial" w:eastAsia="Arial" w:hAnsi="Arial"/>
                <w:sz w:val="18"/>
                <w:szCs w:val="18"/>
                <w:color w:val="auto"/>
              </w:rPr>
              <w:t>13,158</w:t>
            </w:r>
          </w:p>
        </w:tc>
        <w:tc>
          <w:tcPr>
            <w:tcW w:w="76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27.17</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110</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1.13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December 31, 2026</w:t>
            </w:r>
          </w:p>
        </w:tc>
        <w:tc>
          <w:tcPr>
            <w:tcW w:w="1180" w:type="dxa"/>
            <w:vAlign w:val="bottom"/>
          </w:tcPr>
          <w:p>
            <w:pPr>
              <w:spacing w:after="0"/>
              <w:rPr>
                <w:sz w:val="19"/>
                <w:szCs w:val="19"/>
                <w:color w:val="auto"/>
              </w:rPr>
            </w:pPr>
          </w:p>
        </w:tc>
        <w:tc>
          <w:tcPr>
            <w:tcW w:w="1860" w:type="dxa"/>
            <w:vAlign w:val="bottom"/>
            <w:gridSpan w:val="2"/>
          </w:tcPr>
          <w:p>
            <w:pPr>
              <w:jc w:val="right"/>
              <w:ind w:right="350"/>
              <w:spacing w:after="0"/>
              <w:rPr>
                <w:sz w:val="20"/>
                <w:szCs w:val="20"/>
                <w:color w:val="auto"/>
              </w:rPr>
            </w:pPr>
            <w:r>
              <w:rPr>
                <w:rFonts w:ascii="Arial" w:cs="Arial" w:eastAsia="Arial" w:hAnsi="Arial"/>
                <w:sz w:val="18"/>
                <w:szCs w:val="18"/>
                <w:color w:val="auto"/>
              </w:rPr>
              <w:t>1,842</w:t>
            </w:r>
          </w:p>
        </w:tc>
        <w:tc>
          <w:tcPr>
            <w:tcW w:w="1060" w:type="dxa"/>
            <w:vAlign w:val="bottom"/>
          </w:tcPr>
          <w:p>
            <w:pPr>
              <w:jc w:val="right"/>
              <w:spacing w:after="0"/>
              <w:rPr>
                <w:sz w:val="20"/>
                <w:szCs w:val="20"/>
                <w:color w:val="auto"/>
              </w:rPr>
            </w:pPr>
            <w:r>
              <w:rPr>
                <w:rFonts w:ascii="Arial" w:cs="Arial" w:eastAsia="Arial" w:hAnsi="Arial"/>
                <w:sz w:val="18"/>
                <w:szCs w:val="18"/>
                <w:color w:val="auto"/>
              </w:rPr>
              <w:t>1,842</w:t>
            </w:r>
          </w:p>
        </w:tc>
        <w:tc>
          <w:tcPr>
            <w:tcW w:w="76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13.11</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1.25</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December 31, 2026</w:t>
            </w:r>
          </w:p>
        </w:tc>
        <w:tc>
          <w:tcPr>
            <w:tcW w:w="1180" w:type="dxa"/>
            <w:vAlign w:val="bottom"/>
          </w:tcPr>
          <w:p>
            <w:pPr>
              <w:spacing w:after="0"/>
              <w:rPr>
                <w:sz w:val="19"/>
                <w:szCs w:val="19"/>
                <w:color w:val="auto"/>
              </w:rPr>
            </w:pPr>
          </w:p>
        </w:tc>
        <w:tc>
          <w:tcPr>
            <w:tcW w:w="1860" w:type="dxa"/>
            <w:vAlign w:val="bottom"/>
            <w:gridSpan w:val="2"/>
          </w:tcPr>
          <w:p>
            <w:pPr>
              <w:jc w:val="right"/>
              <w:ind w:right="350"/>
              <w:spacing w:after="0"/>
              <w:rPr>
                <w:sz w:val="20"/>
                <w:szCs w:val="20"/>
                <w:color w:val="auto"/>
              </w:rPr>
            </w:pPr>
            <w:r>
              <w:rPr>
                <w:rFonts w:ascii="Arial" w:cs="Arial" w:eastAsia="Arial" w:hAnsi="Arial"/>
                <w:sz w:val="18"/>
                <w:szCs w:val="18"/>
                <w:color w:val="auto"/>
              </w:rPr>
              <w:t>3,947</w:t>
            </w:r>
          </w:p>
        </w:tc>
        <w:tc>
          <w:tcPr>
            <w:tcW w:w="1060" w:type="dxa"/>
            <w:vAlign w:val="bottom"/>
          </w:tcPr>
          <w:p>
            <w:pPr>
              <w:jc w:val="right"/>
              <w:spacing w:after="0"/>
              <w:rPr>
                <w:sz w:val="20"/>
                <w:szCs w:val="20"/>
                <w:color w:val="auto"/>
              </w:rPr>
            </w:pPr>
            <w:r>
              <w:rPr>
                <w:rFonts w:ascii="Arial" w:cs="Arial" w:eastAsia="Arial" w:hAnsi="Arial"/>
                <w:sz w:val="18"/>
                <w:szCs w:val="18"/>
                <w:color w:val="auto"/>
              </w:rPr>
              <w:t>3,947</w:t>
            </w:r>
          </w:p>
        </w:tc>
        <w:tc>
          <w:tcPr>
            <w:tcW w:w="76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16.72</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37</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1.25</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December 31, 2026</w:t>
            </w:r>
          </w:p>
        </w:tc>
        <w:tc>
          <w:tcPr>
            <w:tcW w:w="1180" w:type="dxa"/>
            <w:vAlign w:val="bottom"/>
          </w:tcPr>
          <w:p>
            <w:pPr>
              <w:spacing w:after="0"/>
              <w:rPr>
                <w:sz w:val="19"/>
                <w:szCs w:val="19"/>
                <w:color w:val="auto"/>
              </w:rPr>
            </w:pPr>
          </w:p>
        </w:tc>
        <w:tc>
          <w:tcPr>
            <w:tcW w:w="1860" w:type="dxa"/>
            <w:vAlign w:val="bottom"/>
            <w:gridSpan w:val="2"/>
          </w:tcPr>
          <w:p>
            <w:pPr>
              <w:jc w:val="right"/>
              <w:ind w:right="350"/>
              <w:spacing w:after="0"/>
              <w:rPr>
                <w:sz w:val="20"/>
                <w:szCs w:val="20"/>
                <w:color w:val="auto"/>
              </w:rPr>
            </w:pPr>
            <w:r>
              <w:rPr>
                <w:rFonts w:ascii="Arial" w:cs="Arial" w:eastAsia="Arial" w:hAnsi="Arial"/>
                <w:sz w:val="18"/>
                <w:szCs w:val="18"/>
                <w:color w:val="auto"/>
              </w:rPr>
              <w:t>1,974</w:t>
            </w:r>
          </w:p>
        </w:tc>
        <w:tc>
          <w:tcPr>
            <w:tcW w:w="1060" w:type="dxa"/>
            <w:vAlign w:val="bottom"/>
          </w:tcPr>
          <w:p>
            <w:pPr>
              <w:jc w:val="right"/>
              <w:spacing w:after="0"/>
              <w:rPr>
                <w:sz w:val="20"/>
                <w:szCs w:val="20"/>
                <w:color w:val="auto"/>
              </w:rPr>
            </w:pPr>
            <w:r>
              <w:rPr>
                <w:rFonts w:ascii="Arial" w:cs="Arial" w:eastAsia="Arial" w:hAnsi="Arial"/>
                <w:sz w:val="18"/>
                <w:szCs w:val="18"/>
                <w:color w:val="auto"/>
              </w:rPr>
              <w:t>1,727</w:t>
            </w:r>
          </w:p>
        </w:tc>
        <w:tc>
          <w:tcPr>
            <w:tcW w:w="76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21.28</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1.25</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December 31, 2026</w:t>
            </w:r>
          </w:p>
        </w:tc>
        <w:tc>
          <w:tcPr>
            <w:tcW w:w="1180" w:type="dxa"/>
            <w:vAlign w:val="bottom"/>
          </w:tcPr>
          <w:p>
            <w:pPr>
              <w:spacing w:after="0"/>
              <w:rPr>
                <w:sz w:val="19"/>
                <w:szCs w:val="19"/>
                <w:color w:val="auto"/>
              </w:rPr>
            </w:pPr>
          </w:p>
        </w:tc>
        <w:tc>
          <w:tcPr>
            <w:tcW w:w="1860" w:type="dxa"/>
            <w:vAlign w:val="bottom"/>
            <w:gridSpan w:val="2"/>
          </w:tcPr>
          <w:p>
            <w:pPr>
              <w:jc w:val="right"/>
              <w:ind w:right="350"/>
              <w:spacing w:after="0"/>
              <w:rPr>
                <w:sz w:val="20"/>
                <w:szCs w:val="20"/>
                <w:color w:val="auto"/>
              </w:rPr>
            </w:pPr>
            <w:r>
              <w:rPr>
                <w:rFonts w:ascii="Arial" w:cs="Arial" w:eastAsia="Arial" w:hAnsi="Arial"/>
                <w:sz w:val="18"/>
                <w:szCs w:val="18"/>
                <w:color w:val="auto"/>
              </w:rPr>
              <w:t>32,896</w:t>
            </w:r>
          </w:p>
        </w:tc>
        <w:tc>
          <w:tcPr>
            <w:tcW w:w="1060" w:type="dxa"/>
            <w:vAlign w:val="bottom"/>
          </w:tcPr>
          <w:p>
            <w:pPr>
              <w:jc w:val="right"/>
              <w:spacing w:after="0"/>
              <w:rPr>
                <w:sz w:val="20"/>
                <w:szCs w:val="20"/>
                <w:color w:val="auto"/>
              </w:rPr>
            </w:pPr>
            <w:r>
              <w:rPr>
                <w:rFonts w:ascii="Arial" w:cs="Arial" w:eastAsia="Arial" w:hAnsi="Arial"/>
                <w:sz w:val="18"/>
                <w:szCs w:val="18"/>
                <w:color w:val="auto"/>
              </w:rPr>
              <w:t>32,896</w:t>
            </w:r>
          </w:p>
        </w:tc>
        <w:tc>
          <w:tcPr>
            <w:tcW w:w="76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57.00</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940</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1.25</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March 4, 2027</w:t>
            </w: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jc w:val="right"/>
              <w:ind w:right="350"/>
              <w:spacing w:after="0"/>
              <w:rPr>
                <w:sz w:val="20"/>
                <w:szCs w:val="20"/>
                <w:color w:val="auto"/>
              </w:rPr>
            </w:pPr>
            <w:r>
              <w:rPr>
                <w:rFonts w:ascii="Arial" w:cs="Arial" w:eastAsia="Arial" w:hAnsi="Arial"/>
                <w:sz w:val="18"/>
                <w:szCs w:val="18"/>
                <w:color w:val="auto"/>
              </w:rPr>
              <w:t>526</w:t>
            </w:r>
          </w:p>
        </w:tc>
        <w:tc>
          <w:tcPr>
            <w:tcW w:w="1060" w:type="dxa"/>
            <w:vAlign w:val="bottom"/>
          </w:tcPr>
          <w:p>
            <w:pPr>
              <w:jc w:val="right"/>
              <w:spacing w:after="0"/>
              <w:rPr>
                <w:sz w:val="20"/>
                <w:szCs w:val="20"/>
                <w:color w:val="auto"/>
              </w:rPr>
            </w:pPr>
            <w:r>
              <w:rPr>
                <w:rFonts w:ascii="Arial" w:cs="Arial" w:eastAsia="Arial" w:hAnsi="Arial"/>
                <w:sz w:val="18"/>
                <w:szCs w:val="18"/>
                <w:color w:val="auto"/>
              </w:rPr>
              <w:t>526</w:t>
            </w:r>
          </w:p>
        </w:tc>
        <w:tc>
          <w:tcPr>
            <w:tcW w:w="76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42.94</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1.42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March 8, 2027</w:t>
            </w:r>
          </w:p>
        </w:tc>
        <w:tc>
          <w:tcPr>
            <w:tcW w:w="1180" w:type="dxa"/>
            <w:vAlign w:val="bottom"/>
          </w:tcPr>
          <w:p>
            <w:pPr>
              <w:spacing w:after="0"/>
              <w:rPr>
                <w:sz w:val="19"/>
                <w:szCs w:val="19"/>
                <w:color w:val="auto"/>
              </w:rPr>
            </w:pPr>
          </w:p>
        </w:tc>
        <w:tc>
          <w:tcPr>
            <w:tcW w:w="1860" w:type="dxa"/>
            <w:vAlign w:val="bottom"/>
            <w:gridSpan w:val="2"/>
          </w:tcPr>
          <w:p>
            <w:pPr>
              <w:jc w:val="right"/>
              <w:ind w:right="350"/>
              <w:spacing w:after="0"/>
              <w:rPr>
                <w:sz w:val="20"/>
                <w:szCs w:val="20"/>
                <w:color w:val="auto"/>
              </w:rPr>
            </w:pPr>
            <w:r>
              <w:rPr>
                <w:rFonts w:ascii="Arial" w:cs="Arial" w:eastAsia="Arial" w:hAnsi="Arial"/>
                <w:sz w:val="18"/>
                <w:szCs w:val="18"/>
                <w:color w:val="auto"/>
              </w:rPr>
              <w:t>10,526</w:t>
            </w:r>
          </w:p>
        </w:tc>
        <w:tc>
          <w:tcPr>
            <w:tcW w:w="1060" w:type="dxa"/>
            <w:vAlign w:val="bottom"/>
          </w:tcPr>
          <w:p>
            <w:pPr>
              <w:jc w:val="right"/>
              <w:spacing w:after="0"/>
              <w:rPr>
                <w:sz w:val="20"/>
                <w:szCs w:val="20"/>
                <w:color w:val="auto"/>
              </w:rPr>
            </w:pPr>
            <w:r>
              <w:rPr>
                <w:rFonts w:ascii="Arial" w:cs="Arial" w:eastAsia="Arial" w:hAnsi="Arial"/>
                <w:sz w:val="18"/>
                <w:szCs w:val="18"/>
                <w:color w:val="auto"/>
              </w:rPr>
              <w:t>10,526</w:t>
            </w:r>
          </w:p>
        </w:tc>
        <w:tc>
          <w:tcPr>
            <w:tcW w:w="76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38.76</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205</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1.43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June 30, 2028</w:t>
            </w:r>
          </w:p>
        </w:tc>
        <w:tc>
          <w:tcPr>
            <w:tcW w:w="1180" w:type="dxa"/>
            <w:vAlign w:val="bottom"/>
          </w:tcPr>
          <w:p>
            <w:pPr>
              <w:spacing w:after="0"/>
              <w:rPr>
                <w:sz w:val="19"/>
                <w:szCs w:val="19"/>
                <w:color w:val="auto"/>
              </w:rPr>
            </w:pPr>
          </w:p>
        </w:tc>
        <w:tc>
          <w:tcPr>
            <w:tcW w:w="1860" w:type="dxa"/>
            <w:vAlign w:val="bottom"/>
            <w:gridSpan w:val="2"/>
          </w:tcPr>
          <w:p>
            <w:pPr>
              <w:jc w:val="right"/>
              <w:ind w:right="350"/>
              <w:spacing w:after="0"/>
              <w:rPr>
                <w:sz w:val="20"/>
                <w:szCs w:val="20"/>
                <w:color w:val="auto"/>
              </w:rPr>
            </w:pPr>
            <w:r>
              <w:rPr>
                <w:rFonts w:ascii="Arial" w:cs="Arial" w:eastAsia="Arial" w:hAnsi="Arial"/>
                <w:sz w:val="18"/>
                <w:szCs w:val="18"/>
                <w:color w:val="auto"/>
              </w:rPr>
              <w:t>254,265</w:t>
            </w:r>
          </w:p>
        </w:tc>
        <w:tc>
          <w:tcPr>
            <w:tcW w:w="1060" w:type="dxa"/>
            <w:vAlign w:val="bottom"/>
          </w:tcPr>
          <w:p>
            <w:pPr>
              <w:jc w:val="right"/>
              <w:spacing w:after="0"/>
              <w:rPr>
                <w:sz w:val="20"/>
                <w:szCs w:val="20"/>
                <w:color w:val="auto"/>
              </w:rPr>
            </w:pPr>
            <w:r>
              <w:rPr>
                <w:rFonts w:ascii="Arial" w:cs="Arial" w:eastAsia="Arial" w:hAnsi="Arial"/>
                <w:sz w:val="18"/>
                <w:szCs w:val="18"/>
                <w:color w:val="auto"/>
              </w:rPr>
              <w:t>254,265</w:t>
            </w:r>
          </w:p>
        </w:tc>
        <w:tc>
          <w:tcPr>
            <w:tcW w:w="76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16.72</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2,361</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2.75</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September 26, 2028</w:t>
            </w:r>
          </w:p>
        </w:tc>
        <w:tc>
          <w:tcPr>
            <w:tcW w:w="1180" w:type="dxa"/>
            <w:vAlign w:val="bottom"/>
          </w:tcPr>
          <w:p>
            <w:pPr>
              <w:spacing w:after="0"/>
              <w:rPr>
                <w:sz w:val="19"/>
                <w:szCs w:val="19"/>
                <w:color w:val="auto"/>
              </w:rPr>
            </w:pPr>
          </w:p>
        </w:tc>
        <w:tc>
          <w:tcPr>
            <w:tcW w:w="1860" w:type="dxa"/>
            <w:vAlign w:val="bottom"/>
            <w:gridSpan w:val="2"/>
          </w:tcPr>
          <w:p>
            <w:pPr>
              <w:jc w:val="right"/>
              <w:ind w:right="350"/>
              <w:spacing w:after="0"/>
              <w:rPr>
                <w:sz w:val="20"/>
                <w:szCs w:val="20"/>
                <w:color w:val="auto"/>
              </w:rPr>
            </w:pPr>
            <w:r>
              <w:rPr>
                <w:rFonts w:ascii="Arial" w:cs="Arial" w:eastAsia="Arial" w:hAnsi="Arial"/>
                <w:sz w:val="18"/>
                <w:szCs w:val="18"/>
                <w:color w:val="auto"/>
              </w:rPr>
              <w:t>2,632</w:t>
            </w:r>
          </w:p>
        </w:tc>
        <w:tc>
          <w:tcPr>
            <w:tcW w:w="1060" w:type="dxa"/>
            <w:vAlign w:val="bottom"/>
          </w:tcPr>
          <w:p>
            <w:pPr>
              <w:jc w:val="right"/>
              <w:spacing w:after="0"/>
              <w:rPr>
                <w:sz w:val="20"/>
                <w:szCs w:val="20"/>
                <w:color w:val="auto"/>
              </w:rPr>
            </w:pPr>
            <w:r>
              <w:rPr>
                <w:rFonts w:ascii="Arial" w:cs="Arial" w:eastAsia="Arial" w:hAnsi="Arial"/>
                <w:sz w:val="18"/>
                <w:szCs w:val="18"/>
                <w:color w:val="auto"/>
              </w:rPr>
              <w:t>2,632</w:t>
            </w:r>
          </w:p>
        </w:tc>
        <w:tc>
          <w:tcPr>
            <w:tcW w:w="76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30.02</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2.99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March 20, 2029</w:t>
            </w: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jc w:val="right"/>
              <w:ind w:right="350"/>
              <w:spacing w:after="0"/>
              <w:rPr>
                <w:sz w:val="20"/>
                <w:szCs w:val="20"/>
                <w:color w:val="auto"/>
              </w:rPr>
            </w:pPr>
            <w:r>
              <w:rPr>
                <w:rFonts w:ascii="Arial" w:cs="Arial" w:eastAsia="Arial" w:hAnsi="Arial"/>
                <w:sz w:val="18"/>
                <w:szCs w:val="18"/>
                <w:color w:val="auto"/>
              </w:rPr>
              <w:t>526</w:t>
            </w:r>
          </w:p>
        </w:tc>
        <w:tc>
          <w:tcPr>
            <w:tcW w:w="1060" w:type="dxa"/>
            <w:vAlign w:val="bottom"/>
          </w:tcPr>
          <w:p>
            <w:pPr>
              <w:jc w:val="right"/>
              <w:spacing w:after="0"/>
              <w:rPr>
                <w:sz w:val="20"/>
                <w:szCs w:val="20"/>
                <w:color w:val="auto"/>
              </w:rPr>
            </w:pPr>
            <w:r>
              <w:rPr>
                <w:rFonts w:ascii="Arial" w:cs="Arial" w:eastAsia="Arial" w:hAnsi="Arial"/>
                <w:sz w:val="18"/>
                <w:szCs w:val="18"/>
                <w:color w:val="auto"/>
              </w:rPr>
              <w:t>526</w:t>
            </w:r>
          </w:p>
        </w:tc>
        <w:tc>
          <w:tcPr>
            <w:tcW w:w="76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21.28</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3.47</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April 5, 2029</w:t>
            </w:r>
          </w:p>
        </w:tc>
        <w:tc>
          <w:tcPr>
            <w:tcW w:w="1180" w:type="dxa"/>
            <w:vAlign w:val="bottom"/>
          </w:tcPr>
          <w:p>
            <w:pPr>
              <w:spacing w:after="0"/>
              <w:rPr>
                <w:sz w:val="19"/>
                <w:szCs w:val="19"/>
                <w:color w:val="auto"/>
              </w:rPr>
            </w:pPr>
          </w:p>
        </w:tc>
        <w:tc>
          <w:tcPr>
            <w:tcW w:w="1860" w:type="dxa"/>
            <w:vAlign w:val="bottom"/>
            <w:gridSpan w:val="2"/>
          </w:tcPr>
          <w:p>
            <w:pPr>
              <w:jc w:val="right"/>
              <w:ind w:right="350"/>
              <w:spacing w:after="0"/>
              <w:rPr>
                <w:sz w:val="20"/>
                <w:szCs w:val="20"/>
                <w:color w:val="auto"/>
              </w:rPr>
            </w:pPr>
            <w:r>
              <w:rPr>
                <w:rFonts w:ascii="Arial" w:cs="Arial" w:eastAsia="Arial" w:hAnsi="Arial"/>
                <w:sz w:val="18"/>
                <w:szCs w:val="18"/>
                <w:color w:val="auto"/>
              </w:rPr>
              <w:t>230,267</w:t>
            </w:r>
          </w:p>
        </w:tc>
        <w:tc>
          <w:tcPr>
            <w:tcW w:w="1060" w:type="dxa"/>
            <w:vAlign w:val="bottom"/>
          </w:tcPr>
          <w:p>
            <w:pPr>
              <w:jc w:val="right"/>
              <w:spacing w:after="0"/>
              <w:rPr>
                <w:sz w:val="20"/>
                <w:szCs w:val="20"/>
                <w:color w:val="auto"/>
              </w:rPr>
            </w:pPr>
            <w:r>
              <w:rPr>
                <w:rFonts w:ascii="Arial" w:cs="Arial" w:eastAsia="Arial" w:hAnsi="Arial"/>
                <w:sz w:val="18"/>
                <w:szCs w:val="18"/>
                <w:color w:val="auto"/>
              </w:rPr>
              <w:t>201,465</w:t>
            </w:r>
          </w:p>
        </w:tc>
        <w:tc>
          <w:tcPr>
            <w:tcW w:w="76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21.28</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2,354</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3.51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June 30, 2032</w:t>
            </w:r>
          </w:p>
        </w:tc>
        <w:tc>
          <w:tcPr>
            <w:tcW w:w="1180" w:type="dxa"/>
            <w:vAlign w:val="bottom"/>
          </w:tcPr>
          <w:p>
            <w:pPr>
              <w:spacing w:after="0"/>
              <w:rPr>
                <w:sz w:val="19"/>
                <w:szCs w:val="19"/>
                <w:color w:val="auto"/>
              </w:rPr>
            </w:pPr>
          </w:p>
        </w:tc>
        <w:tc>
          <w:tcPr>
            <w:tcW w:w="1860" w:type="dxa"/>
            <w:vAlign w:val="bottom"/>
            <w:gridSpan w:val="2"/>
          </w:tcPr>
          <w:p>
            <w:pPr>
              <w:jc w:val="right"/>
              <w:ind w:right="350"/>
              <w:spacing w:after="0"/>
              <w:rPr>
                <w:sz w:val="20"/>
                <w:szCs w:val="20"/>
                <w:color w:val="auto"/>
              </w:rPr>
            </w:pPr>
            <w:r>
              <w:rPr>
                <w:rFonts w:ascii="Arial" w:cs="Arial" w:eastAsia="Arial" w:hAnsi="Arial"/>
                <w:sz w:val="18"/>
                <w:szCs w:val="18"/>
                <w:color w:val="auto"/>
              </w:rPr>
              <w:t>7,895</w:t>
            </w:r>
          </w:p>
        </w:tc>
        <w:tc>
          <w:tcPr>
            <w:tcW w:w="1060" w:type="dxa"/>
            <w:vAlign w:val="bottom"/>
          </w:tcPr>
          <w:p>
            <w:pPr>
              <w:jc w:val="right"/>
              <w:spacing w:after="0"/>
              <w:rPr>
                <w:sz w:val="20"/>
                <w:szCs w:val="20"/>
                <w:color w:val="auto"/>
              </w:rPr>
            </w:pPr>
            <w:r>
              <w:rPr>
                <w:rFonts w:ascii="Arial" w:cs="Arial" w:eastAsia="Arial" w:hAnsi="Arial"/>
                <w:sz w:val="18"/>
                <w:szCs w:val="18"/>
                <w:color w:val="auto"/>
              </w:rPr>
              <w:t>7,895</w:t>
            </w:r>
          </w:p>
        </w:tc>
        <w:tc>
          <w:tcPr>
            <w:tcW w:w="76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34.20</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124</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6.75</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August 15, 2034</w:t>
            </w:r>
          </w:p>
        </w:tc>
        <w:tc>
          <w:tcPr>
            <w:tcW w:w="1180" w:type="dxa"/>
            <w:vAlign w:val="bottom"/>
          </w:tcPr>
          <w:p>
            <w:pPr>
              <w:spacing w:after="0"/>
              <w:rPr>
                <w:sz w:val="19"/>
                <w:szCs w:val="19"/>
                <w:color w:val="auto"/>
              </w:rPr>
            </w:pPr>
          </w:p>
        </w:tc>
        <w:tc>
          <w:tcPr>
            <w:tcW w:w="1860" w:type="dxa"/>
            <w:vAlign w:val="bottom"/>
            <w:gridSpan w:val="2"/>
          </w:tcPr>
          <w:p>
            <w:pPr>
              <w:jc w:val="right"/>
              <w:ind w:right="350"/>
              <w:spacing w:after="0"/>
              <w:rPr>
                <w:sz w:val="20"/>
                <w:szCs w:val="20"/>
                <w:color w:val="auto"/>
              </w:rPr>
            </w:pPr>
            <w:r>
              <w:rPr>
                <w:rFonts w:ascii="Arial" w:cs="Arial" w:eastAsia="Arial" w:hAnsi="Arial"/>
                <w:sz w:val="18"/>
                <w:szCs w:val="18"/>
                <w:color w:val="auto"/>
              </w:rPr>
              <w:t>2,894,810</w:t>
            </w:r>
          </w:p>
        </w:tc>
        <w:tc>
          <w:tcPr>
            <w:tcW w:w="1060" w:type="dxa"/>
            <w:vAlign w:val="bottom"/>
          </w:tcPr>
          <w:p>
            <w:pPr>
              <w:jc w:val="right"/>
              <w:spacing w:after="0"/>
              <w:rPr>
                <w:sz w:val="20"/>
                <w:szCs w:val="20"/>
                <w:color w:val="auto"/>
              </w:rPr>
            </w:pPr>
            <w:r>
              <w:rPr>
                <w:rFonts w:ascii="Arial" w:cs="Arial" w:eastAsia="Arial" w:hAnsi="Arial"/>
                <w:sz w:val="18"/>
                <w:szCs w:val="18"/>
                <w:color w:val="auto"/>
              </w:rPr>
              <w:t>2,872,212</w:t>
            </w:r>
          </w:p>
        </w:tc>
        <w:tc>
          <w:tcPr>
            <w:tcW w:w="76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13.11</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22,854</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8.87</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November 27, 2034</w:t>
            </w:r>
          </w:p>
        </w:tc>
        <w:tc>
          <w:tcPr>
            <w:tcW w:w="1180" w:type="dxa"/>
            <w:vAlign w:val="bottom"/>
          </w:tcPr>
          <w:p>
            <w:pPr>
              <w:spacing w:after="0"/>
              <w:rPr>
                <w:sz w:val="19"/>
                <w:szCs w:val="19"/>
                <w:color w:val="auto"/>
              </w:rPr>
            </w:pPr>
          </w:p>
        </w:tc>
        <w:tc>
          <w:tcPr>
            <w:tcW w:w="1860" w:type="dxa"/>
            <w:vAlign w:val="bottom"/>
            <w:gridSpan w:val="2"/>
          </w:tcPr>
          <w:p>
            <w:pPr>
              <w:jc w:val="right"/>
              <w:ind w:right="350"/>
              <w:spacing w:after="0"/>
              <w:rPr>
                <w:sz w:val="20"/>
                <w:szCs w:val="20"/>
                <w:color w:val="auto"/>
              </w:rPr>
            </w:pPr>
            <w:r>
              <w:rPr>
                <w:rFonts w:ascii="Arial" w:cs="Arial" w:eastAsia="Arial" w:hAnsi="Arial"/>
                <w:sz w:val="18"/>
                <w:szCs w:val="18"/>
                <w:color w:val="auto"/>
              </w:rPr>
              <w:t>80,100</w:t>
            </w:r>
          </w:p>
        </w:tc>
        <w:tc>
          <w:tcPr>
            <w:tcW w:w="1060" w:type="dxa"/>
            <w:vAlign w:val="bottom"/>
          </w:tcPr>
          <w:p>
            <w:pPr>
              <w:jc w:val="right"/>
              <w:spacing w:after="0"/>
              <w:rPr>
                <w:sz w:val="20"/>
                <w:szCs w:val="20"/>
                <w:color w:val="auto"/>
              </w:rPr>
            </w:pPr>
            <w:r>
              <w:rPr>
                <w:rFonts w:ascii="Arial" w:cs="Arial" w:eastAsia="Arial" w:hAnsi="Arial"/>
                <w:sz w:val="18"/>
                <w:szCs w:val="18"/>
                <w:color w:val="auto"/>
              </w:rPr>
              <w:t>42,133</w:t>
            </w:r>
          </w:p>
        </w:tc>
        <w:tc>
          <w:tcPr>
            <w:tcW w:w="76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14.37</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544</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9.16</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March 7, 2035</w:t>
            </w:r>
          </w:p>
        </w:tc>
        <w:tc>
          <w:tcPr>
            <w:tcW w:w="1180" w:type="dxa"/>
            <w:vAlign w:val="bottom"/>
          </w:tcPr>
          <w:p>
            <w:pPr>
              <w:spacing w:after="0"/>
              <w:rPr>
                <w:sz w:val="19"/>
                <w:szCs w:val="19"/>
                <w:color w:val="auto"/>
              </w:rPr>
            </w:pPr>
          </w:p>
        </w:tc>
        <w:tc>
          <w:tcPr>
            <w:tcW w:w="1860" w:type="dxa"/>
            <w:vAlign w:val="bottom"/>
            <w:gridSpan w:val="2"/>
          </w:tcPr>
          <w:p>
            <w:pPr>
              <w:jc w:val="right"/>
              <w:ind w:right="350"/>
              <w:spacing w:after="0"/>
              <w:rPr>
                <w:sz w:val="20"/>
                <w:szCs w:val="20"/>
                <w:color w:val="auto"/>
              </w:rPr>
            </w:pPr>
            <w:r>
              <w:rPr>
                <w:rFonts w:ascii="Arial" w:cs="Arial" w:eastAsia="Arial" w:hAnsi="Arial"/>
                <w:sz w:val="18"/>
                <w:szCs w:val="18"/>
                <w:color w:val="auto"/>
              </w:rPr>
              <w:t>35,000</w:t>
            </w:r>
          </w:p>
        </w:tc>
        <w:tc>
          <w:tcPr>
            <w:tcW w:w="1060" w:type="dxa"/>
            <w:vAlign w:val="bottom"/>
          </w:tcPr>
          <w:p>
            <w:pPr>
              <w:jc w:val="right"/>
              <w:spacing w:after="0"/>
              <w:rPr>
                <w:sz w:val="20"/>
                <w:szCs w:val="20"/>
                <w:color w:val="auto"/>
              </w:rPr>
            </w:pPr>
            <w:r>
              <w:rPr>
                <w:rFonts w:ascii="Arial" w:cs="Arial" w:eastAsia="Arial" w:hAnsi="Arial"/>
                <w:sz w:val="18"/>
                <w:szCs w:val="18"/>
                <w:color w:val="auto"/>
              </w:rPr>
              <w:t>26,250</w:t>
            </w:r>
          </w:p>
        </w:tc>
        <w:tc>
          <w:tcPr>
            <w:tcW w:w="76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10.45</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197</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9.43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August 15, 2035</w:t>
            </w:r>
          </w:p>
        </w:tc>
        <w:tc>
          <w:tcPr>
            <w:tcW w:w="1180" w:type="dxa"/>
            <w:vAlign w:val="bottom"/>
          </w:tcPr>
          <w:p>
            <w:pPr>
              <w:spacing w:after="0"/>
              <w:rPr>
                <w:sz w:val="19"/>
                <w:szCs w:val="19"/>
                <w:color w:val="auto"/>
              </w:rPr>
            </w:pPr>
          </w:p>
        </w:tc>
        <w:tc>
          <w:tcPr>
            <w:tcW w:w="1860" w:type="dxa"/>
            <w:vAlign w:val="bottom"/>
            <w:gridSpan w:val="2"/>
          </w:tcPr>
          <w:p>
            <w:pPr>
              <w:jc w:val="right"/>
              <w:ind w:right="350"/>
              <w:spacing w:after="0"/>
              <w:rPr>
                <w:sz w:val="20"/>
                <w:szCs w:val="20"/>
                <w:color w:val="auto"/>
              </w:rPr>
            </w:pPr>
            <w:r>
              <w:rPr>
                <w:rFonts w:ascii="Arial" w:cs="Arial" w:eastAsia="Arial" w:hAnsi="Arial"/>
                <w:sz w:val="18"/>
                <w:szCs w:val="18"/>
                <w:color w:val="auto"/>
              </w:rPr>
              <w:t>53,800</w:t>
            </w:r>
          </w:p>
        </w:tc>
        <w:tc>
          <w:tcPr>
            <w:tcW w:w="1060" w:type="dxa"/>
            <w:vAlign w:val="bottom"/>
          </w:tcPr>
          <w:p>
            <w:pPr>
              <w:jc w:val="right"/>
              <w:spacing w:after="0"/>
              <w:rPr>
                <w:sz w:val="20"/>
                <w:szCs w:val="20"/>
                <w:color w:val="auto"/>
              </w:rPr>
            </w:pPr>
            <w:r>
              <w:rPr>
                <w:rFonts w:ascii="Arial" w:cs="Arial" w:eastAsia="Arial" w:hAnsi="Arial"/>
                <w:sz w:val="18"/>
                <w:szCs w:val="18"/>
                <w:color w:val="auto"/>
              </w:rPr>
              <w:t>6,723</w:t>
            </w:r>
          </w:p>
        </w:tc>
        <w:tc>
          <w:tcPr>
            <w:tcW w:w="76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10.00</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81</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9.87</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August 15, 2035</w:t>
            </w:r>
          </w:p>
        </w:tc>
        <w:tc>
          <w:tcPr>
            <w:tcW w:w="1180" w:type="dxa"/>
            <w:vAlign w:val="bottom"/>
          </w:tcPr>
          <w:p>
            <w:pPr>
              <w:spacing w:after="0"/>
              <w:rPr>
                <w:sz w:val="19"/>
                <w:szCs w:val="19"/>
                <w:color w:val="auto"/>
              </w:rPr>
            </w:pPr>
          </w:p>
        </w:tc>
        <w:tc>
          <w:tcPr>
            <w:tcW w:w="1860" w:type="dxa"/>
            <w:vAlign w:val="bottom"/>
            <w:gridSpan w:val="2"/>
          </w:tcPr>
          <w:p>
            <w:pPr>
              <w:jc w:val="right"/>
              <w:ind w:right="350"/>
              <w:spacing w:after="0"/>
              <w:rPr>
                <w:sz w:val="20"/>
                <w:szCs w:val="20"/>
                <w:color w:val="auto"/>
              </w:rPr>
            </w:pPr>
            <w:r>
              <w:rPr>
                <w:rFonts w:ascii="Arial" w:cs="Arial" w:eastAsia="Arial" w:hAnsi="Arial"/>
                <w:sz w:val="18"/>
                <w:szCs w:val="18"/>
                <w:color w:val="auto"/>
              </w:rPr>
              <w:t>80,000</w:t>
            </w:r>
          </w:p>
        </w:tc>
        <w:tc>
          <w:tcPr>
            <w:tcW w:w="1060" w:type="dxa"/>
            <w:vAlign w:val="bottom"/>
          </w:tcPr>
          <w:p>
            <w:pPr>
              <w:jc w:val="right"/>
              <w:spacing w:after="0"/>
              <w:rPr>
                <w:sz w:val="20"/>
                <w:szCs w:val="20"/>
                <w:color w:val="auto"/>
              </w:rPr>
            </w:pPr>
            <w:r>
              <w:rPr>
                <w:rFonts w:ascii="Arial" w:cs="Arial" w:eastAsia="Arial" w:hAnsi="Arial"/>
                <w:sz w:val="18"/>
                <w:szCs w:val="18"/>
                <w:color w:val="auto"/>
              </w:rPr>
              <w:t>10,000</w:t>
            </w:r>
          </w:p>
        </w:tc>
        <w:tc>
          <w:tcPr>
            <w:tcW w:w="76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11.00</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120</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9.87</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August 29, 2035</w:t>
            </w:r>
          </w:p>
        </w:tc>
        <w:tc>
          <w:tcPr>
            <w:tcW w:w="1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15,000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w:t>
            </w:r>
          </w:p>
        </w:tc>
        <w:tc>
          <w:tcPr>
            <w:tcW w:w="7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11.00</w:t>
            </w:r>
          </w:p>
        </w:tc>
        <w:tc>
          <w:tcPr>
            <w:tcW w:w="5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w:t>
            </w:r>
          </w:p>
        </w:tc>
        <w:tc>
          <w:tcPr>
            <w:tcW w:w="4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9.91</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3,987,610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3,759,044</w:t>
            </w:r>
          </w:p>
        </w:tc>
        <w:tc>
          <w:tcPr>
            <w:tcW w:w="7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33,198</w:t>
            </w:r>
          </w:p>
        </w:tc>
        <w:tc>
          <w:tcPr>
            <w:tcW w:w="4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7.52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Page 18 of 26</w:t>
      </w:r>
    </w:p>
    <w:p>
      <w:pPr>
        <w:sectPr>
          <w:pgSz w:w="11900" w:h="16838" w:orient="portrait"/>
          <w:cols w:equalWidth="0" w:num="1">
            <w:col w:w="11160"/>
          </w:cols>
          <w:pgMar w:left="400" w:top="233" w:right="339" w:bottom="1440" w:gutter="0" w:footer="0" w:header="0"/>
        </w:sectPr>
      </w:pPr>
    </w:p>
    <w:bookmarkStart w:id="21" w:name="page22"/>
    <w:bookmarkEnd w:id="21"/>
    <w:p>
      <w:pPr>
        <w:ind w:left="80"/>
        <w:spacing w:after="0"/>
        <w:rPr>
          <w:sz w:val="20"/>
          <w:szCs w:val="20"/>
          <w:color w:val="auto"/>
        </w:rPr>
      </w:pPr>
      <w:r>
        <w:rPr>
          <w:rFonts w:ascii="Arial" w:cs="Arial" w:eastAsia="Arial" w:hAnsi="Arial"/>
          <w:sz w:val="22"/>
          <w:szCs w:val="22"/>
          <w:b w:val="1"/>
          <w:bCs w:val="1"/>
          <w:color w:val="auto"/>
        </w:rPr>
        <w:t>CYBIN INC.</w:t>
      </w:r>
    </w:p>
    <w:p>
      <w:pPr>
        <w:spacing w:after="0" w:line="26" w:lineRule="exact"/>
        <w:rPr>
          <w:sz w:val="20"/>
          <w:szCs w:val="20"/>
          <w:color w:val="auto"/>
        </w:rPr>
      </w:pPr>
    </w:p>
    <w:p>
      <w:pPr>
        <w:ind w:left="80"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September 30, 2025</w:t>
      </w:r>
    </w:p>
    <w:p>
      <w:pPr>
        <w:spacing w:after="0" w:line="1" w:lineRule="exact"/>
        <w:rPr>
          <w:sz w:val="20"/>
          <w:szCs w:val="20"/>
          <w:color w:val="auto"/>
        </w:rPr>
      </w:pPr>
    </w:p>
    <w:p>
      <w:pPr>
        <w:ind w:left="80"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The Company recognized share-based payments expense related to the issuance of stock options for the three and six months ended September 30, 2025 of $377 and $1,130 (2024 - $24,530 and $27,434), respectively.</w:t>
      </w:r>
    </w:p>
    <w:p>
      <w:pPr>
        <w:spacing w:after="0" w:line="126" w:lineRule="exact"/>
        <w:rPr>
          <w:sz w:val="20"/>
          <w:szCs w:val="20"/>
          <w:color w:val="auto"/>
        </w:rPr>
      </w:pPr>
    </w:p>
    <w:p>
      <w:pPr>
        <w:jc w:val="both"/>
        <w:ind w:left="340" w:right="20"/>
        <w:spacing w:after="0" w:line="334" w:lineRule="auto"/>
        <w:rPr>
          <w:sz w:val="20"/>
          <w:szCs w:val="20"/>
          <w:color w:val="auto"/>
        </w:rPr>
      </w:pPr>
      <w:r>
        <w:rPr>
          <w:rFonts w:ascii="Arial" w:cs="Arial" w:eastAsia="Arial" w:hAnsi="Arial"/>
          <w:sz w:val="18"/>
          <w:szCs w:val="18"/>
          <w:color w:val="auto"/>
        </w:rPr>
        <w:t>The outstanding options and warrants disclosed above were anti-dilutive for the three and six months ended September 30, 2025 and 2024 and did not impact the calculation of the loss per share.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2D5F91"/>
        </w:rPr>
        <w:t>8. RELATED PARTY TRANSACTIONS AND BALANCES</w:t>
      </w:r>
    </w:p>
    <w:p>
      <w:pPr>
        <w:spacing w:after="0" w:line="225" w:lineRule="exact"/>
        <w:rPr>
          <w:sz w:val="20"/>
          <w:szCs w:val="20"/>
          <w:color w:val="auto"/>
        </w:rPr>
      </w:pPr>
    </w:p>
    <w:p>
      <w:pPr>
        <w:jc w:val="both"/>
        <w:ind w:left="340"/>
        <w:spacing w:after="0" w:line="308" w:lineRule="auto"/>
        <w:rPr>
          <w:sz w:val="20"/>
          <w:szCs w:val="20"/>
          <w:color w:val="auto"/>
        </w:rPr>
      </w:pPr>
      <w:r>
        <w:rPr>
          <w:rFonts w:ascii="Arial" w:cs="Arial" w:eastAsia="Arial" w:hAnsi="Arial"/>
          <w:sz w:val="18"/>
          <w:szCs w:val="18"/>
          <w:color w:val="auto"/>
        </w:rPr>
        <w:t>Key management personnel include persons having the authority and responsibility for planning, directing, and controlling the activities of the Company as a whole. The Company has determined its key management personnel to be certain executive officers and directors of the Company.</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remuneration of key management personnel for the three and six months ended September 30, 2025 and 2024 are as follows:</w:t>
      </w:r>
    </w:p>
    <w:p>
      <w:pPr>
        <w:spacing w:after="0" w:line="226"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3740" w:type="dxa"/>
            <w:vAlign w:val="bottom"/>
            <w:gridSpan w:val="2"/>
          </w:tcPr>
          <w:p>
            <w:pPr>
              <w:jc w:val="right"/>
              <w:ind w:right="890"/>
              <w:spacing w:after="0"/>
              <w:rPr>
                <w:sz w:val="20"/>
                <w:szCs w:val="20"/>
                <w:color w:val="auto"/>
              </w:rPr>
            </w:pPr>
            <w:r>
              <w:rPr>
                <w:rFonts w:ascii="Arial" w:cs="Arial" w:eastAsia="Arial" w:hAnsi="Arial"/>
                <w:sz w:val="18"/>
                <w:szCs w:val="18"/>
                <w:b w:val="1"/>
                <w:bCs w:val="1"/>
                <w:color w:val="auto"/>
              </w:rPr>
              <w:t>Three month period ended</w:t>
            </w:r>
          </w:p>
        </w:tc>
        <w:tc>
          <w:tcPr>
            <w:tcW w:w="2660" w:type="dxa"/>
            <w:vAlign w:val="bottom"/>
          </w:tcPr>
          <w:p>
            <w:pPr>
              <w:jc w:val="right"/>
              <w:spacing w:after="0"/>
              <w:rPr>
                <w:sz w:val="20"/>
                <w:szCs w:val="20"/>
                <w:color w:val="auto"/>
              </w:rPr>
            </w:pPr>
            <w:r>
              <w:rPr>
                <w:rFonts w:ascii="Arial" w:cs="Arial" w:eastAsia="Arial" w:hAnsi="Arial"/>
                <w:sz w:val="18"/>
                <w:szCs w:val="18"/>
                <w:b w:val="1"/>
                <w:bCs w:val="1"/>
                <w:color w:val="auto"/>
              </w:rPr>
              <w:t>Six month period ended</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3120" w:type="dxa"/>
            <w:vAlign w:val="bottom"/>
          </w:tcPr>
          <w:p>
            <w:pPr>
              <w:spacing w:after="0"/>
              <w:rPr>
                <w:sz w:val="21"/>
                <w:szCs w:val="21"/>
                <w:color w:val="auto"/>
              </w:rPr>
            </w:pPr>
          </w:p>
        </w:tc>
        <w:tc>
          <w:tcPr>
            <w:tcW w:w="3740" w:type="dxa"/>
            <w:vAlign w:val="bottom"/>
            <w:gridSpan w:val="2"/>
          </w:tcPr>
          <w:p>
            <w:pPr>
              <w:jc w:val="right"/>
              <w:ind w:right="1390"/>
              <w:spacing w:after="0"/>
              <w:rPr>
                <w:sz w:val="20"/>
                <w:szCs w:val="20"/>
                <w:color w:val="auto"/>
              </w:rPr>
            </w:pPr>
            <w:r>
              <w:rPr>
                <w:rFonts w:ascii="Arial" w:cs="Arial" w:eastAsia="Arial" w:hAnsi="Arial"/>
                <w:sz w:val="18"/>
                <w:szCs w:val="18"/>
                <w:b w:val="1"/>
                <w:bCs w:val="1"/>
                <w:color w:val="auto"/>
              </w:rPr>
              <w:t>September 30,</w:t>
            </w:r>
          </w:p>
        </w:tc>
        <w:tc>
          <w:tcPr>
            <w:tcW w:w="2660" w:type="dxa"/>
            <w:vAlign w:val="bottom"/>
          </w:tcPr>
          <w:p>
            <w:pPr>
              <w:jc w:val="right"/>
              <w:ind w:right="350"/>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3120" w:type="dxa"/>
            <w:vAlign w:val="bottom"/>
          </w:tcPr>
          <w:p>
            <w:pPr>
              <w:spacing w:after="0"/>
              <w:rPr>
                <w:sz w:val="24"/>
                <w:szCs w:val="24"/>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2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2660" w:type="dxa"/>
            <w:vAlign w:val="bottom"/>
          </w:tcPr>
          <w:p>
            <w:pPr>
              <w:jc w:val="right"/>
              <w:ind w:right="1010"/>
              <w:spacing w:after="0"/>
              <w:rPr>
                <w:sz w:val="20"/>
                <w:szCs w:val="20"/>
                <w:color w:val="auto"/>
              </w:rPr>
            </w:pPr>
            <w:r>
              <w:rPr>
                <w:rFonts w:ascii="Arial" w:cs="Arial" w:eastAsia="Arial" w:hAnsi="Arial"/>
                <w:sz w:val="18"/>
                <w:szCs w:val="18"/>
                <w:b w:val="1"/>
                <w:bCs w:val="1"/>
                <w:color w:val="auto"/>
              </w:rPr>
              <w:t>2025</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18"/>
        </w:trPr>
        <w:tc>
          <w:tcPr>
            <w:tcW w:w="3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40" w:type="dxa"/>
            <w:vAlign w:val="bottom"/>
          </w:tcPr>
          <w:p>
            <w:pPr>
              <w:jc w:val="right"/>
              <w:ind w:right="470"/>
              <w:spacing w:after="0"/>
              <w:rPr>
                <w:sz w:val="20"/>
                <w:szCs w:val="20"/>
                <w:color w:val="auto"/>
              </w:rPr>
            </w:pPr>
            <w:r>
              <w:rPr>
                <w:rFonts w:ascii="Arial" w:cs="Arial" w:eastAsia="Arial" w:hAnsi="Arial"/>
                <w:sz w:val="18"/>
                <w:szCs w:val="18"/>
                <w:i w:val="1"/>
                <w:iCs w:val="1"/>
                <w:color w:val="auto"/>
              </w:rPr>
              <w:t>Restated - Note 2</w:t>
            </w:r>
          </w:p>
        </w:tc>
        <w:tc>
          <w:tcPr>
            <w:tcW w:w="26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Restated -</w:t>
            </w:r>
          </w:p>
        </w:tc>
        <w:tc>
          <w:tcPr>
            <w:tcW w:w="0" w:type="dxa"/>
            <w:vAlign w:val="bottom"/>
          </w:tcPr>
          <w:p>
            <w:pPr>
              <w:spacing w:after="0"/>
              <w:rPr>
                <w:sz w:val="1"/>
                <w:szCs w:val="1"/>
                <w:color w:val="auto"/>
              </w:rPr>
            </w:pPr>
          </w:p>
        </w:tc>
      </w:tr>
      <w:tr>
        <w:trPr>
          <w:trHeight w:val="237"/>
        </w:trPr>
        <w:tc>
          <w:tcPr>
            <w:tcW w:w="3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Note 2</w:t>
            </w:r>
          </w:p>
        </w:tc>
        <w:tc>
          <w:tcPr>
            <w:tcW w:w="0" w:type="dxa"/>
            <w:vAlign w:val="bottom"/>
          </w:tcPr>
          <w:p>
            <w:pPr>
              <w:spacing w:after="0"/>
              <w:rPr>
                <w:sz w:val="1"/>
                <w:szCs w:val="1"/>
                <w:color w:val="auto"/>
              </w:rPr>
            </w:pPr>
          </w:p>
        </w:tc>
      </w:tr>
      <w:tr>
        <w:trPr>
          <w:trHeight w:val="248"/>
        </w:trPr>
        <w:tc>
          <w:tcPr>
            <w:tcW w:w="3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4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w:t>
            </w:r>
          </w:p>
        </w:tc>
        <w:tc>
          <w:tcPr>
            <w:tcW w:w="2660" w:type="dxa"/>
            <w:vAlign w:val="bottom"/>
          </w:tcPr>
          <w:p>
            <w:pPr>
              <w:jc w:val="right"/>
              <w:ind w:right="970"/>
              <w:spacing w:after="0"/>
              <w:rPr>
                <w:sz w:val="20"/>
                <w:szCs w:val="20"/>
                <w:color w:val="auto"/>
              </w:rPr>
            </w:pPr>
            <w:r>
              <w:rPr>
                <w:rFonts w:ascii="Arial" w:cs="Arial" w:eastAsia="Arial" w:hAnsi="Arial"/>
                <w:sz w:val="18"/>
                <w:szCs w:val="18"/>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8"/>
        </w:trPr>
        <w:tc>
          <w:tcPr>
            <w:tcW w:w="31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26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31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3120" w:type="dxa"/>
            <w:vAlign w:val="bottom"/>
          </w:tcPr>
          <w:p>
            <w:pPr>
              <w:ind w:left="60"/>
              <w:spacing w:after="0"/>
              <w:rPr>
                <w:sz w:val="20"/>
                <w:szCs w:val="20"/>
                <w:color w:val="auto"/>
              </w:rPr>
            </w:pPr>
            <w:r>
              <w:rPr>
                <w:rFonts w:ascii="Arial" w:cs="Arial" w:eastAsia="Arial" w:hAnsi="Arial"/>
                <w:sz w:val="18"/>
                <w:szCs w:val="18"/>
                <w:color w:val="auto"/>
              </w:rPr>
              <w:t>Payroll, consulting and benefits</w:t>
            </w:r>
            <w:r>
              <w:rPr>
                <w:rFonts w:ascii="Arial" w:cs="Arial" w:eastAsia="Arial" w:hAnsi="Arial"/>
                <w:sz w:val="23"/>
                <w:szCs w:val="23"/>
                <w:color w:val="auto"/>
                <w:vertAlign w:val="superscript"/>
              </w:rPr>
              <w:t>1</w:t>
            </w:r>
          </w:p>
        </w:tc>
        <w:tc>
          <w:tcPr>
            <w:tcW w:w="1700" w:type="dxa"/>
            <w:vAlign w:val="bottom"/>
          </w:tcPr>
          <w:p>
            <w:pPr>
              <w:jc w:val="right"/>
              <w:ind w:right="30"/>
              <w:spacing w:after="0"/>
              <w:rPr>
                <w:sz w:val="20"/>
                <w:szCs w:val="20"/>
                <w:color w:val="auto"/>
              </w:rPr>
            </w:pPr>
            <w:r>
              <w:rPr>
                <w:rFonts w:ascii="Arial" w:cs="Arial" w:eastAsia="Arial" w:hAnsi="Arial"/>
                <w:sz w:val="18"/>
                <w:szCs w:val="18"/>
                <w:b w:val="1"/>
                <w:bCs w:val="1"/>
                <w:color w:val="auto"/>
              </w:rPr>
              <w:t>2,286</w:t>
            </w:r>
          </w:p>
        </w:tc>
        <w:tc>
          <w:tcPr>
            <w:tcW w:w="2040" w:type="dxa"/>
            <w:vAlign w:val="bottom"/>
          </w:tcPr>
          <w:p>
            <w:pPr>
              <w:jc w:val="right"/>
              <w:ind w:right="490"/>
              <w:spacing w:after="0"/>
              <w:rPr>
                <w:sz w:val="20"/>
                <w:szCs w:val="20"/>
                <w:color w:val="auto"/>
              </w:rPr>
            </w:pPr>
            <w:r>
              <w:rPr>
                <w:rFonts w:ascii="Arial" w:cs="Arial" w:eastAsia="Arial" w:hAnsi="Arial"/>
                <w:sz w:val="18"/>
                <w:szCs w:val="18"/>
                <w:color w:val="auto"/>
              </w:rPr>
              <w:t>1,056</w:t>
            </w:r>
          </w:p>
        </w:tc>
        <w:tc>
          <w:tcPr>
            <w:tcW w:w="2660" w:type="dxa"/>
            <w:vAlign w:val="bottom"/>
          </w:tcPr>
          <w:p>
            <w:pPr>
              <w:jc w:val="right"/>
              <w:ind w:right="1030"/>
              <w:spacing w:after="0"/>
              <w:rPr>
                <w:sz w:val="20"/>
                <w:szCs w:val="20"/>
                <w:color w:val="auto"/>
              </w:rPr>
            </w:pPr>
            <w:r>
              <w:rPr>
                <w:rFonts w:ascii="Arial" w:cs="Arial" w:eastAsia="Arial" w:hAnsi="Arial"/>
                <w:sz w:val="18"/>
                <w:szCs w:val="18"/>
                <w:b w:val="1"/>
                <w:bCs w:val="1"/>
                <w:color w:val="auto"/>
              </w:rPr>
              <w:t>3,258</w:t>
            </w:r>
          </w:p>
        </w:tc>
        <w:tc>
          <w:tcPr>
            <w:tcW w:w="940" w:type="dxa"/>
            <w:vAlign w:val="bottom"/>
          </w:tcPr>
          <w:p>
            <w:pPr>
              <w:jc w:val="right"/>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29"/>
        </w:trPr>
        <w:tc>
          <w:tcPr>
            <w:tcW w:w="3120" w:type="dxa"/>
            <w:vAlign w:val="bottom"/>
          </w:tcPr>
          <w:p>
            <w:pPr>
              <w:ind w:left="60"/>
              <w:spacing w:after="0"/>
              <w:rPr>
                <w:sz w:val="20"/>
                <w:szCs w:val="20"/>
                <w:color w:val="auto"/>
              </w:rPr>
            </w:pPr>
            <w:r>
              <w:rPr>
                <w:rFonts w:ascii="Arial" w:cs="Arial" w:eastAsia="Arial" w:hAnsi="Arial"/>
                <w:sz w:val="18"/>
                <w:szCs w:val="18"/>
                <w:color w:val="auto"/>
              </w:rPr>
              <w:t>Share-based compensation</w:t>
            </w:r>
          </w:p>
        </w:tc>
        <w:tc>
          <w:tcPr>
            <w:tcW w:w="17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80"/>
              <w:spacing w:after="0"/>
              <w:rPr>
                <w:sz w:val="20"/>
                <w:szCs w:val="20"/>
                <w:color w:val="auto"/>
              </w:rPr>
            </w:pPr>
            <w:r>
              <w:rPr>
                <w:rFonts w:ascii="Arial" w:cs="Arial" w:eastAsia="Arial" w:hAnsi="Arial"/>
                <w:sz w:val="18"/>
                <w:szCs w:val="18"/>
                <w:color w:val="auto"/>
              </w:rPr>
              <w:t>Options</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2040" w:type="dxa"/>
            <w:vAlign w:val="bottom"/>
          </w:tcPr>
          <w:p>
            <w:pPr>
              <w:jc w:val="right"/>
              <w:ind w:right="490"/>
              <w:spacing w:after="0"/>
              <w:rPr>
                <w:sz w:val="20"/>
                <w:szCs w:val="20"/>
                <w:color w:val="auto"/>
              </w:rPr>
            </w:pPr>
            <w:r>
              <w:rPr>
                <w:rFonts w:ascii="Arial" w:cs="Arial" w:eastAsia="Arial" w:hAnsi="Arial"/>
                <w:sz w:val="18"/>
                <w:szCs w:val="18"/>
                <w:color w:val="auto"/>
              </w:rPr>
              <w:t>15,194</w:t>
            </w:r>
          </w:p>
        </w:tc>
        <w:tc>
          <w:tcPr>
            <w:tcW w:w="2660" w:type="dxa"/>
            <w:vAlign w:val="bottom"/>
          </w:tcPr>
          <w:p>
            <w:pPr>
              <w:jc w:val="right"/>
              <w:ind w:right="1030"/>
              <w:spacing w:after="0"/>
              <w:rPr>
                <w:sz w:val="20"/>
                <w:szCs w:val="20"/>
                <w:color w:val="auto"/>
              </w:rPr>
            </w:pPr>
            <w:r>
              <w:rPr>
                <w:rFonts w:ascii="Arial" w:cs="Arial" w:eastAsia="Arial" w:hAnsi="Arial"/>
                <w:sz w:val="18"/>
                <w:szCs w:val="18"/>
                <w:b w:val="1"/>
                <w:bCs w:val="1"/>
                <w:color w:val="auto"/>
              </w:rPr>
              <w:t>189</w:t>
            </w:r>
          </w:p>
        </w:tc>
        <w:tc>
          <w:tcPr>
            <w:tcW w:w="940" w:type="dxa"/>
            <w:vAlign w:val="bottom"/>
          </w:tcPr>
          <w:p>
            <w:pPr>
              <w:jc w:val="right"/>
              <w:spacing w:after="0"/>
              <w:rPr>
                <w:sz w:val="20"/>
                <w:szCs w:val="20"/>
                <w:color w:val="auto"/>
              </w:rPr>
            </w:pPr>
            <w:r>
              <w:rPr>
                <w:rFonts w:ascii="Arial" w:cs="Arial" w:eastAsia="Arial" w:hAnsi="Arial"/>
                <w:sz w:val="18"/>
                <w:szCs w:val="18"/>
                <w:color w:val="auto"/>
              </w:rPr>
              <w:t>15,863</w:t>
            </w:r>
          </w:p>
        </w:tc>
        <w:tc>
          <w:tcPr>
            <w:tcW w:w="0" w:type="dxa"/>
            <w:vAlign w:val="bottom"/>
          </w:tcPr>
          <w:p>
            <w:pPr>
              <w:spacing w:after="0"/>
              <w:rPr>
                <w:sz w:val="1"/>
                <w:szCs w:val="1"/>
                <w:color w:val="auto"/>
              </w:rPr>
            </w:pPr>
          </w:p>
        </w:tc>
      </w:tr>
      <w:tr>
        <w:trPr>
          <w:trHeight w:val="235"/>
        </w:trPr>
        <w:tc>
          <w:tcPr>
            <w:tcW w:w="31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Warrants</w:t>
            </w: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2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908</w:t>
            </w:r>
          </w:p>
        </w:tc>
        <w:tc>
          <w:tcPr>
            <w:tcW w:w="266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23"/>
        </w:trPr>
        <w:tc>
          <w:tcPr>
            <w:tcW w:w="31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2,218</w:t>
            </w:r>
          </w:p>
        </w:tc>
        <w:tc>
          <w:tcPr>
            <w:tcW w:w="2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17,158</w:t>
            </w:r>
          </w:p>
        </w:tc>
        <w:tc>
          <w:tcPr>
            <w:tcW w:w="266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rPr>
              <w:t>3,447</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19,807</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40" w:hanging="8"/>
        <w:spacing w:after="0" w:line="278" w:lineRule="auto"/>
        <w:tabs>
          <w:tab w:leader="none" w:pos="455" w:val="left"/>
        </w:tabs>
        <w:numPr>
          <w:ilvl w:val="1"/>
          <w:numId w:val="12"/>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 xml:space="preserve">For the three months ended on </w:t>
      </w:r>
      <w:r>
        <w:rPr>
          <w:rFonts w:ascii="Arial" w:cs="Arial" w:eastAsia="Arial" w:hAnsi="Arial"/>
          <w:sz w:val="16"/>
          <w:szCs w:val="16"/>
          <w:color w:val="auto"/>
        </w:rPr>
        <w:t>September 30, 2025</w:t>
      </w:r>
      <w:r>
        <w:rPr>
          <w:rFonts w:ascii="Arial" w:cs="Arial" w:eastAsia="Arial" w:hAnsi="Arial"/>
          <w:sz w:val="16"/>
          <w:szCs w:val="16"/>
          <w:i w:val="1"/>
          <w:iCs w:val="1"/>
          <w:color w:val="auto"/>
        </w:rPr>
        <w:t>, includes $2,139 presented in the condensed interim consolidated statement of loss and comprehensive loss as a part of “General and administrative costs” and $</w:t>
      </w:r>
      <w:r>
        <w:rPr>
          <w:rFonts w:ascii="Arial" w:cs="Arial" w:eastAsia="Arial" w:hAnsi="Arial"/>
          <w:sz w:val="16"/>
          <w:szCs w:val="16"/>
          <w:color w:val="auto"/>
        </w:rPr>
        <w:t>147</w:t>
      </w:r>
      <w:r>
        <w:rPr>
          <w:rFonts w:ascii="Arial" w:cs="Arial" w:eastAsia="Arial" w:hAnsi="Arial"/>
          <w:sz w:val="16"/>
          <w:szCs w:val="16"/>
          <w:i w:val="1"/>
          <w:iCs w:val="1"/>
          <w:color w:val="auto"/>
        </w:rPr>
        <w:t xml:space="preserve"> presented in the condensed interim consolidated statement of loss and comprehensive loss as a part of “Research”. For the six months ended on </w:t>
      </w:r>
      <w:r>
        <w:rPr>
          <w:rFonts w:ascii="Arial" w:cs="Arial" w:eastAsia="Arial" w:hAnsi="Arial"/>
          <w:sz w:val="16"/>
          <w:szCs w:val="16"/>
          <w:color w:val="auto"/>
        </w:rPr>
        <w:t>September 30, 2025</w:t>
      </w:r>
      <w:r>
        <w:rPr>
          <w:rFonts w:ascii="Arial" w:cs="Arial" w:eastAsia="Arial" w:hAnsi="Arial"/>
          <w:sz w:val="16"/>
          <w:szCs w:val="16"/>
          <w:i w:val="1"/>
          <w:iCs w:val="1"/>
          <w:color w:val="auto"/>
        </w:rPr>
        <w:t>, includes $</w:t>
      </w:r>
      <w:r>
        <w:rPr>
          <w:rFonts w:ascii="Arial" w:cs="Arial" w:eastAsia="Arial" w:hAnsi="Arial"/>
          <w:sz w:val="16"/>
          <w:szCs w:val="16"/>
          <w:color w:val="auto"/>
        </w:rPr>
        <w:t>3,028</w:t>
      </w:r>
      <w:r>
        <w:rPr>
          <w:rFonts w:ascii="Arial" w:cs="Arial" w:eastAsia="Arial" w:hAnsi="Arial"/>
          <w:sz w:val="16"/>
          <w:szCs w:val="16"/>
          <w:i w:val="1"/>
          <w:iCs w:val="1"/>
          <w:color w:val="auto"/>
        </w:rPr>
        <w:t xml:space="preserve"> presented in the condensed interim consolidated statement of loss and comprehensive loss as a part of “General and administrative costs” and $</w:t>
      </w:r>
      <w:r>
        <w:rPr>
          <w:rFonts w:ascii="Arial" w:cs="Arial" w:eastAsia="Arial" w:hAnsi="Arial"/>
          <w:sz w:val="16"/>
          <w:szCs w:val="16"/>
          <w:color w:val="auto"/>
        </w:rPr>
        <w:t>230</w:t>
      </w:r>
      <w:r>
        <w:rPr>
          <w:rFonts w:ascii="Arial" w:cs="Arial" w:eastAsia="Arial" w:hAnsi="Arial"/>
          <w:sz w:val="16"/>
          <w:szCs w:val="16"/>
          <w:i w:val="1"/>
          <w:iCs w:val="1"/>
          <w:color w:val="auto"/>
        </w:rPr>
        <w:t xml:space="preserve"> presented in the condensed interim consolidated statement of loss and comprehensive loss as a part of “Research”.</w:t>
      </w:r>
    </w:p>
    <w:p>
      <w:pPr>
        <w:spacing w:after="0" w:line="64" w:lineRule="exact"/>
        <w:rPr>
          <w:rFonts w:ascii="Arial" w:cs="Arial" w:eastAsia="Arial" w:hAnsi="Arial"/>
          <w:sz w:val="21"/>
          <w:szCs w:val="21"/>
          <w:i w:val="1"/>
          <w:iCs w:val="1"/>
          <w:color w:val="auto"/>
          <w:vertAlign w:val="superscript"/>
        </w:rPr>
      </w:pPr>
    </w:p>
    <w:p>
      <w:pPr>
        <w:ind w:left="200" w:hanging="192"/>
        <w:spacing w:after="0"/>
        <w:tabs>
          <w:tab w:leader="none" w:pos="200" w:val="left"/>
        </w:tabs>
        <w:numPr>
          <w:ilvl w:val="0"/>
          <w:numId w:val="12"/>
        </w:numPr>
        <w:rPr>
          <w:rFonts w:ascii="Arial" w:cs="Arial" w:eastAsia="Arial" w:hAnsi="Arial"/>
          <w:sz w:val="18"/>
          <w:szCs w:val="18"/>
          <w:b w:val="1"/>
          <w:bCs w:val="1"/>
          <w:color w:val="2D5F91"/>
        </w:rPr>
      </w:pPr>
      <w:r>
        <w:rPr>
          <w:rFonts w:ascii="Arial" w:cs="Arial" w:eastAsia="Arial" w:hAnsi="Arial"/>
          <w:sz w:val="18"/>
          <w:szCs w:val="18"/>
          <w:b w:val="1"/>
          <w:bCs w:val="1"/>
          <w:color w:val="2D5F91"/>
        </w:rPr>
        <w:t>RESEARCH EXPENSES</w:t>
      </w:r>
    </w:p>
    <w:p>
      <w:pPr>
        <w:spacing w:after="0" w:line="248"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3700" w:type="dxa"/>
            <w:vAlign w:val="bottom"/>
          </w:tcPr>
          <w:p>
            <w:pPr>
              <w:spacing w:after="0"/>
              <w:rPr>
                <w:sz w:val="18"/>
                <w:szCs w:val="18"/>
                <w:color w:val="auto"/>
              </w:rPr>
            </w:pPr>
          </w:p>
        </w:tc>
        <w:tc>
          <w:tcPr>
            <w:tcW w:w="362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Three month period ended</w:t>
            </w:r>
          </w:p>
        </w:tc>
        <w:tc>
          <w:tcPr>
            <w:tcW w:w="2360" w:type="dxa"/>
            <w:vAlign w:val="bottom"/>
          </w:tcPr>
          <w:p>
            <w:pPr>
              <w:jc w:val="right"/>
              <w:ind w:right="10"/>
              <w:spacing w:after="0"/>
              <w:rPr>
                <w:sz w:val="20"/>
                <w:szCs w:val="20"/>
                <w:color w:val="auto"/>
              </w:rPr>
            </w:pPr>
            <w:r>
              <w:rPr>
                <w:rFonts w:ascii="Arial" w:cs="Arial" w:eastAsia="Arial" w:hAnsi="Arial"/>
                <w:sz w:val="18"/>
                <w:szCs w:val="18"/>
                <w:b w:val="1"/>
                <w:bCs w:val="1"/>
                <w:color w:val="auto"/>
              </w:rPr>
              <w:t>Six month period</w:t>
            </w:r>
          </w:p>
        </w:tc>
        <w:tc>
          <w:tcPr>
            <w:tcW w:w="980" w:type="dxa"/>
            <w:vAlign w:val="bottom"/>
          </w:tcPr>
          <w:p>
            <w:pPr>
              <w:spacing w:after="0"/>
              <w:rPr>
                <w:sz w:val="18"/>
                <w:szCs w:val="18"/>
                <w:color w:val="auto"/>
              </w:rPr>
            </w:pPr>
          </w:p>
        </w:tc>
      </w:tr>
      <w:tr>
        <w:trPr>
          <w:trHeight w:val="243"/>
        </w:trPr>
        <w:tc>
          <w:tcPr>
            <w:tcW w:w="3700" w:type="dxa"/>
            <w:vAlign w:val="bottom"/>
          </w:tcPr>
          <w:p>
            <w:pPr>
              <w:spacing w:after="0"/>
              <w:rPr>
                <w:sz w:val="21"/>
                <w:szCs w:val="21"/>
                <w:color w:val="auto"/>
              </w:rPr>
            </w:pPr>
          </w:p>
        </w:tc>
        <w:tc>
          <w:tcPr>
            <w:tcW w:w="3620" w:type="dxa"/>
            <w:vAlign w:val="bottom"/>
            <w:gridSpan w:val="2"/>
          </w:tcPr>
          <w:p>
            <w:pPr>
              <w:jc w:val="right"/>
              <w:ind w:right="1270"/>
              <w:spacing w:after="0"/>
              <w:rPr>
                <w:sz w:val="20"/>
                <w:szCs w:val="20"/>
                <w:color w:val="auto"/>
              </w:rPr>
            </w:pPr>
            <w:r>
              <w:rPr>
                <w:rFonts w:ascii="Arial" w:cs="Arial" w:eastAsia="Arial" w:hAnsi="Arial"/>
                <w:sz w:val="18"/>
                <w:szCs w:val="18"/>
                <w:b w:val="1"/>
                <w:bCs w:val="1"/>
                <w:color w:val="auto"/>
              </w:rPr>
              <w:t>September 30,</w:t>
            </w:r>
          </w:p>
        </w:tc>
        <w:tc>
          <w:tcPr>
            <w:tcW w:w="334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ended September 30,</w:t>
            </w:r>
          </w:p>
        </w:tc>
      </w:tr>
      <w:tr>
        <w:trPr>
          <w:trHeight w:val="259"/>
        </w:trPr>
        <w:tc>
          <w:tcPr>
            <w:tcW w:w="37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1980" w:type="dxa"/>
            <w:vAlign w:val="bottom"/>
          </w:tcPr>
          <w:p>
            <w:pPr>
              <w:jc w:val="right"/>
              <w:ind w:right="570"/>
              <w:spacing w:after="0"/>
              <w:rPr>
                <w:sz w:val="20"/>
                <w:szCs w:val="20"/>
                <w:color w:val="auto"/>
              </w:rPr>
            </w:pPr>
            <w:r>
              <w:rPr>
                <w:rFonts w:ascii="Arial" w:cs="Arial" w:eastAsia="Arial" w:hAnsi="Arial"/>
                <w:sz w:val="18"/>
                <w:szCs w:val="18"/>
                <w:color w:val="auto"/>
              </w:rPr>
              <w:t>2024</w:t>
            </w:r>
          </w:p>
        </w:tc>
        <w:tc>
          <w:tcPr>
            <w:tcW w:w="2360" w:type="dxa"/>
            <w:vAlign w:val="bottom"/>
          </w:tcPr>
          <w:p>
            <w:pPr>
              <w:jc w:val="right"/>
              <w:ind w:right="810"/>
              <w:spacing w:after="0"/>
              <w:rPr>
                <w:sz w:val="20"/>
                <w:szCs w:val="20"/>
                <w:color w:val="auto"/>
              </w:rPr>
            </w:pPr>
            <w:r>
              <w:rPr>
                <w:rFonts w:ascii="Arial" w:cs="Arial" w:eastAsia="Arial" w:hAnsi="Arial"/>
                <w:sz w:val="18"/>
                <w:szCs w:val="18"/>
                <w:b w:val="1"/>
                <w:bCs w:val="1"/>
                <w:color w:val="auto"/>
              </w:rPr>
              <w:t>2025</w:t>
            </w:r>
          </w:p>
        </w:tc>
        <w:tc>
          <w:tcPr>
            <w:tcW w:w="980" w:type="dxa"/>
            <w:vAlign w:val="bottom"/>
          </w:tcPr>
          <w:p>
            <w:pPr>
              <w:jc w:val="right"/>
              <w:spacing w:after="0"/>
              <w:rPr>
                <w:sz w:val="20"/>
                <w:szCs w:val="20"/>
                <w:color w:val="auto"/>
              </w:rPr>
            </w:pPr>
            <w:r>
              <w:rPr>
                <w:rFonts w:ascii="Arial" w:cs="Arial" w:eastAsia="Arial" w:hAnsi="Arial"/>
                <w:sz w:val="18"/>
                <w:szCs w:val="18"/>
                <w:color w:val="auto"/>
              </w:rPr>
              <w:t>2024</w:t>
            </w:r>
          </w:p>
        </w:tc>
      </w:tr>
      <w:tr>
        <w:trPr>
          <w:trHeight w:val="189"/>
        </w:trPr>
        <w:tc>
          <w:tcPr>
            <w:tcW w:w="37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80" w:type="dxa"/>
            <w:vAlign w:val="bottom"/>
          </w:tcPr>
          <w:p>
            <w:pPr>
              <w:jc w:val="right"/>
              <w:ind w:right="610"/>
              <w:spacing w:after="0" w:line="189" w:lineRule="exact"/>
              <w:rPr>
                <w:sz w:val="20"/>
                <w:szCs w:val="20"/>
                <w:color w:val="auto"/>
              </w:rPr>
            </w:pPr>
            <w:r>
              <w:rPr>
                <w:rFonts w:ascii="Arial" w:cs="Arial" w:eastAsia="Arial" w:hAnsi="Arial"/>
                <w:sz w:val="18"/>
                <w:szCs w:val="18"/>
                <w:i w:val="1"/>
                <w:iCs w:val="1"/>
                <w:color w:val="auto"/>
                <w:w w:val="99"/>
              </w:rPr>
              <w:t>Restated - Note</w:t>
            </w:r>
          </w:p>
        </w:tc>
        <w:tc>
          <w:tcPr>
            <w:tcW w:w="23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i w:val="1"/>
                <w:iCs w:val="1"/>
                <w:color w:val="auto"/>
              </w:rPr>
              <w:t>Restated -</w:t>
            </w:r>
          </w:p>
        </w:tc>
      </w:tr>
      <w:tr>
        <w:trPr>
          <w:trHeight w:val="228"/>
        </w:trPr>
        <w:tc>
          <w:tcPr>
            <w:tcW w:w="37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980" w:type="dxa"/>
            <w:vAlign w:val="bottom"/>
          </w:tcPr>
          <w:p>
            <w:pPr>
              <w:jc w:val="right"/>
              <w:ind w:right="610"/>
              <w:spacing w:after="0"/>
              <w:rPr>
                <w:sz w:val="20"/>
                <w:szCs w:val="20"/>
                <w:color w:val="auto"/>
              </w:rPr>
            </w:pPr>
            <w:r>
              <w:rPr>
                <w:rFonts w:ascii="Arial" w:cs="Arial" w:eastAsia="Arial" w:hAnsi="Arial"/>
                <w:sz w:val="18"/>
                <w:szCs w:val="18"/>
                <w:i w:val="1"/>
                <w:iCs w:val="1"/>
                <w:color w:val="auto"/>
              </w:rPr>
              <w:t>2</w:t>
            </w:r>
          </w:p>
        </w:tc>
        <w:tc>
          <w:tcPr>
            <w:tcW w:w="2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Note 2</w:t>
            </w:r>
          </w:p>
        </w:tc>
      </w:tr>
      <w:tr>
        <w:trPr>
          <w:trHeight w:val="235"/>
        </w:trPr>
        <w:tc>
          <w:tcPr>
            <w:tcW w:w="37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9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3700" w:type="dxa"/>
            <w:vAlign w:val="bottom"/>
          </w:tcPr>
          <w:p>
            <w:pPr>
              <w:spacing w:after="0"/>
              <w:rPr>
                <w:sz w:val="20"/>
                <w:szCs w:val="20"/>
                <w:color w:val="auto"/>
              </w:rPr>
            </w:pPr>
            <w:r>
              <w:rPr>
                <w:rFonts w:ascii="Arial" w:cs="Arial" w:eastAsia="Arial" w:hAnsi="Arial"/>
                <w:sz w:val="18"/>
                <w:szCs w:val="18"/>
                <w:color w:val="auto"/>
              </w:rPr>
              <w:t>Advancement of development programs</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15,192</w:t>
            </w:r>
          </w:p>
        </w:tc>
        <w:tc>
          <w:tcPr>
            <w:tcW w:w="1980" w:type="dxa"/>
            <w:vAlign w:val="bottom"/>
          </w:tcPr>
          <w:p>
            <w:pPr>
              <w:jc w:val="right"/>
              <w:ind w:right="610"/>
              <w:spacing w:after="0"/>
              <w:rPr>
                <w:sz w:val="20"/>
                <w:szCs w:val="20"/>
                <w:color w:val="auto"/>
              </w:rPr>
            </w:pPr>
            <w:r>
              <w:rPr>
                <w:rFonts w:ascii="Arial" w:cs="Arial" w:eastAsia="Arial" w:hAnsi="Arial"/>
                <w:sz w:val="18"/>
                <w:szCs w:val="18"/>
                <w:color w:val="auto"/>
              </w:rPr>
              <w:t>4,233</w:t>
            </w:r>
          </w:p>
        </w:tc>
        <w:tc>
          <w:tcPr>
            <w:tcW w:w="2360" w:type="dxa"/>
            <w:vAlign w:val="bottom"/>
          </w:tcPr>
          <w:p>
            <w:pPr>
              <w:jc w:val="right"/>
              <w:ind w:right="870"/>
              <w:spacing w:after="0"/>
              <w:rPr>
                <w:sz w:val="20"/>
                <w:szCs w:val="20"/>
                <w:color w:val="auto"/>
              </w:rPr>
            </w:pPr>
            <w:r>
              <w:rPr>
                <w:rFonts w:ascii="Arial" w:cs="Arial" w:eastAsia="Arial" w:hAnsi="Arial"/>
                <w:sz w:val="18"/>
                <w:szCs w:val="18"/>
                <w:b w:val="1"/>
                <w:bCs w:val="1"/>
                <w:color w:val="auto"/>
              </w:rPr>
              <w:t>27,287</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7,620</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Payroll and benefits</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3,016</w:t>
            </w:r>
          </w:p>
        </w:tc>
        <w:tc>
          <w:tcPr>
            <w:tcW w:w="1980" w:type="dxa"/>
            <w:vAlign w:val="bottom"/>
          </w:tcPr>
          <w:p>
            <w:pPr>
              <w:jc w:val="right"/>
              <w:ind w:right="610"/>
              <w:spacing w:after="0"/>
              <w:rPr>
                <w:sz w:val="20"/>
                <w:szCs w:val="20"/>
                <w:color w:val="auto"/>
              </w:rPr>
            </w:pPr>
            <w:r>
              <w:rPr>
                <w:rFonts w:ascii="Arial" w:cs="Arial" w:eastAsia="Arial" w:hAnsi="Arial"/>
                <w:sz w:val="18"/>
                <w:szCs w:val="18"/>
                <w:color w:val="auto"/>
              </w:rPr>
              <w:t>1,628</w:t>
            </w:r>
          </w:p>
        </w:tc>
        <w:tc>
          <w:tcPr>
            <w:tcW w:w="2360" w:type="dxa"/>
            <w:vAlign w:val="bottom"/>
          </w:tcPr>
          <w:p>
            <w:pPr>
              <w:jc w:val="right"/>
              <w:ind w:right="870"/>
              <w:spacing w:after="0"/>
              <w:rPr>
                <w:sz w:val="20"/>
                <w:szCs w:val="20"/>
                <w:color w:val="auto"/>
              </w:rPr>
            </w:pPr>
            <w:r>
              <w:rPr>
                <w:rFonts w:ascii="Arial" w:cs="Arial" w:eastAsia="Arial" w:hAnsi="Arial"/>
                <w:sz w:val="18"/>
                <w:szCs w:val="18"/>
                <w:b w:val="1"/>
                <w:bCs w:val="1"/>
                <w:color w:val="auto"/>
              </w:rPr>
              <w:t>5,612</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3,783</w:t>
            </w: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Lab and administration</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318</w:t>
            </w:r>
          </w:p>
        </w:tc>
        <w:tc>
          <w:tcPr>
            <w:tcW w:w="1980" w:type="dxa"/>
            <w:vAlign w:val="bottom"/>
          </w:tcPr>
          <w:p>
            <w:pPr>
              <w:jc w:val="right"/>
              <w:ind w:right="610"/>
              <w:spacing w:after="0"/>
              <w:rPr>
                <w:sz w:val="20"/>
                <w:szCs w:val="20"/>
                <w:color w:val="auto"/>
              </w:rPr>
            </w:pPr>
            <w:r>
              <w:rPr>
                <w:rFonts w:ascii="Arial" w:cs="Arial" w:eastAsia="Arial" w:hAnsi="Arial"/>
                <w:sz w:val="18"/>
                <w:szCs w:val="18"/>
                <w:color w:val="auto"/>
              </w:rPr>
              <w:t>510</w:t>
            </w:r>
          </w:p>
        </w:tc>
        <w:tc>
          <w:tcPr>
            <w:tcW w:w="2360" w:type="dxa"/>
            <w:vAlign w:val="bottom"/>
          </w:tcPr>
          <w:p>
            <w:pPr>
              <w:jc w:val="right"/>
              <w:ind w:right="870"/>
              <w:spacing w:after="0"/>
              <w:rPr>
                <w:sz w:val="20"/>
                <w:szCs w:val="20"/>
                <w:color w:val="auto"/>
              </w:rPr>
            </w:pPr>
            <w:r>
              <w:rPr>
                <w:rFonts w:ascii="Arial" w:cs="Arial" w:eastAsia="Arial" w:hAnsi="Arial"/>
                <w:sz w:val="18"/>
                <w:szCs w:val="18"/>
                <w:b w:val="1"/>
                <w:bCs w:val="1"/>
                <w:color w:val="auto"/>
              </w:rPr>
              <w:t>598</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632</w:t>
            </w:r>
          </w:p>
        </w:tc>
      </w:tr>
      <w:tr>
        <w:trPr>
          <w:trHeight w:val="235"/>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Professional and consulting fees</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324</w:t>
            </w:r>
          </w:p>
        </w:tc>
        <w:tc>
          <w:tcPr>
            <w:tcW w:w="19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311</w:t>
            </w:r>
          </w:p>
        </w:tc>
        <w:tc>
          <w:tcPr>
            <w:tcW w:w="23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348</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524</w:t>
            </w:r>
          </w:p>
        </w:tc>
      </w:tr>
      <w:tr>
        <w:trPr>
          <w:trHeight w:val="223"/>
        </w:trPr>
        <w:tc>
          <w:tcPr>
            <w:tcW w:w="37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18,850</w:t>
            </w:r>
          </w:p>
        </w:tc>
        <w:tc>
          <w:tcPr>
            <w:tcW w:w="19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6,682</w:t>
            </w:r>
          </w:p>
        </w:tc>
        <w:tc>
          <w:tcPr>
            <w:tcW w:w="23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33,845</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12,559</w:t>
            </w: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19 of 26</w:t>
      </w:r>
    </w:p>
    <w:p>
      <w:pPr>
        <w:sectPr>
          <w:pgSz w:w="11900" w:h="16838" w:orient="portrait"/>
          <w:cols w:equalWidth="0" w:num="1">
            <w:col w:w="11240"/>
          </w:cols>
          <w:pgMar w:left="320" w:top="233" w:right="339" w:bottom="1440" w:gutter="0" w:footer="0" w:header="0"/>
          <w:type w:val="continuous"/>
        </w:sectPr>
      </w:pPr>
    </w:p>
    <w:bookmarkStart w:id="22" w:name="page23"/>
    <w:bookmarkEnd w:id="22"/>
    <w:p>
      <w:pPr>
        <w:ind w:left="80"/>
        <w:spacing w:after="0"/>
        <w:rPr>
          <w:sz w:val="20"/>
          <w:szCs w:val="20"/>
          <w:color w:val="auto"/>
        </w:rPr>
      </w:pPr>
      <w:r>
        <w:rPr>
          <w:rFonts w:ascii="Arial" w:cs="Arial" w:eastAsia="Arial" w:hAnsi="Arial"/>
          <w:sz w:val="22"/>
          <w:szCs w:val="22"/>
          <w:b w:val="1"/>
          <w:bCs w:val="1"/>
          <w:color w:val="auto"/>
        </w:rPr>
        <w:t>CYBIN INC.</w:t>
      </w:r>
    </w:p>
    <w:p>
      <w:pPr>
        <w:spacing w:after="0" w:line="26" w:lineRule="exact"/>
        <w:rPr>
          <w:sz w:val="20"/>
          <w:szCs w:val="20"/>
          <w:color w:val="auto"/>
        </w:rPr>
      </w:pPr>
    </w:p>
    <w:p>
      <w:pPr>
        <w:ind w:left="80"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September 30, 2025</w:t>
      </w:r>
    </w:p>
    <w:p>
      <w:pPr>
        <w:spacing w:after="0" w:line="1" w:lineRule="exact"/>
        <w:rPr>
          <w:sz w:val="20"/>
          <w:szCs w:val="20"/>
          <w:color w:val="auto"/>
        </w:rPr>
      </w:pPr>
    </w:p>
    <w:p>
      <w:pPr>
        <w:ind w:left="80"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480" w:type="dxa"/>
            <w:vAlign w:val="bottom"/>
            <w:gridSpan w:val="2"/>
          </w:tcPr>
          <w:p>
            <w:pPr>
              <w:spacing w:after="0"/>
              <w:rPr>
                <w:sz w:val="20"/>
                <w:szCs w:val="20"/>
                <w:color w:val="auto"/>
              </w:rPr>
            </w:pPr>
            <w:r>
              <w:rPr>
                <w:rFonts w:ascii="Arial" w:cs="Arial" w:eastAsia="Arial" w:hAnsi="Arial"/>
                <w:sz w:val="18"/>
                <w:szCs w:val="18"/>
                <w:b w:val="1"/>
                <w:bCs w:val="1"/>
                <w:color w:val="2D5F91"/>
              </w:rPr>
              <w:t>10. GENERAL AND ADMINISTRATIVE EXPENSES</w:t>
            </w:r>
          </w:p>
        </w:tc>
        <w:tc>
          <w:tcPr>
            <w:tcW w:w="2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415"/>
        </w:trPr>
        <w:tc>
          <w:tcPr>
            <w:tcW w:w="3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42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Three month period ended</w:t>
            </w:r>
          </w:p>
        </w:tc>
        <w:tc>
          <w:tcPr>
            <w:tcW w:w="290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Six month period ended</w:t>
            </w:r>
          </w:p>
        </w:tc>
      </w:tr>
      <w:tr>
        <w:trPr>
          <w:trHeight w:val="230"/>
        </w:trPr>
        <w:tc>
          <w:tcPr>
            <w:tcW w:w="3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b w:val="1"/>
                <w:bCs w:val="1"/>
                <w:color w:val="auto"/>
              </w:rPr>
              <w:t>September 30,</w:t>
            </w:r>
          </w:p>
        </w:tc>
        <w:tc>
          <w:tcPr>
            <w:tcW w:w="1280" w:type="dxa"/>
            <w:vAlign w:val="bottom"/>
          </w:tcPr>
          <w:p>
            <w:pPr>
              <w:spacing w:after="0"/>
              <w:rPr>
                <w:sz w:val="19"/>
                <w:szCs w:val="19"/>
                <w:color w:val="auto"/>
              </w:rPr>
            </w:pPr>
          </w:p>
        </w:tc>
        <w:tc>
          <w:tcPr>
            <w:tcW w:w="290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rPr>
              <w:t>September 30,</w:t>
            </w:r>
          </w:p>
        </w:tc>
      </w:tr>
      <w:tr>
        <w:trPr>
          <w:trHeight w:val="232"/>
        </w:trPr>
        <w:tc>
          <w:tcPr>
            <w:tcW w:w="3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140" w:type="dxa"/>
            <w:vAlign w:val="bottom"/>
          </w:tcPr>
          <w:p>
            <w:pPr>
              <w:jc w:val="right"/>
              <w:ind w:right="710"/>
              <w:spacing w:after="0"/>
              <w:rPr>
                <w:sz w:val="20"/>
                <w:szCs w:val="20"/>
                <w:color w:val="auto"/>
              </w:rPr>
            </w:pPr>
            <w:r>
              <w:rPr>
                <w:rFonts w:ascii="Arial" w:cs="Arial" w:eastAsia="Arial" w:hAnsi="Arial"/>
                <w:sz w:val="18"/>
                <w:szCs w:val="18"/>
                <w:b w:val="1"/>
                <w:bCs w:val="1"/>
                <w:color w:val="auto"/>
              </w:rPr>
              <w:t>2025</w:t>
            </w:r>
          </w:p>
        </w:tc>
        <w:tc>
          <w:tcPr>
            <w:tcW w:w="1280" w:type="dxa"/>
            <w:vAlign w:val="bottom"/>
          </w:tcPr>
          <w:p>
            <w:pPr>
              <w:jc w:val="right"/>
              <w:ind w:right="250"/>
              <w:spacing w:after="0"/>
              <w:rPr>
                <w:sz w:val="20"/>
                <w:szCs w:val="20"/>
                <w:color w:val="auto"/>
              </w:rPr>
            </w:pPr>
            <w:r>
              <w:rPr>
                <w:rFonts w:ascii="Arial" w:cs="Arial" w:eastAsia="Arial" w:hAnsi="Arial"/>
                <w:sz w:val="18"/>
                <w:szCs w:val="18"/>
                <w:b w:val="1"/>
                <w:bCs w:val="1"/>
                <w:color w:val="auto"/>
              </w:rPr>
              <w:t>2024</w:t>
            </w: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2024</w:t>
            </w:r>
          </w:p>
        </w:tc>
      </w:tr>
      <w:tr>
        <w:trPr>
          <w:trHeight w:val="189"/>
        </w:trPr>
        <w:tc>
          <w:tcPr>
            <w:tcW w:w="3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80" w:type="dxa"/>
            <w:vAlign w:val="bottom"/>
          </w:tcPr>
          <w:p>
            <w:pPr>
              <w:jc w:val="right"/>
              <w:ind w:right="250"/>
              <w:spacing w:after="0" w:line="189" w:lineRule="exact"/>
              <w:rPr>
                <w:sz w:val="20"/>
                <w:szCs w:val="20"/>
                <w:color w:val="auto"/>
              </w:rPr>
            </w:pPr>
            <w:r>
              <w:rPr>
                <w:rFonts w:ascii="Arial" w:cs="Arial" w:eastAsia="Arial" w:hAnsi="Arial"/>
                <w:sz w:val="18"/>
                <w:szCs w:val="18"/>
                <w:i w:val="1"/>
                <w:iCs w:val="1"/>
                <w:color w:val="auto"/>
              </w:rPr>
              <w:t>Restated -</w:t>
            </w:r>
          </w:p>
        </w:tc>
        <w:tc>
          <w:tcPr>
            <w:tcW w:w="1480" w:type="dxa"/>
            <w:vAlign w:val="bottom"/>
          </w:tcPr>
          <w:p>
            <w:pPr>
              <w:spacing w:after="0"/>
              <w:rPr>
                <w:sz w:val="16"/>
                <w:szCs w:val="16"/>
                <w:color w:val="auto"/>
              </w:rPr>
            </w:pPr>
          </w:p>
        </w:tc>
        <w:tc>
          <w:tcPr>
            <w:tcW w:w="1420" w:type="dxa"/>
            <w:vAlign w:val="bottom"/>
          </w:tcPr>
          <w:p>
            <w:pPr>
              <w:jc w:val="right"/>
              <w:ind w:right="10"/>
              <w:spacing w:after="0" w:line="189" w:lineRule="exact"/>
              <w:rPr>
                <w:sz w:val="20"/>
                <w:szCs w:val="20"/>
                <w:color w:val="auto"/>
              </w:rPr>
            </w:pPr>
            <w:r>
              <w:rPr>
                <w:rFonts w:ascii="Arial" w:cs="Arial" w:eastAsia="Arial" w:hAnsi="Arial"/>
                <w:sz w:val="18"/>
                <w:szCs w:val="18"/>
                <w:i w:val="1"/>
                <w:iCs w:val="1"/>
                <w:color w:val="auto"/>
              </w:rPr>
              <w:t>Restated -</w:t>
            </w:r>
          </w:p>
        </w:tc>
      </w:tr>
      <w:tr>
        <w:trPr>
          <w:trHeight w:val="227"/>
        </w:trPr>
        <w:tc>
          <w:tcPr>
            <w:tcW w:w="3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i w:val="1"/>
                <w:iCs w:val="1"/>
                <w:color w:val="auto"/>
              </w:rPr>
              <w:t>Note 2</w:t>
            </w:r>
          </w:p>
        </w:tc>
        <w:tc>
          <w:tcPr>
            <w:tcW w:w="14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i w:val="1"/>
                <w:iCs w:val="1"/>
                <w:color w:val="auto"/>
              </w:rPr>
              <w:t>Note 2</w:t>
            </w:r>
          </w:p>
        </w:tc>
      </w:tr>
      <w:tr>
        <w:trPr>
          <w:trHeight w:val="235"/>
        </w:trPr>
        <w:tc>
          <w:tcPr>
            <w:tcW w:w="340" w:type="dxa"/>
            <w:vAlign w:val="bottom"/>
          </w:tcPr>
          <w:p>
            <w:pPr>
              <w:spacing w:after="0"/>
              <w:rPr>
                <w:sz w:val="20"/>
                <w:szCs w:val="20"/>
                <w:color w:val="auto"/>
              </w:rPr>
            </w:pPr>
          </w:p>
        </w:tc>
        <w:tc>
          <w:tcPr>
            <w:tcW w:w="41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18"/>
        </w:trPr>
        <w:tc>
          <w:tcPr>
            <w:tcW w:w="34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Capital market</w:t>
            </w:r>
          </w:p>
        </w:tc>
        <w:tc>
          <w:tcPr>
            <w:tcW w:w="2140" w:type="dxa"/>
            <w:vAlign w:val="bottom"/>
          </w:tcPr>
          <w:p>
            <w:pPr>
              <w:jc w:val="right"/>
              <w:ind w:right="730"/>
              <w:spacing w:after="0"/>
              <w:rPr>
                <w:sz w:val="20"/>
                <w:szCs w:val="20"/>
                <w:color w:val="auto"/>
              </w:rPr>
            </w:pPr>
            <w:r>
              <w:rPr>
                <w:rFonts w:ascii="Arial" w:cs="Arial" w:eastAsia="Arial" w:hAnsi="Arial"/>
                <w:sz w:val="18"/>
                <w:szCs w:val="18"/>
                <w:b w:val="1"/>
                <w:bCs w:val="1"/>
                <w:color w:val="auto"/>
              </w:rPr>
              <w:t>3,833</w:t>
            </w: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7,043</w:t>
            </w: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6,492</w:t>
            </w:r>
          </w:p>
        </w:tc>
        <w:tc>
          <w:tcPr>
            <w:tcW w:w="1420" w:type="dxa"/>
            <w:vAlign w:val="bottom"/>
          </w:tcPr>
          <w:p>
            <w:pPr>
              <w:jc w:val="right"/>
              <w:spacing w:after="0"/>
              <w:rPr>
                <w:sz w:val="20"/>
                <w:szCs w:val="20"/>
                <w:color w:val="auto"/>
              </w:rPr>
            </w:pPr>
            <w:r>
              <w:rPr>
                <w:rFonts w:ascii="Arial" w:cs="Arial" w:eastAsia="Arial" w:hAnsi="Arial"/>
                <w:sz w:val="18"/>
                <w:szCs w:val="18"/>
                <w:color w:val="auto"/>
              </w:rPr>
              <w:t>8,948</w:t>
            </w:r>
          </w:p>
        </w:tc>
      </w:tr>
      <w:tr>
        <w:trPr>
          <w:trHeight w:val="230"/>
        </w:trPr>
        <w:tc>
          <w:tcPr>
            <w:tcW w:w="3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Payroll and benefits</w:t>
            </w:r>
          </w:p>
        </w:tc>
        <w:tc>
          <w:tcPr>
            <w:tcW w:w="2140" w:type="dxa"/>
            <w:vAlign w:val="bottom"/>
          </w:tcPr>
          <w:p>
            <w:pPr>
              <w:jc w:val="right"/>
              <w:ind w:right="730"/>
              <w:spacing w:after="0"/>
              <w:rPr>
                <w:sz w:val="20"/>
                <w:szCs w:val="20"/>
                <w:color w:val="auto"/>
              </w:rPr>
            </w:pPr>
            <w:r>
              <w:rPr>
                <w:rFonts w:ascii="Arial" w:cs="Arial" w:eastAsia="Arial" w:hAnsi="Arial"/>
                <w:sz w:val="18"/>
                <w:szCs w:val="18"/>
                <w:b w:val="1"/>
                <w:bCs w:val="1"/>
                <w:color w:val="auto"/>
              </w:rPr>
              <w:t>3,097</w:t>
            </w: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2,261</w:t>
            </w: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4,704</w:t>
            </w:r>
          </w:p>
        </w:tc>
        <w:tc>
          <w:tcPr>
            <w:tcW w:w="1420" w:type="dxa"/>
            <w:vAlign w:val="bottom"/>
          </w:tcPr>
          <w:p>
            <w:pPr>
              <w:jc w:val="right"/>
              <w:spacing w:after="0"/>
              <w:rPr>
                <w:sz w:val="20"/>
                <w:szCs w:val="20"/>
                <w:color w:val="auto"/>
              </w:rPr>
            </w:pPr>
            <w:r>
              <w:rPr>
                <w:rFonts w:ascii="Arial" w:cs="Arial" w:eastAsia="Arial" w:hAnsi="Arial"/>
                <w:sz w:val="18"/>
                <w:szCs w:val="18"/>
                <w:color w:val="auto"/>
              </w:rPr>
              <w:t>4,469</w:t>
            </w:r>
          </w:p>
        </w:tc>
      </w:tr>
      <w:tr>
        <w:trPr>
          <w:trHeight w:val="229"/>
        </w:trPr>
        <w:tc>
          <w:tcPr>
            <w:tcW w:w="3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Professional and consulting fees</w:t>
            </w:r>
          </w:p>
        </w:tc>
        <w:tc>
          <w:tcPr>
            <w:tcW w:w="2140" w:type="dxa"/>
            <w:vAlign w:val="bottom"/>
          </w:tcPr>
          <w:p>
            <w:pPr>
              <w:jc w:val="right"/>
              <w:ind w:right="730"/>
              <w:spacing w:after="0"/>
              <w:rPr>
                <w:sz w:val="20"/>
                <w:szCs w:val="20"/>
                <w:color w:val="auto"/>
              </w:rPr>
            </w:pPr>
            <w:r>
              <w:rPr>
                <w:rFonts w:ascii="Arial" w:cs="Arial" w:eastAsia="Arial" w:hAnsi="Arial"/>
                <w:sz w:val="18"/>
                <w:szCs w:val="18"/>
                <w:b w:val="1"/>
                <w:bCs w:val="1"/>
                <w:color w:val="auto"/>
              </w:rPr>
              <w:t>969</w:t>
            </w: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595</w:t>
            </w: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3,877</w:t>
            </w:r>
          </w:p>
        </w:tc>
        <w:tc>
          <w:tcPr>
            <w:tcW w:w="1420" w:type="dxa"/>
            <w:vAlign w:val="bottom"/>
          </w:tcPr>
          <w:p>
            <w:pPr>
              <w:jc w:val="right"/>
              <w:spacing w:after="0"/>
              <w:rPr>
                <w:sz w:val="20"/>
                <w:szCs w:val="20"/>
                <w:color w:val="auto"/>
              </w:rPr>
            </w:pPr>
            <w:r>
              <w:rPr>
                <w:rFonts w:ascii="Arial" w:cs="Arial" w:eastAsia="Arial" w:hAnsi="Arial"/>
                <w:sz w:val="18"/>
                <w:szCs w:val="18"/>
                <w:color w:val="auto"/>
              </w:rPr>
              <w:t>1,055</w:t>
            </w:r>
          </w:p>
        </w:tc>
      </w:tr>
      <w:tr>
        <w:trPr>
          <w:trHeight w:val="229"/>
        </w:trPr>
        <w:tc>
          <w:tcPr>
            <w:tcW w:w="3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Office and administration</w:t>
            </w:r>
          </w:p>
        </w:tc>
        <w:tc>
          <w:tcPr>
            <w:tcW w:w="2140" w:type="dxa"/>
            <w:vAlign w:val="bottom"/>
          </w:tcPr>
          <w:p>
            <w:pPr>
              <w:jc w:val="right"/>
              <w:ind w:right="730"/>
              <w:spacing w:after="0"/>
              <w:rPr>
                <w:sz w:val="20"/>
                <w:szCs w:val="20"/>
                <w:color w:val="auto"/>
              </w:rPr>
            </w:pPr>
            <w:r>
              <w:rPr>
                <w:rFonts w:ascii="Arial" w:cs="Arial" w:eastAsia="Arial" w:hAnsi="Arial"/>
                <w:sz w:val="18"/>
                <w:szCs w:val="18"/>
                <w:b w:val="1"/>
                <w:bCs w:val="1"/>
                <w:color w:val="auto"/>
              </w:rPr>
              <w:t>936</w:t>
            </w: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622</w:t>
            </w: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1,706</w:t>
            </w:r>
          </w:p>
        </w:tc>
        <w:tc>
          <w:tcPr>
            <w:tcW w:w="1420" w:type="dxa"/>
            <w:vAlign w:val="bottom"/>
          </w:tcPr>
          <w:p>
            <w:pPr>
              <w:jc w:val="right"/>
              <w:spacing w:after="0"/>
              <w:rPr>
                <w:sz w:val="20"/>
                <w:szCs w:val="20"/>
                <w:color w:val="auto"/>
              </w:rPr>
            </w:pPr>
            <w:r>
              <w:rPr>
                <w:rFonts w:ascii="Arial" w:cs="Arial" w:eastAsia="Arial" w:hAnsi="Arial"/>
                <w:sz w:val="18"/>
                <w:szCs w:val="18"/>
                <w:color w:val="auto"/>
              </w:rPr>
              <w:t>1,183</w:t>
            </w:r>
          </w:p>
        </w:tc>
      </w:tr>
      <w:tr>
        <w:trPr>
          <w:trHeight w:val="230"/>
        </w:trPr>
        <w:tc>
          <w:tcPr>
            <w:tcW w:w="3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Business development</w:t>
            </w:r>
          </w:p>
        </w:tc>
        <w:tc>
          <w:tcPr>
            <w:tcW w:w="2140" w:type="dxa"/>
            <w:vAlign w:val="bottom"/>
          </w:tcPr>
          <w:p>
            <w:pPr>
              <w:jc w:val="right"/>
              <w:ind w:right="730"/>
              <w:spacing w:after="0"/>
              <w:rPr>
                <w:sz w:val="20"/>
                <w:szCs w:val="20"/>
                <w:color w:val="auto"/>
              </w:rPr>
            </w:pPr>
            <w:r>
              <w:rPr>
                <w:rFonts w:ascii="Arial" w:cs="Arial" w:eastAsia="Arial" w:hAnsi="Arial"/>
                <w:sz w:val="18"/>
                <w:szCs w:val="18"/>
                <w:b w:val="1"/>
                <w:bCs w:val="1"/>
                <w:color w:val="auto"/>
              </w:rPr>
              <w:t>357</w:t>
            </w: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237</w:t>
            </w: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882</w:t>
            </w:r>
          </w:p>
        </w:tc>
        <w:tc>
          <w:tcPr>
            <w:tcW w:w="1420" w:type="dxa"/>
            <w:vAlign w:val="bottom"/>
          </w:tcPr>
          <w:p>
            <w:pPr>
              <w:jc w:val="right"/>
              <w:spacing w:after="0"/>
              <w:rPr>
                <w:sz w:val="20"/>
                <w:szCs w:val="20"/>
                <w:color w:val="auto"/>
              </w:rPr>
            </w:pPr>
            <w:r>
              <w:rPr>
                <w:rFonts w:ascii="Arial" w:cs="Arial" w:eastAsia="Arial" w:hAnsi="Arial"/>
                <w:sz w:val="18"/>
                <w:szCs w:val="18"/>
                <w:color w:val="auto"/>
              </w:rPr>
              <w:t>701</w:t>
            </w:r>
          </w:p>
        </w:tc>
      </w:tr>
      <w:tr>
        <w:trPr>
          <w:trHeight w:val="229"/>
        </w:trPr>
        <w:tc>
          <w:tcPr>
            <w:tcW w:w="3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Investor relations and marketing media</w:t>
            </w:r>
          </w:p>
        </w:tc>
        <w:tc>
          <w:tcPr>
            <w:tcW w:w="2140" w:type="dxa"/>
            <w:vAlign w:val="bottom"/>
          </w:tcPr>
          <w:p>
            <w:pPr>
              <w:jc w:val="right"/>
              <w:ind w:right="730"/>
              <w:spacing w:after="0"/>
              <w:rPr>
                <w:sz w:val="20"/>
                <w:szCs w:val="20"/>
                <w:color w:val="auto"/>
              </w:rPr>
            </w:pPr>
            <w:r>
              <w:rPr>
                <w:rFonts w:ascii="Arial" w:cs="Arial" w:eastAsia="Arial" w:hAnsi="Arial"/>
                <w:sz w:val="18"/>
                <w:szCs w:val="18"/>
                <w:b w:val="1"/>
                <w:bCs w:val="1"/>
                <w:color w:val="auto"/>
              </w:rPr>
              <w:t>349</w:t>
            </w: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677</w:t>
            </w: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730</w:t>
            </w:r>
          </w:p>
        </w:tc>
        <w:tc>
          <w:tcPr>
            <w:tcW w:w="1420" w:type="dxa"/>
            <w:vAlign w:val="bottom"/>
          </w:tcPr>
          <w:p>
            <w:pPr>
              <w:jc w:val="right"/>
              <w:spacing w:after="0"/>
              <w:rPr>
                <w:sz w:val="20"/>
                <w:szCs w:val="20"/>
                <w:color w:val="auto"/>
              </w:rPr>
            </w:pPr>
            <w:r>
              <w:rPr>
                <w:rFonts w:ascii="Arial" w:cs="Arial" w:eastAsia="Arial" w:hAnsi="Arial"/>
                <w:sz w:val="18"/>
                <w:szCs w:val="18"/>
                <w:color w:val="auto"/>
              </w:rPr>
              <w:t>1,073</w:t>
            </w:r>
          </w:p>
        </w:tc>
      </w:tr>
      <w:tr>
        <w:trPr>
          <w:trHeight w:val="235"/>
        </w:trPr>
        <w:tc>
          <w:tcPr>
            <w:tcW w:w="340" w:type="dxa"/>
            <w:vAlign w:val="bottom"/>
          </w:tcPr>
          <w:p>
            <w:pPr>
              <w:spacing w:after="0"/>
              <w:rPr>
                <w:sz w:val="20"/>
                <w:szCs w:val="20"/>
                <w:color w:val="auto"/>
              </w:rPr>
            </w:pP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Listing fees</w:t>
            </w:r>
          </w:p>
        </w:tc>
        <w:tc>
          <w:tcPr>
            <w:tcW w:w="21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126</w:t>
            </w: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58</w:t>
            </w:r>
          </w:p>
        </w:tc>
        <w:tc>
          <w:tcPr>
            <w:tcW w:w="14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152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r>
      <w:tr>
        <w:trPr>
          <w:trHeight w:val="223"/>
        </w:trPr>
        <w:tc>
          <w:tcPr>
            <w:tcW w:w="340" w:type="dxa"/>
            <w:vAlign w:val="bottom"/>
          </w:tcPr>
          <w:p>
            <w:pPr>
              <w:spacing w:after="0"/>
              <w:rPr>
                <w:sz w:val="19"/>
                <w:szCs w:val="19"/>
                <w:color w:val="auto"/>
              </w:rPr>
            </w:pPr>
          </w:p>
        </w:tc>
        <w:tc>
          <w:tcPr>
            <w:tcW w:w="41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21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9,667</w:t>
            </w: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11,493</w:t>
            </w:r>
          </w:p>
        </w:tc>
        <w:tc>
          <w:tcPr>
            <w:tcW w:w="14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18,543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17,561</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2D5F91"/>
        </w:rPr>
        <w:t>11. CONTRACTS, COMMITMENTS AND CONTINGENCIES</w:t>
      </w:r>
    </w:p>
    <w:p>
      <w:pPr>
        <w:spacing w:after="0" w:line="225" w:lineRule="exact"/>
        <w:rPr>
          <w:sz w:val="20"/>
          <w:szCs w:val="20"/>
          <w:color w:val="auto"/>
        </w:rPr>
      </w:pPr>
    </w:p>
    <w:p>
      <w:pPr>
        <w:jc w:val="both"/>
        <w:ind w:left="340"/>
        <w:spacing w:after="0" w:line="298" w:lineRule="auto"/>
        <w:rPr>
          <w:sz w:val="20"/>
          <w:szCs w:val="20"/>
          <w:color w:val="auto"/>
        </w:rPr>
      </w:pPr>
      <w:r>
        <w:rPr>
          <w:rFonts w:ascii="Arial" w:cs="Arial" w:eastAsia="Arial" w:hAnsi="Arial"/>
          <w:sz w:val="18"/>
          <w:szCs w:val="18"/>
          <w:color w:val="auto"/>
        </w:rPr>
        <w:t>As at September 30, 2025, the Company had entered into agreements for various studies which may require the Company to spend up to an additional $103,947. The Company expects to pay this amount within the 24 months ending September 30, 2027, however the timing and certainty of the payments are contingent on availability of materials and successful completion of certain milestones. The Company has the right to cancel the studies at its discretion, in which case a cancellation fee may apply, however the Company is not liable to pay the full amount of the studies.</w:t>
      </w:r>
    </w:p>
    <w:p>
      <w:pPr>
        <w:spacing w:after="0" w:line="146" w:lineRule="exact"/>
        <w:rPr>
          <w:sz w:val="20"/>
          <w:szCs w:val="20"/>
          <w:color w:val="auto"/>
        </w:rPr>
      </w:pPr>
    </w:p>
    <w:p>
      <w:pPr>
        <w:jc w:val="both"/>
        <w:ind w:left="340"/>
        <w:spacing w:after="0" w:line="294" w:lineRule="auto"/>
        <w:rPr>
          <w:sz w:val="20"/>
          <w:szCs w:val="20"/>
          <w:color w:val="auto"/>
        </w:rPr>
      </w:pPr>
      <w:r>
        <w:rPr>
          <w:rFonts w:ascii="Arial" w:cs="Arial" w:eastAsia="Arial" w:hAnsi="Arial"/>
          <w:sz w:val="18"/>
          <w:szCs w:val="18"/>
          <w:color w:val="auto"/>
        </w:rPr>
        <w:t>In addition to the above, during the year ended March 31, 2022, the Company entered into an exclusive license agreement with Mindset Pharma Inc. to acquire access to a number of classes of tryptamine-based molecules to support Company’s early-stage research programs and a fully-paid, perpetual non-exclusive license to a separate class of tryptamine-based molecules. Upon the successful completion of certain milestones contemplated in the exclusive license, the Company may have to pay additional consideration of up to $9,500. At the sole discretion of Cybin, the milestones may be paid in cash or in Common Shares, or a combination thereof, subject to the approval of Cboe Canada. Due to the nature of the arrangement, the timing and probability of future potential payments cannot be determined at this time, and no accrual has been recorded. Further, there is no assurance that the aforementioned milestones will be met at all. The agreement also contemplates a sales royalty of approximately 2% for all commercialized licensed products within the scope of the agreement.</w:t>
      </w:r>
    </w:p>
    <w:p>
      <w:pPr>
        <w:spacing w:after="0" w:line="148" w:lineRule="exact"/>
        <w:rPr>
          <w:sz w:val="20"/>
          <w:szCs w:val="20"/>
          <w:color w:val="auto"/>
        </w:rPr>
      </w:pPr>
    </w:p>
    <w:p>
      <w:pPr>
        <w:jc w:val="both"/>
        <w:ind w:left="340"/>
        <w:spacing w:after="0" w:line="308" w:lineRule="auto"/>
        <w:rPr>
          <w:sz w:val="20"/>
          <w:szCs w:val="20"/>
          <w:color w:val="auto"/>
        </w:rPr>
      </w:pPr>
      <w:r>
        <w:rPr>
          <w:rFonts w:ascii="Arial" w:cs="Arial" w:eastAsia="Arial" w:hAnsi="Arial"/>
          <w:sz w:val="18"/>
          <w:szCs w:val="18"/>
          <w:color w:val="auto"/>
        </w:rPr>
        <w:t>The Company is party to certain employee and management contracts that contain severance obligations. These contracts contain clauses requiring additional payments to be made upon the occurrence of involuntary termination. As the likelihood of these events taking place is not determinable, no contingent liabilities have been recorded in the condensed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20 of 26</w:t>
      </w:r>
    </w:p>
    <w:p>
      <w:pPr>
        <w:sectPr>
          <w:pgSz w:w="11900" w:h="16838" w:orient="portrait"/>
          <w:cols w:equalWidth="0" w:num="1">
            <w:col w:w="11240"/>
          </w:cols>
          <w:pgMar w:left="320" w:top="233" w:right="339" w:bottom="1440" w:gutter="0" w:footer="0" w:header="0"/>
        </w:sectPr>
      </w:pPr>
    </w:p>
    <w:bookmarkStart w:id="23" w:name="page24"/>
    <w:bookmarkEnd w:id="23"/>
    <w:p>
      <w:pPr>
        <w:ind w:left="80"/>
        <w:spacing w:after="0"/>
        <w:rPr>
          <w:sz w:val="20"/>
          <w:szCs w:val="20"/>
          <w:color w:val="auto"/>
        </w:rPr>
      </w:pPr>
      <w:r>
        <w:rPr>
          <w:rFonts w:ascii="Arial" w:cs="Arial" w:eastAsia="Arial" w:hAnsi="Arial"/>
          <w:sz w:val="22"/>
          <w:szCs w:val="22"/>
          <w:b w:val="1"/>
          <w:bCs w:val="1"/>
          <w:color w:val="auto"/>
        </w:rPr>
        <w:t>CYBIN INC.</w:t>
      </w:r>
    </w:p>
    <w:p>
      <w:pPr>
        <w:spacing w:after="0" w:line="26" w:lineRule="exact"/>
        <w:rPr>
          <w:sz w:val="20"/>
          <w:szCs w:val="20"/>
          <w:color w:val="auto"/>
        </w:rPr>
      </w:pPr>
    </w:p>
    <w:p>
      <w:pPr>
        <w:ind w:left="80"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September 30, 2025</w:t>
      </w:r>
    </w:p>
    <w:p>
      <w:pPr>
        <w:spacing w:after="0" w:line="1" w:lineRule="exact"/>
        <w:rPr>
          <w:sz w:val="20"/>
          <w:szCs w:val="20"/>
          <w:color w:val="auto"/>
        </w:rPr>
      </w:pPr>
    </w:p>
    <w:p>
      <w:pPr>
        <w:ind w:left="80"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340"/>
        <w:spacing w:after="0" w:line="298" w:lineRule="auto"/>
        <w:rPr>
          <w:sz w:val="20"/>
          <w:szCs w:val="20"/>
          <w:color w:val="auto"/>
        </w:rPr>
      </w:pPr>
      <w:r>
        <w:rPr>
          <w:rFonts w:ascii="Arial" w:cs="Arial" w:eastAsia="Arial" w:hAnsi="Arial"/>
          <w:sz w:val="18"/>
          <w:szCs w:val="18"/>
          <w:color w:val="auto"/>
        </w:rPr>
        <w:t>As of the September 30, 2025, no litigation or class proceedings have been commenced or certified. The Company is aware that certain U.S. plaintiff law firms have announced that they are investigating the Company following the Company’s news release dated September 2, 2025, announcing the resignation of the Company’s former chief executive officer. Should any litigation or class actions that the Company becomes involved in be unable to be resolved favourably or if any claims or litigation are determined against the Company, the Company’s financial position, operating results and the trading price of the Common Shares could be materially adversely affected.</w:t>
      </w:r>
    </w:p>
    <w:p>
      <w:pPr>
        <w:spacing w:after="0" w:line="146" w:lineRule="exact"/>
        <w:rPr>
          <w:sz w:val="20"/>
          <w:szCs w:val="20"/>
          <w:color w:val="auto"/>
        </w:rPr>
      </w:pPr>
    </w:p>
    <w:p>
      <w:pPr>
        <w:jc w:val="both"/>
        <w:ind w:left="340"/>
        <w:spacing w:after="0" w:line="308" w:lineRule="auto"/>
        <w:rPr>
          <w:sz w:val="20"/>
          <w:szCs w:val="20"/>
          <w:color w:val="auto"/>
        </w:rPr>
      </w:pPr>
      <w:r>
        <w:rPr>
          <w:rFonts w:ascii="Arial" w:cs="Arial" w:eastAsia="Arial" w:hAnsi="Arial"/>
          <w:sz w:val="18"/>
          <w:szCs w:val="18"/>
          <w:color w:val="auto"/>
        </w:rPr>
        <w:t>In the normal course of business, the Company may be subject to legal proceedings and claims. As at September 30, 2025, there was no ongoing litigation and therefore no contingent liabilities have been recorded in the condensed interim consolidated financial statements.</w:t>
      </w:r>
    </w:p>
    <w:p>
      <w:pPr>
        <w:spacing w:after="0" w:line="135"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2D5F91"/>
        </w:rPr>
      </w:pPr>
      <w:r>
        <w:rPr>
          <w:rFonts w:ascii="Arial" w:cs="Arial" w:eastAsia="Arial" w:hAnsi="Arial"/>
          <w:sz w:val="18"/>
          <w:szCs w:val="18"/>
          <w:b w:val="1"/>
          <w:bCs w:val="1"/>
          <w:color w:val="2D5F91"/>
        </w:rPr>
        <w:t>CAPITAL MANAGEMENT</w:t>
      </w:r>
    </w:p>
    <w:p>
      <w:pPr>
        <w:spacing w:after="0" w:line="225" w:lineRule="exact"/>
        <w:rPr>
          <w:sz w:val="20"/>
          <w:szCs w:val="20"/>
          <w:color w:val="auto"/>
        </w:rPr>
      </w:pPr>
    </w:p>
    <w:p>
      <w:pPr>
        <w:jc w:val="both"/>
        <w:ind w:left="340"/>
        <w:spacing w:after="0" w:line="295" w:lineRule="auto"/>
        <w:rPr>
          <w:sz w:val="20"/>
          <w:szCs w:val="20"/>
          <w:color w:val="auto"/>
        </w:rPr>
      </w:pPr>
      <w:r>
        <w:rPr>
          <w:rFonts w:ascii="Arial" w:cs="Arial" w:eastAsia="Arial" w:hAnsi="Arial"/>
          <w:sz w:val="18"/>
          <w:szCs w:val="18"/>
          <w:color w:val="auto"/>
        </w:rPr>
        <w:t>The Company’s objectives when managing capital are to safeguard the Company’s ability to continue as a going concern in order to pursue business opportunities and to maintain a flexible capital structure that optimizes the costs of capital at an acceptable risk. The Company’s intentions are to (i) provide financial capacity and flexibility in order to preserve its ability to meet its strategic objectives and financial obligations; (ii) maintain a capital structure which allows the Company to respond to changes in economic and marketplace conditions and affords the Company the ability to participate in new investments; (iii) optimize the use of its capital to provide an appropriate investment return to its shareholders equal with the level of risk; and (iv) maintain a flexible capital structure which optimizes the cost of capital at acceptable levels of risk.</w:t>
      </w:r>
    </w:p>
    <w:p>
      <w:pPr>
        <w:spacing w:after="0" w:line="150" w:lineRule="exact"/>
        <w:rPr>
          <w:sz w:val="20"/>
          <w:szCs w:val="20"/>
          <w:color w:val="auto"/>
        </w:rPr>
      </w:pPr>
    </w:p>
    <w:p>
      <w:pPr>
        <w:jc w:val="both"/>
        <w:ind w:left="340"/>
        <w:spacing w:after="0" w:line="299" w:lineRule="auto"/>
        <w:rPr>
          <w:sz w:val="20"/>
          <w:szCs w:val="20"/>
          <w:color w:val="auto"/>
        </w:rPr>
      </w:pPr>
      <w:r>
        <w:rPr>
          <w:rFonts w:ascii="Arial" w:cs="Arial" w:eastAsia="Arial" w:hAnsi="Arial"/>
          <w:sz w:val="18"/>
          <w:szCs w:val="18"/>
          <w:color w:val="auto"/>
        </w:rPr>
        <w:t>The Company’s financial strategy is formulated and adapted according to market conditions in order to maintain a flexible capital structure that is consistent with its objectives and the risk characteristics of its underlying assets. The Company manages its capital structure and makes adjustments to it in light of changes in economic conditions and the risk characteristics of its underlying assets. The Company maintains or adjusts its capital level to enable it to meet its objectives by raising capital through the issuance of securities.</w:t>
      </w:r>
    </w:p>
    <w:p>
      <w:pPr>
        <w:spacing w:after="0" w:line="143" w:lineRule="exact"/>
        <w:rPr>
          <w:sz w:val="20"/>
          <w:szCs w:val="20"/>
          <w:color w:val="auto"/>
        </w:rPr>
      </w:pPr>
    </w:p>
    <w:p>
      <w:pPr>
        <w:jc w:val="both"/>
        <w:ind w:left="340"/>
        <w:spacing w:after="0" w:line="334" w:lineRule="auto"/>
        <w:rPr>
          <w:sz w:val="20"/>
          <w:szCs w:val="20"/>
          <w:color w:val="auto"/>
        </w:rPr>
      </w:pPr>
      <w:r>
        <w:rPr>
          <w:rFonts w:ascii="Arial" w:cs="Arial" w:eastAsia="Arial" w:hAnsi="Arial"/>
          <w:sz w:val="18"/>
          <w:szCs w:val="18"/>
          <w:color w:val="auto"/>
        </w:rPr>
        <w:t>The Company’s capital management objectives, policies and processes generally remained unchanged during the six months ended September 30, 2025.</w:t>
      </w:r>
    </w:p>
    <w:p>
      <w:pPr>
        <w:spacing w:after="0" w:line="112" w:lineRule="exact"/>
        <w:rPr>
          <w:sz w:val="20"/>
          <w:szCs w:val="20"/>
          <w:color w:val="auto"/>
        </w:rPr>
      </w:pPr>
    </w:p>
    <w:p>
      <w:pPr>
        <w:jc w:val="both"/>
        <w:ind w:left="340"/>
        <w:spacing w:after="0" w:line="318" w:lineRule="auto"/>
        <w:rPr>
          <w:sz w:val="20"/>
          <w:szCs w:val="20"/>
          <w:color w:val="auto"/>
        </w:rPr>
      </w:pPr>
      <w:r>
        <w:rPr>
          <w:rFonts w:ascii="Arial" w:cs="Arial" w:eastAsia="Arial" w:hAnsi="Arial"/>
          <w:sz w:val="18"/>
          <w:szCs w:val="18"/>
          <w:color w:val="auto"/>
        </w:rPr>
        <w:t>The Company requires capital to fund existing and future operations. The Company’s policy is to maintain adequate levels of capital at all times.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21 of 26</w:t>
      </w:r>
    </w:p>
    <w:p>
      <w:pPr>
        <w:sectPr>
          <w:pgSz w:w="11900" w:h="16838" w:orient="portrait"/>
          <w:cols w:equalWidth="0" w:num="1">
            <w:col w:w="11240"/>
          </w:cols>
          <w:pgMar w:left="320" w:top="233" w:right="339" w:bottom="1440" w:gutter="0" w:footer="0" w:header="0"/>
        </w:sectPr>
      </w:pPr>
    </w:p>
    <w:bookmarkStart w:id="24" w:name="page25"/>
    <w:bookmarkEnd w:id="24"/>
    <w:p>
      <w:pPr>
        <w:ind w:left="72"/>
        <w:spacing w:after="0"/>
        <w:rPr>
          <w:sz w:val="20"/>
          <w:szCs w:val="20"/>
          <w:color w:val="auto"/>
        </w:rPr>
      </w:pPr>
      <w:r>
        <w:rPr>
          <w:rFonts w:ascii="Arial" w:cs="Arial" w:eastAsia="Arial" w:hAnsi="Arial"/>
          <w:sz w:val="22"/>
          <w:szCs w:val="22"/>
          <w:b w:val="1"/>
          <w:bCs w:val="1"/>
          <w:color w:val="auto"/>
        </w:rPr>
        <w:t>CYBIN INC.</w:t>
      </w:r>
    </w:p>
    <w:p>
      <w:pPr>
        <w:spacing w:after="0" w:line="26" w:lineRule="exact"/>
        <w:rPr>
          <w:sz w:val="20"/>
          <w:szCs w:val="20"/>
          <w:color w:val="auto"/>
        </w:rPr>
      </w:pPr>
    </w:p>
    <w:p>
      <w:pPr>
        <w:ind w:left="72"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September 30, 2025</w:t>
      </w:r>
    </w:p>
    <w:p>
      <w:pPr>
        <w:spacing w:after="0" w:line="1" w:lineRule="exact"/>
        <w:rPr>
          <w:sz w:val="20"/>
          <w:szCs w:val="20"/>
          <w:color w:val="auto"/>
        </w:rPr>
      </w:pPr>
    </w:p>
    <w:p>
      <w:pPr>
        <w:ind w:left="72"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332" w:type="dxa"/>
        <w:tblCellMar>
          <w:top w:w="0" w:type="dxa"/>
          <w:left w:w="0" w:type="dxa"/>
          <w:bottom w:w="0" w:type="dxa"/>
          <w:right w:w="0" w:type="dxa"/>
        </w:tblCellMar>
      </w:tblPr>
      <w:tr>
        <w:trPr>
          <w:trHeight w:val="239"/>
        </w:trPr>
        <w:tc>
          <w:tcPr>
            <w:tcW w:w="5640" w:type="dxa"/>
            <w:vAlign w:val="bottom"/>
          </w:tcPr>
          <w:p>
            <w:pPr>
              <w:spacing w:after="0"/>
              <w:rPr>
                <w:sz w:val="20"/>
                <w:szCs w:val="20"/>
                <w:color w:val="auto"/>
              </w:rPr>
            </w:pPr>
            <w:r>
              <w:rPr>
                <w:rFonts w:ascii="Arial" w:cs="Arial" w:eastAsia="Arial" w:hAnsi="Arial"/>
                <w:sz w:val="18"/>
                <w:szCs w:val="18"/>
                <w:color w:val="auto"/>
              </w:rPr>
              <w:t>The Company’s capital structure includes the following:</w:t>
            </w:r>
          </w:p>
        </w:tc>
        <w:tc>
          <w:tcPr>
            <w:tcW w:w="31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52"/>
        </w:trPr>
        <w:tc>
          <w:tcPr>
            <w:tcW w:w="5640" w:type="dxa"/>
            <w:vAlign w:val="bottom"/>
          </w:tcPr>
          <w:p>
            <w:pPr>
              <w:ind w:left="60"/>
              <w:spacing w:after="0"/>
              <w:rPr>
                <w:sz w:val="20"/>
                <w:szCs w:val="20"/>
                <w:color w:val="auto"/>
              </w:rPr>
            </w:pPr>
            <w:r>
              <w:rPr>
                <w:rFonts w:ascii="Arial" w:cs="Arial" w:eastAsia="Arial" w:hAnsi="Arial"/>
                <w:sz w:val="18"/>
                <w:szCs w:val="18"/>
                <w:b w:val="1"/>
                <w:bCs w:val="1"/>
                <w:color w:val="auto"/>
              </w:rPr>
              <w:t>As at</w:t>
            </w:r>
          </w:p>
        </w:tc>
        <w:tc>
          <w:tcPr>
            <w:tcW w:w="3140" w:type="dxa"/>
            <w:vAlign w:val="bottom"/>
          </w:tcPr>
          <w:p>
            <w:pPr>
              <w:jc w:val="right"/>
              <w:ind w:right="110"/>
              <w:spacing w:after="0"/>
              <w:rPr>
                <w:sz w:val="20"/>
                <w:szCs w:val="20"/>
                <w:color w:val="auto"/>
              </w:rPr>
            </w:pPr>
            <w:r>
              <w:rPr>
                <w:rFonts w:ascii="Arial" w:cs="Arial" w:eastAsia="Arial" w:hAnsi="Arial"/>
                <w:sz w:val="18"/>
                <w:szCs w:val="18"/>
                <w:b w:val="1"/>
                <w:bCs w:val="1"/>
                <w:color w:val="auto"/>
              </w:rPr>
              <w:t>September 30, 2025</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March 31, 2025</w:t>
            </w:r>
          </w:p>
        </w:tc>
      </w:tr>
      <w:tr>
        <w:trPr>
          <w:trHeight w:val="237"/>
        </w:trPr>
        <w:tc>
          <w:tcPr>
            <w:tcW w:w="56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i w:val="1"/>
                <w:iCs w:val="1"/>
                <w:color w:val="auto"/>
              </w:rPr>
              <w:t>Restated - Note 2</w:t>
            </w:r>
          </w:p>
        </w:tc>
      </w:tr>
      <w:tr>
        <w:trPr>
          <w:trHeight w:val="305"/>
        </w:trPr>
        <w:tc>
          <w:tcPr>
            <w:tcW w:w="5640" w:type="dxa"/>
            <w:vAlign w:val="bottom"/>
          </w:tcPr>
          <w:p>
            <w:pPr>
              <w:spacing w:after="0"/>
              <w:rPr>
                <w:sz w:val="24"/>
                <w:szCs w:val="24"/>
                <w:color w:val="auto"/>
              </w:rPr>
            </w:pPr>
          </w:p>
        </w:tc>
        <w:tc>
          <w:tcPr>
            <w:tcW w:w="314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2"/>
        </w:trPr>
        <w:tc>
          <w:tcPr>
            <w:tcW w:w="5640" w:type="dxa"/>
            <w:vAlign w:val="bottom"/>
            <w:tcBorders>
              <w:bottom w:val="single" w:sz="8" w:color="auto"/>
            </w:tcBorders>
          </w:tcPr>
          <w:p>
            <w:pPr>
              <w:spacing w:after="0"/>
              <w:rPr>
                <w:sz w:val="3"/>
                <w:szCs w:val="3"/>
                <w:color w:val="auto"/>
              </w:rPr>
            </w:pPr>
          </w:p>
        </w:tc>
        <w:tc>
          <w:tcPr>
            <w:tcW w:w="3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18"/>
        </w:trPr>
        <w:tc>
          <w:tcPr>
            <w:tcW w:w="5640" w:type="dxa"/>
            <w:vAlign w:val="bottom"/>
          </w:tcPr>
          <w:p>
            <w:pPr>
              <w:ind w:left="60"/>
              <w:spacing w:after="0"/>
              <w:rPr>
                <w:sz w:val="20"/>
                <w:szCs w:val="20"/>
                <w:color w:val="auto"/>
              </w:rPr>
            </w:pPr>
            <w:r>
              <w:rPr>
                <w:rFonts w:ascii="Arial" w:cs="Arial" w:eastAsia="Arial" w:hAnsi="Arial"/>
                <w:sz w:val="18"/>
                <w:szCs w:val="18"/>
                <w:color w:val="auto"/>
              </w:rPr>
              <w:t>Shareholders’ equity comprised of:</w:t>
            </w:r>
          </w:p>
        </w:tc>
        <w:tc>
          <w:tcPr>
            <w:tcW w:w="31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5640" w:type="dxa"/>
            <w:vAlign w:val="bottom"/>
          </w:tcPr>
          <w:p>
            <w:pPr>
              <w:ind w:left="160"/>
              <w:spacing w:after="0"/>
              <w:rPr>
                <w:sz w:val="20"/>
                <w:szCs w:val="20"/>
                <w:color w:val="auto"/>
              </w:rPr>
            </w:pPr>
            <w:r>
              <w:rPr>
                <w:rFonts w:ascii="Arial" w:cs="Arial" w:eastAsia="Arial" w:hAnsi="Arial"/>
                <w:sz w:val="18"/>
                <w:szCs w:val="18"/>
                <w:color w:val="auto"/>
              </w:rPr>
              <w:t>Share capital</w:t>
            </w:r>
          </w:p>
        </w:tc>
        <w:tc>
          <w:tcPr>
            <w:tcW w:w="3140" w:type="dxa"/>
            <w:vAlign w:val="bottom"/>
          </w:tcPr>
          <w:p>
            <w:pPr>
              <w:jc w:val="right"/>
              <w:ind w:right="170"/>
              <w:spacing w:after="0"/>
              <w:rPr>
                <w:sz w:val="20"/>
                <w:szCs w:val="20"/>
                <w:color w:val="auto"/>
              </w:rPr>
            </w:pPr>
            <w:r>
              <w:rPr>
                <w:rFonts w:ascii="Arial" w:cs="Arial" w:eastAsia="Arial" w:hAnsi="Arial"/>
                <w:sz w:val="18"/>
                <w:szCs w:val="18"/>
                <w:b w:val="1"/>
                <w:bCs w:val="1"/>
                <w:color w:val="auto"/>
              </w:rPr>
              <w:t>353,587</w:t>
            </w:r>
          </w:p>
        </w:tc>
        <w:tc>
          <w:tcPr>
            <w:tcW w:w="1680" w:type="dxa"/>
            <w:vAlign w:val="bottom"/>
          </w:tcPr>
          <w:p>
            <w:pPr>
              <w:jc w:val="right"/>
              <w:spacing w:after="0"/>
              <w:rPr>
                <w:sz w:val="20"/>
                <w:szCs w:val="20"/>
                <w:color w:val="auto"/>
              </w:rPr>
            </w:pPr>
            <w:r>
              <w:rPr>
                <w:rFonts w:ascii="Arial" w:cs="Arial" w:eastAsia="Arial" w:hAnsi="Arial"/>
                <w:sz w:val="18"/>
                <w:szCs w:val="18"/>
                <w:color w:val="auto"/>
              </w:rPr>
              <w:t>344,949</w:t>
            </w:r>
          </w:p>
        </w:tc>
      </w:tr>
      <w:tr>
        <w:trPr>
          <w:trHeight w:val="229"/>
        </w:trPr>
        <w:tc>
          <w:tcPr>
            <w:tcW w:w="5640" w:type="dxa"/>
            <w:vAlign w:val="bottom"/>
          </w:tcPr>
          <w:p>
            <w:pPr>
              <w:ind w:left="160"/>
              <w:spacing w:after="0"/>
              <w:rPr>
                <w:sz w:val="20"/>
                <w:szCs w:val="20"/>
                <w:color w:val="auto"/>
              </w:rPr>
            </w:pPr>
            <w:r>
              <w:rPr>
                <w:rFonts w:ascii="Arial" w:cs="Arial" w:eastAsia="Arial" w:hAnsi="Arial"/>
                <w:sz w:val="18"/>
                <w:szCs w:val="18"/>
                <w:color w:val="auto"/>
              </w:rPr>
              <w:t>Contributed surplus</w:t>
            </w:r>
          </w:p>
        </w:tc>
        <w:tc>
          <w:tcPr>
            <w:tcW w:w="3140" w:type="dxa"/>
            <w:vAlign w:val="bottom"/>
          </w:tcPr>
          <w:p>
            <w:pPr>
              <w:jc w:val="right"/>
              <w:ind w:right="170"/>
              <w:spacing w:after="0"/>
              <w:rPr>
                <w:sz w:val="20"/>
                <w:szCs w:val="20"/>
                <w:color w:val="auto"/>
              </w:rPr>
            </w:pPr>
            <w:r>
              <w:rPr>
                <w:rFonts w:ascii="Arial" w:cs="Arial" w:eastAsia="Arial" w:hAnsi="Arial"/>
                <w:sz w:val="18"/>
                <w:szCs w:val="18"/>
                <w:b w:val="1"/>
                <w:bCs w:val="1"/>
                <w:color w:val="auto"/>
              </w:rPr>
              <w:t>32,153</w:t>
            </w:r>
          </w:p>
        </w:tc>
        <w:tc>
          <w:tcPr>
            <w:tcW w:w="1680" w:type="dxa"/>
            <w:vAlign w:val="bottom"/>
          </w:tcPr>
          <w:p>
            <w:pPr>
              <w:jc w:val="right"/>
              <w:spacing w:after="0"/>
              <w:rPr>
                <w:sz w:val="20"/>
                <w:szCs w:val="20"/>
                <w:color w:val="auto"/>
              </w:rPr>
            </w:pPr>
            <w:r>
              <w:rPr>
                <w:rFonts w:ascii="Arial" w:cs="Arial" w:eastAsia="Arial" w:hAnsi="Arial"/>
                <w:sz w:val="18"/>
                <w:szCs w:val="18"/>
                <w:color w:val="auto"/>
              </w:rPr>
              <w:t>32,626</w:t>
            </w:r>
          </w:p>
        </w:tc>
      </w:tr>
      <w:tr>
        <w:trPr>
          <w:trHeight w:val="229"/>
        </w:trPr>
        <w:tc>
          <w:tcPr>
            <w:tcW w:w="5640" w:type="dxa"/>
            <w:vAlign w:val="bottom"/>
          </w:tcPr>
          <w:p>
            <w:pPr>
              <w:ind w:left="160"/>
              <w:spacing w:after="0"/>
              <w:rPr>
                <w:sz w:val="20"/>
                <w:szCs w:val="20"/>
                <w:color w:val="auto"/>
              </w:rPr>
            </w:pPr>
            <w:r>
              <w:rPr>
                <w:rFonts w:ascii="Arial" w:cs="Arial" w:eastAsia="Arial" w:hAnsi="Arial"/>
                <w:sz w:val="18"/>
                <w:szCs w:val="18"/>
                <w:color w:val="auto"/>
              </w:rPr>
              <w:t>Options reserve</w:t>
            </w:r>
          </w:p>
        </w:tc>
        <w:tc>
          <w:tcPr>
            <w:tcW w:w="3140" w:type="dxa"/>
            <w:vAlign w:val="bottom"/>
          </w:tcPr>
          <w:p>
            <w:pPr>
              <w:jc w:val="right"/>
              <w:ind w:right="170"/>
              <w:spacing w:after="0"/>
              <w:rPr>
                <w:sz w:val="20"/>
                <w:szCs w:val="20"/>
                <w:color w:val="auto"/>
              </w:rPr>
            </w:pPr>
            <w:r>
              <w:rPr>
                <w:rFonts w:ascii="Arial" w:cs="Arial" w:eastAsia="Arial" w:hAnsi="Arial"/>
                <w:sz w:val="18"/>
                <w:szCs w:val="18"/>
                <w:b w:val="1"/>
                <w:bCs w:val="1"/>
                <w:color w:val="auto"/>
              </w:rPr>
              <w:t>33,198</w:t>
            </w:r>
          </w:p>
        </w:tc>
        <w:tc>
          <w:tcPr>
            <w:tcW w:w="1680" w:type="dxa"/>
            <w:vAlign w:val="bottom"/>
          </w:tcPr>
          <w:p>
            <w:pPr>
              <w:jc w:val="right"/>
              <w:spacing w:after="0"/>
              <w:rPr>
                <w:sz w:val="20"/>
                <w:szCs w:val="20"/>
                <w:color w:val="auto"/>
              </w:rPr>
            </w:pPr>
            <w:r>
              <w:rPr>
                <w:rFonts w:ascii="Arial" w:cs="Arial" w:eastAsia="Arial" w:hAnsi="Arial"/>
                <w:sz w:val="18"/>
                <w:szCs w:val="18"/>
                <w:color w:val="auto"/>
              </w:rPr>
              <w:t>36,262</w:t>
            </w:r>
          </w:p>
        </w:tc>
      </w:tr>
      <w:tr>
        <w:trPr>
          <w:trHeight w:val="230"/>
        </w:trPr>
        <w:tc>
          <w:tcPr>
            <w:tcW w:w="5640" w:type="dxa"/>
            <w:vAlign w:val="bottom"/>
          </w:tcPr>
          <w:p>
            <w:pPr>
              <w:ind w:left="160"/>
              <w:spacing w:after="0"/>
              <w:rPr>
                <w:sz w:val="20"/>
                <w:szCs w:val="20"/>
                <w:color w:val="auto"/>
              </w:rPr>
            </w:pPr>
            <w:r>
              <w:rPr>
                <w:rFonts w:ascii="Arial" w:cs="Arial" w:eastAsia="Arial" w:hAnsi="Arial"/>
                <w:sz w:val="18"/>
                <w:szCs w:val="18"/>
                <w:color w:val="auto"/>
              </w:rPr>
              <w:t>Warrants reserve</w:t>
            </w:r>
          </w:p>
        </w:tc>
        <w:tc>
          <w:tcPr>
            <w:tcW w:w="3140" w:type="dxa"/>
            <w:vAlign w:val="bottom"/>
          </w:tcPr>
          <w:p>
            <w:pPr>
              <w:jc w:val="right"/>
              <w:ind w:right="170"/>
              <w:spacing w:after="0"/>
              <w:rPr>
                <w:sz w:val="20"/>
                <w:szCs w:val="20"/>
                <w:color w:val="auto"/>
              </w:rPr>
            </w:pPr>
            <w:r>
              <w:rPr>
                <w:rFonts w:ascii="Arial" w:cs="Arial" w:eastAsia="Arial" w:hAnsi="Arial"/>
                <w:sz w:val="18"/>
                <w:szCs w:val="18"/>
                <w:b w:val="1"/>
                <w:bCs w:val="1"/>
                <w:color w:val="auto"/>
              </w:rPr>
              <w:t>19,194</w:t>
            </w:r>
          </w:p>
        </w:tc>
        <w:tc>
          <w:tcPr>
            <w:tcW w:w="1680" w:type="dxa"/>
            <w:vAlign w:val="bottom"/>
          </w:tcPr>
          <w:p>
            <w:pPr>
              <w:jc w:val="right"/>
              <w:spacing w:after="0"/>
              <w:rPr>
                <w:sz w:val="20"/>
                <w:szCs w:val="20"/>
                <w:color w:val="auto"/>
              </w:rPr>
            </w:pPr>
            <w:r>
              <w:rPr>
                <w:rFonts w:ascii="Arial" w:cs="Arial" w:eastAsia="Arial" w:hAnsi="Arial"/>
                <w:sz w:val="18"/>
                <w:szCs w:val="18"/>
                <w:color w:val="auto"/>
              </w:rPr>
              <w:t>20,493</w:t>
            </w:r>
          </w:p>
        </w:tc>
      </w:tr>
      <w:tr>
        <w:trPr>
          <w:trHeight w:val="229"/>
        </w:trPr>
        <w:tc>
          <w:tcPr>
            <w:tcW w:w="5640" w:type="dxa"/>
            <w:vAlign w:val="bottom"/>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3140" w:type="dxa"/>
            <w:vAlign w:val="bottom"/>
          </w:tcPr>
          <w:p>
            <w:pPr>
              <w:jc w:val="right"/>
              <w:ind w:right="170"/>
              <w:spacing w:after="0"/>
              <w:rPr>
                <w:sz w:val="20"/>
                <w:szCs w:val="20"/>
                <w:color w:val="auto"/>
              </w:rPr>
            </w:pPr>
            <w:r>
              <w:rPr>
                <w:rFonts w:ascii="Arial" w:cs="Arial" w:eastAsia="Arial" w:hAnsi="Arial"/>
                <w:sz w:val="18"/>
                <w:szCs w:val="18"/>
                <w:b w:val="1"/>
                <w:bCs w:val="1"/>
                <w:color w:val="auto"/>
              </w:rPr>
              <w:t>736</w:t>
            </w:r>
          </w:p>
        </w:tc>
        <w:tc>
          <w:tcPr>
            <w:tcW w:w="1680" w:type="dxa"/>
            <w:vAlign w:val="bottom"/>
          </w:tcPr>
          <w:p>
            <w:pPr>
              <w:jc w:val="right"/>
              <w:spacing w:after="0"/>
              <w:rPr>
                <w:sz w:val="20"/>
                <w:szCs w:val="20"/>
                <w:color w:val="auto"/>
              </w:rPr>
            </w:pPr>
            <w:r>
              <w:rPr>
                <w:rFonts w:ascii="Arial" w:cs="Arial" w:eastAsia="Arial" w:hAnsi="Arial"/>
                <w:sz w:val="18"/>
                <w:szCs w:val="18"/>
                <w:color w:val="auto"/>
              </w:rPr>
              <w:t>(13,940)</w:t>
            </w:r>
          </w:p>
        </w:tc>
      </w:tr>
      <w:tr>
        <w:trPr>
          <w:trHeight w:val="235"/>
        </w:trPr>
        <w:tc>
          <w:tcPr>
            <w:tcW w:w="5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Deficit</w:t>
            </w:r>
          </w:p>
        </w:tc>
        <w:tc>
          <w:tcPr>
            <w:tcW w:w="3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(299,872)</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(255,393)</w:t>
            </w:r>
          </w:p>
        </w:tc>
      </w:tr>
      <w:tr>
        <w:trPr>
          <w:trHeight w:val="223"/>
        </w:trPr>
        <w:tc>
          <w:tcPr>
            <w:tcW w:w="56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3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138,996</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164,997</w:t>
            </w:r>
          </w:p>
        </w:tc>
      </w:tr>
    </w:tbl>
    <w:p>
      <w:pPr>
        <w:spacing w:after="0" w:line="200" w:lineRule="exact"/>
        <w:rPr>
          <w:sz w:val="20"/>
          <w:szCs w:val="20"/>
          <w:color w:val="auto"/>
        </w:rPr>
      </w:pPr>
    </w:p>
    <w:p>
      <w:pPr>
        <w:spacing w:after="0" w:line="308" w:lineRule="exact"/>
        <w:rPr>
          <w:sz w:val="20"/>
          <w:szCs w:val="20"/>
          <w:color w:val="auto"/>
        </w:rPr>
      </w:pPr>
    </w:p>
    <w:p>
      <w:pPr>
        <w:ind w:left="452" w:hanging="452"/>
        <w:spacing w:after="0"/>
        <w:tabs>
          <w:tab w:leader="none" w:pos="452" w:val="left"/>
        </w:tabs>
        <w:numPr>
          <w:ilvl w:val="0"/>
          <w:numId w:val="14"/>
        </w:numPr>
        <w:rPr>
          <w:rFonts w:ascii="Arial" w:cs="Arial" w:eastAsia="Arial" w:hAnsi="Arial"/>
          <w:sz w:val="18"/>
          <w:szCs w:val="18"/>
          <w:b w:val="1"/>
          <w:bCs w:val="1"/>
          <w:color w:val="2D5F91"/>
        </w:rPr>
      </w:pPr>
      <w:r>
        <w:rPr>
          <w:rFonts w:ascii="Arial" w:cs="Arial" w:eastAsia="Arial" w:hAnsi="Arial"/>
          <w:sz w:val="18"/>
          <w:szCs w:val="18"/>
          <w:b w:val="1"/>
          <w:bCs w:val="1"/>
          <w:color w:val="2D5F91"/>
        </w:rPr>
        <w:t>FINANCIAL INSTRUMENTS</w:t>
      </w:r>
    </w:p>
    <w:p>
      <w:pPr>
        <w:spacing w:after="0" w:line="225" w:lineRule="exact"/>
        <w:rPr>
          <w:sz w:val="20"/>
          <w:szCs w:val="20"/>
          <w:color w:val="auto"/>
        </w:rPr>
      </w:pPr>
    </w:p>
    <w:p>
      <w:pPr>
        <w:ind w:left="332"/>
        <w:spacing w:after="0" w:line="334" w:lineRule="auto"/>
        <w:rPr>
          <w:sz w:val="20"/>
          <w:szCs w:val="20"/>
          <w:color w:val="auto"/>
        </w:rPr>
      </w:pPr>
      <w:r>
        <w:rPr>
          <w:rFonts w:ascii="Arial" w:cs="Arial" w:eastAsia="Arial" w:hAnsi="Arial"/>
          <w:sz w:val="18"/>
          <w:szCs w:val="18"/>
          <w:color w:val="auto"/>
        </w:rPr>
        <w:t>The Company’s financial instruments are exposed to certain financial risks, which include currency risk, credit risk, liquidity risk and interest rate risk.</w:t>
      </w:r>
    </w:p>
    <w:p>
      <w:pPr>
        <w:spacing w:after="0" w:line="99" w:lineRule="exact"/>
        <w:rPr>
          <w:sz w:val="20"/>
          <w:szCs w:val="20"/>
          <w:color w:val="auto"/>
        </w:rPr>
      </w:pPr>
    </w:p>
    <w:tbl>
      <w:tblPr>
        <w:tblLayout w:type="fixed"/>
        <w:tblInd w:w="332" w:type="dxa"/>
        <w:tblCellMar>
          <w:top w:w="0" w:type="dxa"/>
          <w:left w:w="0" w:type="dxa"/>
          <w:bottom w:w="0" w:type="dxa"/>
          <w:right w:w="0" w:type="dxa"/>
        </w:tblCellMar>
      </w:tblPr>
      <w:tr>
        <w:trPr>
          <w:trHeight w:val="239"/>
        </w:trPr>
        <w:tc>
          <w:tcPr>
            <w:tcW w:w="6000" w:type="dxa"/>
            <w:vAlign w:val="bottom"/>
          </w:tcPr>
          <w:p>
            <w:pPr>
              <w:spacing w:after="0"/>
              <w:rPr>
                <w:sz w:val="20"/>
                <w:szCs w:val="20"/>
                <w:color w:val="auto"/>
              </w:rPr>
            </w:pPr>
            <w:r>
              <w:rPr>
                <w:rFonts w:ascii="Arial" w:cs="Arial" w:eastAsia="Arial" w:hAnsi="Arial"/>
                <w:sz w:val="18"/>
                <w:szCs w:val="18"/>
                <w:color w:val="auto"/>
              </w:rPr>
              <w:t>The Company has classified its financial instruments as follows:</w:t>
            </w:r>
          </w:p>
        </w:tc>
        <w:tc>
          <w:tcPr>
            <w:tcW w:w="28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52"/>
        </w:trPr>
        <w:tc>
          <w:tcPr>
            <w:tcW w:w="6000" w:type="dxa"/>
            <w:vAlign w:val="bottom"/>
          </w:tcPr>
          <w:p>
            <w:pPr>
              <w:ind w:left="60"/>
              <w:spacing w:after="0"/>
              <w:rPr>
                <w:sz w:val="20"/>
                <w:szCs w:val="20"/>
                <w:color w:val="auto"/>
              </w:rPr>
            </w:pPr>
            <w:r>
              <w:rPr>
                <w:rFonts w:ascii="Arial" w:cs="Arial" w:eastAsia="Arial" w:hAnsi="Arial"/>
                <w:sz w:val="18"/>
                <w:szCs w:val="18"/>
                <w:b w:val="1"/>
                <w:bCs w:val="1"/>
                <w:color w:val="auto"/>
              </w:rPr>
              <w:t>As at</w:t>
            </w:r>
          </w:p>
        </w:tc>
        <w:tc>
          <w:tcPr>
            <w:tcW w:w="2800" w:type="dxa"/>
            <w:vAlign w:val="bottom"/>
          </w:tcPr>
          <w:p>
            <w:pPr>
              <w:jc w:val="right"/>
              <w:ind w:right="110"/>
              <w:spacing w:after="0"/>
              <w:rPr>
                <w:sz w:val="20"/>
                <w:szCs w:val="20"/>
                <w:color w:val="auto"/>
              </w:rPr>
            </w:pPr>
            <w:r>
              <w:rPr>
                <w:rFonts w:ascii="Arial" w:cs="Arial" w:eastAsia="Arial" w:hAnsi="Arial"/>
                <w:sz w:val="18"/>
                <w:szCs w:val="18"/>
                <w:b w:val="1"/>
                <w:bCs w:val="1"/>
                <w:color w:val="auto"/>
              </w:rPr>
              <w:t>September 30, 2025</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March 31, 2025</w:t>
            </w:r>
          </w:p>
        </w:tc>
      </w:tr>
      <w:tr>
        <w:trPr>
          <w:trHeight w:val="237"/>
        </w:trPr>
        <w:tc>
          <w:tcPr>
            <w:tcW w:w="60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i w:val="1"/>
                <w:iCs w:val="1"/>
                <w:color w:val="auto"/>
              </w:rPr>
              <w:t>Restated - Note 2</w:t>
            </w:r>
          </w:p>
        </w:tc>
      </w:tr>
      <w:tr>
        <w:trPr>
          <w:trHeight w:val="305"/>
        </w:trPr>
        <w:tc>
          <w:tcPr>
            <w:tcW w:w="6000" w:type="dxa"/>
            <w:vAlign w:val="bottom"/>
          </w:tcPr>
          <w:p>
            <w:pPr>
              <w:spacing w:after="0"/>
              <w:rPr>
                <w:sz w:val="24"/>
                <w:szCs w:val="24"/>
                <w:color w:val="auto"/>
              </w:rPr>
            </w:pPr>
          </w:p>
        </w:tc>
        <w:tc>
          <w:tcPr>
            <w:tcW w:w="28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2"/>
        </w:trPr>
        <w:tc>
          <w:tcPr>
            <w:tcW w:w="600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18"/>
        </w:trPr>
        <w:tc>
          <w:tcPr>
            <w:tcW w:w="6000" w:type="dxa"/>
            <w:vAlign w:val="bottom"/>
          </w:tcPr>
          <w:p>
            <w:pPr>
              <w:ind w:left="60"/>
              <w:spacing w:after="0"/>
              <w:rPr>
                <w:sz w:val="20"/>
                <w:szCs w:val="20"/>
                <w:color w:val="auto"/>
              </w:rPr>
            </w:pPr>
            <w:r>
              <w:rPr>
                <w:rFonts w:ascii="Arial" w:cs="Arial" w:eastAsia="Arial" w:hAnsi="Arial"/>
                <w:sz w:val="18"/>
                <w:szCs w:val="18"/>
                <w:b w:val="1"/>
                <w:bCs w:val="1"/>
                <w:color w:val="auto"/>
              </w:rPr>
              <w:t>Financial assets, measured at fair value:</w:t>
            </w:r>
          </w:p>
        </w:tc>
        <w:tc>
          <w:tcPr>
            <w:tcW w:w="28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0"/>
        </w:trPr>
        <w:tc>
          <w:tcPr>
            <w:tcW w:w="6000" w:type="dxa"/>
            <w:vAlign w:val="bottom"/>
          </w:tcPr>
          <w:p>
            <w:pPr>
              <w:ind w:left="160"/>
              <w:spacing w:after="0"/>
              <w:rPr>
                <w:sz w:val="20"/>
                <w:szCs w:val="20"/>
                <w:color w:val="auto"/>
              </w:rPr>
            </w:pPr>
            <w:r>
              <w:rPr>
                <w:rFonts w:ascii="Arial" w:cs="Arial" w:eastAsia="Arial" w:hAnsi="Arial"/>
                <w:sz w:val="18"/>
                <w:szCs w:val="18"/>
                <w:color w:val="auto"/>
              </w:rPr>
              <w:t>Cash</w:t>
            </w:r>
          </w:p>
        </w:tc>
        <w:tc>
          <w:tcPr>
            <w:tcW w:w="2800" w:type="dxa"/>
            <w:vAlign w:val="bottom"/>
          </w:tcPr>
          <w:p>
            <w:pPr>
              <w:jc w:val="right"/>
              <w:ind w:right="170"/>
              <w:spacing w:after="0"/>
              <w:rPr>
                <w:sz w:val="20"/>
                <w:szCs w:val="20"/>
                <w:color w:val="auto"/>
              </w:rPr>
            </w:pPr>
            <w:r>
              <w:rPr>
                <w:rFonts w:ascii="Arial" w:cs="Arial" w:eastAsia="Arial" w:hAnsi="Arial"/>
                <w:sz w:val="18"/>
                <w:szCs w:val="18"/>
                <w:b w:val="1"/>
                <w:bCs w:val="1"/>
                <w:color w:val="auto"/>
              </w:rPr>
              <w:t>83,752</w:t>
            </w:r>
          </w:p>
        </w:tc>
        <w:tc>
          <w:tcPr>
            <w:tcW w:w="1660" w:type="dxa"/>
            <w:vAlign w:val="bottom"/>
          </w:tcPr>
          <w:p>
            <w:pPr>
              <w:jc w:val="right"/>
              <w:spacing w:after="0"/>
              <w:rPr>
                <w:sz w:val="20"/>
                <w:szCs w:val="20"/>
                <w:color w:val="auto"/>
              </w:rPr>
            </w:pPr>
            <w:r>
              <w:rPr>
                <w:rFonts w:ascii="Arial" w:cs="Arial" w:eastAsia="Arial" w:hAnsi="Arial"/>
                <w:sz w:val="18"/>
                <w:szCs w:val="18"/>
                <w:color w:val="auto"/>
              </w:rPr>
              <w:t>93,922</w:t>
            </w:r>
          </w:p>
        </w:tc>
      </w:tr>
      <w:tr>
        <w:trPr>
          <w:trHeight w:val="230"/>
        </w:trPr>
        <w:tc>
          <w:tcPr>
            <w:tcW w:w="6000" w:type="dxa"/>
            <w:vAlign w:val="bottom"/>
          </w:tcPr>
          <w:p>
            <w:pPr>
              <w:ind w:left="60"/>
              <w:spacing w:after="0"/>
              <w:rPr>
                <w:sz w:val="20"/>
                <w:szCs w:val="20"/>
                <w:color w:val="auto"/>
              </w:rPr>
            </w:pPr>
            <w:r>
              <w:rPr>
                <w:rFonts w:ascii="Arial" w:cs="Arial" w:eastAsia="Arial" w:hAnsi="Arial"/>
                <w:sz w:val="18"/>
                <w:szCs w:val="18"/>
                <w:b w:val="1"/>
                <w:bCs w:val="1"/>
                <w:color w:val="auto"/>
              </w:rPr>
              <w:t>Financial assets, measured at amortized cost:</w:t>
            </w:r>
          </w:p>
        </w:tc>
        <w:tc>
          <w:tcPr>
            <w:tcW w:w="28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600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800" w:type="dxa"/>
            <w:vAlign w:val="bottom"/>
          </w:tcPr>
          <w:p>
            <w:pPr>
              <w:jc w:val="right"/>
              <w:ind w:right="170"/>
              <w:spacing w:after="0"/>
              <w:rPr>
                <w:sz w:val="20"/>
                <w:szCs w:val="20"/>
                <w:color w:val="auto"/>
              </w:rPr>
            </w:pPr>
            <w:r>
              <w:rPr>
                <w:rFonts w:ascii="Arial" w:cs="Arial" w:eastAsia="Arial" w:hAnsi="Arial"/>
                <w:sz w:val="18"/>
                <w:szCs w:val="18"/>
                <w:b w:val="1"/>
                <w:bCs w:val="1"/>
                <w:color w:val="auto"/>
              </w:rPr>
              <w:t>711</w:t>
            </w:r>
          </w:p>
        </w:tc>
        <w:tc>
          <w:tcPr>
            <w:tcW w:w="1660" w:type="dxa"/>
            <w:vAlign w:val="bottom"/>
          </w:tcPr>
          <w:p>
            <w:pPr>
              <w:jc w:val="right"/>
              <w:spacing w:after="0"/>
              <w:rPr>
                <w:sz w:val="20"/>
                <w:szCs w:val="20"/>
                <w:color w:val="auto"/>
              </w:rPr>
            </w:pPr>
            <w:r>
              <w:rPr>
                <w:rFonts w:ascii="Arial" w:cs="Arial" w:eastAsia="Arial" w:hAnsi="Arial"/>
                <w:sz w:val="18"/>
                <w:szCs w:val="18"/>
                <w:color w:val="auto"/>
              </w:rPr>
              <w:t>491</w:t>
            </w:r>
          </w:p>
        </w:tc>
      </w:tr>
      <w:tr>
        <w:trPr>
          <w:trHeight w:val="230"/>
        </w:trPr>
        <w:tc>
          <w:tcPr>
            <w:tcW w:w="6000" w:type="dxa"/>
            <w:vAlign w:val="bottom"/>
          </w:tcPr>
          <w:p>
            <w:pPr>
              <w:ind w:left="60"/>
              <w:spacing w:after="0"/>
              <w:rPr>
                <w:sz w:val="20"/>
                <w:szCs w:val="20"/>
                <w:color w:val="auto"/>
              </w:rPr>
            </w:pPr>
            <w:r>
              <w:rPr>
                <w:rFonts w:ascii="Arial" w:cs="Arial" w:eastAsia="Arial" w:hAnsi="Arial"/>
                <w:sz w:val="18"/>
                <w:szCs w:val="18"/>
                <w:b w:val="1"/>
                <w:bCs w:val="1"/>
                <w:color w:val="auto"/>
              </w:rPr>
              <w:t>Financial liabilities, measured at fair value:</w:t>
            </w:r>
          </w:p>
        </w:tc>
        <w:tc>
          <w:tcPr>
            <w:tcW w:w="28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6000" w:type="dxa"/>
            <w:vAlign w:val="bottom"/>
          </w:tcPr>
          <w:p>
            <w:pPr>
              <w:ind w:left="160"/>
              <w:spacing w:after="0"/>
              <w:rPr>
                <w:sz w:val="20"/>
                <w:szCs w:val="20"/>
                <w:color w:val="auto"/>
              </w:rPr>
            </w:pPr>
            <w:r>
              <w:rPr>
                <w:rFonts w:ascii="Arial" w:cs="Arial" w:eastAsia="Arial" w:hAnsi="Arial"/>
                <w:sz w:val="18"/>
                <w:szCs w:val="18"/>
                <w:color w:val="auto"/>
              </w:rPr>
              <w:t>Convertible debentures</w:t>
            </w:r>
          </w:p>
        </w:tc>
        <w:tc>
          <w:tcPr>
            <w:tcW w:w="2800" w:type="dxa"/>
            <w:vAlign w:val="bottom"/>
          </w:tcPr>
          <w:p>
            <w:pPr>
              <w:jc w:val="right"/>
              <w:ind w:right="170"/>
              <w:spacing w:after="0"/>
              <w:rPr>
                <w:sz w:val="20"/>
                <w:szCs w:val="20"/>
                <w:color w:val="auto"/>
              </w:rPr>
            </w:pPr>
            <w:r>
              <w:rPr>
                <w:rFonts w:ascii="Arial" w:cs="Arial" w:eastAsia="Arial" w:hAnsi="Arial"/>
                <w:sz w:val="18"/>
                <w:szCs w:val="18"/>
                <w:b w:val="1"/>
                <w:bCs w:val="1"/>
                <w:color w:val="auto"/>
              </w:rPr>
              <w:t>28,888</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00" w:type="dxa"/>
            <w:vAlign w:val="bottom"/>
          </w:tcPr>
          <w:p>
            <w:pPr>
              <w:ind w:left="60"/>
              <w:spacing w:after="0"/>
              <w:rPr>
                <w:sz w:val="20"/>
                <w:szCs w:val="20"/>
                <w:color w:val="auto"/>
              </w:rPr>
            </w:pPr>
            <w:r>
              <w:rPr>
                <w:rFonts w:ascii="Arial" w:cs="Arial" w:eastAsia="Arial" w:hAnsi="Arial"/>
                <w:sz w:val="18"/>
                <w:szCs w:val="18"/>
                <w:b w:val="1"/>
                <w:bCs w:val="1"/>
                <w:color w:val="auto"/>
              </w:rPr>
              <w:t>Financial liabilities, measured at amortized cost:</w:t>
            </w:r>
          </w:p>
        </w:tc>
        <w:tc>
          <w:tcPr>
            <w:tcW w:w="28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5"/>
        </w:trPr>
        <w:tc>
          <w:tcPr>
            <w:tcW w:w="60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2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13,362</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14,900</w:t>
            </w:r>
          </w:p>
        </w:tc>
      </w:tr>
    </w:tbl>
    <w:p>
      <w:pPr>
        <w:spacing w:after="0" w:line="265"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The carrying value of the Company’s financial instruments approximate their fair value.</w:t>
      </w:r>
    </w:p>
    <w:p>
      <w:pPr>
        <w:spacing w:after="0" w:line="225" w:lineRule="exact"/>
        <w:rPr>
          <w:sz w:val="20"/>
          <w:szCs w:val="20"/>
          <w:color w:val="auto"/>
        </w:rPr>
      </w:pPr>
    </w:p>
    <w:p>
      <w:pPr>
        <w:ind w:left="332"/>
        <w:spacing w:after="0"/>
        <w:rPr>
          <w:sz w:val="20"/>
          <w:szCs w:val="20"/>
          <w:color w:val="auto"/>
        </w:rPr>
      </w:pPr>
      <w:r>
        <w:rPr>
          <w:rFonts w:ascii="Arial" w:cs="Arial" w:eastAsia="Arial" w:hAnsi="Arial"/>
          <w:sz w:val="18"/>
          <w:szCs w:val="18"/>
          <w:b w:val="1"/>
          <w:bCs w:val="1"/>
          <w:u w:val="single" w:color="auto"/>
          <w:color w:val="auto"/>
        </w:rPr>
        <w:t>Fair value hierarchy of financial instruments</w:t>
      </w:r>
    </w:p>
    <w:p>
      <w:pPr>
        <w:spacing w:after="0" w:line="225" w:lineRule="exact"/>
        <w:rPr>
          <w:sz w:val="20"/>
          <w:szCs w:val="20"/>
          <w:color w:val="auto"/>
        </w:rPr>
      </w:pPr>
    </w:p>
    <w:p>
      <w:pPr>
        <w:ind w:left="332"/>
        <w:spacing w:after="0" w:line="334" w:lineRule="auto"/>
        <w:rPr>
          <w:sz w:val="20"/>
          <w:szCs w:val="20"/>
          <w:color w:val="auto"/>
        </w:rPr>
      </w:pPr>
      <w:r>
        <w:rPr>
          <w:rFonts w:ascii="Arial" w:cs="Arial" w:eastAsia="Arial" w:hAnsi="Arial"/>
          <w:sz w:val="18"/>
          <w:szCs w:val="18"/>
          <w:color w:val="auto"/>
        </w:rPr>
        <w:t>The Company has categorized its financial instruments that are carried at fair value, based on the priority of the inputs to the valuation techniques used to measure fair value, into a three-level fair value hierarchy as follows:</w:t>
      </w:r>
    </w:p>
    <w:p>
      <w:pPr>
        <w:spacing w:after="0" w:line="99" w:lineRule="exact"/>
        <w:rPr>
          <w:sz w:val="20"/>
          <w:szCs w:val="20"/>
          <w:color w:val="auto"/>
        </w:rPr>
      </w:pPr>
    </w:p>
    <w:p>
      <w:pPr>
        <w:ind w:left="332"/>
        <w:spacing w:after="0" w:line="334" w:lineRule="auto"/>
        <w:rPr>
          <w:sz w:val="20"/>
          <w:szCs w:val="20"/>
          <w:color w:val="auto"/>
        </w:rPr>
      </w:pPr>
      <w:r>
        <w:rPr>
          <w:rFonts w:ascii="Arial" w:cs="Arial" w:eastAsia="Arial" w:hAnsi="Arial"/>
          <w:sz w:val="18"/>
          <w:szCs w:val="18"/>
          <w:color w:val="auto"/>
        </w:rPr>
        <w:t>Level 1: Fair value is based on unadjusted quoted prices for identical assets or liabilities in an active market. The types of assets and liabilities classified as Level 1 generally included cash.</w:t>
      </w:r>
    </w:p>
    <w:p>
      <w:pPr>
        <w:sectPr>
          <w:pgSz w:w="11900" w:h="16838" w:orient="portrait"/>
          <w:cols w:equalWidth="0" w:num="1">
            <w:col w:w="11232"/>
          </w:cols>
          <w:pgMar w:left="328"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Page 22 of 26</w:t>
      </w:r>
    </w:p>
    <w:p>
      <w:pPr>
        <w:sectPr>
          <w:pgSz w:w="11900" w:h="16838" w:orient="portrait"/>
          <w:cols w:equalWidth="0" w:num="1">
            <w:col w:w="11232"/>
          </w:cols>
          <w:pgMar w:left="328" w:top="233"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22"/>
          <w:szCs w:val="22"/>
          <w:b w:val="1"/>
          <w:bCs w:val="1"/>
          <w:color w:val="auto"/>
        </w:rPr>
        <w:t>CYBIN INC.</w:t>
      </w:r>
    </w:p>
    <w:p>
      <w:pPr>
        <w:spacing w:after="0" w:line="26" w:lineRule="exact"/>
        <w:rPr>
          <w:sz w:val="20"/>
          <w:szCs w:val="20"/>
          <w:color w:val="auto"/>
        </w:rPr>
      </w:pPr>
    </w:p>
    <w:p>
      <w:pPr>
        <w:ind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September 30, 2025</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260"/>
        <w:spacing w:after="0" w:line="308" w:lineRule="auto"/>
        <w:rPr>
          <w:sz w:val="20"/>
          <w:szCs w:val="20"/>
          <w:color w:val="auto"/>
        </w:rPr>
      </w:pPr>
      <w:r>
        <w:rPr>
          <w:rFonts w:ascii="Arial" w:cs="Arial" w:eastAsia="Arial" w:hAnsi="Arial"/>
          <w:sz w:val="18"/>
          <w:szCs w:val="18"/>
          <w:color w:val="auto"/>
        </w:rPr>
        <w:t>Level 2: Fair value is based on quoted prices for similar assets or liabilities in active markets, valuation that is based on significant observable inputs, or inputs that are derived principally from or corroborated with observable market data through correlation or other means. Currently, the Company has no financial instruments that would be classified as Level 2.</w:t>
      </w:r>
    </w:p>
    <w:p>
      <w:pPr>
        <w:spacing w:after="0" w:line="135" w:lineRule="exact"/>
        <w:rPr>
          <w:sz w:val="20"/>
          <w:szCs w:val="20"/>
          <w:color w:val="auto"/>
        </w:rPr>
      </w:pPr>
    </w:p>
    <w:p>
      <w:pPr>
        <w:jc w:val="both"/>
        <w:ind w:left="260"/>
        <w:spacing w:after="0" w:line="308" w:lineRule="auto"/>
        <w:rPr>
          <w:sz w:val="20"/>
          <w:szCs w:val="20"/>
          <w:color w:val="auto"/>
        </w:rPr>
      </w:pPr>
      <w:r>
        <w:rPr>
          <w:rFonts w:ascii="Arial" w:cs="Arial" w:eastAsia="Arial" w:hAnsi="Arial"/>
          <w:sz w:val="18"/>
          <w:szCs w:val="18"/>
          <w:color w:val="auto"/>
        </w:rPr>
        <w:t>Level 3: Fair value is based on valuation techniques that require one or more significant inputs that are not based on observable market inputs. These unobservable inputs reflect the Company’s assumptions about the assumptions market participants would use in pricing the asset or liability. The Convertible Debentures are classified as Level 3, refer to note 6 for further details.</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were no transfers between levels of the fair value hierarchy for the six months ended September 30, 2025.</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Day 1 gains/losses</w:t>
      </w:r>
    </w:p>
    <w:p>
      <w:pPr>
        <w:spacing w:after="0" w:line="225" w:lineRule="exact"/>
        <w:rPr>
          <w:sz w:val="20"/>
          <w:szCs w:val="20"/>
          <w:color w:val="auto"/>
        </w:rPr>
      </w:pPr>
    </w:p>
    <w:p>
      <w:pPr>
        <w:jc w:val="both"/>
        <w:ind w:left="260"/>
        <w:spacing w:after="0" w:line="299" w:lineRule="auto"/>
        <w:rPr>
          <w:sz w:val="20"/>
          <w:szCs w:val="20"/>
          <w:color w:val="auto"/>
        </w:rPr>
      </w:pPr>
      <w:r>
        <w:rPr>
          <w:rFonts w:ascii="Arial" w:cs="Arial" w:eastAsia="Arial" w:hAnsi="Arial"/>
          <w:sz w:val="18"/>
          <w:szCs w:val="18"/>
          <w:color w:val="auto"/>
        </w:rPr>
        <w:t>Upon acquisition of a financial instrument, the Company measures its fair value and compares this to the acquisition price. The difference is recognized as a gain or loss only if fair value is based on a quoted price in an active market or based on a valuation technique that uses only data from observable markets. As as September 30, 2025, the Company had an unrecognized day 1 loss on the Convertible Debentures of $526.</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Financial risk management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Credit risk</w:t>
      </w:r>
    </w:p>
    <w:p>
      <w:pPr>
        <w:spacing w:after="0" w:line="225" w:lineRule="exact"/>
        <w:rPr>
          <w:sz w:val="20"/>
          <w:szCs w:val="20"/>
          <w:color w:val="auto"/>
        </w:rPr>
      </w:pPr>
    </w:p>
    <w:p>
      <w:pPr>
        <w:jc w:val="both"/>
        <w:ind w:left="260"/>
        <w:spacing w:after="0" w:line="320" w:lineRule="auto"/>
        <w:rPr>
          <w:sz w:val="20"/>
          <w:szCs w:val="20"/>
          <w:color w:val="auto"/>
        </w:rPr>
      </w:pPr>
      <w:r>
        <w:rPr>
          <w:rFonts w:ascii="Arial" w:cs="Arial" w:eastAsia="Arial" w:hAnsi="Arial"/>
          <w:sz w:val="18"/>
          <w:szCs w:val="18"/>
          <w:color w:val="auto"/>
        </w:rPr>
        <w:t>Credit risk is the risk that one party to a financial instrument will cause a financial loss for the other party by failing to discharge an obligation. The Company’s cash is exposed to credit risk. The Company reduces its credit risk on cash by placing these instruments with institutions of high creditworthiness. As at September 30, 2025 the Company’s maximum exposure to credit risk is the carrying value of its financial assets.</w:t>
      </w:r>
    </w:p>
    <w:p>
      <w:pPr>
        <w:spacing w:after="0" w:line="125" w:lineRule="exact"/>
        <w:rPr>
          <w:sz w:val="20"/>
          <w:szCs w:val="20"/>
          <w:color w:val="auto"/>
        </w:rPr>
      </w:pPr>
    </w:p>
    <w:p>
      <w:pPr>
        <w:jc w:val="both"/>
        <w:ind w:left="260"/>
        <w:spacing w:after="0" w:line="308" w:lineRule="auto"/>
        <w:rPr>
          <w:sz w:val="20"/>
          <w:szCs w:val="20"/>
          <w:color w:val="auto"/>
        </w:rPr>
      </w:pPr>
      <w:r>
        <w:rPr>
          <w:rFonts w:ascii="Arial" w:cs="Arial" w:eastAsia="Arial" w:hAnsi="Arial"/>
          <w:sz w:val="18"/>
          <w:szCs w:val="18"/>
          <w:color w:val="auto"/>
        </w:rPr>
        <w:t>The Convertible Debentures measured at fair value through profit or loss are exposed to credit risk. The fair value of this liability reflects the Company’s own credit risk, which is considered in the valuation models. Changes in the Company’s creditworthiness can materially affect the fair value of this liability and consequently impact profit or loss.</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Liquidity risk</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Liquidity risk is the risk that an entity will encounter difficulty in raising funds to meet commitments associated with financial instruments.</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manages liquidity by maintaining adequate cash balances to meet liabilities as they become due.</w:t>
      </w:r>
    </w:p>
    <w:p>
      <w:pPr>
        <w:spacing w:after="0" w:line="212" w:lineRule="exact"/>
        <w:rPr>
          <w:sz w:val="20"/>
          <w:szCs w:val="20"/>
          <w:color w:val="auto"/>
        </w:rPr>
      </w:pPr>
    </w:p>
    <w:p>
      <w:pPr>
        <w:jc w:val="both"/>
        <w:ind w:left="260"/>
        <w:spacing w:after="0" w:line="304" w:lineRule="auto"/>
        <w:rPr>
          <w:sz w:val="20"/>
          <w:szCs w:val="20"/>
          <w:color w:val="auto"/>
        </w:rPr>
      </w:pPr>
      <w:r>
        <w:rPr>
          <w:rFonts w:ascii="Arial" w:cs="Arial" w:eastAsia="Arial" w:hAnsi="Arial"/>
          <w:sz w:val="18"/>
          <w:szCs w:val="18"/>
          <w:color w:val="auto"/>
        </w:rPr>
        <w:t>As at September 30, 2025, the Company had cash of $83,752 (March 31, 2025 - $93,922) in order to meet current liabilities. Current liabilities include accounts payable and accrued liabilities of $13,362 (March 31, 2025 - $14,900). All amounts are due within the next 12 months. Non-current liabilities include a hybrid convertible debt instrument, the Convertible Debentures, with a remaining contractual undiscounted cash outflow of $29,250 maturing on June 30, 2027. Although the Company expects a portion of the Convertible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Page 23 of 26</w:t>
      </w:r>
    </w:p>
    <w:p>
      <w:pPr>
        <w:sectPr>
          <w:pgSz w:w="11900" w:h="16838" w:orient="portrait"/>
          <w:cols w:equalWidth="0" w:num="1">
            <w:col w:w="11160"/>
          </w:cols>
          <w:pgMar w:left="400" w:top="233" w:right="339" w:bottom="1440" w:gutter="0" w:footer="0" w:header="0"/>
        </w:sectPr>
      </w:pPr>
    </w:p>
    <w:bookmarkStart w:id="26" w:name="page27"/>
    <w:bookmarkEnd w:id="26"/>
    <w:p>
      <w:pPr>
        <w:spacing w:after="0"/>
        <w:rPr>
          <w:sz w:val="20"/>
          <w:szCs w:val="20"/>
          <w:color w:val="auto"/>
        </w:rPr>
      </w:pPr>
      <w:r>
        <w:rPr>
          <w:rFonts w:ascii="Arial" w:cs="Arial" w:eastAsia="Arial" w:hAnsi="Arial"/>
          <w:sz w:val="22"/>
          <w:szCs w:val="22"/>
          <w:b w:val="1"/>
          <w:bCs w:val="1"/>
          <w:color w:val="auto"/>
        </w:rPr>
        <w:t>CYBIN INC.</w:t>
      </w:r>
    </w:p>
    <w:p>
      <w:pPr>
        <w:spacing w:after="0" w:line="26" w:lineRule="exact"/>
        <w:rPr>
          <w:sz w:val="20"/>
          <w:szCs w:val="20"/>
          <w:color w:val="auto"/>
        </w:rPr>
      </w:pPr>
    </w:p>
    <w:p>
      <w:pPr>
        <w:ind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September 30, 2025</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Debentures to be converted to equity prior to maturity, the analysis below reflects the full contractual cash flow in accordance with IFRS</w:t>
      </w:r>
    </w:p>
    <w:p>
      <w:pPr>
        <w:spacing w:after="0" w:line="50" w:lineRule="exact"/>
        <w:rPr>
          <w:sz w:val="20"/>
          <w:szCs w:val="20"/>
          <w:color w:val="auto"/>
        </w:rPr>
      </w:pPr>
    </w:p>
    <w:tbl>
      <w:tblPr>
        <w:tblLayout w:type="fixed"/>
        <w:tblInd w:w="260" w:type="dxa"/>
        <w:tblCellMar>
          <w:top w:w="0" w:type="dxa"/>
          <w:left w:w="0" w:type="dxa"/>
          <w:bottom w:w="0" w:type="dxa"/>
          <w:right w:w="0" w:type="dxa"/>
        </w:tblCellMar>
      </w:tblPr>
      <w:tr>
        <w:trPr>
          <w:trHeight w:val="239"/>
        </w:trPr>
        <w:tc>
          <w:tcPr>
            <w:tcW w:w="4000" w:type="dxa"/>
            <w:vAlign w:val="bottom"/>
          </w:tcPr>
          <w:p>
            <w:pPr>
              <w:spacing w:after="0"/>
              <w:rPr>
                <w:sz w:val="20"/>
                <w:szCs w:val="20"/>
                <w:color w:val="auto"/>
              </w:rPr>
            </w:pPr>
            <w:r>
              <w:rPr>
                <w:rFonts w:ascii="Arial" w:cs="Arial" w:eastAsia="Arial" w:hAnsi="Arial"/>
                <w:sz w:val="18"/>
                <w:szCs w:val="18"/>
                <w:color w:val="auto"/>
              </w:rPr>
              <w:t>7.</w:t>
            </w:r>
          </w:p>
        </w:tc>
        <w:tc>
          <w:tcPr>
            <w:tcW w:w="19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3"/>
        </w:trPr>
        <w:tc>
          <w:tcPr>
            <w:tcW w:w="4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Financial Liability</w:t>
            </w:r>
          </w:p>
        </w:tc>
        <w:tc>
          <w:tcPr>
            <w:tcW w:w="1940" w:type="dxa"/>
            <w:vAlign w:val="bottom"/>
          </w:tcPr>
          <w:p>
            <w:pPr>
              <w:jc w:val="right"/>
              <w:ind w:right="50"/>
              <w:spacing w:after="0"/>
              <w:rPr>
                <w:sz w:val="20"/>
                <w:szCs w:val="20"/>
                <w:color w:val="auto"/>
              </w:rPr>
            </w:pPr>
            <w:r>
              <w:rPr>
                <w:rFonts w:ascii="Arial" w:cs="Arial" w:eastAsia="Arial" w:hAnsi="Arial"/>
                <w:sz w:val="18"/>
                <w:szCs w:val="18"/>
                <w:b w:val="1"/>
                <w:bCs w:val="1"/>
                <w:color w:val="auto"/>
              </w:rPr>
              <w:t>Due within 1</w:t>
            </w: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Due between 1</w:t>
            </w:r>
          </w:p>
        </w:tc>
        <w:tc>
          <w:tcPr>
            <w:tcW w:w="1860" w:type="dxa"/>
            <w:vAlign w:val="bottom"/>
          </w:tcPr>
          <w:p>
            <w:pPr>
              <w:jc w:val="right"/>
              <w:ind w:right="370"/>
              <w:spacing w:after="0"/>
              <w:rPr>
                <w:sz w:val="20"/>
                <w:szCs w:val="20"/>
                <w:color w:val="auto"/>
              </w:rPr>
            </w:pPr>
            <w:r>
              <w:rPr>
                <w:rFonts w:ascii="Arial" w:cs="Arial" w:eastAsia="Arial" w:hAnsi="Arial"/>
                <w:sz w:val="18"/>
                <w:szCs w:val="18"/>
                <w:b w:val="1"/>
                <w:bCs w:val="1"/>
                <w:color w:val="auto"/>
              </w:rPr>
              <w:t>Due between 2</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000" w:type="dxa"/>
            <w:vAlign w:val="bottom"/>
            <w:vMerge w:val="continue"/>
          </w:tcPr>
          <w:p>
            <w:pPr>
              <w:spacing w:after="0"/>
              <w:rPr>
                <w:sz w:val="19"/>
                <w:szCs w:val="19"/>
                <w:color w:val="auto"/>
              </w:rPr>
            </w:pPr>
          </w:p>
        </w:tc>
        <w:tc>
          <w:tcPr>
            <w:tcW w:w="1940" w:type="dxa"/>
            <w:vAlign w:val="bottom"/>
          </w:tcPr>
          <w:p>
            <w:pPr>
              <w:jc w:val="right"/>
              <w:ind w:right="250"/>
              <w:spacing w:after="0"/>
              <w:rPr>
                <w:sz w:val="20"/>
                <w:szCs w:val="20"/>
                <w:color w:val="auto"/>
              </w:rPr>
            </w:pPr>
            <w:r>
              <w:rPr>
                <w:rFonts w:ascii="Arial" w:cs="Arial" w:eastAsia="Arial" w:hAnsi="Arial"/>
                <w:sz w:val="18"/>
                <w:szCs w:val="18"/>
                <w:b w:val="1"/>
                <w:bCs w:val="1"/>
                <w:color w:val="auto"/>
              </w:rPr>
              <w:t>year</w:t>
            </w: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and 2 years</w:t>
            </w:r>
          </w:p>
        </w:tc>
        <w:tc>
          <w:tcPr>
            <w:tcW w:w="1860" w:type="dxa"/>
            <w:vAlign w:val="bottom"/>
          </w:tcPr>
          <w:p>
            <w:pPr>
              <w:jc w:val="right"/>
              <w:ind w:right="370"/>
              <w:spacing w:after="0"/>
              <w:rPr>
                <w:sz w:val="20"/>
                <w:szCs w:val="20"/>
                <w:color w:val="auto"/>
              </w:rPr>
            </w:pPr>
            <w:r>
              <w:rPr>
                <w:rFonts w:ascii="Arial" w:cs="Arial" w:eastAsia="Arial" w:hAnsi="Arial"/>
                <w:sz w:val="18"/>
                <w:szCs w:val="18"/>
                <w:b w:val="1"/>
                <w:bCs w:val="1"/>
                <w:color w:val="auto"/>
              </w:rPr>
              <w:t>and 5 years</w:t>
            </w: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0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000" w:type="dxa"/>
            <w:vAlign w:val="bottom"/>
          </w:tcPr>
          <w:p>
            <w:pPr>
              <w:ind w:left="80"/>
              <w:spacing w:after="0"/>
              <w:rPr>
                <w:sz w:val="20"/>
                <w:szCs w:val="20"/>
                <w:color w:val="auto"/>
              </w:rPr>
            </w:pPr>
            <w:r>
              <w:rPr>
                <w:rFonts w:ascii="Arial" w:cs="Arial" w:eastAsia="Arial" w:hAnsi="Arial"/>
                <w:sz w:val="18"/>
                <w:szCs w:val="18"/>
                <w:color w:val="auto"/>
              </w:rPr>
              <w:t>Accounts payable and accrued liabilities</w:t>
            </w:r>
          </w:p>
        </w:tc>
        <w:tc>
          <w:tcPr>
            <w:tcW w:w="1940" w:type="dxa"/>
            <w:vAlign w:val="bottom"/>
          </w:tcPr>
          <w:p>
            <w:pPr>
              <w:jc w:val="right"/>
              <w:ind w:right="110"/>
              <w:spacing w:after="0"/>
              <w:rPr>
                <w:sz w:val="20"/>
                <w:szCs w:val="20"/>
                <w:color w:val="auto"/>
              </w:rPr>
            </w:pPr>
            <w:r>
              <w:rPr>
                <w:rFonts w:ascii="Arial" w:cs="Arial" w:eastAsia="Arial" w:hAnsi="Arial"/>
                <w:sz w:val="18"/>
                <w:szCs w:val="18"/>
                <w:color w:val="auto"/>
              </w:rPr>
              <w:t>13,362</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13,362</w:t>
            </w:r>
          </w:p>
        </w:tc>
        <w:tc>
          <w:tcPr>
            <w:tcW w:w="0" w:type="dxa"/>
            <w:vAlign w:val="bottom"/>
          </w:tcPr>
          <w:p>
            <w:pPr>
              <w:spacing w:after="0"/>
              <w:rPr>
                <w:sz w:val="1"/>
                <w:szCs w:val="1"/>
                <w:color w:val="auto"/>
              </w:rPr>
            </w:pPr>
          </w:p>
        </w:tc>
      </w:tr>
      <w:tr>
        <w:trPr>
          <w:trHeight w:val="235"/>
        </w:trPr>
        <w:tc>
          <w:tcPr>
            <w:tcW w:w="40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Convertible Debentures</w:t>
            </w:r>
          </w:p>
        </w:tc>
        <w:tc>
          <w:tcPr>
            <w:tcW w:w="1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29,250</w:t>
            </w:r>
          </w:p>
        </w:tc>
        <w:tc>
          <w:tcPr>
            <w:tcW w:w="1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29,250</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1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13,362</w:t>
            </w: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29,250</w:t>
            </w:r>
          </w:p>
        </w:tc>
        <w:tc>
          <w:tcPr>
            <w:tcW w:w="1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42,612</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Market risk</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significant market risks to which the Company is exposed are interest rate risk, equity price risk and currency risk.</w:t>
      </w:r>
    </w:p>
    <w:p>
      <w:pPr>
        <w:spacing w:after="0" w:line="227"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Interest rate risk</w:t>
      </w:r>
    </w:p>
    <w:p>
      <w:pPr>
        <w:spacing w:after="0" w:line="223" w:lineRule="exact"/>
        <w:rPr>
          <w:sz w:val="20"/>
          <w:szCs w:val="20"/>
          <w:color w:val="auto"/>
        </w:rPr>
      </w:pPr>
    </w:p>
    <w:p>
      <w:pPr>
        <w:jc w:val="both"/>
        <w:ind w:left="260"/>
        <w:spacing w:after="0" w:line="304" w:lineRule="auto"/>
        <w:rPr>
          <w:sz w:val="20"/>
          <w:szCs w:val="20"/>
          <w:color w:val="auto"/>
        </w:rPr>
      </w:pPr>
      <w:r>
        <w:rPr>
          <w:rFonts w:ascii="Arial" w:cs="Arial" w:eastAsia="Arial" w:hAnsi="Arial"/>
          <w:sz w:val="18"/>
          <w:szCs w:val="18"/>
          <w:color w:val="auto"/>
        </w:rPr>
        <w:t>Interest rate risk is the risk that the fair value or the future cash flows of a financial instrument will fluctuate because of changes in market interest rates. In seeking to minimize the risks from interest rate fluctuations, the Company manages exposure through its normal operating and financing activities. Assuming that all other variables remain constant, as at September 30, 2025, a 1% decline on the interest rate generated on cash would have resulted in a reduction of interest income of $718 over a one-year period.</w:t>
      </w:r>
    </w:p>
    <w:p>
      <w:pPr>
        <w:spacing w:after="0" w:line="193" w:lineRule="exact"/>
        <w:rPr>
          <w:sz w:val="20"/>
          <w:szCs w:val="20"/>
          <w:color w:val="auto"/>
        </w:rPr>
      </w:pPr>
    </w:p>
    <w:p>
      <w:pPr>
        <w:jc w:val="both"/>
        <w:ind w:left="260"/>
        <w:spacing w:after="0" w:line="292" w:lineRule="auto"/>
        <w:rPr>
          <w:sz w:val="20"/>
          <w:szCs w:val="20"/>
          <w:color w:val="auto"/>
        </w:rPr>
      </w:pPr>
      <w:r>
        <w:rPr>
          <w:rFonts w:ascii="Arial" w:cs="Arial" w:eastAsia="Arial" w:hAnsi="Arial"/>
          <w:sz w:val="18"/>
          <w:szCs w:val="18"/>
          <w:color w:val="auto"/>
        </w:rPr>
        <w:t>The Company is also exposed to interest rate risk in relation to the outstanding Convertible Debentures. Although the Company has prepaid the interest and is not exposed to cash flow interest rate risk, changes in market interest rates may affect the fair value of the Convertible Debentures.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Equity price risk</w:t>
      </w:r>
    </w:p>
    <w:p>
      <w:pPr>
        <w:spacing w:after="0" w:line="223" w:lineRule="exact"/>
        <w:rPr>
          <w:sz w:val="20"/>
          <w:szCs w:val="20"/>
          <w:color w:val="auto"/>
        </w:rPr>
      </w:pPr>
    </w:p>
    <w:p>
      <w:pPr>
        <w:jc w:val="both"/>
        <w:ind w:left="260"/>
        <w:spacing w:after="0" w:line="298" w:lineRule="auto"/>
        <w:rPr>
          <w:sz w:val="20"/>
          <w:szCs w:val="20"/>
          <w:color w:val="auto"/>
        </w:rPr>
      </w:pPr>
      <w:r>
        <w:rPr>
          <w:rFonts w:ascii="Arial" w:cs="Arial" w:eastAsia="Arial" w:hAnsi="Arial"/>
          <w:sz w:val="18"/>
          <w:szCs w:val="18"/>
          <w:color w:val="auto"/>
        </w:rPr>
        <w:t>The Company is exposed to equity price risk arising from the Convertible Debentures, which is convertible into Common Shares of the Company at a conversion price per Common Share equal to the lower of (a) $10.92, which is equal to 130% of the VWAP of the Common Shares on the day prior to the initial issuance of the Convertible Debentures, or (b) the VWAP of the Common Shares during the five trading days immediately prior to conversion. Equity price risk arises from potential fluctuations in the market price of the Company’s Common Shares, which directly impact the number of shares to be issued upon conversion and the fair value of the Convertible Debentures.</w:t>
      </w:r>
    </w:p>
    <w:p>
      <w:pPr>
        <w:spacing w:after="0" w:line="145" w:lineRule="exact"/>
        <w:rPr>
          <w:sz w:val="20"/>
          <w:szCs w:val="20"/>
          <w:color w:val="auto"/>
        </w:rPr>
      </w:pPr>
    </w:p>
    <w:p>
      <w:pPr>
        <w:jc w:val="both"/>
        <w:ind w:left="260"/>
        <w:spacing w:after="0" w:line="308" w:lineRule="auto"/>
        <w:rPr>
          <w:sz w:val="20"/>
          <w:szCs w:val="20"/>
          <w:color w:val="auto"/>
        </w:rPr>
      </w:pPr>
      <w:r>
        <w:rPr>
          <w:rFonts w:ascii="Arial" w:cs="Arial" w:eastAsia="Arial" w:hAnsi="Arial"/>
          <w:sz w:val="18"/>
          <w:szCs w:val="18"/>
          <w:color w:val="auto"/>
        </w:rPr>
        <w:t>The fair value of the conversion feature of the Convertible Debentures is measured at fair value through profit or loss and is remeasured at each reporting date. Changes in the price per Common Share results in corresponding changes to the fair value of the Convertible Debentures.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Page 24 of 26</w:t>
      </w:r>
    </w:p>
    <w:p>
      <w:pPr>
        <w:sectPr>
          <w:pgSz w:w="11900" w:h="16838" w:orient="portrait"/>
          <w:cols w:equalWidth="0" w:num="1">
            <w:col w:w="11160"/>
          </w:cols>
          <w:pgMar w:left="400" w:top="233" w:right="339" w:bottom="1440" w:gutter="0" w:footer="0" w:header="0"/>
        </w:sectPr>
      </w:pPr>
    </w:p>
    <w:bookmarkStart w:id="27" w:name="page28"/>
    <w:bookmarkEnd w:id="27"/>
    <w:p>
      <w:pPr>
        <w:ind w:left="80"/>
        <w:spacing w:after="0"/>
        <w:rPr>
          <w:sz w:val="20"/>
          <w:szCs w:val="20"/>
          <w:color w:val="auto"/>
        </w:rPr>
      </w:pPr>
      <w:r>
        <w:rPr>
          <w:rFonts w:ascii="Arial" w:cs="Arial" w:eastAsia="Arial" w:hAnsi="Arial"/>
          <w:sz w:val="22"/>
          <w:szCs w:val="22"/>
          <w:b w:val="1"/>
          <w:bCs w:val="1"/>
          <w:color w:val="auto"/>
        </w:rPr>
        <w:t>CYBIN INC.</w:t>
      </w:r>
    </w:p>
    <w:p>
      <w:pPr>
        <w:spacing w:after="0" w:line="26" w:lineRule="exact"/>
        <w:rPr>
          <w:sz w:val="20"/>
          <w:szCs w:val="20"/>
          <w:color w:val="auto"/>
        </w:rPr>
      </w:pPr>
    </w:p>
    <w:p>
      <w:pPr>
        <w:ind w:left="80"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September 30, 2025</w:t>
      </w:r>
    </w:p>
    <w:p>
      <w:pPr>
        <w:spacing w:after="0" w:line="1" w:lineRule="exact"/>
        <w:rPr>
          <w:sz w:val="20"/>
          <w:szCs w:val="20"/>
          <w:color w:val="auto"/>
        </w:rPr>
      </w:pPr>
    </w:p>
    <w:p>
      <w:pPr>
        <w:ind w:left="80"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Currency risk</w:t>
      </w:r>
    </w:p>
    <w:p>
      <w:pPr>
        <w:spacing w:after="0" w:line="223" w:lineRule="exact"/>
        <w:rPr>
          <w:sz w:val="20"/>
          <w:szCs w:val="20"/>
          <w:color w:val="auto"/>
        </w:rPr>
      </w:pPr>
    </w:p>
    <w:p>
      <w:pPr>
        <w:jc w:val="both"/>
        <w:ind w:left="340"/>
        <w:spacing w:after="0" w:line="308" w:lineRule="auto"/>
        <w:rPr>
          <w:sz w:val="20"/>
          <w:szCs w:val="20"/>
          <w:color w:val="auto"/>
        </w:rPr>
      </w:pPr>
      <w:r>
        <w:rPr>
          <w:rFonts w:ascii="Arial" w:cs="Arial" w:eastAsia="Arial" w:hAnsi="Arial"/>
          <w:sz w:val="18"/>
          <w:szCs w:val="18"/>
          <w:color w:val="auto"/>
        </w:rPr>
        <w:t>The Company is exposed to currency risk to the extent that monetary operational expenses are denominated in USD, CAD, EUR and GBP while the functional currency of USD is used for reporting. The Company has not entered into any foreign currency contracts to mitigate this risk.</w:t>
      </w:r>
    </w:p>
    <w:p>
      <w:pPr>
        <w:spacing w:after="0" w:line="135" w:lineRule="exact"/>
        <w:rPr>
          <w:sz w:val="20"/>
          <w:szCs w:val="20"/>
          <w:color w:val="auto"/>
        </w:rPr>
      </w:pPr>
    </w:p>
    <w:p>
      <w:pPr>
        <w:jc w:val="both"/>
        <w:ind w:left="340" w:right="20"/>
        <w:spacing w:after="0" w:line="334" w:lineRule="auto"/>
        <w:rPr>
          <w:sz w:val="20"/>
          <w:szCs w:val="20"/>
          <w:color w:val="auto"/>
        </w:rPr>
      </w:pPr>
      <w:r>
        <w:rPr>
          <w:rFonts w:ascii="Arial" w:cs="Arial" w:eastAsia="Arial" w:hAnsi="Arial"/>
          <w:sz w:val="18"/>
          <w:szCs w:val="18"/>
          <w:color w:val="auto"/>
        </w:rPr>
        <w:t>At September 30, 2025 the Company had the following balances in monetary assets and monetary liabilities which are subject to fluctuation against USD:</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75"/>
        </w:trPr>
        <w:tc>
          <w:tcPr>
            <w:tcW w:w="5540" w:type="dxa"/>
            <w:vAlign w:val="bottom"/>
            <w:tcBorders>
              <w:bottom w:val="single" w:sz="8" w:color="auto"/>
            </w:tcBorders>
          </w:tcPr>
          <w:p>
            <w:pPr>
              <w:ind w:left="3740"/>
              <w:spacing w:after="0"/>
              <w:rPr>
                <w:sz w:val="20"/>
                <w:szCs w:val="20"/>
                <w:color w:val="auto"/>
              </w:rPr>
            </w:pPr>
            <w:r>
              <w:rPr>
                <w:rFonts w:ascii="Arial" w:cs="Arial" w:eastAsia="Arial" w:hAnsi="Arial"/>
                <w:sz w:val="18"/>
                <w:szCs w:val="18"/>
                <w:b w:val="1"/>
                <w:bCs w:val="1"/>
                <w:color w:val="auto"/>
              </w:rPr>
              <w:t>Denominated in:</w:t>
            </w:r>
          </w:p>
        </w:tc>
        <w:tc>
          <w:tcPr>
            <w:tcW w:w="1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CAD $000's</w:t>
            </w:r>
          </w:p>
        </w:tc>
        <w:tc>
          <w:tcPr>
            <w:tcW w:w="17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GBP 000's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EUR 000's</w:t>
            </w:r>
          </w:p>
        </w:tc>
      </w:tr>
      <w:tr>
        <w:trPr>
          <w:trHeight w:val="218"/>
        </w:trPr>
        <w:tc>
          <w:tcPr>
            <w:tcW w:w="5540" w:type="dxa"/>
            <w:vAlign w:val="bottom"/>
          </w:tcPr>
          <w:p>
            <w:pPr>
              <w:ind w:left="20"/>
              <w:spacing w:after="0"/>
              <w:rPr>
                <w:sz w:val="20"/>
                <w:szCs w:val="20"/>
                <w:color w:val="auto"/>
              </w:rPr>
            </w:pPr>
            <w:r>
              <w:rPr>
                <w:rFonts w:ascii="Arial" w:cs="Arial" w:eastAsia="Arial" w:hAnsi="Arial"/>
                <w:sz w:val="18"/>
                <w:szCs w:val="18"/>
                <w:color w:val="auto"/>
              </w:rPr>
              <w:t>Cash</w:t>
            </w:r>
          </w:p>
        </w:tc>
        <w:tc>
          <w:tcPr>
            <w:tcW w:w="1780" w:type="dxa"/>
            <w:vAlign w:val="bottom"/>
          </w:tcPr>
          <w:p>
            <w:pPr>
              <w:jc w:val="right"/>
              <w:ind w:right="370"/>
              <w:spacing w:after="0"/>
              <w:rPr>
                <w:sz w:val="20"/>
                <w:szCs w:val="20"/>
                <w:color w:val="auto"/>
              </w:rPr>
            </w:pPr>
            <w:r>
              <w:rPr>
                <w:rFonts w:ascii="Arial" w:cs="Arial" w:eastAsia="Arial" w:hAnsi="Arial"/>
                <w:sz w:val="18"/>
                <w:szCs w:val="18"/>
                <w:color w:val="auto"/>
              </w:rPr>
              <w:t>705</w:t>
            </w: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383</w:t>
            </w:r>
          </w:p>
        </w:tc>
        <w:tc>
          <w:tcPr>
            <w:tcW w:w="134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35"/>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1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(1,347)</w:t>
            </w:r>
          </w:p>
        </w:tc>
        <w:tc>
          <w:tcPr>
            <w:tcW w:w="1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(267)</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18"/>
        </w:trPr>
        <w:tc>
          <w:tcPr>
            <w:tcW w:w="5540" w:type="dxa"/>
            <w:vAlign w:val="bottom"/>
          </w:tcPr>
          <w:p>
            <w:pPr>
              <w:spacing w:after="0"/>
              <w:rPr>
                <w:sz w:val="18"/>
                <w:szCs w:val="18"/>
                <w:color w:val="auto"/>
              </w:rPr>
            </w:pPr>
          </w:p>
        </w:tc>
        <w:tc>
          <w:tcPr>
            <w:tcW w:w="1780" w:type="dxa"/>
            <w:vAlign w:val="bottom"/>
          </w:tcPr>
          <w:p>
            <w:pPr>
              <w:jc w:val="right"/>
              <w:ind w:right="330"/>
              <w:spacing w:after="0"/>
              <w:rPr>
                <w:sz w:val="20"/>
                <w:szCs w:val="20"/>
                <w:color w:val="auto"/>
              </w:rPr>
            </w:pPr>
            <w:r>
              <w:rPr>
                <w:rFonts w:ascii="Arial" w:cs="Arial" w:eastAsia="Arial" w:hAnsi="Arial"/>
                <w:sz w:val="18"/>
                <w:szCs w:val="18"/>
                <w:b w:val="1"/>
                <w:bCs w:val="1"/>
                <w:color w:val="auto"/>
              </w:rPr>
              <w:t>(642)</w:t>
            </w:r>
          </w:p>
        </w:tc>
        <w:tc>
          <w:tcPr>
            <w:tcW w:w="1760" w:type="dxa"/>
            <w:vAlign w:val="bottom"/>
          </w:tcPr>
          <w:p>
            <w:pPr>
              <w:jc w:val="right"/>
              <w:ind w:right="390"/>
              <w:spacing w:after="0"/>
              <w:rPr>
                <w:sz w:val="20"/>
                <w:szCs w:val="20"/>
                <w:color w:val="auto"/>
              </w:rPr>
            </w:pPr>
            <w:r>
              <w:rPr>
                <w:rFonts w:ascii="Arial" w:cs="Arial" w:eastAsia="Arial" w:hAnsi="Arial"/>
                <w:sz w:val="18"/>
                <w:szCs w:val="18"/>
                <w:b w:val="1"/>
                <w:bCs w:val="1"/>
                <w:color w:val="auto"/>
              </w:rPr>
              <w:t>116</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201</w:t>
            </w:r>
          </w:p>
        </w:tc>
      </w:tr>
      <w:tr>
        <w:trPr>
          <w:trHeight w:val="235"/>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Exchange rate</w:t>
            </w:r>
          </w:p>
        </w:tc>
        <w:tc>
          <w:tcPr>
            <w:tcW w:w="1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0.7183</w:t>
            </w:r>
          </w:p>
        </w:tc>
        <w:tc>
          <w:tcPr>
            <w:tcW w:w="17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1.3432</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1.1725</w:t>
            </w:r>
          </w:p>
        </w:tc>
      </w:tr>
      <w:tr>
        <w:trPr>
          <w:trHeight w:val="223"/>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Equivalent in United States dollars</w:t>
            </w:r>
          </w:p>
        </w:tc>
        <w:tc>
          <w:tcPr>
            <w:tcW w:w="1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(461)</w:t>
            </w:r>
          </w:p>
        </w:tc>
        <w:tc>
          <w:tcPr>
            <w:tcW w:w="17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156</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w:t>
            </w:r>
          </w:p>
        </w:tc>
      </w:tr>
      <w:tr>
        <w:trPr>
          <w:trHeight w:val="223"/>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Impact of 10% change in exchange rate</w:t>
            </w:r>
          </w:p>
        </w:tc>
        <w:tc>
          <w:tcPr>
            <w:tcW w:w="1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(46)</w:t>
            </w:r>
          </w:p>
        </w:tc>
        <w:tc>
          <w:tcPr>
            <w:tcW w:w="17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16</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r>
    </w:tbl>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Such analysis excludes any indirect economic or geo-political effects of such currency fluctuations.</w:t>
      </w:r>
    </w:p>
    <w:p>
      <w:pPr>
        <w:spacing w:after="0" w:line="185" w:lineRule="exact"/>
        <w:rPr>
          <w:sz w:val="20"/>
          <w:szCs w:val="20"/>
          <w:color w:val="auto"/>
        </w:rPr>
      </w:pPr>
    </w:p>
    <w:p>
      <w:pPr>
        <w:ind w:left="340" w:right="8920" w:hanging="332"/>
        <w:spacing w:after="0" w:line="555" w:lineRule="auto"/>
        <w:tabs>
          <w:tab w:leader="none" w:pos="316" w:val="left"/>
        </w:tabs>
        <w:numPr>
          <w:ilvl w:val="0"/>
          <w:numId w:val="15"/>
        </w:numPr>
        <w:rPr>
          <w:rFonts w:ascii="Arial" w:cs="Arial" w:eastAsia="Arial" w:hAnsi="Arial"/>
          <w:sz w:val="17"/>
          <w:szCs w:val="17"/>
          <w:b w:val="1"/>
          <w:bCs w:val="1"/>
          <w:color w:val="2D5F91"/>
        </w:rPr>
      </w:pPr>
      <w:r>
        <w:rPr>
          <w:rFonts w:ascii="Arial" w:cs="Arial" w:eastAsia="Arial" w:hAnsi="Arial"/>
          <w:sz w:val="17"/>
          <w:szCs w:val="17"/>
          <w:b w:val="1"/>
          <w:bCs w:val="1"/>
          <w:color w:val="2D5F91"/>
        </w:rPr>
        <w:t xml:space="preserve">SUBSEQUENT EVENTS </w:t>
      </w:r>
      <w:r>
        <w:rPr>
          <w:rFonts w:ascii="Arial" w:cs="Arial" w:eastAsia="Arial" w:hAnsi="Arial"/>
          <w:sz w:val="17"/>
          <w:szCs w:val="17"/>
          <w:b w:val="1"/>
          <w:bCs w:val="1"/>
          <w:color w:val="000000"/>
        </w:rPr>
        <w:t>Restricted share units</w:t>
      </w:r>
    </w:p>
    <w:p>
      <w:pPr>
        <w:jc w:val="both"/>
        <w:ind w:left="340"/>
        <w:spacing w:after="0" w:line="304" w:lineRule="auto"/>
        <w:rPr>
          <w:sz w:val="20"/>
          <w:szCs w:val="20"/>
          <w:color w:val="auto"/>
        </w:rPr>
      </w:pPr>
      <w:r>
        <w:rPr>
          <w:rFonts w:ascii="Arial" w:cs="Arial" w:eastAsia="Arial" w:hAnsi="Arial"/>
          <w:sz w:val="18"/>
          <w:szCs w:val="18"/>
          <w:color w:val="auto"/>
        </w:rPr>
        <w:t>On October 1, 2025, the Company granted a total of 600,000 restricted share units ("</w:t>
      </w:r>
      <w:r>
        <w:rPr>
          <w:rFonts w:ascii="Arial" w:cs="Arial" w:eastAsia="Arial" w:hAnsi="Arial"/>
          <w:sz w:val="18"/>
          <w:szCs w:val="18"/>
          <w:b w:val="1"/>
          <w:bCs w:val="1"/>
          <w:color w:val="auto"/>
        </w:rPr>
        <w:t>RSUs</w:t>
      </w:r>
      <w:r>
        <w:rPr>
          <w:rFonts w:ascii="Arial" w:cs="Arial" w:eastAsia="Arial" w:hAnsi="Arial"/>
          <w:sz w:val="18"/>
          <w:szCs w:val="18"/>
          <w:color w:val="auto"/>
        </w:rPr>
        <w:t>") to certain directors and officers under its Equity Incentive Plan. The RSUs were granted at no cost to the recipients and are subject to varying vesting conditions as follows: 100,000 fully vest on November 20, 2025, and 500,000 vest in twelve equal installments over three years, subject to continued engagement or employment. Each RSU entitles the holder to receive one Common Share upon vesting.</w:t>
      </w:r>
    </w:p>
    <w:p>
      <w:pPr>
        <w:spacing w:after="0" w:line="193" w:lineRule="exact"/>
        <w:rPr>
          <w:sz w:val="20"/>
          <w:szCs w:val="20"/>
          <w:color w:val="auto"/>
        </w:rPr>
      </w:pPr>
    </w:p>
    <w:p>
      <w:pPr>
        <w:jc w:val="both"/>
        <w:ind w:left="340"/>
        <w:spacing w:after="0" w:line="304" w:lineRule="auto"/>
        <w:rPr>
          <w:sz w:val="20"/>
          <w:szCs w:val="20"/>
          <w:color w:val="auto"/>
        </w:rPr>
      </w:pPr>
      <w:r>
        <w:rPr>
          <w:rFonts w:ascii="Arial" w:cs="Arial" w:eastAsia="Arial" w:hAnsi="Arial"/>
          <w:sz w:val="18"/>
          <w:szCs w:val="18"/>
          <w:color w:val="auto"/>
        </w:rPr>
        <w:t>On November 3, 2025, the Company granted a total of 3,564,440 RSUs to certain directors and officers of the Company under its Equity Incentive Plan. The RSUs were granted on the basis of the officers achieving certain performance conditions on October 31, 2025. The RSUs were granted at no cost to the recipients and vest in three equal tranches on the first, second, and third anniversary of the grant date, subject to acceleration upon satisfaction of certain performance-related conditions or other customary events.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Grant of stock options</w:t>
      </w:r>
    </w:p>
    <w:p>
      <w:pPr>
        <w:spacing w:after="0" w:line="252" w:lineRule="exact"/>
        <w:rPr>
          <w:sz w:val="20"/>
          <w:szCs w:val="20"/>
          <w:color w:val="auto"/>
        </w:rPr>
      </w:pPr>
    </w:p>
    <w:p>
      <w:pPr>
        <w:jc w:val="both"/>
        <w:ind w:left="340"/>
        <w:spacing w:after="0" w:line="318" w:lineRule="auto"/>
        <w:rPr>
          <w:sz w:val="20"/>
          <w:szCs w:val="20"/>
          <w:color w:val="auto"/>
        </w:rPr>
      </w:pPr>
      <w:r>
        <w:rPr>
          <w:rFonts w:ascii="Arial" w:cs="Arial" w:eastAsia="Arial" w:hAnsi="Arial"/>
          <w:sz w:val="18"/>
          <w:szCs w:val="18"/>
          <w:color w:val="auto"/>
        </w:rPr>
        <w:t>On October 1, 2025, the Company granted options to purchase up to 200,000 Common Shares to consultants of the Company. The options have an exercise price of C$8.39 per Common Share, expire on October 1, 2035 and vest over two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25 of 26</w:t>
      </w:r>
    </w:p>
    <w:p>
      <w:pPr>
        <w:sectPr>
          <w:pgSz w:w="11900" w:h="16838" w:orient="portrait"/>
          <w:cols w:equalWidth="0" w:num="1">
            <w:col w:w="11240"/>
          </w:cols>
          <w:pgMar w:left="320" w:top="233" w:right="339" w:bottom="1440" w:gutter="0" w:footer="0" w:header="0"/>
        </w:sectPr>
      </w:pPr>
    </w:p>
    <w:bookmarkStart w:id="28" w:name="page29"/>
    <w:bookmarkEnd w:id="28"/>
    <w:p>
      <w:pPr>
        <w:spacing w:after="0"/>
        <w:rPr>
          <w:sz w:val="20"/>
          <w:szCs w:val="20"/>
          <w:color w:val="auto"/>
        </w:rPr>
      </w:pPr>
      <w:r>
        <w:rPr>
          <w:rFonts w:ascii="Arial" w:cs="Arial" w:eastAsia="Arial" w:hAnsi="Arial"/>
          <w:sz w:val="22"/>
          <w:szCs w:val="22"/>
          <w:b w:val="1"/>
          <w:bCs w:val="1"/>
          <w:color w:val="auto"/>
        </w:rPr>
        <w:t>CYBIN INC.</w:t>
      </w:r>
    </w:p>
    <w:p>
      <w:pPr>
        <w:spacing w:after="0" w:line="26" w:lineRule="exact"/>
        <w:rPr>
          <w:sz w:val="20"/>
          <w:szCs w:val="20"/>
          <w:color w:val="auto"/>
        </w:rPr>
      </w:pPr>
    </w:p>
    <w:p>
      <w:pPr>
        <w:ind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September 30, 2025</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Convertible Debentures</w:t>
      </w:r>
    </w:p>
    <w:p>
      <w:pPr>
        <w:spacing w:after="0" w:line="239" w:lineRule="exact"/>
        <w:rPr>
          <w:sz w:val="20"/>
          <w:szCs w:val="20"/>
          <w:color w:val="auto"/>
        </w:rPr>
      </w:pPr>
    </w:p>
    <w:p>
      <w:pPr>
        <w:jc w:val="both"/>
        <w:ind w:left="260"/>
        <w:spacing w:after="0" w:line="298" w:lineRule="auto"/>
        <w:rPr>
          <w:sz w:val="20"/>
          <w:szCs w:val="20"/>
          <w:color w:val="auto"/>
        </w:rPr>
      </w:pPr>
      <w:r>
        <w:rPr>
          <w:rFonts w:ascii="Arial" w:cs="Arial" w:eastAsia="Arial" w:hAnsi="Arial"/>
          <w:sz w:val="18"/>
          <w:szCs w:val="18"/>
          <w:color w:val="auto"/>
        </w:rPr>
        <w:t>During the period from October 1, 2025 to October 20, 2025, High Trail converted $9,100 of the Convertible Debentures into 1,515,301 Common Shares at an average conversion price of $6.01 representing the VWAP of the Common Shares for the five trading days immediately prior to each conversion. On November 3, 2025, the Company repaid the remaining balance outstanding of $20,150 and incurred early repayment fees of $2,615 resulting in a total cash repayment of $22,765. The Company accounted for the repayment as an extinguishment of the remaining Convertible Debentures under IFRS 9, derecognizing the liability in full.</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Financing</w:t>
      </w:r>
    </w:p>
    <w:p>
      <w:pPr>
        <w:spacing w:after="0" w:line="239" w:lineRule="exact"/>
        <w:rPr>
          <w:sz w:val="20"/>
          <w:szCs w:val="20"/>
          <w:color w:val="auto"/>
        </w:rPr>
      </w:pPr>
    </w:p>
    <w:p>
      <w:pPr>
        <w:jc w:val="both"/>
        <w:ind w:left="260"/>
        <w:spacing w:after="0" w:line="307" w:lineRule="auto"/>
        <w:rPr>
          <w:sz w:val="20"/>
          <w:szCs w:val="20"/>
          <w:color w:val="auto"/>
        </w:rPr>
      </w:pPr>
      <w:r>
        <w:rPr>
          <w:rFonts w:ascii="Arial" w:cs="Arial" w:eastAsia="Arial" w:hAnsi="Arial"/>
          <w:sz w:val="18"/>
          <w:szCs w:val="18"/>
          <w:color w:val="auto"/>
        </w:rPr>
        <w:t>On October 31, 2025, the Company completed a registered direct offering of 22,277,750 Common Shares and, in lieu of Common Shares to certain investors, 4,605,500 pre-funded Common Share purchase warrants (the "</w:t>
      </w:r>
      <w:r>
        <w:rPr>
          <w:rFonts w:ascii="Arial" w:cs="Arial" w:eastAsia="Arial" w:hAnsi="Arial"/>
          <w:sz w:val="18"/>
          <w:szCs w:val="18"/>
          <w:b w:val="1"/>
          <w:bCs w:val="1"/>
          <w:color w:val="auto"/>
        </w:rPr>
        <w:t>Pre-Funded Warrant</w:t>
      </w:r>
      <w:r>
        <w:rPr>
          <w:rFonts w:ascii="Arial" w:cs="Arial" w:eastAsia="Arial" w:hAnsi="Arial"/>
          <w:sz w:val="18"/>
          <w:szCs w:val="18"/>
          <w:color w:val="auto"/>
        </w:rPr>
        <w:t>") at a price of $6.51 per Common Share or Pre-Funded Warrant for aggregate gross proceeds of approximately $175,010 (the “</w:t>
      </w:r>
      <w:r>
        <w:rPr>
          <w:rFonts w:ascii="Arial" w:cs="Arial" w:eastAsia="Arial" w:hAnsi="Arial"/>
          <w:sz w:val="18"/>
          <w:szCs w:val="18"/>
          <w:b w:val="1"/>
          <w:bCs w:val="1"/>
          <w:color w:val="auto"/>
        </w:rPr>
        <w:t>Registered Direct</w:t>
      </w:r>
      <w:r>
        <w:rPr>
          <w:rFonts w:ascii="Arial" w:cs="Arial" w:eastAsia="Arial" w:hAnsi="Arial"/>
          <w:sz w:val="18"/>
          <w:szCs w:val="18"/>
          <w:color w:val="auto"/>
        </w:rPr>
        <w:t xml:space="preserve"> </w:t>
      </w:r>
      <w:r>
        <w:rPr>
          <w:rFonts w:ascii="Arial" w:cs="Arial" w:eastAsia="Arial" w:hAnsi="Arial"/>
          <w:sz w:val="18"/>
          <w:szCs w:val="18"/>
          <w:b w:val="1"/>
          <w:bCs w:val="1"/>
          <w:color w:val="auto"/>
        </w:rPr>
        <w:t>Offering</w:t>
      </w:r>
      <w:r>
        <w:rPr>
          <w:rFonts w:ascii="Arial" w:cs="Arial" w:eastAsia="Arial" w:hAnsi="Arial"/>
          <w:sz w:val="18"/>
          <w:szCs w:val="18"/>
          <w:color w:val="auto"/>
        </w:rPr>
        <w:t>”).</w:t>
      </w:r>
    </w:p>
    <w:p>
      <w:pPr>
        <w:spacing w:after="0" w:line="183" w:lineRule="exact"/>
        <w:rPr>
          <w:sz w:val="20"/>
          <w:szCs w:val="20"/>
          <w:color w:val="auto"/>
        </w:rPr>
      </w:pPr>
    </w:p>
    <w:p>
      <w:pPr>
        <w:jc w:val="both"/>
        <w:ind w:left="260" w:right="20"/>
        <w:spacing w:after="0" w:line="334" w:lineRule="auto"/>
        <w:rPr>
          <w:sz w:val="20"/>
          <w:szCs w:val="20"/>
          <w:color w:val="auto"/>
        </w:rPr>
      </w:pPr>
      <w:r>
        <w:rPr>
          <w:rFonts w:ascii="Arial" w:cs="Arial" w:eastAsia="Arial" w:hAnsi="Arial"/>
          <w:sz w:val="18"/>
          <w:szCs w:val="18"/>
          <w:color w:val="auto"/>
        </w:rPr>
        <w:t>Each Pre-Funded Warrant entitles the holder thereof to acquire one Common Share at a nominal exercise price. The Pre-Funded Warrants do not expire.</w:t>
      </w:r>
    </w:p>
    <w:p>
      <w:pPr>
        <w:spacing w:after="0" w:line="180" w:lineRule="exact"/>
        <w:rPr>
          <w:sz w:val="20"/>
          <w:szCs w:val="20"/>
          <w:color w:val="auto"/>
        </w:rPr>
      </w:pPr>
    </w:p>
    <w:p>
      <w:pPr>
        <w:jc w:val="both"/>
        <w:ind w:left="260"/>
        <w:spacing w:after="0" w:line="294" w:lineRule="auto"/>
        <w:rPr>
          <w:sz w:val="20"/>
          <w:szCs w:val="20"/>
          <w:color w:val="auto"/>
        </w:rPr>
      </w:pPr>
      <w:r>
        <w:rPr>
          <w:rFonts w:ascii="Arial" w:cs="Arial" w:eastAsia="Arial" w:hAnsi="Arial"/>
          <w:sz w:val="18"/>
          <w:szCs w:val="18"/>
          <w:color w:val="auto"/>
        </w:rPr>
        <w:t>Each Common Share and each Pre-Funded Warrant is accompanied by 0.35 of one Common Share purchase warrant (each whole warrant, a “</w:t>
      </w:r>
      <w:r>
        <w:rPr>
          <w:rFonts w:ascii="Arial" w:cs="Arial" w:eastAsia="Arial" w:hAnsi="Arial"/>
          <w:sz w:val="18"/>
          <w:szCs w:val="18"/>
          <w:b w:val="1"/>
          <w:bCs w:val="1"/>
          <w:color w:val="auto"/>
        </w:rPr>
        <w:t>Warrant</w:t>
      </w:r>
      <w:r>
        <w:rPr>
          <w:rFonts w:ascii="Arial" w:cs="Arial" w:eastAsia="Arial" w:hAnsi="Arial"/>
          <w:sz w:val="18"/>
          <w:szCs w:val="18"/>
          <w:color w:val="auto"/>
        </w:rPr>
        <w:t>” and together with the Common Shares and Pre-Funded Warrants, the “</w:t>
      </w:r>
      <w:r>
        <w:rPr>
          <w:rFonts w:ascii="Arial" w:cs="Arial" w:eastAsia="Arial" w:hAnsi="Arial"/>
          <w:sz w:val="18"/>
          <w:szCs w:val="18"/>
          <w:b w:val="1"/>
          <w:bCs w:val="1"/>
          <w:color w:val="auto"/>
        </w:rPr>
        <w:t>Securities</w:t>
      </w:r>
      <w:r>
        <w:rPr>
          <w:rFonts w:ascii="Arial" w:cs="Arial" w:eastAsia="Arial" w:hAnsi="Arial"/>
          <w:sz w:val="18"/>
          <w:szCs w:val="18"/>
          <w:color w:val="auto"/>
        </w:rPr>
        <w:t>”). Each Warrant is exercisable to acquire one Common Share at a price of $8.14 per Common Share at any time prior to the earlier of: (i) June 30, 2027; (ii) thirty days following the publication by press release of topline data for the APPROACH trial of CYB003 in major depressive disorder; and (iii) thirty days following the date a press release is issued by the Company announcing exercise of its acceleration right, which right can only be exercised if the closing price of the Common Share on NYSE American is equal to or exceeds $19.53 per Common Share for any five consecutive trading days. The Company used a portion of the net proceeds from the Registered Direct Offering to repay the outstanding Convertible Debentures, and intends to use the remaining net proceeds to progress the Company’s CYB003, CYB004, and CYB005 programs, and for working capital and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Page 26 of 26</w:t>
      </w:r>
    </w:p>
    <w:p>
      <w:pPr>
        <w:sectPr>
          <w:pgSz w:w="11900" w:h="16838" w:orient="portrait"/>
          <w:cols w:equalWidth="0" w:num="1">
            <w:col w:w="11160"/>
          </w:cols>
          <w:pgMar w:left="400" w:top="233" w:right="33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3045460</wp:posOffset>
            </wp:positionH>
            <wp:positionV relativeFrom="page">
              <wp:posOffset>3046095</wp:posOffset>
            </wp:positionV>
            <wp:extent cx="1457325" cy="8483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457325"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Cybin Inc.</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of Financial Condition and Operating Performance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For the three and six months ended September 30, 2025</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November 12, 2025</w:t>
      </w:r>
    </w:p>
    <w:p>
      <w:pPr>
        <w:sectPr>
          <w:pgSz w:w="11900" w:h="16838" w:orient="portrait"/>
          <w:cols w:equalWidth="0" w:num="1">
            <w:col w:w="9019"/>
          </w:cols>
          <w:pgMar w:left="1440" w:top="1440" w:right="1440"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20"/>
          <w:szCs w:val="20"/>
          <w:b w:val="1"/>
          <w:bCs w:val="1"/>
          <w:color w:val="auto"/>
        </w:rPr>
        <w:t>CYBIN INC.</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MANAGEMENT’S DISCUSSION AND ANALYSIS</w:t>
      </w:r>
    </w:p>
    <w:p>
      <w:pPr>
        <w:spacing w:after="0" w:line="25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This Management’s Discussion and Analysis (“</w:t>
      </w:r>
      <w:r>
        <w:rPr>
          <w:rFonts w:ascii="Times New Roman" w:cs="Times New Roman" w:eastAsia="Times New Roman" w:hAnsi="Times New Roman"/>
          <w:sz w:val="20"/>
          <w:szCs w:val="20"/>
          <w:b w:val="1"/>
          <w:bCs w:val="1"/>
          <w:color w:val="auto"/>
        </w:rPr>
        <w:t>MD&amp;A</w:t>
      </w:r>
      <w:r>
        <w:rPr>
          <w:rFonts w:ascii="Times New Roman" w:cs="Times New Roman" w:eastAsia="Times New Roman" w:hAnsi="Times New Roman"/>
          <w:sz w:val="20"/>
          <w:szCs w:val="20"/>
          <w:color w:val="auto"/>
        </w:rPr>
        <w:t>”) has been prepared by management of Cybin Inc. (“</w:t>
      </w:r>
      <w:r>
        <w:rPr>
          <w:rFonts w:ascii="Times New Roman" w:cs="Times New Roman" w:eastAsia="Times New Roman" w:hAnsi="Times New Roman"/>
          <w:sz w:val="20"/>
          <w:szCs w:val="20"/>
          <w:b w:val="1"/>
          <w:bCs w:val="1"/>
          <w:color w:val="auto"/>
        </w:rPr>
        <w:t>Cybin</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should be read in conjunction with Cybin’s unaudited condensed interim consolidated financial statements and notes for the six months ended September 30, 2025 (the “</w:t>
      </w:r>
      <w:r>
        <w:rPr>
          <w:rFonts w:ascii="Times New Roman" w:cs="Times New Roman" w:eastAsia="Times New Roman" w:hAnsi="Times New Roman"/>
          <w:sz w:val="20"/>
          <w:szCs w:val="20"/>
          <w:b w:val="1"/>
          <w:bCs w:val="1"/>
          <w:color w:val="auto"/>
        </w:rPr>
        <w:t>Financial Statements</w:t>
      </w:r>
      <w:r>
        <w:rPr>
          <w:rFonts w:ascii="Times New Roman" w:cs="Times New Roman" w:eastAsia="Times New Roman" w:hAnsi="Times New Roman"/>
          <w:sz w:val="20"/>
          <w:szCs w:val="20"/>
          <w:color w:val="auto"/>
        </w:rPr>
        <w:t>”). This MD&amp;A does not address all of the changes to the Company and its business, such changes are addressed in the Company’s most recently filed annual information form (the “</w:t>
      </w:r>
      <w:r>
        <w:rPr>
          <w:rFonts w:ascii="Times New Roman" w:cs="Times New Roman" w:eastAsia="Times New Roman" w:hAnsi="Times New Roman"/>
          <w:sz w:val="20"/>
          <w:szCs w:val="20"/>
          <w:b w:val="1"/>
          <w:bCs w:val="1"/>
          <w:color w:val="auto"/>
        </w:rPr>
        <w:t>AIF</w:t>
      </w:r>
      <w:r>
        <w:rPr>
          <w:rFonts w:ascii="Times New Roman" w:cs="Times New Roman" w:eastAsia="Times New Roman" w:hAnsi="Times New Roman"/>
          <w:sz w:val="20"/>
          <w:szCs w:val="20"/>
          <w:color w:val="auto"/>
        </w:rPr>
        <w:t>”) on SEDAR+. The Financial Statements have been prepared using IFRS Accounting Standards (“</w:t>
      </w:r>
      <w:r>
        <w:rPr>
          <w:rFonts w:ascii="Times New Roman" w:cs="Times New Roman" w:eastAsia="Times New Roman" w:hAnsi="Times New Roman"/>
          <w:sz w:val="20"/>
          <w:szCs w:val="20"/>
          <w:b w:val="1"/>
          <w:bCs w:val="1"/>
          <w:color w:val="auto"/>
        </w:rPr>
        <w:t>IFRS</w:t>
      </w:r>
      <w:r>
        <w:rPr>
          <w:rFonts w:ascii="Times New Roman" w:cs="Times New Roman" w:eastAsia="Times New Roman" w:hAnsi="Times New Roman"/>
          <w:sz w:val="20"/>
          <w:szCs w:val="20"/>
          <w:color w:val="auto"/>
        </w:rPr>
        <w:t>”) as issued by the International Accounting Standards Board.</w:t>
      </w:r>
    </w:p>
    <w:p>
      <w:pPr>
        <w:spacing w:after="0" w:line="22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This MD&amp;A contains disclosure related to Cybin occurring up to and including November 12, 2025. Effective April 1, 2025, the Company changed its presentation currency from the Canadian Dollar (“</w:t>
      </w:r>
      <w:r>
        <w:rPr>
          <w:rFonts w:ascii="Times New Roman" w:cs="Times New Roman" w:eastAsia="Times New Roman" w:hAnsi="Times New Roman"/>
          <w:sz w:val="20"/>
          <w:szCs w:val="20"/>
          <w:b w:val="1"/>
          <w:bCs w:val="1"/>
          <w:color w:val="auto"/>
        </w:rPr>
        <w:t>CAD</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20"/>
          <w:szCs w:val="20"/>
          <w:color w:val="auto"/>
        </w:rPr>
        <w:t>”) to the United States dollar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USD</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U.S. Dollars</w:t>
      </w:r>
      <w:r>
        <w:rPr>
          <w:rFonts w:ascii="Times New Roman" w:cs="Times New Roman" w:eastAsia="Times New Roman" w:hAnsi="Times New Roman"/>
          <w:sz w:val="20"/>
          <w:szCs w:val="20"/>
          <w:color w:val="auto"/>
        </w:rPr>
        <w:t>”) to better reflect the Company’s operations, align with the currency in which the majority of cash based expenses are denominated, and improve comparability of its financial results with other publicly traded businesses in the industry. All amounts in the MD&amp;A are therefore presented in USD unless otherwise indicated. The Financial Statements may be viewed on the SEDAR+ profile of Cybin at www.sedarplus.ca.</w:t>
      </w:r>
    </w:p>
    <w:p>
      <w:pPr>
        <w:spacing w:after="0" w:line="17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Cybin was incorporated under the laws of the Province of British Columbia. Its wholly owned subsidiary, Cybin Corp. was incorporated under the laws of the Province of Ontario. Prior to November 5, 2020, the Company’s operations were conducted through Cybin Corp. On November 5, 2020, the Company completed a reverse takeover transaction pursuant to the terms of an amalgamation agreement dated June 26, 2020, as amended on October 21, 2020, among the Company, Cybin Corp. and 2762898 Ontario Inc. (“</w:t>
      </w:r>
      <w:r>
        <w:rPr>
          <w:rFonts w:ascii="Times New Roman" w:cs="Times New Roman" w:eastAsia="Times New Roman" w:hAnsi="Times New Roman"/>
          <w:sz w:val="20"/>
          <w:szCs w:val="20"/>
          <w:b w:val="1"/>
          <w:bCs w:val="1"/>
          <w:color w:val="auto"/>
        </w:rPr>
        <w:t>SubCo</w:t>
      </w:r>
      <w:r>
        <w:rPr>
          <w:rFonts w:ascii="Times New Roman" w:cs="Times New Roman" w:eastAsia="Times New Roman" w:hAnsi="Times New Roman"/>
          <w:sz w:val="20"/>
          <w:szCs w:val="20"/>
          <w:color w:val="auto"/>
        </w:rPr>
        <w:t>”), a wholly-owned subsidiary of the Company (the “</w:t>
      </w:r>
      <w:r>
        <w:rPr>
          <w:rFonts w:ascii="Times New Roman" w:cs="Times New Roman" w:eastAsia="Times New Roman" w:hAnsi="Times New Roman"/>
          <w:sz w:val="20"/>
          <w:szCs w:val="20"/>
          <w:b w:val="1"/>
          <w:bCs w:val="1"/>
          <w:color w:val="auto"/>
        </w:rPr>
        <w:t>Reverse Takeover</w:t>
      </w:r>
      <w:r>
        <w:rPr>
          <w:rFonts w:ascii="Times New Roman" w:cs="Times New Roman" w:eastAsia="Times New Roman" w:hAnsi="Times New Roman"/>
          <w:sz w:val="20"/>
          <w:szCs w:val="20"/>
          <w:color w:val="auto"/>
        </w:rPr>
        <w:t xml:space="preserve">”). The Reverse Takeover was completed by way of a “three-cornered” amalgamation pursuant to the provisions of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xml:space="preserve"> (Ontario) (the “</w:t>
      </w:r>
      <w:r>
        <w:rPr>
          <w:rFonts w:ascii="Times New Roman" w:cs="Times New Roman" w:eastAsia="Times New Roman" w:hAnsi="Times New Roman"/>
          <w:sz w:val="20"/>
          <w:szCs w:val="20"/>
          <w:b w:val="1"/>
          <w:bCs w:val="1"/>
          <w:color w:val="auto"/>
        </w:rPr>
        <w:t>OBCA</w:t>
      </w:r>
      <w:r>
        <w:rPr>
          <w:rFonts w:ascii="Times New Roman" w:cs="Times New Roman" w:eastAsia="Times New Roman" w:hAnsi="Times New Roman"/>
          <w:sz w:val="20"/>
          <w:szCs w:val="20"/>
          <w:color w:val="auto"/>
        </w:rPr>
        <w:t>”) whereby Cybin Corp. amalgamated with SubCo to form an amalgamated corporation and a wholly owned subsidiary of the Company. Cybin Corp. is deemed to be the acquirer in the Reverse Takeover. As a result, the consolidated statements of financial position are presented as a continuance of Cybin Corp. and the comparative figures presented are those of Cybin Corp.</w:t>
      </w:r>
    </w:p>
    <w:p>
      <w:pPr>
        <w:spacing w:after="0" w:line="19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September 19, 2024, the Company consolidated its outstanding Common Shares on the basis of one new Common Share for every 38 existing Common Shares (the “</w:t>
      </w:r>
      <w:r>
        <w:rPr>
          <w:rFonts w:ascii="Times New Roman" w:cs="Times New Roman" w:eastAsia="Times New Roman" w:hAnsi="Times New Roman"/>
          <w:sz w:val="20"/>
          <w:szCs w:val="20"/>
          <w:b w:val="1"/>
          <w:bCs w:val="1"/>
          <w:color w:val="auto"/>
        </w:rPr>
        <w:t>Consolidation</w:t>
      </w:r>
      <w:r>
        <w:rPr>
          <w:rFonts w:ascii="Times New Roman" w:cs="Times New Roman" w:eastAsia="Times New Roman" w:hAnsi="Times New Roman"/>
          <w:sz w:val="20"/>
          <w:szCs w:val="20"/>
          <w:color w:val="auto"/>
        </w:rPr>
        <w:t>”). As a result, all figures related to shares, warrants, options and earnings per share presented in this MD&amp;A have been restated retrospectively for all periods to reflect the Consolidation.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Certain statements contained in this MD&amp;A constitute “forward-looking information” and “forward-looking statements”. All statements, other than statements of historical fact, contained in this MD&amp;A are forward-looking statements, including, without limitation, statements regarding future financial position, business strategy, budgets, research and development and plans and objectives of management for future operations. Such statements can, in some cases, be identified by the use of forward-looking terminology such as “expect,” “likely”, “may,” “will,” “should,” “intend,” or “anticipate,” “potential,” “proposed,” “estimate” and other similar words, including negative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36" w:right="339" w:bottom="1440" w:gutter="0" w:footer="0" w:header="0"/>
        </w:sectPr>
      </w:pPr>
    </w:p>
    <w:bookmarkStart w:id="31" w:name="page32"/>
    <w:bookmarkEnd w:id="31"/>
    <w:p>
      <w:pPr>
        <w:jc w:val="both"/>
        <w:spacing w:after="0" w:line="296" w:lineRule="auto"/>
        <w:rPr>
          <w:sz w:val="20"/>
          <w:szCs w:val="20"/>
          <w:color w:val="auto"/>
        </w:rPr>
      </w:pPr>
      <w:r>
        <w:rPr>
          <w:rFonts w:ascii="Times New Roman" w:cs="Times New Roman" w:eastAsia="Times New Roman" w:hAnsi="Times New Roman"/>
          <w:sz w:val="20"/>
          <w:szCs w:val="20"/>
          <w:color w:val="auto"/>
        </w:rPr>
        <w:t>grammatical variations thereof, or statements that certain events or conditions “may” or “will” happen, or by discussions of strategy. The forward-looking statements included in this MD&amp;A are made only as of the date of this MD&amp;A and the Company assumes no obligation to update or revise them to reflect subsequent information, events or circumstances or otherwise, except as required by applicable securities laws.</w:t>
      </w:r>
    </w:p>
    <w:p>
      <w:pPr>
        <w:spacing w:after="0" w:line="18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Forward-looking statements in this MD&amp;A are not guarantees of future performance and involve assumptions, risks and uncertainties that are difficult to predict. Therefore, actual results may differ materially from what is expressed, implied or forecasted in such forward-looking statements. Management provides forward-looking statements because it believes they provide useful information to readers when considering their investment objectives and cautions readers that the information may not be appropriate for other purposes.</w:t>
      </w:r>
    </w:p>
    <w:p>
      <w:pPr>
        <w:spacing w:after="0" w:line="175"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Some of the risks which could affect future results and could cause results to differ materially from those expressed in the forward-looking statements contained herein include:</w:t>
      </w:r>
    </w:p>
    <w:p>
      <w:pPr>
        <w:spacing w:after="0" w:line="147" w:lineRule="exact"/>
        <w:rPr>
          <w:sz w:val="20"/>
          <w:szCs w:val="20"/>
          <w:color w:val="auto"/>
        </w:rPr>
      </w:pPr>
    </w:p>
    <w:p>
      <w:pPr>
        <w:ind w:left="620" w:hanging="291"/>
        <w:spacing w:after="0"/>
        <w:tabs>
          <w:tab w:leader="none" w:pos="6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limited operating history;</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achieving publicly announced milestones;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speculative nature of investment risk;</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early stage of the industry and product development;</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risks and uncertainties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risks of operating in Australia and European countries;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6"/>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“foreign private issuer” status under U.S. Securities Laws;</w:t>
      </w:r>
    </w:p>
    <w:p>
      <w:pPr>
        <w:spacing w:after="0" w:line="52" w:lineRule="exact"/>
        <w:rPr>
          <w:rFonts w:ascii="Arial" w:cs="Arial" w:eastAsia="Arial" w:hAnsi="Arial"/>
          <w:sz w:val="20"/>
          <w:szCs w:val="20"/>
          <w:b w:val="1"/>
          <w:bCs w:val="1"/>
          <w:color w:val="auto"/>
        </w:rPr>
      </w:pPr>
    </w:p>
    <w:p>
      <w:pPr>
        <w:ind w:left="620" w:hanging="291"/>
        <w:spacing w:after="0"/>
        <w:tabs>
          <w:tab w:leader="none" w:pos="6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plans for growth;</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limited products;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limited marketing and sales capabilities;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no assurance of commercial success;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no profits or significant revenues;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reliance on third parties for clinical development activities;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third party relationships;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reliance on contract manufacturers;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safety and efficacy of products;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clinical testing and commercializing products;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completion of clinical trials;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commercial grade product manufacturing;</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nature of regulatory approvals;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market access and acceptance;</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unfavourable publicity or consumer perception;</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social media;</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biotechnology and pharmaceutical market competition;</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reliance on key executives and scientists;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employee misconduct;</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business expansion and growth;</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negative results of external clinical trials or studies;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product liability;</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enforcing contracts;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type w:val="continuous"/>
        </w:sectPr>
      </w:pPr>
    </w:p>
    <w:bookmarkStart w:id="32" w:name="page33"/>
    <w:bookmarkEnd w:id="32"/>
    <w:p>
      <w:pPr>
        <w:ind w:left="620" w:hanging="291"/>
        <w:spacing w:after="0"/>
        <w:tabs>
          <w:tab w:leader="none" w:pos="6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product and material recalls;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distribution and supply chain interruption;</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difficulty to forecast;</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promoting the brand;</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product viability;</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success of quality control systems;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reliance on key inputs;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liability arising from fraudulent or illegal activity;</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operating risk and insurance coverage;</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costs of operating as public company;</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management of growth;</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conflicts of interest;</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foreign operations;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exchange rate fluctuations;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cybersecurity and privacy risk;</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environmental regulation and risks;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decriminalization of psychedelics;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forward-looking statements may prove to be inaccurate;</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effects of inflation;</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political and economic conditions;</w:t>
      </w:r>
    </w:p>
    <w:p>
      <w:pPr>
        <w:spacing w:after="0" w:line="31" w:lineRule="exact"/>
        <w:rPr>
          <w:rFonts w:ascii="Arial" w:cs="Arial" w:eastAsia="Arial" w:hAnsi="Arial"/>
          <w:sz w:val="20"/>
          <w:szCs w:val="20"/>
          <w:color w:val="auto"/>
        </w:rPr>
      </w:pPr>
    </w:p>
    <w:p>
      <w:pPr>
        <w:ind w:left="640" w:hanging="311"/>
        <w:spacing w:after="0"/>
        <w:tabs>
          <w:tab w:leader="none" w:pos="6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risk;</w:t>
      </w:r>
    </w:p>
    <w:p>
      <w:pPr>
        <w:spacing w:after="0" w:line="2" w:lineRule="exact"/>
        <w:rPr>
          <w:rFonts w:ascii="Times New Roman" w:cs="Times New Roman" w:eastAsia="Times New Roman" w:hAnsi="Times New Roman"/>
          <w:sz w:val="20"/>
          <w:szCs w:val="20"/>
          <w:color w:val="auto"/>
        </w:rPr>
      </w:pPr>
    </w:p>
    <w:p>
      <w:pPr>
        <w:ind w:left="620" w:hanging="291"/>
        <w:spacing w:after="0"/>
        <w:tabs>
          <w:tab w:leader="none" w:pos="6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application and interpretation of tax laws;</w:t>
      </w:r>
    </w:p>
    <w:p>
      <w:pPr>
        <w:spacing w:after="0" w:line="30" w:lineRule="exact"/>
        <w:rPr>
          <w:rFonts w:ascii="Arial" w:cs="Arial" w:eastAsia="Arial" w:hAnsi="Arial"/>
          <w:sz w:val="20"/>
          <w:szCs w:val="20"/>
          <w:color w:val="auto"/>
        </w:rPr>
      </w:pPr>
    </w:p>
    <w:p>
      <w:pPr>
        <w:ind w:left="620" w:hanging="291"/>
        <w:spacing w:after="0"/>
        <w:tabs>
          <w:tab w:leader="none" w:pos="6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enforcement of civil liabilities;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pandemics;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Risks Related to Intellectual Property:</w:t>
      </w:r>
    </w:p>
    <w:p>
      <w:pPr>
        <w:spacing w:after="0" w:line="297" w:lineRule="exact"/>
        <w:rPr>
          <w:sz w:val="20"/>
          <w:szCs w:val="20"/>
          <w:color w:val="auto"/>
        </w:rPr>
      </w:pPr>
    </w:p>
    <w:p>
      <w:pPr>
        <w:ind w:left="620" w:hanging="291"/>
        <w:spacing w:after="0"/>
        <w:tabs>
          <w:tab w:leader="none" w:pos="6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trademark protection;</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trade secrets;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patent law reform;</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patent litigation and intellectual property;</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protection of intellectual property;</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third-party licences;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Financial and Accounting Risks:</w:t>
      </w:r>
    </w:p>
    <w:p>
      <w:pPr>
        <w:spacing w:after="0" w:line="283" w:lineRule="exact"/>
        <w:rPr>
          <w:sz w:val="20"/>
          <w:szCs w:val="20"/>
          <w:color w:val="auto"/>
        </w:rPr>
      </w:pPr>
    </w:p>
    <w:p>
      <w:pPr>
        <w:ind w:left="620" w:hanging="291"/>
        <w:spacing w:after="0"/>
        <w:tabs>
          <w:tab w:leader="none" w:pos="62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color w:val="auto"/>
        </w:rPr>
        <w:t>substantial number of authorized but unissued Common Shares (as defined herein);</w:t>
      </w:r>
    </w:p>
    <w:p>
      <w:pPr>
        <w:spacing w:after="0" w:line="64" w:lineRule="exact"/>
        <w:rPr>
          <w:rFonts w:ascii="Arial" w:cs="Arial" w:eastAsia="Arial" w:hAnsi="Arial"/>
          <w:sz w:val="19"/>
          <w:szCs w:val="19"/>
          <w:color w:val="auto"/>
        </w:rPr>
      </w:pPr>
    </w:p>
    <w:p>
      <w:pPr>
        <w:ind w:left="620" w:hanging="291"/>
        <w:spacing w:after="0"/>
        <w:tabs>
          <w:tab w:leader="none" w:pos="6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dilution;</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negative cash flow from operating activities;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additional capital requirements;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lack of significant product revenue;</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estimates or judgments relating to critical accounting policies;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inadequate internal controls;</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139"/>
          </w:cols>
          <w:pgMar w:left="320" w:top="1440" w:right="1440"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0"/>
          <w:szCs w:val="20"/>
          <w:color w:val="auto"/>
        </w:rPr>
        <w:t>Risks Related to the Common Shares:</w:t>
      </w:r>
    </w:p>
    <w:p>
      <w:pPr>
        <w:spacing w:after="0" w:line="297" w:lineRule="exact"/>
        <w:rPr>
          <w:sz w:val="20"/>
          <w:szCs w:val="20"/>
          <w:color w:val="auto"/>
        </w:rPr>
      </w:pPr>
    </w:p>
    <w:p>
      <w:pPr>
        <w:ind w:left="620" w:hanging="291"/>
        <w:spacing w:after="0"/>
        <w:tabs>
          <w:tab w:leader="none" w:pos="6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market for the Common Shares;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sales of Common Shares;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volatile market price for the Common Shares;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tax issues; and</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no dividends.</w:t>
      </w:r>
    </w:p>
    <w:p>
      <w:pPr>
        <w:spacing w:after="0" w:line="28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Although the forward-looking statements contained in this MD&amp;A are based upon what management currently believes to be reasonable assumptions, the Company cannot assure prospective investors that actual results, performance or achievements will be consistent with these forward-looking statements. In particular, the Company has made assumptions regarding, among other things:</w:t>
      </w:r>
    </w:p>
    <w:p>
      <w:pPr>
        <w:spacing w:after="0" w:line="182" w:lineRule="exact"/>
        <w:rPr>
          <w:sz w:val="20"/>
          <w:szCs w:val="20"/>
          <w:color w:val="auto"/>
        </w:rPr>
      </w:pPr>
    </w:p>
    <w:p>
      <w:pPr>
        <w:ind w:left="660" w:hanging="331"/>
        <w:spacing w:after="0" w:line="281" w:lineRule="auto"/>
        <w:tabs>
          <w:tab w:leader="none" w:pos="624"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substantial fluctuation of losses from quarter to quarter and year to year due to numerous external risk factors, and anticipation that we will continue to incur significant losses in the future;</w:t>
      </w:r>
    </w:p>
    <w:p>
      <w:pPr>
        <w:ind w:left="620" w:hanging="291"/>
        <w:spacing w:after="0"/>
        <w:tabs>
          <w:tab w:leader="none" w:pos="6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uncertainty as to the Company’s ability to raise additional funding to support operations;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ability to access additional funding;</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the fluctuation of foreign exchange rates;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the risks associated with pandemics;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the risks associated with the development of the Company’s product candidates which are at early stages of development;</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reliance upon industry publications as the Company’s primary sources for third-party industry data and forecasts;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reliance on third parties to plan, conduct and monitor the Company’s preclinical studies and clinical trials;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reliance on third party contract manufacturers to deliver quality clinical and preclinical materials;</w:t>
      </w:r>
    </w:p>
    <w:p>
      <w:pPr>
        <w:spacing w:after="0" w:line="39" w:lineRule="exact"/>
        <w:rPr>
          <w:rFonts w:ascii="Arial" w:cs="Arial" w:eastAsia="Arial" w:hAnsi="Arial"/>
          <w:sz w:val="20"/>
          <w:szCs w:val="20"/>
          <w:color w:val="auto"/>
        </w:rPr>
      </w:pPr>
    </w:p>
    <w:p>
      <w:pPr>
        <w:ind w:left="660" w:right="20" w:hanging="331"/>
        <w:spacing w:after="0" w:line="288" w:lineRule="auto"/>
        <w:tabs>
          <w:tab w:leader="none" w:pos="624"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product candidates may fail to demonstrate safety and efficacy to the satisfaction of regulatory authorities or may not otherwise produce positive results;</w:t>
      </w:r>
    </w:p>
    <w:p>
      <w:pPr>
        <w:ind w:left="620" w:hanging="291"/>
        <w:spacing w:after="0"/>
        <w:tabs>
          <w:tab w:leader="none" w:pos="6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filing investigational new drug applications to commence clinical trials and to continue clinical trials if approved;</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the risks of delays and inability to complete clinical trials due to difficulties enrolling patients;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competition from other biotechnology and pharmaceutical companies;</w:t>
      </w:r>
    </w:p>
    <w:p>
      <w:pPr>
        <w:spacing w:after="0" w:line="39" w:lineRule="exact"/>
        <w:rPr>
          <w:rFonts w:ascii="Arial" w:cs="Arial" w:eastAsia="Arial" w:hAnsi="Arial"/>
          <w:sz w:val="20"/>
          <w:szCs w:val="20"/>
          <w:color w:val="auto"/>
        </w:rPr>
      </w:pPr>
    </w:p>
    <w:p>
      <w:pPr>
        <w:ind w:left="660" w:hanging="331"/>
        <w:spacing w:after="0" w:line="288" w:lineRule="auto"/>
        <w:tabs>
          <w:tab w:leader="none" w:pos="624"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reliance on the capabilities and experience of the Company’s key executives and scientists and the resulting loss of any of these individuals;</w:t>
      </w:r>
    </w:p>
    <w:p>
      <w:pPr>
        <w:ind w:left="620" w:hanging="291"/>
        <w:spacing w:after="0"/>
        <w:tabs>
          <w:tab w:leader="none" w:pos="6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ability to fully realize the benefits of acquisitions;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ability to adequately protect the Company’s intellectual property and trade secrets;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the risk of patent-related or other litigation; and</w:t>
      </w:r>
    </w:p>
    <w:p>
      <w:pPr>
        <w:spacing w:after="0" w:line="48" w:lineRule="exact"/>
        <w:rPr>
          <w:rFonts w:ascii="Arial" w:cs="Arial" w:eastAsia="Arial" w:hAnsi="Arial"/>
          <w:sz w:val="20"/>
          <w:szCs w:val="20"/>
          <w:color w:val="auto"/>
        </w:rPr>
      </w:pPr>
    </w:p>
    <w:p>
      <w:pPr>
        <w:jc w:val="both"/>
        <w:ind w:left="660" w:hanging="331"/>
        <w:spacing w:after="0" w:line="297" w:lineRule="auto"/>
        <w:tabs>
          <w:tab w:leader="none" w:pos="657" w:val="left"/>
        </w:tabs>
        <w:numPr>
          <w:ilvl w:val="0"/>
          <w:numId w:val="21"/>
        </w:numPr>
        <w:rPr>
          <w:rFonts w:ascii="Arial" w:cs="Arial" w:eastAsia="Arial" w:hAnsi="Arial"/>
          <w:sz w:val="22"/>
          <w:szCs w:val="22"/>
          <w:color w:val="auto"/>
        </w:rPr>
      </w:pPr>
      <w:r>
        <w:rPr>
          <w:rFonts w:ascii="Times New Roman" w:cs="Times New Roman" w:eastAsia="Times New Roman" w:hAnsi="Times New Roman"/>
          <w:sz w:val="20"/>
          <w:szCs w:val="20"/>
          <w:color w:val="auto"/>
        </w:rPr>
        <w:t>the risk of unforeseen changes to the laws or regulations in the United States (the “</w:t>
      </w:r>
      <w:r>
        <w:rPr>
          <w:rFonts w:ascii="Times New Roman" w:cs="Times New Roman" w:eastAsia="Times New Roman" w:hAnsi="Times New Roman"/>
          <w:sz w:val="20"/>
          <w:szCs w:val="20"/>
          <w:b w:val="1"/>
          <w:bCs w:val="1"/>
          <w:color w:val="auto"/>
        </w:rPr>
        <w:t>United States</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the United Kingdom (the “</w:t>
      </w:r>
      <w:r>
        <w:rPr>
          <w:rFonts w:ascii="Times New Roman" w:cs="Times New Roman" w:eastAsia="Times New Roman" w:hAnsi="Times New Roman"/>
          <w:sz w:val="20"/>
          <w:szCs w:val="20"/>
          <w:b w:val="1"/>
          <w:bCs w:val="1"/>
          <w:color w:val="auto"/>
        </w:rPr>
        <w:t>United Kingdom</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color w:val="auto"/>
        </w:rPr>
        <w:t>UK</w:t>
      </w:r>
      <w:r>
        <w:rPr>
          <w:rFonts w:ascii="Times New Roman" w:cs="Times New Roman" w:eastAsia="Times New Roman" w:hAnsi="Times New Roman"/>
          <w:sz w:val="20"/>
          <w:szCs w:val="20"/>
          <w:color w:val="auto"/>
        </w:rPr>
        <w:t>”), Canada, the Netherlands, Ireland, Poland, Greece, Australia and other jurisdictions in which the Company operates.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34" w:name="page35"/>
    <w:bookmarkEnd w:id="34"/>
    <w:p>
      <w:pPr>
        <w:jc w:val="both"/>
        <w:spacing w:after="0" w:line="292" w:lineRule="auto"/>
        <w:rPr>
          <w:sz w:val="20"/>
          <w:szCs w:val="20"/>
          <w:color w:val="auto"/>
        </w:rPr>
      </w:pPr>
      <w:r>
        <w:rPr>
          <w:rFonts w:ascii="Times New Roman" w:cs="Times New Roman" w:eastAsia="Times New Roman" w:hAnsi="Times New Roman"/>
          <w:sz w:val="20"/>
          <w:szCs w:val="20"/>
          <w:color w:val="auto"/>
        </w:rPr>
        <w:t>Drug development involves long lead times, is very expensive and involves many variables of uncertainty. Anticipated timelines regarding drug development are based on reasonable assumptions informed by current knowledge and information available to the Company. Every patient treated on future studies can change those assumptions either positively (to indicate a faster timeline to new drug applications and other approvals) or negatively (to indicate a slower timeline to new drug applications and other approvals). This MD&amp;A contains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In addition to the factors set out above and those identified in this MD&amp;A under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other factors not currently viewed as material could cause actual results to differ materially from those described in the forward-looking statements. Although Cybin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CORPORATE STRUCTURE OVERVIEW</w:t>
      </w:r>
    </w:p>
    <w:p>
      <w:pPr>
        <w:spacing w:after="0" w:line="26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is a clinical-stage breakthrough neuropsychiatry company focused on advancing next-generation therapies, delivery mechanisms, novel compounds and protocols as potential treatments for various psychiatric and neurological conditions. The Company is developing technologies and delivery systems aimed at improving the pharmacokinetics of its proprietary molecules while retaining the therapeutic benefit. These new molecules and delivery systems are expected to be studied through clinical trials to confirm safety and efficacy.</w:t>
      </w:r>
    </w:p>
    <w:p>
      <w:pPr>
        <w:spacing w:after="0" w:line="17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November 5, 2020, the Company completed a reverse takeover transaction pursuant to the terms of an amalgamation agreement dated June 26, 2020, as amended on October 21, 2020, among the Company, Cybin Corp. and SubCo, a wholly-owned subsidiary of the Company. The Reverse Takeover was completed by way of a “three-cornered” amalgamation pursuant to the provisions of the OBCA whereby Cybin Corp. amalgamated with SubCo to form an amalgamated corporation and a wholly owned subsidiary of the Company.</w:t>
      </w:r>
    </w:p>
    <w:p>
      <w:pPr>
        <w:spacing w:after="0" w:line="198"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In connection with the Reverse Takeover, Clarmin Explorations Inc. (“</w:t>
      </w:r>
      <w:r>
        <w:rPr>
          <w:rFonts w:ascii="Times New Roman" w:cs="Times New Roman" w:eastAsia="Times New Roman" w:hAnsi="Times New Roman"/>
          <w:sz w:val="20"/>
          <w:szCs w:val="20"/>
          <w:b w:val="1"/>
          <w:bCs w:val="1"/>
          <w:color w:val="auto"/>
        </w:rPr>
        <w:t>Clarmin</w:t>
      </w:r>
      <w:r>
        <w:rPr>
          <w:rFonts w:ascii="Times New Roman" w:cs="Times New Roman" w:eastAsia="Times New Roman" w:hAnsi="Times New Roman"/>
          <w:sz w:val="20"/>
          <w:szCs w:val="20"/>
          <w:color w:val="auto"/>
        </w:rPr>
        <w:t>”) changed its name to “Cybin Inc.” and the common shares (“</w:t>
      </w:r>
      <w:r>
        <w:rPr>
          <w:rFonts w:ascii="Times New Roman" w:cs="Times New Roman" w:eastAsia="Times New Roman" w:hAnsi="Times New Roman"/>
          <w:sz w:val="20"/>
          <w:szCs w:val="20"/>
          <w:b w:val="1"/>
          <w:bCs w:val="1"/>
          <w:color w:val="auto"/>
        </w:rPr>
        <w:t>Common Shares</w:t>
      </w:r>
      <w:r>
        <w:rPr>
          <w:rFonts w:ascii="Times New Roman" w:cs="Times New Roman" w:eastAsia="Times New Roman" w:hAnsi="Times New Roman"/>
          <w:sz w:val="20"/>
          <w:szCs w:val="20"/>
          <w:color w:val="auto"/>
        </w:rPr>
        <w:t>”) became listed for trading on Cboe Canada Inc. (the “</w:t>
      </w:r>
      <w:r>
        <w:rPr>
          <w:rFonts w:ascii="Times New Roman" w:cs="Times New Roman" w:eastAsia="Times New Roman" w:hAnsi="Times New Roman"/>
          <w:sz w:val="20"/>
          <w:szCs w:val="20"/>
          <w:b w:val="1"/>
          <w:bCs w:val="1"/>
          <w:color w:val="auto"/>
        </w:rPr>
        <w:t>Cboe Canada</w:t>
      </w:r>
      <w:r>
        <w:rPr>
          <w:rFonts w:ascii="Times New Roman" w:cs="Times New Roman" w:eastAsia="Times New Roman" w:hAnsi="Times New Roman"/>
          <w:sz w:val="20"/>
          <w:szCs w:val="20"/>
          <w:color w:val="auto"/>
        </w:rPr>
        <w:t>”) under the trading symbol “CYBN”.</w:t>
      </w:r>
    </w:p>
    <w:p>
      <w:pPr>
        <w:spacing w:after="0" w:line="19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On July 8, 2021, the Company announced the scale-up of its European operations and research activities with various academic and clinical research organizations, including the transfer of its intellectual property assets to its wholly owned Ireland subsidiary, Cybin IRL Limited (“</w:t>
      </w:r>
      <w:r>
        <w:rPr>
          <w:rFonts w:ascii="Times New Roman" w:cs="Times New Roman" w:eastAsia="Times New Roman" w:hAnsi="Times New Roman"/>
          <w:sz w:val="20"/>
          <w:szCs w:val="20"/>
          <w:b w:val="1"/>
          <w:bCs w:val="1"/>
          <w:color w:val="auto"/>
        </w:rPr>
        <w:t>Cybin Ireland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35" w:name="page36"/>
    <w:bookmarkEnd w:id="35"/>
    <w:p>
      <w:pPr>
        <w:spacing w:after="0" w:line="239"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20"/>
          <w:szCs w:val="20"/>
          <w:color w:val="auto"/>
        </w:rPr>
        <w:t>On August 5, 2021, the Common Shares commenced trading on the NYSE American LLC stock exchange (the “</w:t>
      </w:r>
      <w:r>
        <w:rPr>
          <w:rFonts w:ascii="Times New Roman" w:cs="Times New Roman" w:eastAsia="Times New Roman" w:hAnsi="Times New Roman"/>
          <w:sz w:val="20"/>
          <w:szCs w:val="20"/>
          <w:b w:val="1"/>
          <w:bCs w:val="1"/>
          <w:color w:val="auto"/>
        </w:rPr>
        <w:t>NYSE American</w:t>
      </w:r>
      <w:r>
        <w:rPr>
          <w:rFonts w:ascii="Times New Roman" w:cs="Times New Roman" w:eastAsia="Times New Roman" w:hAnsi="Times New Roman"/>
          <w:sz w:val="20"/>
          <w:szCs w:val="20"/>
          <w:color w:val="auto"/>
        </w:rPr>
        <w:t>”) under the symbol “CYBN”. Concurrent with the commencement of trading on the NYSE American, the Common Shares ceased to be quoted on the OTCQB® Venture Market.</w:t>
      </w:r>
    </w:p>
    <w:p>
      <w:pPr>
        <w:spacing w:after="0" w:line="14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On October 23, 2023, the Company announced the completion of the acquisition by Cybin of Small Pharma Inc. (“</w:t>
      </w:r>
      <w:r>
        <w:rPr>
          <w:rFonts w:ascii="Times New Roman" w:cs="Times New Roman" w:eastAsia="Times New Roman" w:hAnsi="Times New Roman"/>
          <w:sz w:val="20"/>
          <w:szCs w:val="20"/>
          <w:b w:val="1"/>
          <w:bCs w:val="1"/>
          <w:color w:val="auto"/>
        </w:rPr>
        <w:t>Small Pharma</w:t>
      </w:r>
      <w:r>
        <w:rPr>
          <w:rFonts w:ascii="Times New Roman" w:cs="Times New Roman" w:eastAsia="Times New Roman" w:hAnsi="Times New Roman"/>
          <w:sz w:val="20"/>
          <w:szCs w:val="20"/>
          <w:color w:val="auto"/>
        </w:rPr>
        <w:t xml:space="preserve">”) by way of a statutory plan of arrangement under the provisions of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xml:space="preserve"> (British Columbia) (the “</w:t>
      </w:r>
      <w:r>
        <w:rPr>
          <w:rFonts w:ascii="Times New Roman" w:cs="Times New Roman" w:eastAsia="Times New Roman" w:hAnsi="Times New Roman"/>
          <w:sz w:val="20"/>
          <w:szCs w:val="20"/>
          <w:b w:val="1"/>
          <w:bCs w:val="1"/>
          <w:color w:val="auto"/>
        </w:rPr>
        <w:t>Arrangement</w:t>
      </w:r>
      <w:r>
        <w:rPr>
          <w:rFonts w:ascii="Times New Roman" w:cs="Times New Roman" w:eastAsia="Times New Roman" w:hAnsi="Times New Roman"/>
          <w:sz w:val="20"/>
          <w:szCs w:val="20"/>
          <w:color w:val="auto"/>
        </w:rPr>
        <w:t>”). The Arrangement was completed pursuant to the terms of an arrangement agreement entered into between the Company and Small Pharma dated August 28, 2023 (the “</w:t>
      </w:r>
      <w:r>
        <w:rPr>
          <w:rFonts w:ascii="Times New Roman" w:cs="Times New Roman" w:eastAsia="Times New Roman" w:hAnsi="Times New Roman"/>
          <w:sz w:val="20"/>
          <w:szCs w:val="20"/>
          <w:b w:val="1"/>
          <w:bCs w:val="1"/>
          <w:color w:val="auto"/>
        </w:rPr>
        <w:t>Arrangement Agreement</w:t>
      </w:r>
      <w:r>
        <w:rPr>
          <w:rFonts w:ascii="Times New Roman" w:cs="Times New Roman" w:eastAsia="Times New Roman" w:hAnsi="Times New Roman"/>
          <w:sz w:val="20"/>
          <w:szCs w:val="20"/>
          <w:color w:val="auto"/>
        </w:rPr>
        <w:t>”). As a result of the Arrangement, Small Pharma is now a wholly-owned subsidiary of Cybin. On April 1, 2024, pursuant to the provisions of the OBCA, Small Pharma completed a horizontal amalgamation with Cybin Corp., with Cybin Corp. being the resulting entity. As a result of this amalgamation, Cybin UK Limited is now a wholly-owned subsidiary of Cybin Corp.</w:t>
      </w:r>
    </w:p>
    <w:p>
      <w:pPr>
        <w:spacing w:after="0" w:line="225"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On September 19, 2024, the Company completed the Consolidation. As a result, all figures related to shares, warrants, options and earnings per share presented in this MD&amp;A have been restated retrospectively for all periods to reflect the Consolidation.</w:t>
      </w:r>
    </w:p>
    <w:p>
      <w:pPr>
        <w:spacing w:after="0" w:line="200"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On June 4, 2025, the Company completed the formal dissolution of Natures Journey Inc. and Serenity Life Sciences Inc. These entities were non-operational prior to their dissolution and had no material impact on the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September 1, 2025, the Company incorporated Cybin International Limited, a wholly owned subsidiary of Cybin Corp.</w:t>
      </w:r>
    </w:p>
    <w:p>
      <w:pPr>
        <w:spacing w:after="0" w:line="279"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20"/>
          <w:szCs w:val="20"/>
          <w:color w:val="auto"/>
        </w:rPr>
        <w:t>Please refer to “</w:t>
      </w:r>
      <w:r>
        <w:rPr>
          <w:rFonts w:ascii="Times New Roman" w:cs="Times New Roman" w:eastAsia="Times New Roman" w:hAnsi="Times New Roman"/>
          <w:sz w:val="20"/>
          <w:szCs w:val="20"/>
          <w:i w:val="1"/>
          <w:iCs w:val="1"/>
          <w:color w:val="auto"/>
        </w:rPr>
        <w:t>General Development of the Business</w:t>
      </w:r>
      <w:r>
        <w:rPr>
          <w:rFonts w:ascii="Times New Roman" w:cs="Times New Roman" w:eastAsia="Times New Roman" w:hAnsi="Times New Roman"/>
          <w:sz w:val="20"/>
          <w:szCs w:val="20"/>
          <w:color w:val="auto"/>
        </w:rPr>
        <w:t>” in the AIF for additional information on the background and operational highlights of Cybin. The AIF may be viewed under the SEDAR+ profile of Cybin at www.sedarplus.ca.</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287"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0"/>
          <w:szCs w:val="20"/>
          <w:color w:val="auto"/>
        </w:rPr>
        <w:t>Cybin is a clinical-stage breakthrough neuropsychiatry company on a mission to create safe and effective next-generation therapeutics to address the unmet need for new and innovative treatment options for people who suffer from mental health conditions. 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w:t>
      </w:r>
      <w:r>
        <w:rPr>
          <w:rFonts w:ascii="Times New Roman" w:cs="Times New Roman" w:eastAsia="Times New Roman" w:hAnsi="Times New Roman"/>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1714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18" w:lineRule="exact"/>
        <w:rPr>
          <w:sz w:val="20"/>
          <w:szCs w:val="20"/>
          <w:color w:val="auto"/>
        </w:rPr>
      </w:pPr>
    </w:p>
    <w:p>
      <w:pPr>
        <w:jc w:val="both"/>
        <w:ind w:firstLine="8"/>
        <w:spacing w:after="0" w:line="234" w:lineRule="auto"/>
        <w:tabs>
          <w:tab w:leader="none" w:pos="79"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is a forward-looking statement that involves material assumptions by the Company.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Company.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36" w:name="page37"/>
    <w:bookmarkEnd w:id="36"/>
    <w:p>
      <w:pPr>
        <w:spacing w:after="0" w:line="24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Cybin’s research and development work focuses on a three-pillar strategy that leverages the Company’s core competencies in preclinical innovation and clinical development. This strategy supports the creation of intellectual property (“</w:t>
      </w:r>
      <w:r>
        <w:rPr>
          <w:rFonts w:ascii="Times New Roman" w:cs="Times New Roman" w:eastAsia="Times New Roman" w:hAnsi="Times New Roman"/>
          <w:sz w:val="20"/>
          <w:szCs w:val="20"/>
          <w:b w:val="1"/>
          <w:bCs w:val="1"/>
          <w:color w:val="auto"/>
        </w:rPr>
        <w:t>IP</w:t>
      </w:r>
      <w:r>
        <w:rPr>
          <w:rFonts w:ascii="Times New Roman" w:cs="Times New Roman" w:eastAsia="Times New Roman" w:hAnsi="Times New Roman"/>
          <w:sz w:val="20"/>
          <w:szCs w:val="20"/>
          <w:color w:val="auto"/>
        </w:rPr>
        <w:t>”) focused on developing the Company’s platform technology, the progression of clinical development programs including CYB003, a deuterated psilocin molecule, CYB004, a deuterated version of N, N-dimethyltryptamine (“</w:t>
      </w:r>
      <w:r>
        <w:rPr>
          <w:rFonts w:ascii="Times New Roman" w:cs="Times New Roman" w:eastAsia="Times New Roman" w:hAnsi="Times New Roman"/>
          <w:sz w:val="20"/>
          <w:szCs w:val="20"/>
          <w:b w:val="1"/>
          <w:bCs w:val="1"/>
          <w:color w:val="auto"/>
        </w:rPr>
        <w:t>DMT</w:t>
      </w:r>
      <w:r>
        <w:rPr>
          <w:rFonts w:ascii="Times New Roman" w:cs="Times New Roman" w:eastAsia="Times New Roman" w:hAnsi="Times New Roman"/>
          <w:sz w:val="20"/>
          <w:szCs w:val="20"/>
          <w:color w:val="auto"/>
        </w:rPr>
        <w:t>”), CYB005, phenethylamine and tryptamine derivatives, and an expansive list of preclinical molecules to facilitate future drug development opportunities.</w:t>
      </w:r>
    </w:p>
    <w:p>
      <w:pPr>
        <w:spacing w:after="0" w:line="20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On October 23, 2023, the Company completed the acquisition of Small Pharma by way of the Arrangement pursuant to which Small Pharma became a wholly-owned subsidiary of Cybin. Small Pharma is a biotechnology company focused on developing short-duration therapies for the treatment of mental health conditions. Small Pharma initiated programs across its “First-generation” and “Second-generation” psychedelics portfolio. First-generation psychedelics refer to the well-known classic psychedelics which includes psilocybin, DMT, and Lysergic acid diethylamide (“</w:t>
      </w:r>
      <w:r>
        <w:rPr>
          <w:rFonts w:ascii="Times New Roman" w:cs="Times New Roman" w:eastAsia="Times New Roman" w:hAnsi="Times New Roman"/>
          <w:sz w:val="20"/>
          <w:szCs w:val="20"/>
          <w:b w:val="1"/>
          <w:bCs w:val="1"/>
          <w:color w:val="auto"/>
        </w:rPr>
        <w:t>LSD</w:t>
      </w:r>
      <w:r>
        <w:rPr>
          <w:rFonts w:ascii="Times New Roman" w:cs="Times New Roman" w:eastAsia="Times New Roman" w:hAnsi="Times New Roman"/>
          <w:sz w:val="20"/>
          <w:szCs w:val="20"/>
          <w:color w:val="auto"/>
        </w:rPr>
        <w:t>”). Second-generation psychedelics refer to those that have been chemically modified with the aim to optimize their therapeutic benefit.</w:t>
      </w:r>
    </w:p>
    <w:p>
      <w:pPr>
        <w:spacing w:after="0" w:line="20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With a common goal to develop differentiated, next-generation therapeutics, the combination of Cybin and Small Pharma creates a leading international, clinical-stage company with potential to improve clinical outcomes and address key unmet needs for people with mental health conditions. The companies’ combined development portfolios are highly complementary and provide multiple opportunities to create operational and cost synergies.</w:t>
      </w:r>
    </w:p>
    <w:p>
      <w:pPr>
        <w:spacing w:after="0" w:line="242"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As a result of the acquisition of Small Pharma by way of the Arrangement, Cybin currently has over 100 granted patents and over 250 pending applications. See “</w:t>
      </w:r>
      <w:r>
        <w:rPr>
          <w:rFonts w:ascii="Times New Roman" w:cs="Times New Roman" w:eastAsia="Times New Roman" w:hAnsi="Times New Roman"/>
          <w:sz w:val="20"/>
          <w:szCs w:val="20"/>
          <w:i w:val="1"/>
          <w:iCs w:val="1"/>
          <w:color w:val="auto"/>
        </w:rPr>
        <w:t>Intellectual Property</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Advancement of Mental Healthcare</w:t>
      </w:r>
    </w:p>
    <w:p>
      <w:pPr>
        <w:spacing w:after="0" w:line="2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is conducting research and development of next-generation therapeutics that aim to address unmet needs in the treatment of mental health and neurological conditions. This comprehensive development work is predicated on structural modifications of known tryptamine and phenethylamine derivatives to improve their pharmacokinetic properties while maintaining their respective pharmacology.</w:t>
      </w:r>
    </w:p>
    <w:p>
      <w:pPr>
        <w:spacing w:after="0" w:line="195"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20"/>
          <w:szCs w:val="20"/>
          <w:color w:val="auto"/>
        </w:rPr>
        <w:t>Across its extensive research and development programs, Cybin is evaluating a wide array of novel, synthetic active pharmaceutical ingredients (“</w:t>
      </w:r>
      <w:r>
        <w:rPr>
          <w:rFonts w:ascii="Times New Roman" w:cs="Times New Roman" w:eastAsia="Times New Roman" w:hAnsi="Times New Roman"/>
          <w:sz w:val="20"/>
          <w:szCs w:val="20"/>
          <w:b w:val="1"/>
          <w:bCs w:val="1"/>
          <w:color w:val="auto"/>
        </w:rPr>
        <w:t>API</w:t>
      </w:r>
      <w:r>
        <w:rPr>
          <w:rFonts w:ascii="Times New Roman" w:cs="Times New Roman" w:eastAsia="Times New Roman" w:hAnsi="Times New Roman"/>
          <w:sz w:val="20"/>
          <w:szCs w:val="20"/>
          <w:color w:val="auto"/>
        </w:rPr>
        <w:t>”) intended to be delivered through innovative drug delivery systems including via inhalation, via intravenous (“</w:t>
      </w:r>
      <w:r>
        <w:rPr>
          <w:rFonts w:ascii="Times New Roman" w:cs="Times New Roman" w:eastAsia="Times New Roman" w:hAnsi="Times New Roman"/>
          <w:sz w:val="20"/>
          <w:szCs w:val="20"/>
          <w:b w:val="1"/>
          <w:bCs w:val="1"/>
          <w:color w:val="auto"/>
        </w:rPr>
        <w:t>IV</w:t>
      </w:r>
      <w:r>
        <w:rPr>
          <w:rFonts w:ascii="Times New Roman" w:cs="Times New Roman" w:eastAsia="Times New Roman" w:hAnsi="Times New Roman"/>
          <w:sz w:val="20"/>
          <w:szCs w:val="20"/>
          <w:color w:val="auto"/>
        </w:rPr>
        <w:t>”), and intramuscular, or subcutaneous administration.</w:t>
      </w:r>
      <w:r>
        <w:rPr>
          <w:rFonts w:ascii="Times New Roman" w:cs="Times New Roman" w:eastAsia="Times New Roman" w:hAnsi="Times New Roman"/>
          <w:sz w:val="25"/>
          <w:szCs w:val="25"/>
          <w:color w:val="auto"/>
          <w:vertAlign w:val="superscript"/>
        </w:rPr>
        <w:t>2</w:t>
      </w:r>
    </w:p>
    <w:p>
      <w:pPr>
        <w:spacing w:after="0" w:line="10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The Company intends to apply for regulatory approval for therapies targeting indications such as major depressive disorder (“</w:t>
      </w:r>
      <w:r>
        <w:rPr>
          <w:rFonts w:ascii="Times New Roman" w:cs="Times New Roman" w:eastAsia="Times New Roman" w:hAnsi="Times New Roman"/>
          <w:sz w:val="20"/>
          <w:szCs w:val="20"/>
          <w:b w:val="1"/>
          <w:bCs w:val="1"/>
          <w:color w:val="auto"/>
        </w:rPr>
        <w:t>MDD</w:t>
      </w:r>
      <w:r>
        <w:rPr>
          <w:rFonts w:ascii="Times New Roman" w:cs="Times New Roman" w:eastAsia="Times New Roman" w:hAnsi="Times New Roman"/>
          <w:sz w:val="20"/>
          <w:szCs w:val="20"/>
          <w:color w:val="auto"/>
        </w:rPr>
        <w:t>”), alcohol use disorder (“</w:t>
      </w:r>
      <w:r>
        <w:rPr>
          <w:rFonts w:ascii="Times New Roman" w:cs="Times New Roman" w:eastAsia="Times New Roman" w:hAnsi="Times New Roman"/>
          <w:sz w:val="20"/>
          <w:szCs w:val="20"/>
          <w:b w:val="1"/>
          <w:bCs w:val="1"/>
          <w:color w:val="auto"/>
        </w:rPr>
        <w:t>AUD</w:t>
      </w:r>
      <w:r>
        <w:rPr>
          <w:rFonts w:ascii="Times New Roman" w:cs="Times New Roman" w:eastAsia="Times New Roman" w:hAnsi="Times New Roman"/>
          <w:sz w:val="20"/>
          <w:szCs w:val="20"/>
          <w:color w:val="auto"/>
        </w:rPr>
        <w:t>”), generalized anxiety disorder (“</w:t>
      </w:r>
      <w:r>
        <w:rPr>
          <w:rFonts w:ascii="Times New Roman" w:cs="Times New Roman" w:eastAsia="Times New Roman" w:hAnsi="Times New Roman"/>
          <w:sz w:val="20"/>
          <w:szCs w:val="20"/>
          <w:b w:val="1"/>
          <w:bCs w:val="1"/>
          <w:color w:val="auto"/>
        </w:rPr>
        <w:t>GAD</w:t>
      </w:r>
      <w:r>
        <w:rPr>
          <w:rFonts w:ascii="Times New Roman" w:cs="Times New Roman" w:eastAsia="Times New Roman" w:hAnsi="Times New Roman"/>
          <w:sz w:val="20"/>
          <w:szCs w:val="20"/>
          <w:color w:val="auto"/>
        </w:rPr>
        <w:t>”) and potentially other various mental health conditions.</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 xml:space="preserve"> The Company is also developing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1714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69" w:lineRule="exact"/>
        <w:rPr>
          <w:sz w:val="20"/>
          <w:szCs w:val="20"/>
          <w:color w:val="auto"/>
        </w:rPr>
      </w:pPr>
    </w:p>
    <w:p>
      <w:pPr>
        <w:ind w:left="100" w:hanging="92"/>
        <w:spacing w:after="0"/>
        <w:tabs>
          <w:tab w:leader="none" w:pos="100"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footnote 1.</w:t>
      </w:r>
    </w:p>
    <w:p>
      <w:pPr>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6"/>
          <w:szCs w:val="16"/>
          <w:color w:val="auto"/>
        </w:rPr>
        <w:t xml:space="preserve"> See footnote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4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9"/>
          <w:szCs w:val="19"/>
          <w:color w:val="auto"/>
        </w:rPr>
        <w:t>compounds that may have the potential to address neuroinflammation, central nervous system (“</w:t>
      </w:r>
      <w:r>
        <w:rPr>
          <w:rFonts w:ascii="Times New Roman" w:cs="Times New Roman" w:eastAsia="Times New Roman" w:hAnsi="Times New Roman"/>
          <w:sz w:val="19"/>
          <w:szCs w:val="19"/>
          <w:b w:val="1"/>
          <w:bCs w:val="1"/>
          <w:color w:val="auto"/>
        </w:rPr>
        <w:t>CNS</w:t>
      </w:r>
      <w:r>
        <w:rPr>
          <w:rFonts w:ascii="Times New Roman" w:cs="Times New Roman" w:eastAsia="Times New Roman" w:hAnsi="Times New Roman"/>
          <w:sz w:val="19"/>
          <w:szCs w:val="19"/>
          <w:color w:val="auto"/>
        </w:rPr>
        <w:t>”) disorders, and psychiatric disorders.</w:t>
      </w:r>
      <w:r>
        <w:rPr>
          <w:rFonts w:ascii="Times New Roman" w:cs="Times New Roman" w:eastAsia="Times New Roman" w:hAnsi="Times New Roman"/>
          <w:sz w:val="24"/>
          <w:szCs w:val="24"/>
          <w:color w:val="auto"/>
          <w:vertAlign w:val="superscript"/>
        </w:rPr>
        <w:t>4</w:t>
      </w:r>
    </w:p>
    <w:p>
      <w:pPr>
        <w:spacing w:after="0" w:line="25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Further, over the next 12-month period, the Company will continue to seek to establish strategic partnerships that advance the Company’s scientific research and IP for novel compounds and delivery mechanisms.</w:t>
      </w: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20"/>
          <w:szCs w:val="20"/>
          <w:color w:val="auto"/>
        </w:rPr>
        <w:t xml:space="preserve"> The Company will also continue to sponsor select internal and partner-related clinical trials that advance the understanding of safety and efficacy for various psychedelic agents that target mental health and neurological conditions.</w:t>
      </w:r>
      <w:r>
        <w:rPr>
          <w:rFonts w:ascii="Times New Roman" w:cs="Times New Roman" w:eastAsia="Times New Roman" w:hAnsi="Times New Roman"/>
          <w:sz w:val="25"/>
          <w:szCs w:val="25"/>
          <w:color w:val="auto"/>
          <w:vertAlign w:val="superscript"/>
        </w:rPr>
        <w:t>6</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Stage of Development</w:t>
      </w:r>
    </w:p>
    <w:p>
      <w:pPr>
        <w:spacing w:after="0" w:line="2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Like most life sciences and pharmaceutical companies, the Company’s neuropsychiatry business is focused on research and development and any future revenue will be dependent on a number of factors, including the outcome of the Company’s clinical trials and the receipt of all necessary regulatory approvals.</w:t>
      </w:r>
    </w:p>
    <w:p>
      <w:pPr>
        <w:spacing w:after="0" w:line="20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In order to establish its business operations, Cybin intends to leverage the extensive professional network of its management to build working partnerships with (i) existing producers of products based in Canada, the United States, the European Union (the “</w:t>
      </w:r>
      <w:r>
        <w:rPr>
          <w:rFonts w:ascii="Times New Roman" w:cs="Times New Roman" w:eastAsia="Times New Roman" w:hAnsi="Times New Roman"/>
          <w:sz w:val="20"/>
          <w:szCs w:val="20"/>
          <w:b w:val="1"/>
          <w:bCs w:val="1"/>
          <w:color w:val="auto"/>
        </w:rPr>
        <w:t>EU</w:t>
      </w:r>
      <w:r>
        <w:rPr>
          <w:rFonts w:ascii="Times New Roman" w:cs="Times New Roman" w:eastAsia="Times New Roman" w:hAnsi="Times New Roman"/>
          <w:sz w:val="20"/>
          <w:szCs w:val="20"/>
          <w:color w:val="auto"/>
        </w:rPr>
        <w:t>”) and the UK to source the pharmaceutical products the Company intends to develop and distribute under its specific brand, and (ii) to explore options to facilitate the development and distribution and sale of its specific brand of pharmaceutical products.</w:t>
      </w:r>
      <w:r>
        <w:rPr>
          <w:rFonts w:ascii="Times New Roman" w:cs="Times New Roman" w:eastAsia="Times New Roman" w:hAnsi="Times New Roman"/>
          <w:sz w:val="25"/>
          <w:szCs w:val="25"/>
          <w:color w:val="auto"/>
          <w:vertAlign w:val="superscript"/>
        </w:rPr>
        <w:t>7</w:t>
      </w:r>
    </w:p>
    <w:p>
      <w:pPr>
        <w:spacing w:after="0" w:line="111"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20"/>
          <w:szCs w:val="20"/>
          <w:color w:val="auto"/>
        </w:rPr>
        <w:t xml:space="preserve">Prescription drugs are classified and regulated under the federal </w:t>
      </w:r>
      <w:r>
        <w:rPr>
          <w:rFonts w:ascii="Times New Roman" w:cs="Times New Roman" w:eastAsia="Times New Roman" w:hAnsi="Times New Roman"/>
          <w:sz w:val="20"/>
          <w:szCs w:val="20"/>
          <w:i w:val="1"/>
          <w:iCs w:val="1"/>
          <w:color w:val="auto"/>
        </w:rPr>
        <w:t>Food and Drugs Act</w:t>
      </w:r>
      <w:r>
        <w:rPr>
          <w:rFonts w:ascii="Times New Roman" w:cs="Times New Roman" w:eastAsia="Times New Roman" w:hAnsi="Times New Roman"/>
          <w:sz w:val="20"/>
          <w:szCs w:val="20"/>
          <w:color w:val="auto"/>
        </w:rPr>
        <w:t xml:space="preserve"> (Canada) (the “</w:t>
      </w:r>
      <w:r>
        <w:rPr>
          <w:rFonts w:ascii="Times New Roman" w:cs="Times New Roman" w:eastAsia="Times New Roman" w:hAnsi="Times New Roman"/>
          <w:sz w:val="20"/>
          <w:szCs w:val="20"/>
          <w:b w:val="1"/>
          <w:bCs w:val="1"/>
          <w:color w:val="auto"/>
        </w:rPr>
        <w:t>Canadian FDA</w:t>
      </w:r>
      <w:r>
        <w:rPr>
          <w:rFonts w:ascii="Times New Roman" w:cs="Times New Roman" w:eastAsia="Times New Roman" w:hAnsi="Times New Roman"/>
          <w:sz w:val="20"/>
          <w:szCs w:val="20"/>
          <w:color w:val="auto"/>
        </w:rPr>
        <w:t>”). Labeling, marketing and selling of any prescription drug must comply with the Canadian FDA, including by ensuring that the Company’s products are not packaged or marketed in a manner that is misleading or deceptive to a consumer.</w:t>
      </w:r>
    </w:p>
    <w:p>
      <w:pPr>
        <w:spacing w:after="0" w:line="19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 xml:space="preserve">In the United States, foods, drugs and dietary supplements are subject to extensive regulation. The </w:t>
      </w:r>
      <w:r>
        <w:rPr>
          <w:rFonts w:ascii="Times New Roman" w:cs="Times New Roman" w:eastAsia="Times New Roman" w:hAnsi="Times New Roman"/>
          <w:sz w:val="20"/>
          <w:szCs w:val="20"/>
          <w:i w:val="1"/>
          <w:iCs w:val="1"/>
          <w:color w:val="auto"/>
        </w:rPr>
        <w:t>Federal Food, Drug, and Cosmetic Act</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FFDCA</w:t>
      </w:r>
      <w:r>
        <w:rPr>
          <w:rFonts w:ascii="Times New Roman" w:cs="Times New Roman" w:eastAsia="Times New Roman" w:hAnsi="Times New Roman"/>
          <w:sz w:val="20"/>
          <w:szCs w:val="20"/>
          <w:color w:val="auto"/>
        </w:rPr>
        <w:t>”) and other federal and state statutes and regulations govern, among other things, the research, development, testing, manufacturing, storage, recordkeeping, approval, labeling, promotion and marketing, distribution, post-approval monitoring and reporting, sampling, and import and export of pharmaceutical products. The Company must ensure that all promotion and marketing, distribution, and labeling of any pharmaceutical products comply with the U.S. regulations, including the FFDCA and the U.S. Food and Drug Administration (the “</w:t>
      </w:r>
      <w:r>
        <w:rPr>
          <w:rFonts w:ascii="Times New Roman" w:cs="Times New Roman" w:eastAsia="Times New Roman" w:hAnsi="Times New Roman"/>
          <w:sz w:val="20"/>
          <w:szCs w:val="20"/>
          <w:b w:val="1"/>
          <w:bCs w:val="1"/>
          <w:color w:val="auto"/>
        </w:rPr>
        <w:t>FDA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20"/>
          <w:szCs w:val="20"/>
          <w:color w:val="auto"/>
        </w:rPr>
        <w:t>The Company holds a Schedule I manufacturing license from the U.S. Drug Enforcement Administration (“</w:t>
      </w:r>
      <w:r>
        <w:rPr>
          <w:rFonts w:ascii="Times New Roman" w:cs="Times New Roman" w:eastAsia="Times New Roman" w:hAnsi="Times New Roman"/>
          <w:sz w:val="20"/>
          <w:szCs w:val="20"/>
          <w:b w:val="1"/>
          <w:bCs w:val="1"/>
          <w:color w:val="auto"/>
        </w:rPr>
        <w:t>DEA</w:t>
      </w:r>
      <w:r>
        <w:rPr>
          <w:rFonts w:ascii="Times New Roman" w:cs="Times New Roman" w:eastAsia="Times New Roman" w:hAnsi="Times New Roman"/>
          <w:sz w:val="20"/>
          <w:szCs w:val="20"/>
          <w:color w:val="auto"/>
        </w:rPr>
        <w:t>”) for its research lab in the Boston area. The license allows the Company to further become a hub for innovation and drug discovery. With the DEA license, the Company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1714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58" w:lineRule="exact"/>
        <w:rPr>
          <w:sz w:val="20"/>
          <w:szCs w:val="20"/>
          <w:color w:val="auto"/>
        </w:rPr>
      </w:pPr>
    </w:p>
    <w:p>
      <w:pPr>
        <w:ind w:left="100" w:hanging="92"/>
        <w:spacing w:after="0"/>
        <w:tabs>
          <w:tab w:leader="none" w:pos="100"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footnote 1.</w:t>
      </w:r>
    </w:p>
    <w:p>
      <w:pPr>
        <w:ind w:left="80" w:hanging="72"/>
        <w:spacing w:after="0" w:line="183" w:lineRule="auto"/>
        <w:tabs>
          <w:tab w:leader="none" w:pos="80" w:val="left"/>
        </w:tabs>
        <w:numPr>
          <w:ilvl w:val="0"/>
          <w:numId w:val="2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 material factor and assumption underlying this forward-looking statement is that the Company will be able to successfully negotiate strategic partnerships.</w:t>
      </w:r>
    </w:p>
    <w:p>
      <w:pPr>
        <w:ind w:left="80" w:hanging="72"/>
        <w:spacing w:after="0" w:line="191" w:lineRule="auto"/>
        <w:tabs>
          <w:tab w:leader="none" w:pos="80"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material factors and assumptions underlying this forward-looking statement are: (a) that the Company will be able to successfully negotiate strategic partnerships; and</w:t>
      </w:r>
    </w:p>
    <w:p>
      <w:pPr>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 all necessary approvals for the studies will be obtained.</w:t>
      </w:r>
    </w:p>
    <w:p>
      <w:pPr>
        <w:spacing w:after="0" w:line="5" w:lineRule="exact"/>
        <w:rPr>
          <w:rFonts w:ascii="Times New Roman" w:cs="Times New Roman" w:eastAsia="Times New Roman" w:hAnsi="Times New Roman"/>
          <w:sz w:val="21"/>
          <w:szCs w:val="21"/>
          <w:color w:val="auto"/>
          <w:vertAlign w:val="superscript"/>
        </w:rPr>
      </w:pPr>
    </w:p>
    <w:p>
      <w:pPr>
        <w:spacing w:after="0" w:line="215"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7</w:t>
      </w:r>
      <w:r>
        <w:rPr>
          <w:rFonts w:ascii="Times New Roman" w:cs="Times New Roman" w:eastAsia="Times New Roman" w:hAnsi="Times New Roman"/>
          <w:sz w:val="16"/>
          <w:szCs w:val="16"/>
          <w:color w:val="auto"/>
        </w:rPr>
        <w:t xml:space="preserve"> At this time the Company has not entered into commercial supply agreements and has no control over price or conditions. The Company’s assumption is that it will be able to enter into agreements at such a time when there will be sufficient competition in the market which will render prices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3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color w:val="auto"/>
        </w:rPr>
        <w:t>expanded its internal R&amp;D capabilities to support innovative drug discovery and delivery involving Schedule I compounds.</w:t>
      </w:r>
    </w:p>
    <w:p>
      <w:pPr>
        <w:spacing w:after="0" w:line="29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On March 13, 2024, the Company announced that it had been granted Breakthrough Therapy Designation (the “</w:t>
      </w:r>
      <w:r>
        <w:rPr>
          <w:rFonts w:ascii="Times New Roman" w:cs="Times New Roman" w:eastAsia="Times New Roman" w:hAnsi="Times New Roman"/>
          <w:sz w:val="20"/>
          <w:szCs w:val="20"/>
          <w:b w:val="1"/>
          <w:bCs w:val="1"/>
          <w:color w:val="auto"/>
        </w:rPr>
        <w:t>BTD</w:t>
      </w:r>
      <w:r>
        <w:rPr>
          <w:rFonts w:ascii="Times New Roman" w:cs="Times New Roman" w:eastAsia="Times New Roman" w:hAnsi="Times New Roman"/>
          <w:sz w:val="20"/>
          <w:szCs w:val="20"/>
          <w:color w:val="auto"/>
        </w:rPr>
        <w:t>”) by the FDA in respect of CYB003. The BTD provides an expedited review pathway, as well as increased access to FDA guidance on trial design, which has the potential to significantly reduce drug development timelines. The designation includes all “fast track” program features, as well as more intensive FDA guidance and discussion of the CYB003 development program, including planned clinical trials and plans for expediting the manufacturing development strategy.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Non-Revenue Generating Projects</w:t>
      </w:r>
      <w:r>
        <w:rPr>
          <w:rFonts w:ascii="Times New Roman" w:cs="Times New Roman" w:eastAsia="Times New Roman" w:hAnsi="Times New Roman"/>
          <w:sz w:val="25"/>
          <w:szCs w:val="25"/>
          <w:i w:val="1"/>
          <w:iCs w:val="1"/>
          <w:color w:val="auto"/>
          <w:vertAlign w:val="superscript"/>
        </w:rPr>
        <w:t>8</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currently has three significant projects, which have not yet generated revenue:</w:t>
      </w:r>
    </w:p>
    <w:p>
      <w:pPr>
        <w:spacing w:after="0" w:line="283"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Deuterated Psilocin Program (CYB003)</w:t>
      </w:r>
    </w:p>
    <w:p>
      <w:pPr>
        <w:spacing w:after="0" w:line="53"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Deuterated Dimethyltryptamine Program (CYB004)</w:t>
      </w:r>
    </w:p>
    <w:p>
      <w:pPr>
        <w:spacing w:after="0" w:line="40"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Phenethylamine and Tryptamine Derivatives Program (CYB005)</w:t>
      </w:r>
    </w:p>
    <w:p>
      <w:pPr>
        <w:spacing w:after="0" w:line="28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The Company has developed EMBARK, a psychological support model that integrates leading clinical approaches to promote supportive healing with pharmacological interventions for neuropsychiatry. EMBARK’s six clinical domains (</w:t>
      </w: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20"/>
          <w:szCs w:val="20"/>
          <w:color w:val="auto"/>
        </w:rPr>
        <w:t xml:space="preserve">xistential-Spiritual, </w:t>
      </w: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20"/>
          <w:szCs w:val="20"/>
          <w:color w:val="auto"/>
        </w:rPr>
        <w:t xml:space="preserve">indfulness,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ody Aware,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ffective-Cognitive, </w:t>
      </w: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20"/>
          <w:szCs w:val="20"/>
          <w:color w:val="auto"/>
        </w:rPr>
        <w:t xml:space="preserve">elational, </w:t>
      </w:r>
      <w:r>
        <w:rPr>
          <w:rFonts w:ascii="Times New Roman" w:cs="Times New Roman" w:eastAsia="Times New Roman" w:hAnsi="Times New Roman"/>
          <w:sz w:val="20"/>
          <w:szCs w:val="20"/>
          <w:b w:val="1"/>
          <w:bCs w:val="1"/>
          <w:color w:val="auto"/>
        </w:rPr>
        <w:t>K</w:t>
      </w:r>
      <w:r>
        <w:rPr>
          <w:rFonts w:ascii="Times New Roman" w:cs="Times New Roman" w:eastAsia="Times New Roman" w:hAnsi="Times New Roman"/>
          <w:sz w:val="20"/>
          <w:szCs w:val="20"/>
          <w:color w:val="auto"/>
        </w:rPr>
        <w:t>eeping Momentum) represent the broad spectrum of ways in which therapeutic benefits may arise in treatment and the equally broad training needed to prepare therapists to support them all. The Company launched its EMBARK training program in June 2021, which prepares facilitators to work within all of these domains, while inviting facilitators to bring in their own therapeutic training and expertise in a flexible, yet structured way. The EMBARK curriculum additionally emphasizes trauma-informed, culturally competent, and ethically rigorous care. On April 12, 2023, the Company announced the launch of EMBARK Open Access (“</w:t>
      </w:r>
      <w:r>
        <w:rPr>
          <w:rFonts w:ascii="Times New Roman" w:cs="Times New Roman" w:eastAsia="Times New Roman" w:hAnsi="Times New Roman"/>
          <w:sz w:val="20"/>
          <w:szCs w:val="20"/>
          <w:b w:val="1"/>
          <w:bCs w:val="1"/>
          <w:color w:val="auto"/>
        </w:rPr>
        <w:t>EMBARK OA</w:t>
      </w:r>
      <w:r>
        <w:rPr>
          <w:rFonts w:ascii="Times New Roman" w:cs="Times New Roman" w:eastAsia="Times New Roman" w:hAnsi="Times New Roman"/>
          <w:sz w:val="20"/>
          <w:szCs w:val="20"/>
          <w:color w:val="auto"/>
        </w:rPr>
        <w:t>”), a free online foundational training course for facilitation. EMBARK Open Access is the first and only free massive open online course that offers foundational facilitation training for healthcare professionals and people interested in offering psychological support. On July 12, 2023, the Company announced that it has commenced the development of a streamlined, scalable version of its EMBARK Training Program, known as EMBARK</w:t>
      </w:r>
      <w:r>
        <w:rPr>
          <w:rFonts w:ascii="Times New Roman" w:cs="Times New Roman" w:eastAsia="Times New Roman" w:hAnsi="Times New Roman"/>
          <w:sz w:val="25"/>
          <w:szCs w:val="25"/>
          <w:color w:val="auto"/>
          <w:vertAlign w:val="superscript"/>
        </w:rPr>
        <w:t>CT</w:t>
      </w:r>
      <w:r>
        <w:rPr>
          <w:rFonts w:ascii="Times New Roman" w:cs="Times New Roman" w:eastAsia="Times New Roman" w:hAnsi="Times New Roman"/>
          <w:sz w:val="20"/>
          <w:szCs w:val="20"/>
          <w:color w:val="auto"/>
        </w:rPr>
        <w:t>, which is designed for individuals with existing knowledge, skills, and experience in facilitation. The EMBARK</w:t>
      </w:r>
      <w:r>
        <w:rPr>
          <w:rFonts w:ascii="Times New Roman" w:cs="Times New Roman" w:eastAsia="Times New Roman" w:hAnsi="Times New Roman"/>
          <w:sz w:val="25"/>
          <w:szCs w:val="25"/>
          <w:color w:val="auto"/>
          <w:vertAlign w:val="superscript"/>
        </w:rPr>
        <w:t>CT</w:t>
      </w:r>
      <w:r>
        <w:rPr>
          <w:rFonts w:ascii="Times New Roman" w:cs="Times New Roman" w:eastAsia="Times New Roman" w:hAnsi="Times New Roman"/>
          <w:sz w:val="20"/>
          <w:szCs w:val="20"/>
          <w:color w:val="auto"/>
        </w:rPr>
        <w:t xml:space="preserve"> training program is expected to enable the Company to effectively screen, qualify, and train facilitators on a multi-site, international level, to provide support and in-person monitoring for study participants receiving the Company’s investigational therapeutics in larger pivotal trials.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About the Deuterated Psilocin Program (CYB003)</w:t>
      </w:r>
    </w:p>
    <w:p>
      <w:pPr>
        <w:spacing w:after="0" w:line="28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has been investigating the development of short-acting tryptamines with the aim of creating clinical development candidates, utilizing (i) the chemical modification of tryptamine derivatives through the selective substitution of hydrogen atoms with deuterium (i.e. deuteration);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714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53" w:lineRule="exact"/>
        <w:rPr>
          <w:sz w:val="20"/>
          <w:szCs w:val="20"/>
          <w:color w:val="auto"/>
        </w:rPr>
      </w:pPr>
    </w:p>
    <w:p>
      <w:pPr>
        <w:ind w:left="100" w:hanging="92"/>
        <w:spacing w:after="0"/>
        <w:tabs>
          <w:tab w:leader="none" w:pos="100"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All quarter references in this section are based on calendar year-end.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40" w:right="339" w:bottom="1440" w:gutter="0" w:footer="0" w:header="0"/>
        </w:sectPr>
      </w:pPr>
    </w:p>
    <w:bookmarkStart w:id="39" w:name="page40"/>
    <w:bookmarkEnd w:id="39"/>
    <w:p>
      <w:pPr>
        <w:ind w:firstLine="8"/>
        <w:spacing w:after="0" w:line="325" w:lineRule="auto"/>
        <w:tabs>
          <w:tab w:leader="none" w:pos="312"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combination of such deuterated tryptamine derivative molecules with selected drug delivery methods, including but not limited to oral, inhalation methods, IV and intramuscular delivery.</w:t>
      </w:r>
    </w:p>
    <w:p>
      <w:pPr>
        <w:spacing w:after="0" w:line="17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Company’s lead program, CYB003, is an orally delivered deuterated psilocin molecule that has been granted FDA BTD for the adjunctive treatment of MDD. CYB003 aims to address the limitations of oral psilocin, including side effects, scalability and accessibility of treatment.</w:t>
      </w:r>
    </w:p>
    <w:p>
      <w:pPr>
        <w:spacing w:after="0" w:line="19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Company completed its CYB003 Investigational New Drug (“</w:t>
      </w:r>
      <w:r>
        <w:rPr>
          <w:rFonts w:ascii="Times New Roman" w:cs="Times New Roman" w:eastAsia="Times New Roman" w:hAnsi="Times New Roman"/>
          <w:sz w:val="20"/>
          <w:szCs w:val="20"/>
          <w:b w:val="1"/>
          <w:bCs w:val="1"/>
          <w:color w:val="auto"/>
        </w:rPr>
        <w:t>IND</w:t>
      </w:r>
      <w:r>
        <w:rPr>
          <w:rFonts w:ascii="Times New Roman" w:cs="Times New Roman" w:eastAsia="Times New Roman" w:hAnsi="Times New Roman"/>
          <w:sz w:val="20"/>
          <w:szCs w:val="20"/>
          <w:color w:val="auto"/>
        </w:rPr>
        <w:t>”)-enabling preclinical studies and Chemistry, Manufacturing and Control (“</w:t>
      </w:r>
      <w:r>
        <w:rPr>
          <w:rFonts w:ascii="Times New Roman" w:cs="Times New Roman" w:eastAsia="Times New Roman" w:hAnsi="Times New Roman"/>
          <w:sz w:val="20"/>
          <w:szCs w:val="20"/>
          <w:b w:val="1"/>
          <w:bCs w:val="1"/>
          <w:color w:val="auto"/>
        </w:rPr>
        <w:t>CMC</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development, including the production of clinical materials required for clinical trials, in the second quarter of calendar 2022. In the same period, the Company submitted an IND application to the FDA and received a “may proceed letter” and IND application clearance from the FDA as well as Institutional Review Board (the “</w:t>
      </w:r>
      <w:r>
        <w:rPr>
          <w:rFonts w:ascii="Times New Roman" w:cs="Times New Roman" w:eastAsia="Times New Roman" w:hAnsi="Times New Roman"/>
          <w:sz w:val="20"/>
          <w:szCs w:val="20"/>
          <w:b w:val="1"/>
          <w:bCs w:val="1"/>
          <w:color w:val="auto"/>
        </w:rPr>
        <w:t>IRB</w:t>
      </w:r>
      <w:r>
        <w:rPr>
          <w:rFonts w:ascii="Times New Roman" w:cs="Times New Roman" w:eastAsia="Times New Roman" w:hAnsi="Times New Roman"/>
          <w:sz w:val="20"/>
          <w:szCs w:val="20"/>
          <w:color w:val="auto"/>
        </w:rPr>
        <w:t>”) approval in the U.S. to commence its first-in-human Phase 1/2a study of CYB003 in participants with moderate to severe MDD. The Company had engaged Clinilabs Drug Development Corporation (“</w:t>
      </w:r>
      <w:r>
        <w:rPr>
          <w:rFonts w:ascii="Times New Roman" w:cs="Times New Roman" w:eastAsia="Times New Roman" w:hAnsi="Times New Roman"/>
          <w:sz w:val="20"/>
          <w:szCs w:val="20"/>
          <w:b w:val="1"/>
          <w:bCs w:val="1"/>
          <w:color w:val="auto"/>
        </w:rPr>
        <w:t>Clinilabs</w:t>
      </w:r>
      <w:r>
        <w:rPr>
          <w:rFonts w:ascii="Times New Roman" w:cs="Times New Roman" w:eastAsia="Times New Roman" w:hAnsi="Times New Roman"/>
          <w:sz w:val="20"/>
          <w:szCs w:val="20"/>
          <w:color w:val="auto"/>
        </w:rPr>
        <w:t>”), a full-service contract research organization with deep expertise in central nervous system drug development, to carry out the Phase 1/2a clinical trial of CYB003.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About the Completed CYB003 Phase 1/2a Clinical Trial</w:t>
      </w:r>
    </w:p>
    <w:p>
      <w:pPr>
        <w:spacing w:after="0" w:line="28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The Phase 1/2a trial was a randomized, double-blind, placebo-controlled study evaluating CYB003 in participants with moderate to severe MDD and in healthy volunteers. Per a protocol amendment to the initial Phase 1/2a study design that was announced on February 28, 2023, the study introduced healthy volunteers for the lower (sub-therapeutic) dose cohorts and added a bioequivalence cohort to facilitate the transition to pivotal studies. Healthy volunteers received two administrations (placebo/active and active/active) one week apart, and measures of pharmacological effect were assessed after each dose. Participants with MDD received two administrations (placebo/active and active/active) three weeks apart and response/remission were assessed three weeks after each dose. MDD participants in the trial that were being treated with antidepressants were allowed to remain on their antidepressant medication.</w:t>
      </w:r>
    </w:p>
    <w:p>
      <w:pPr>
        <w:spacing w:after="0" w:line="21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study investigated the safety, tolerability, pharmacokinetics (“</w:t>
      </w:r>
      <w:r>
        <w:rPr>
          <w:rFonts w:ascii="Times New Roman" w:cs="Times New Roman" w:eastAsia="Times New Roman" w:hAnsi="Times New Roman"/>
          <w:sz w:val="20"/>
          <w:szCs w:val="20"/>
          <w:b w:val="1"/>
          <w:bCs w:val="1"/>
          <w:color w:val="auto"/>
        </w:rPr>
        <w:t>PK</w:t>
      </w:r>
      <w:r>
        <w:rPr>
          <w:rFonts w:ascii="Times New Roman" w:cs="Times New Roman" w:eastAsia="Times New Roman" w:hAnsi="Times New Roman"/>
          <w:sz w:val="20"/>
          <w:szCs w:val="20"/>
          <w:color w:val="auto"/>
        </w:rPr>
        <w:t>”) and pharmacodynamics (“</w:t>
      </w:r>
      <w:r>
        <w:rPr>
          <w:rFonts w:ascii="Times New Roman" w:cs="Times New Roman" w:eastAsia="Times New Roman" w:hAnsi="Times New Roman"/>
          <w:sz w:val="20"/>
          <w:szCs w:val="20"/>
          <w:b w:val="1"/>
          <w:bCs w:val="1"/>
          <w:color w:val="auto"/>
        </w:rPr>
        <w:t>PD</w:t>
      </w:r>
      <w:r>
        <w:rPr>
          <w:rFonts w:ascii="Times New Roman" w:cs="Times New Roman" w:eastAsia="Times New Roman" w:hAnsi="Times New Roman"/>
          <w:sz w:val="20"/>
          <w:szCs w:val="20"/>
          <w:color w:val="auto"/>
        </w:rPr>
        <w:t>”), and pharmacological effect of ascending oral doses of CYB003. In participants with MDD, the trial evaluated rapid onset of antidepressant effect on the day of dosing, using the Montgomery-Asberg Depression Rating Scale (“</w:t>
      </w:r>
      <w:r>
        <w:rPr>
          <w:rFonts w:ascii="Times New Roman" w:cs="Times New Roman" w:eastAsia="Times New Roman" w:hAnsi="Times New Roman"/>
          <w:sz w:val="20"/>
          <w:szCs w:val="20"/>
          <w:b w:val="1"/>
          <w:bCs w:val="1"/>
          <w:color w:val="auto"/>
        </w:rPr>
        <w:t>MADRS</w:t>
      </w:r>
      <w:r>
        <w:rPr>
          <w:rFonts w:ascii="Times New Roman" w:cs="Times New Roman" w:eastAsia="Times New Roman" w:hAnsi="Times New Roman"/>
          <w:sz w:val="20"/>
          <w:szCs w:val="20"/>
          <w:color w:val="auto"/>
        </w:rPr>
        <w:t>”), and evaluated the incremental benefit of a second dose of CYB003 when administered at Week 3. The study included an optional period of assessment to evaluate the durability of treatment effect out to 12 months. The study is listed on ClinicalTrials.gov under Identifier: NCT05385783.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August 30, 2022, the Company announced that the first two participants had been dosed in the Phase 1/2a study.</w:t>
      </w:r>
    </w:p>
    <w:p>
      <w:pPr>
        <w:spacing w:after="0" w:line="28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February 28, 2023, the Company announced positive interim safety and pharmacokinetics and pharmacodynamics data from the Phase 1/2a study of CYB003. Interim findings showed that CYB003 exhibited rapid, short-acting effects, low variability in plasma levels, and achieved a psychedelic effect at low doses. At the 8mg and 10mg dose levels, most of the participants reported robust and meaningful psychedelic effects, confirming a complete mystical experience was achieved. All doses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4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0"/>
          <w:szCs w:val="20"/>
          <w:color w:val="auto"/>
        </w:rPr>
        <w:t>evaluated (single oral doses of CYB003 up to 10mg) were well-tolerated with no serious adverse events reported.</w:t>
      </w:r>
    </w:p>
    <w:p>
      <w:pPr>
        <w:spacing w:after="0" w:line="29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July 24, 2023, the Company announced that it had completed dosing in Cohort 5 of the Phase 2a portion of the study with no serious adverse events or other adverse events that may preclude continued dosing, with recruitment underway for Cohort 6. The Phase 2a trial, consisting of completed Cohorts 4 and 5 as of the date of the announcement, evaluated two 12mg doses of CYB003. On August 2, 2023, the Company announced that it had initiated dosing in Cohort 6, the final cohort of the CYB003 Phase 2a study.</w:t>
      </w:r>
    </w:p>
    <w:p>
      <w:pPr>
        <w:spacing w:after="0" w:line="20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September 21, 2023, the Company announced that it had completed enrollment in its Phase 2a study of CYB003, its proprietary deuterated psilocin molecule program being developed for the potential treatment of MDD. All participants in the sixth, and final, cohort received at least one dose (placebo or 16mg of CYB003) with several second doses already administered, and no serious adverse events observed in participants. As of that date, CYB003 demonstrated a favorable safety and tolerability profile at all doses evaluated in the five completed cohorts (1mg, 3mg, 8mg, 10mg, and 12mg).</w:t>
      </w:r>
    </w:p>
    <w:p>
      <w:pPr>
        <w:spacing w:after="0" w:line="20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October 3, 2023, the Company announced that it had completed dosing in Cohort 6 of its Phase 2a study of CYB003. The following doses were evaluated in the six cohorts that comprised the Phase 2a study: 1mg, 3mg, 8mg, 10mg, 12mg, and 16mg. As of that date, CYB003 has been shown to be safe and tolerable at all doses evaluated with no serious adverse events or discontinuations due to adverse events having been observed in the final dose cohort.</w:t>
      </w:r>
    </w:p>
    <w:p>
      <w:pPr>
        <w:spacing w:after="0" w:line="20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October 31, 2023, the Company announced Phase 2a interim results for CYB003, its proprietary deuterated psilocin molecule, demonstrating a rapid, robust and statistically significant reduction in symptoms of depression three weeks following a single 12mg dose compared to placebo, in participants with moderate to severe MDD. At the 3-week primary efficacy endpoint, the reduction in MDD symptoms, defined as change from baseline in the MADRS total score, was superior in participants assigned to CYB003 compared to the participants who received placebo by 14.11 points (p=0.0001, Cohen’s d=2.31).</w:t>
      </w:r>
    </w:p>
    <w:p>
      <w:pPr>
        <w:spacing w:after="0" w:line="20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On November 30, 2023, the Company announced positive Phase 2a topline results for CYB003, showing rapid and robust improvements in symptoms of depression after single doses of CYB003, with an average 14.1 point difference in MADRS score reduction between CYB003 and placebo which was statistically significant at 3 weeks (p&lt;0.0001). The study also demonstrated a clear incremental benefit of a second dose, with a further 5.8 point improvement on the MADRS total score with a second dose of CYB003 (12mg) at 6 weeks, and 79% of patients were in remission from depression at 6 weeks after two doses of CYB003 (12mg). CYB003 exhibited a favorable safety and tolerability profile with no treatment-related serious adverse events at 12mg and 16mg doses.</w:t>
      </w:r>
    </w:p>
    <w:p>
      <w:pPr>
        <w:spacing w:after="0" w:line="21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March 13, 2024, the Company announced that the FDA had granted BTD to its CYB003 program for the adjunctive treatment of MDD. The BTD provides an expedited review pathway, as well as increased access to FDA guidance on trial design, with the potential to reduce drug development timelines. On March 13, 2024, the Company also reported positive four-month durability data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40" w:right="339" w:bottom="1440" w:gutter="0" w:footer="0" w:header="0"/>
        </w:sectPr>
      </w:pPr>
    </w:p>
    <w:bookmarkStart w:id="41" w:name="page42"/>
    <w:bookmarkEnd w:id="41"/>
    <w:p>
      <w:pPr>
        <w:spacing w:after="0" w:line="325" w:lineRule="auto"/>
        <w:rPr>
          <w:sz w:val="20"/>
          <w:szCs w:val="20"/>
          <w:color w:val="auto"/>
        </w:rPr>
      </w:pPr>
      <w:r>
        <w:rPr>
          <w:rFonts w:ascii="Times New Roman" w:cs="Times New Roman" w:eastAsia="Times New Roman" w:hAnsi="Times New Roman"/>
          <w:sz w:val="20"/>
          <w:szCs w:val="20"/>
          <w:color w:val="auto"/>
        </w:rPr>
        <w:t>the Phase 2a study of CYB003 in MDD. These results showed robust, sustained and statistically significant improvements in depression symptoms at four months with two doses of CYB003 (12mg or 16mg):</w:t>
      </w:r>
    </w:p>
    <w:p>
      <w:pPr>
        <w:spacing w:after="0" w:line="174" w:lineRule="exact"/>
        <w:rPr>
          <w:sz w:val="20"/>
          <w:szCs w:val="20"/>
          <w:color w:val="auto"/>
        </w:rPr>
      </w:pPr>
    </w:p>
    <w:p>
      <w:pPr>
        <w:ind w:left="660" w:hanging="331"/>
        <w:spacing w:after="0" w:line="288" w:lineRule="auto"/>
        <w:tabs>
          <w:tab w:leader="none" w:pos="624"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Average mean reduction from baseline in the MADRS total score across 2 cohorts was approximately 22 points from baseline in both dosing cohorts.</w:t>
      </w:r>
    </w:p>
    <w:p>
      <w:pPr>
        <w:ind w:left="640" w:hanging="311"/>
        <w:spacing w:after="0"/>
        <w:tabs>
          <w:tab w:leader="none" w:pos="6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60% of patients on 12 mg and 75% on 16 mg were in remission from depression following 2 doses (MADRS score &lt;/= 10).</w:t>
      </w:r>
    </w:p>
    <w:p>
      <w:pPr>
        <w:spacing w:after="0" w:line="28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On August 13, 2024, the Company announced that it held a Type B Initial Comprehensive Breakthrough Therapy Meeting with the FDA. Further to recent industry discussions around the subject of functional unblinding, the Company plans to implement multiple measures to attempt to mitigate the risk of functional unblinding in its pivotal study program, as follows:</w:t>
      </w:r>
    </w:p>
    <w:p>
      <w:pPr>
        <w:spacing w:after="0" w:line="195" w:lineRule="exact"/>
        <w:rPr>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pivotal study program will include a study with a three-arm design with a high dose, mid-dose, and placebo arm. Patients will not</w:t>
      </w:r>
    </w:p>
    <w:p>
      <w:pPr>
        <w:spacing w:after="0" w:line="65" w:lineRule="exact"/>
        <w:rPr>
          <w:rFonts w:ascii="Times New Roman" w:cs="Times New Roman" w:eastAsia="Times New Roman" w:hAnsi="Times New Roman"/>
          <w:sz w:val="19"/>
          <w:szCs w:val="19"/>
          <w:color w:val="auto"/>
        </w:rPr>
      </w:pPr>
    </w:p>
    <w:p>
      <w:pPr>
        <w:ind w:left="660"/>
        <w:spacing w:after="0" w:line="28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know if they received the therapeutic high dose or the sub therapeutic mid-dose, mitigating the unblinding to an extent and addressing potential expectancy bias;</w:t>
      </w:r>
    </w:p>
    <w:p>
      <w:pPr>
        <w:spacing w:after="0" w:line="1" w:lineRule="exact"/>
        <w:rPr>
          <w:rFonts w:ascii="Times New Roman" w:cs="Times New Roman" w:eastAsia="Times New Roman" w:hAnsi="Times New Roman"/>
          <w:sz w:val="19"/>
          <w:szCs w:val="19"/>
          <w:color w:val="auto"/>
        </w:rPr>
      </w:pPr>
    </w:p>
    <w:p>
      <w:pPr>
        <w:ind w:left="660" w:right="20" w:hanging="328"/>
        <w:spacing w:after="0" w:line="288" w:lineRule="auto"/>
        <w:tabs>
          <w:tab w:leader="none" w:pos="64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studies will utilize remote, independent, blinded raters who will not have any information on the dose received or the participant’s dosing experience;</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reporting of effects during the dosing session will be fire-walled to ensure that the study team stays blinded;</w:t>
      </w:r>
    </w:p>
    <w:p>
      <w:pPr>
        <w:spacing w:after="0" w:line="4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studies will recruit participants who are largely psychedelic naïve to reduce the impact of expectancy bias; and</w:t>
      </w:r>
    </w:p>
    <w:p>
      <w:pPr>
        <w:spacing w:after="0" w:line="5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studies will assess long-term efficacy data points up to one year, to outlast any potential expectancy effects.</w:t>
      </w:r>
    </w:p>
    <w:p>
      <w:pPr>
        <w:spacing w:after="0" w:line="283"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In addition, the studies will include manual and real time artificial intelligence screening of monitoring sessions to ensure monitor fidelity and patient safety.</w:t>
      </w:r>
    </w:p>
    <w:p>
      <w:pPr>
        <w:spacing w:after="0" w:line="17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November 18, 2024, the Company reported positive Phase 2 data for CYB003, demonstrating 12-month efficacy in treating MDD. At 12 months after two 16 mg doses, 100% of participants were responsive to treatment and 71% of participants were in remission. The mean change from baseline in MADRS was approximately -23 points at 12 months after two 16 mg doses. CYB003 demonstrated an excellent safety and tolerability profile. No new adverse events were reported in the 12-month follow up, including no reports of suicidality.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About the Phase 3 PARADIGM Pivotal Program</w:t>
      </w:r>
    </w:p>
    <w:p>
      <w:pPr>
        <w:spacing w:after="0" w:line="297"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On November 13, 2024, the Company announced that it had initiated PARADIGM, a multinational pivotal Phase 3 program evaluating CYB003 for the adjunctive treatment of MDD.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Phase 3 program comprises three pivotal efficacy studies as outlined below. Dosing is underway in APPROACH, the first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pivotal study, and patient rollover has begun into EXTEND (as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40" w:right="339" w:bottom="1440" w:gutter="0" w:footer="0" w:header="0"/>
        </w:sectPr>
      </w:pPr>
    </w:p>
    <w:bookmarkStart w:id="42" w:name="page43"/>
    <w:bookmarkEnd w:id="42"/>
    <w:p>
      <w:pPr>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Pivotal study 1: APPROACH </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b w:val="1"/>
          <w:bCs w:val="1"/>
          <w:color w:val="auto"/>
        </w:rPr>
        <w:t xml:space="preserve"> (A P</w:t>
      </w:r>
      <w:r>
        <w:rPr>
          <w:rFonts w:ascii="Times New Roman" w:cs="Times New Roman" w:eastAsia="Times New Roman" w:hAnsi="Times New Roman"/>
          <w:sz w:val="20"/>
          <w:szCs w:val="20"/>
          <w:color w:val="auto"/>
        </w:rPr>
        <w:t>hase III,</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20"/>
          <w:szCs w:val="20"/>
          <w:color w:val="auto"/>
        </w:rPr>
        <w:t>lacebo-Controlled,</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20"/>
          <w:szCs w:val="20"/>
          <w:color w:val="auto"/>
        </w:rPr>
        <w:t>andomized, Double-Blind Trial of</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20"/>
          <w:szCs w:val="20"/>
          <w:color w:val="auto"/>
        </w:rPr>
        <w:t>ral Doses of CYB003 to</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20"/>
          <w:szCs w:val="20"/>
          <w:color w:val="auto"/>
        </w:rPr>
        <w:t>ssess</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20"/>
          <w:szCs w:val="20"/>
          <w:color w:val="auto"/>
        </w:rPr>
        <w:t>ombined Safety and Efficacy in</w:t>
      </w:r>
      <w:r>
        <w:rPr>
          <w:rFonts w:ascii="Times New Roman" w:cs="Times New Roman" w:eastAsia="Times New Roman" w:hAnsi="Times New Roman"/>
          <w:sz w:val="20"/>
          <w:szCs w:val="20"/>
          <w:b w:val="1"/>
          <w:bCs w:val="1"/>
          <w:color w:val="auto"/>
        </w:rPr>
        <w:t xml:space="preserve"> H</w:t>
      </w:r>
      <w:r>
        <w:rPr>
          <w:rFonts w:ascii="Times New Roman" w:cs="Times New Roman" w:eastAsia="Times New Roman" w:hAnsi="Times New Roman"/>
          <w:sz w:val="20"/>
          <w:szCs w:val="20"/>
          <w:color w:val="auto"/>
        </w:rPr>
        <w:t>umans with Major Depressive Disorder)(“</w:t>
      </w:r>
      <w:r>
        <w:rPr>
          <w:rFonts w:ascii="Times New Roman" w:cs="Times New Roman" w:eastAsia="Times New Roman" w:hAnsi="Times New Roman"/>
          <w:sz w:val="20"/>
          <w:szCs w:val="20"/>
          <w:b w:val="1"/>
          <w:bCs w:val="1"/>
          <w:color w:val="auto"/>
        </w:rPr>
        <w:t>APPROACH</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jc w:val="both"/>
        <w:ind w:left="660" w:hanging="328"/>
        <w:spacing w:after="0" w:line="286" w:lineRule="auto"/>
        <w:tabs>
          <w:tab w:leader="none" w:pos="64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(n=220) will be randomized 1:1 to receive either 16 mg of CYB003 (n=110) or inactive placebo (n=110). Each study arm will evaluate a two-dose regimen, with doses administered three weeks apart. The study will enroll patients suffering from moderate to severe MDD (MADRS≥24) who are on a stable dose of antidepressant medication but are responding inadequately.</w:t>
      </w:r>
    </w:p>
    <w:p>
      <w:pPr>
        <w:spacing w:after="0" w:line="1" w:lineRule="exact"/>
        <w:rPr>
          <w:rFonts w:ascii="Times New Roman" w:cs="Times New Roman" w:eastAsia="Times New Roman" w:hAnsi="Times New Roman"/>
          <w:sz w:val="20"/>
          <w:szCs w:val="20"/>
          <w:color w:val="auto"/>
        </w:rPr>
      </w:pPr>
    </w:p>
    <w:p>
      <w:pPr>
        <w:ind w:left="660" w:hanging="328"/>
        <w:spacing w:after="0" w:line="311" w:lineRule="auto"/>
        <w:tabs>
          <w:tab w:leader="none" w:pos="64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primary endpoint will be change in depressive symptoms as measured by change in MADRS from baseline at six weeks after the first dose.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APPROACH will enroll participants at approximately 45 clinical sites across the U.S.</w:t>
      </w:r>
    </w:p>
    <w:p>
      <w:pPr>
        <w:spacing w:after="0" w:line="27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b w:val="1"/>
          <w:bCs w:val="1"/>
          <w:color w:val="auto"/>
        </w:rPr>
        <w:t>Pivotal study 2: EMBRACE</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E</w:t>
      </w:r>
      <w:r>
        <w:rPr>
          <w:rFonts w:ascii="Times New Roman" w:cs="Times New Roman" w:eastAsia="Times New Roman" w:hAnsi="Times New Roman"/>
          <w:sz w:val="20"/>
          <w:szCs w:val="20"/>
          <w:color w:val="auto"/>
        </w:rPr>
        <w:t>fficacy and Safety, Phase III,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M</w:t>
      </w:r>
      <w:r>
        <w:rPr>
          <w:rFonts w:ascii="Times New Roman" w:cs="Times New Roman" w:eastAsia="Times New Roman" w:hAnsi="Times New Roman"/>
          <w:sz w:val="20"/>
          <w:szCs w:val="20"/>
          <w:color w:val="auto"/>
        </w:rPr>
        <w:t>ulti-center, Double-</w:t>
      </w:r>
      <w:r>
        <w:rPr>
          <w:rFonts w:ascii="Times New Roman" w:cs="Times New Roman" w:eastAsia="Times New Roman" w:hAnsi="Times New Roman"/>
          <w:sz w:val="20"/>
          <w:szCs w:val="20"/>
          <w:b w:val="1"/>
          <w:bCs w:val="1"/>
          <w:u w:val="single" w:color="auto"/>
          <w:color w:val="auto"/>
        </w:rPr>
        <w:t>B</w:t>
      </w:r>
      <w:r>
        <w:rPr>
          <w:rFonts w:ascii="Times New Roman" w:cs="Times New Roman" w:eastAsia="Times New Roman" w:hAnsi="Times New Roman"/>
          <w:sz w:val="20"/>
          <w:szCs w:val="20"/>
          <w:color w:val="auto"/>
        </w:rPr>
        <w:t>lind,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R</w:t>
      </w:r>
      <w:r>
        <w:rPr>
          <w:rFonts w:ascii="Times New Roman" w:cs="Times New Roman" w:eastAsia="Times New Roman" w:hAnsi="Times New Roman"/>
          <w:sz w:val="20"/>
          <w:szCs w:val="20"/>
          <w:color w:val="auto"/>
        </w:rPr>
        <w:t>andomized Controlled Study Comparing 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A</w:t>
      </w:r>
      <w:r>
        <w:rPr>
          <w:rFonts w:ascii="Times New Roman" w:cs="Times New Roman" w:eastAsia="Times New Roman" w:hAnsi="Times New Roman"/>
          <w:sz w:val="20"/>
          <w:szCs w:val="20"/>
          <w:color w:val="auto"/>
        </w:rPr>
        <w:t>ctive and 1 Inactive Oral Doses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C</w:t>
      </w:r>
      <w:r>
        <w:rPr>
          <w:rFonts w:ascii="Times New Roman" w:cs="Times New Roman" w:eastAsia="Times New Roman" w:hAnsi="Times New Roman"/>
          <w:sz w:val="20"/>
          <w:szCs w:val="20"/>
          <w:color w:val="auto"/>
        </w:rPr>
        <w:t>YB003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E</w:t>
      </w:r>
      <w:r>
        <w:rPr>
          <w:rFonts w:ascii="Times New Roman" w:cs="Times New Roman" w:eastAsia="Times New Roman" w:hAnsi="Times New Roman"/>
          <w:sz w:val="20"/>
          <w:szCs w:val="20"/>
          <w:color w:val="auto"/>
        </w:rPr>
        <w:t>ligible Participants with Major Depressive Disorder) (“</w:t>
      </w:r>
      <w:r>
        <w:rPr>
          <w:rFonts w:ascii="Times New Roman" w:cs="Times New Roman" w:eastAsia="Times New Roman" w:hAnsi="Times New Roman"/>
          <w:sz w:val="20"/>
          <w:szCs w:val="20"/>
          <w:b w:val="1"/>
          <w:bCs w:val="1"/>
          <w:color w:val="auto"/>
        </w:rPr>
        <w:t>EMBRACE</w:t>
      </w:r>
      <w:r>
        <w:rPr>
          <w:rFonts w:ascii="Times New Roman" w:cs="Times New Roman" w:eastAsia="Times New Roman" w:hAnsi="Times New Roman"/>
          <w:sz w:val="20"/>
          <w:szCs w:val="20"/>
          <w:color w:val="auto"/>
        </w:rPr>
        <w:t>”).</w:t>
      </w:r>
    </w:p>
    <w:p>
      <w:pPr>
        <w:spacing w:after="0" w:line="221" w:lineRule="exact"/>
        <w:rPr>
          <w:sz w:val="20"/>
          <w:szCs w:val="20"/>
          <w:color w:val="auto"/>
        </w:rPr>
      </w:pPr>
    </w:p>
    <w:p>
      <w:pPr>
        <w:jc w:val="both"/>
        <w:ind w:left="660" w:hanging="328"/>
        <w:spacing w:after="0" w:line="288"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(n=330) will be randomized 1:1:1 to receive 16 mg of CYB003 (n=110), 8 mg of CYB003 (n=110), or inactive placebo (n=110). Each arm will evaluate a two-dose regimen, with doses administered three weeks apart. The study will enroll patients</w:t>
      </w:r>
    </w:p>
    <w:p>
      <w:pPr>
        <w:spacing w:after="0" w:line="1" w:lineRule="exact"/>
        <w:rPr>
          <w:rFonts w:ascii="Times New Roman" w:cs="Times New Roman" w:eastAsia="Times New Roman" w:hAnsi="Times New Roman"/>
          <w:sz w:val="20"/>
          <w:szCs w:val="20"/>
          <w:color w:val="auto"/>
        </w:rPr>
      </w:pPr>
    </w:p>
    <w:p>
      <w:pPr>
        <w:ind w:left="660"/>
        <w:spacing w:after="0" w:line="28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suffering from moderate to severe MDD (MADRS≥24) who are on a stable dose of antidepressant medication but are responding inadequately.</w:t>
      </w:r>
    </w:p>
    <w:p>
      <w:pPr>
        <w:spacing w:after="0" w:line="1" w:lineRule="exact"/>
        <w:rPr>
          <w:rFonts w:ascii="Times New Roman" w:cs="Times New Roman" w:eastAsia="Times New Roman" w:hAnsi="Times New Roman"/>
          <w:sz w:val="20"/>
          <w:szCs w:val="20"/>
          <w:color w:val="auto"/>
        </w:rPr>
      </w:pPr>
    </w:p>
    <w:p>
      <w:pPr>
        <w:ind w:left="660" w:hanging="328"/>
        <w:spacing w:after="0" w:line="325"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primary endpoint will be change in depressive symptoms as measured by change in MADRS from baseline at six weeks after the first dose.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EMBRACE is expected to enroll at approximately 60 clinical sites, with minimal site overlap with the APPROACH study.</w:t>
      </w:r>
    </w:p>
    <w:p>
      <w:pPr>
        <w:spacing w:after="0" w:line="293"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20"/>
          <w:szCs w:val="20"/>
          <w:b w:val="1"/>
          <w:bCs w:val="1"/>
          <w:color w:val="auto"/>
        </w:rPr>
        <w:t>Pivotal study 3: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Phase III Open Label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Exten</w:t>
      </w:r>
      <w:r>
        <w:rPr>
          <w:rFonts w:ascii="Times New Roman" w:cs="Times New Roman" w:eastAsia="Times New Roman" w:hAnsi="Times New Roman"/>
          <w:sz w:val="20"/>
          <w:szCs w:val="20"/>
          <w:color w:val="auto"/>
        </w:rPr>
        <w:t>sion Study with Optional Additional Doses of CYB003 to Assess the Safety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Long-term Efficacy in Participants With Major </w:t>
      </w:r>
      <w:r>
        <w:rPr>
          <w:rFonts w:ascii="Times New Roman" w:cs="Times New Roman" w:eastAsia="Times New Roman" w:hAnsi="Times New Roman"/>
          <w:sz w:val="20"/>
          <w:szCs w:val="20"/>
          <w:b w:val="1"/>
          <w:bCs w:val="1"/>
          <w:u w:val="single" w:color="auto"/>
          <w:color w:val="auto"/>
        </w:rPr>
        <w:t>D</w:t>
      </w:r>
      <w:r>
        <w:rPr>
          <w:rFonts w:ascii="Times New Roman" w:cs="Times New Roman" w:eastAsia="Times New Roman" w:hAnsi="Times New Roman"/>
          <w:sz w:val="20"/>
          <w:szCs w:val="20"/>
          <w:color w:val="auto"/>
        </w:rPr>
        <w:t>epressive Disorder).</w:t>
      </w:r>
    </w:p>
    <w:p>
      <w:pPr>
        <w:spacing w:after="0" w:line="183" w:lineRule="exact"/>
        <w:rPr>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from APPROACH and EMBRACE will roll over into EXTEND (up to n=550) after the completion of the 12-week,</w:t>
      </w:r>
    </w:p>
    <w:p>
      <w:pPr>
        <w:spacing w:after="0" w:line="53" w:lineRule="exact"/>
        <w:rPr>
          <w:rFonts w:ascii="Times New Roman" w:cs="Times New Roman" w:eastAsia="Times New Roman" w:hAnsi="Times New Roman"/>
          <w:sz w:val="20"/>
          <w:szCs w:val="20"/>
          <w:color w:val="auto"/>
        </w:rPr>
      </w:pPr>
    </w:p>
    <w:p>
      <w:pPr>
        <w:jc w:val="both"/>
        <w:ind w:left="660"/>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double-blind, placebo-controlled treatment periods. During EXTEND, all participants who did not respond to treatment in the APPROACH and EMBRACE studies or who relapse during the EXTEND study will be eligible to receive an additional two doses of CYB003 (16 mg) administered three weeks apart. Participants who do not respond to these two doses or relapse again will be eligible to receive an additional single 16 mg dose of CYB003.</w:t>
      </w:r>
    </w:p>
    <w:p>
      <w:pPr>
        <w:spacing w:after="0" w:line="202"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color w:val="auto"/>
        </w:rPr>
        <w:t>Across all three studies, raters will be remote, independent, and blinded with no information on the dose received or the participant’s dosing experience. Effects during the dosing session will be firewalled to ensure that the study team stays blinded.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36" w:right="339" w:bottom="1440" w:gutter="0" w:footer="0" w:header="0"/>
        </w:sectPr>
      </w:pPr>
    </w:p>
    <w:bookmarkStart w:id="43" w:name="page44"/>
    <w:bookmarkEnd w:id="43"/>
    <w:p>
      <w:pPr>
        <w:jc w:val="both"/>
        <w:spacing w:after="0" w:line="329" w:lineRule="auto"/>
        <w:rPr>
          <w:sz w:val="20"/>
          <w:szCs w:val="20"/>
          <w:color w:val="auto"/>
        </w:rPr>
      </w:pPr>
      <w:r>
        <w:rPr>
          <w:rFonts w:ascii="Times New Roman" w:cs="Times New Roman" w:eastAsia="Times New Roman" w:hAnsi="Times New Roman"/>
          <w:sz w:val="20"/>
          <w:szCs w:val="20"/>
          <w:color w:val="auto"/>
        </w:rPr>
        <w:t>On January 15, 2025, the Company announced the launch of its first strategic partnership agreement (“</w:t>
      </w:r>
      <w:r>
        <w:rPr>
          <w:rFonts w:ascii="Times New Roman" w:cs="Times New Roman" w:eastAsia="Times New Roman" w:hAnsi="Times New Roman"/>
          <w:sz w:val="20"/>
          <w:szCs w:val="20"/>
          <w:b w:val="1"/>
          <w:bCs w:val="1"/>
          <w:color w:val="auto"/>
        </w:rPr>
        <w:t>SPA</w:t>
      </w:r>
      <w:r>
        <w:rPr>
          <w:rFonts w:ascii="Times New Roman" w:cs="Times New Roman" w:eastAsia="Times New Roman" w:hAnsi="Times New Roman"/>
          <w:sz w:val="20"/>
          <w:szCs w:val="20"/>
          <w:color w:val="auto"/>
        </w:rPr>
        <w:t>”) with Segal Trials in furtherance of the Company’s multinational pivotal Phase 3 program evaluating CYB003 for the adjunctive treatment of MDD.</w:t>
      </w:r>
    </w:p>
    <w:p>
      <w:pPr>
        <w:spacing w:after="0" w:line="170"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On July 17, 2025, the Company announced that it has received approval from the MHRA to commence EMBRACE, the second pivotal study in PARADIGM, the Company’s Phase 3 multinational program evaluating CYB003, a proprietary deuterated psilocin analog.</w:t>
      </w:r>
    </w:p>
    <w:p>
      <w:pPr>
        <w:spacing w:after="0" w:line="20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August 7, 2025, the Company announced that it had received European approval for the EMBRACE study. The Company's Clinical Trial Application has been approved by the Irish Medicines Board, acting as the reference Member state, to initiate the EMBRACE study in Ireland, Poland, and Greece.</w:t>
      </w:r>
    </w:p>
    <w:p>
      <w:pPr>
        <w:spacing w:after="0" w:line="21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August 26, 2025, the Company announced that it had received Australian approval for the EMBRACE study. The Company has received approval through the Clinical Trial Notification scheme, obtained clearance from multiple Ethics Committees of the Australian Therapeutics Goods Administration, and the study site Research Governance Offices, thus allowing the commencement of the EMBRACE study in Australia.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spent approximately $28,979 on the Deuterated Psilocin Program during the six months ended September 30, 2025.</w:t>
      </w:r>
    </w:p>
    <w:p>
      <w:pPr>
        <w:spacing w:after="0" w:line="297"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As the Company continues to progress through the CYB003 program, additional milestones related its clinical development have been identified. The Company intends to:</w:t>
      </w:r>
    </w:p>
    <w:p>
      <w:pPr>
        <w:spacing w:after="0" w:line="187" w:lineRule="exact"/>
        <w:rPr>
          <w:sz w:val="20"/>
          <w:szCs w:val="20"/>
          <w:color w:val="auto"/>
        </w:rPr>
      </w:pPr>
    </w:p>
    <w:p>
      <w:pPr>
        <w:ind w:left="620" w:hanging="291"/>
        <w:spacing w:after="0"/>
        <w:tabs>
          <w:tab w:leader="none" w:pos="62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Initiate enrollment in the second Phase 3 study, EMBRACE, in Q4 2025.</w:t>
      </w:r>
      <w:r>
        <w:rPr>
          <w:rFonts w:ascii="Times New Roman" w:cs="Times New Roman" w:eastAsia="Times New Roman" w:hAnsi="Times New Roman"/>
          <w:sz w:val="25"/>
          <w:szCs w:val="25"/>
          <w:color w:val="auto"/>
          <w:vertAlign w:val="superscript"/>
        </w:rPr>
        <w:t>9</w:t>
      </w:r>
    </w:p>
    <w:p>
      <w:pPr>
        <w:spacing w:after="0" w:line="18" w:lineRule="exact"/>
        <w:rPr>
          <w:rFonts w:ascii="Arial" w:cs="Arial" w:eastAsia="Arial" w:hAnsi="Arial"/>
          <w:sz w:val="20"/>
          <w:szCs w:val="20"/>
          <w:color w:val="auto"/>
        </w:rPr>
      </w:pPr>
    </w:p>
    <w:p>
      <w:pPr>
        <w:ind w:left="640" w:hanging="311"/>
        <w:spacing w:after="0"/>
        <w:tabs>
          <w:tab w:leader="none" w:pos="6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topline efficacy data readout from the first Phase 3 study, APPROACH, in Q4 2026.</w:t>
      </w:r>
      <w:r>
        <w:rPr>
          <w:rFonts w:ascii="Times New Roman" w:cs="Times New Roman" w:eastAsia="Times New Roman" w:hAnsi="Times New Roman"/>
          <w:sz w:val="25"/>
          <w:szCs w:val="25"/>
          <w:color w:val="auto"/>
          <w:vertAlign w:val="superscript"/>
        </w:rPr>
        <w:t>10</w:t>
      </w:r>
    </w:p>
    <w:p>
      <w:pPr>
        <w:spacing w:after="0" w:line="1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expects to spend approximately $12,766</w:t>
      </w:r>
      <w:r>
        <w:rPr>
          <w:rFonts w:ascii="Times New Roman" w:cs="Times New Roman" w:eastAsia="Times New Roman" w:hAnsi="Times New Roman"/>
          <w:sz w:val="25"/>
          <w:szCs w:val="25"/>
          <w:color w:val="auto"/>
          <w:vertAlign w:val="superscript"/>
        </w:rPr>
        <w:t>11</w:t>
      </w:r>
      <w:r>
        <w:rPr>
          <w:rFonts w:ascii="Times New Roman" w:cs="Times New Roman" w:eastAsia="Times New Roman" w:hAnsi="Times New Roman"/>
          <w:sz w:val="20"/>
          <w:szCs w:val="20"/>
          <w:color w:val="auto"/>
        </w:rPr>
        <w:t xml:space="preserve"> to initiate enrollment in the second Phase 3 study, EMBRACE, in Q4 2025 of which approximately $7,909 was spent during the six months ended September 30, 2025, and approximately $3,661 was spent in prior fiscal years, resulting in an approximate remaining spend as of September 30, 2025, of $1,196 by the milestone completion in Q4 2025.</w:t>
      </w:r>
      <w:r>
        <w:rPr>
          <w:rFonts w:ascii="Times New Roman" w:cs="Times New Roman" w:eastAsia="Times New Roman" w:hAnsi="Times New Roman"/>
          <w:sz w:val="25"/>
          <w:szCs w:val="25"/>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1714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56" w:lineRule="exact"/>
        <w:rPr>
          <w:sz w:val="20"/>
          <w:szCs w:val="20"/>
          <w:color w:val="auto"/>
        </w:rPr>
      </w:pPr>
    </w:p>
    <w:p>
      <w:pPr>
        <w:jc w:val="both"/>
        <w:ind w:firstLine="8"/>
        <w:spacing w:after="0"/>
        <w:tabs>
          <w:tab w:leader="none" w:pos="88"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has updated this milestone. The Company had previously expected it would complete this milestone by around mid-year 2025. The revised timing reflects a change in how the milestone is defined. Previously, initiation was marked by the first site initiation visit; it is now defined as the initiation of enrollment. See also footnote 10.</w:t>
      </w:r>
    </w:p>
    <w:p>
      <w:pPr>
        <w:spacing w:after="0" w:line="182" w:lineRule="exact"/>
        <w:rPr>
          <w:sz w:val="20"/>
          <w:szCs w:val="20"/>
          <w:color w:val="auto"/>
        </w:rPr>
      </w:pPr>
    </w:p>
    <w:p>
      <w:pPr>
        <w:jc w:val="both"/>
        <w:ind w:firstLine="8"/>
        <w:spacing w:after="0" w:line="237" w:lineRule="auto"/>
        <w:tabs>
          <w:tab w:leader="none" w:pos="159"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There is no assurance that this timeline will be met or that the program will advance to clinical trials, at all.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Company.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34" w:lineRule="exact"/>
        <w:rPr>
          <w:rFonts w:ascii="Times New Roman" w:cs="Times New Roman" w:eastAsia="Times New Roman" w:hAnsi="Times New Roman"/>
          <w:sz w:val="21"/>
          <w:szCs w:val="21"/>
          <w:color w:val="auto"/>
          <w:vertAlign w:val="superscript"/>
        </w:rPr>
      </w:pPr>
    </w:p>
    <w:p>
      <w:pPr>
        <w:ind w:firstLine="8"/>
        <w:spacing w:after="0" w:line="232" w:lineRule="auto"/>
        <w:tabs>
          <w:tab w:leader="none" w:pos="155"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had previously estimated that its total spend on this milestone would be $6,385. The revised estimate reflects a change in how the milestone is defined. Previously, initiation was marked by the first site initiation visit; it is now defined as the initiation of enrollment. See also footnote 10.</w:t>
      </w:r>
    </w:p>
    <w:p>
      <w:pPr>
        <w:spacing w:after="0" w:line="1" w:lineRule="exact"/>
        <w:rPr>
          <w:rFonts w:ascii="Times New Roman" w:cs="Times New Roman" w:eastAsia="Times New Roman" w:hAnsi="Times New Roman"/>
          <w:sz w:val="21"/>
          <w:szCs w:val="21"/>
          <w:color w:val="auto"/>
          <w:vertAlign w:val="superscript"/>
        </w:rPr>
      </w:pPr>
    </w:p>
    <w:p>
      <w:pPr>
        <w:ind w:left="160" w:hanging="152"/>
        <w:spacing w:after="0" w:line="228" w:lineRule="auto"/>
        <w:tabs>
          <w:tab w:leader="none" w:pos="160"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footnote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36" w:right="339" w:bottom="1440" w:gutter="0" w:footer="0" w:header="0"/>
        </w:sectPr>
      </w:pPr>
    </w:p>
    <w:bookmarkStart w:id="44" w:name="page45"/>
    <w:bookmarkEnd w:id="44"/>
    <w:p>
      <w:pPr>
        <w:jc w:val="both"/>
        <w:spacing w:after="0" w:line="278" w:lineRule="auto"/>
        <w:rPr>
          <w:sz w:val="20"/>
          <w:szCs w:val="20"/>
          <w:color w:val="auto"/>
        </w:rPr>
      </w:pPr>
      <w:r>
        <w:rPr>
          <w:rFonts w:ascii="Times New Roman" w:cs="Times New Roman" w:eastAsia="Times New Roman" w:hAnsi="Times New Roman"/>
          <w:sz w:val="20"/>
          <w:szCs w:val="20"/>
          <w:color w:val="auto"/>
        </w:rPr>
        <w:t>The Company expects to spend approximately $44,349</w:t>
      </w:r>
      <w:r>
        <w:rPr>
          <w:rFonts w:ascii="Times New Roman" w:cs="Times New Roman" w:eastAsia="Times New Roman" w:hAnsi="Times New Roman"/>
          <w:sz w:val="25"/>
          <w:szCs w:val="25"/>
          <w:color w:val="auto"/>
          <w:vertAlign w:val="superscript"/>
        </w:rPr>
        <w:t>13</w:t>
      </w:r>
      <w:r>
        <w:rPr>
          <w:rFonts w:ascii="Times New Roman" w:cs="Times New Roman" w:eastAsia="Times New Roman" w:hAnsi="Times New Roman"/>
          <w:sz w:val="20"/>
          <w:szCs w:val="20"/>
          <w:color w:val="auto"/>
        </w:rPr>
        <w:t xml:space="preserve"> to provide topline efficacy data readout from the first Phase 3 study, APPROACH, in Q4 2026 of which approximately $10,327 was spent during the six months ended September 30, 2025, and approximately $3,717 was spent in prior fiscal years, resulting in an approximate remaining spend as of September 30, 2025, of $30,305 by the milestone completion in Q4 2026.</w:t>
      </w:r>
      <w:r>
        <w:rPr>
          <w:rFonts w:ascii="Times New Roman" w:cs="Times New Roman" w:eastAsia="Times New Roman" w:hAnsi="Times New Roman"/>
          <w:sz w:val="25"/>
          <w:szCs w:val="25"/>
          <w:color w:val="auto"/>
          <w:vertAlign w:val="superscript"/>
        </w:rPr>
        <w:t>14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intends to continue funding the Deuterated Psilocin (CYB003) Program.</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intends to complete future clinical trials for this program in the U.S., Europe, the UK and Australia.</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About the Deuterated Dimethyltryptamine Program</w:t>
      </w:r>
    </w:p>
    <w:p>
      <w:pPr>
        <w:spacing w:after="0" w:line="293"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20"/>
          <w:szCs w:val="20"/>
          <w:color w:val="auto"/>
        </w:rPr>
        <w:t xml:space="preserve">The Company’s proprietary deuterated </w:t>
      </w:r>
      <w:r>
        <w:rPr>
          <w:rFonts w:ascii="Times New Roman" w:cs="Times New Roman" w:eastAsia="Times New Roman" w:hAnsi="Times New Roman"/>
          <w:sz w:val="20"/>
          <w:szCs w:val="20"/>
          <w:i w:val="1"/>
          <w:iCs w:val="1"/>
          <w:color w:val="auto"/>
        </w:rPr>
        <w:t>N,N-</w:t>
      </w:r>
      <w:r>
        <w:rPr>
          <w:rFonts w:ascii="Times New Roman" w:cs="Times New Roman" w:eastAsia="Times New Roman" w:hAnsi="Times New Roman"/>
          <w:sz w:val="20"/>
          <w:szCs w:val="20"/>
          <w:color w:val="auto"/>
        </w:rPr>
        <w:t>dimethyltryptamine (“</w:t>
      </w:r>
      <w:r>
        <w:rPr>
          <w:rFonts w:ascii="Times New Roman" w:cs="Times New Roman" w:eastAsia="Times New Roman" w:hAnsi="Times New Roman"/>
          <w:sz w:val="20"/>
          <w:szCs w:val="20"/>
          <w:b w:val="1"/>
          <w:bCs w:val="1"/>
          <w:color w:val="auto"/>
        </w:rPr>
        <w:t>dDMT</w:t>
      </w:r>
      <w:r>
        <w:rPr>
          <w:rFonts w:ascii="Times New Roman" w:cs="Times New Roman" w:eastAsia="Times New Roman" w:hAnsi="Times New Roman"/>
          <w:sz w:val="20"/>
          <w:szCs w:val="20"/>
          <w:color w:val="auto"/>
        </w:rPr>
        <w:t>”) program CYB004 is being developed as an intermittent treatment with the potential for less invasive, more convenient and patient-friendly dosing methods for the potential treatment of GAD. A single intramuscular (“</w:t>
      </w:r>
      <w:r>
        <w:rPr>
          <w:rFonts w:ascii="Times New Roman" w:cs="Times New Roman" w:eastAsia="Times New Roman" w:hAnsi="Times New Roman"/>
          <w:sz w:val="20"/>
          <w:szCs w:val="20"/>
          <w:b w:val="1"/>
          <w:bCs w:val="1"/>
          <w:color w:val="auto"/>
        </w:rPr>
        <w:t>IM</w:t>
      </w:r>
      <w:r>
        <w:rPr>
          <w:rFonts w:ascii="Times New Roman" w:cs="Times New Roman" w:eastAsia="Times New Roman" w:hAnsi="Times New Roman"/>
          <w:sz w:val="20"/>
          <w:szCs w:val="20"/>
          <w:color w:val="auto"/>
        </w:rPr>
        <w:t>”) dose is expected to result in acute psychedelic effects lasting an average of 90 minutes.</w:t>
      </w:r>
    </w:p>
    <w:p>
      <w:pPr>
        <w:spacing w:after="0" w:line="19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Cybin has leveraged clinical data from its completed DMT and dDMT trials, which collectively form one of the most advanced and extensive DMT/dDMT data portfolio in the psychedelic drug development sector, to inform and optimize the development of the CYB004 program. To date, Cybin has completed five clinical trials across four molecules: CYB004 (IV dDMT), SPL028 (IV/IM dDMT), SPL026 (IV/IM DMT), and DMT, demonstrating proof-of-concept in potentially treating depression, supporting the development of dDMT for the potential treatment of anxiety disorders, and providing important dosing insights.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Key findings from these completed studies are as follows:</w:t>
      </w:r>
    </w:p>
    <w:p>
      <w:pPr>
        <w:spacing w:after="0" w:line="283" w:lineRule="exact"/>
        <w:rPr>
          <w:sz w:val="20"/>
          <w:szCs w:val="20"/>
          <w:color w:val="auto"/>
        </w:rPr>
      </w:pPr>
    </w:p>
    <w:p>
      <w:pPr>
        <w:ind w:left="620" w:hanging="291"/>
        <w:spacing w:after="0"/>
        <w:tabs>
          <w:tab w:leader="none" w:pos="6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Phase 2a safety and efficacy data for SPL026 (IV DMT) in 34 participants with MDD, demonstrating a clinically relevant and</w:t>
      </w:r>
    </w:p>
    <w:p>
      <w:pPr>
        <w:spacing w:after="0" w:line="52" w:lineRule="exact"/>
        <w:rPr>
          <w:rFonts w:ascii="Arial" w:cs="Arial" w:eastAsia="Arial" w:hAnsi="Arial"/>
          <w:sz w:val="20"/>
          <w:szCs w:val="20"/>
          <w:color w:val="auto"/>
        </w:rPr>
      </w:pPr>
    </w:p>
    <w:p>
      <w:pPr>
        <w:jc w:val="both"/>
        <w:ind w:left="660"/>
        <w:spacing w:after="0" w:line="286" w:lineRule="auto"/>
        <w:rPr>
          <w:rFonts w:ascii="Arial" w:cs="Arial" w:eastAsia="Arial" w:hAnsi="Arial"/>
          <w:sz w:val="20"/>
          <w:szCs w:val="20"/>
          <w:color w:val="auto"/>
        </w:rPr>
      </w:pPr>
      <w:r>
        <w:rPr>
          <w:rFonts w:ascii="Times New Roman" w:cs="Times New Roman" w:eastAsia="Times New Roman" w:hAnsi="Times New Roman"/>
          <w:sz w:val="20"/>
          <w:szCs w:val="20"/>
          <w:color w:val="auto"/>
        </w:rPr>
        <w:t>statistically significant reduction in depression symptoms at two weeks after dosing (-7.4 point difference in MADRS between SPL026 and placebo). Durable antidepressant response and remission rates were observed at six months. Among participants who had achieved remission within three months with SPL026, 64% sustained remission to six months.</w:t>
      </w:r>
    </w:p>
    <w:p>
      <w:pPr>
        <w:spacing w:after="0" w:line="1" w:lineRule="exact"/>
        <w:rPr>
          <w:rFonts w:ascii="Arial" w:cs="Arial" w:eastAsia="Arial" w:hAnsi="Arial"/>
          <w:sz w:val="20"/>
          <w:szCs w:val="20"/>
          <w:color w:val="auto"/>
        </w:rPr>
      </w:pPr>
    </w:p>
    <w:p>
      <w:pPr>
        <w:ind w:left="660" w:hanging="331"/>
        <w:spacing w:after="0" w:line="281" w:lineRule="auto"/>
        <w:tabs>
          <w:tab w:leader="none" w:pos="624"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Phase 1 study evaluating IM SPL026 supporting IM administration for patient-friendly dosing. The study demonstrated that IM DMT is well-tolerated and generates a breakthrough psychedelic experience lasting approximately 45 minutes.</w:t>
      </w:r>
    </w:p>
    <w:p>
      <w:pPr>
        <w:ind w:left="620" w:hanging="291"/>
        <w:spacing w:after="0"/>
        <w:tabs>
          <w:tab w:leader="none" w:pos="6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Phase 1 study evaluating IM SPL028 supporting IM administration for patient-friendly dosing. The completed Phase 1 study of</w:t>
      </w:r>
    </w:p>
    <w:p>
      <w:pPr>
        <w:spacing w:after="0" w:line="52" w:lineRule="exact"/>
        <w:rPr>
          <w:rFonts w:ascii="Arial" w:cs="Arial" w:eastAsia="Arial" w:hAnsi="Arial"/>
          <w:sz w:val="20"/>
          <w:szCs w:val="20"/>
          <w:color w:val="auto"/>
        </w:rPr>
      </w:pPr>
    </w:p>
    <w:p>
      <w:pPr>
        <w:ind w:left="660"/>
        <w:spacing w:after="0" w:line="311" w:lineRule="auto"/>
        <w:rPr>
          <w:rFonts w:ascii="Arial" w:cs="Arial" w:eastAsia="Arial" w:hAnsi="Arial"/>
          <w:sz w:val="20"/>
          <w:szCs w:val="20"/>
          <w:color w:val="auto"/>
        </w:rPr>
      </w:pPr>
      <w:r>
        <w:rPr>
          <w:rFonts w:ascii="Times New Roman" w:cs="Times New Roman" w:eastAsia="Times New Roman" w:hAnsi="Times New Roman"/>
          <w:sz w:val="20"/>
          <w:szCs w:val="20"/>
          <w:color w:val="auto"/>
        </w:rPr>
        <w:t>IV/IM SPL028 in healthy volunteers showed that SPL028 is safe and well-tolerated, and demonstrated that IM dosing of SPL028 produced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1714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30" w:lineRule="exact"/>
        <w:rPr>
          <w:sz w:val="20"/>
          <w:szCs w:val="20"/>
          <w:color w:val="auto"/>
        </w:rPr>
      </w:pPr>
    </w:p>
    <w:p>
      <w:pPr>
        <w:jc w:val="both"/>
        <w:ind w:firstLine="8"/>
        <w:spacing w:after="0" w:line="214" w:lineRule="auto"/>
        <w:tabs>
          <w:tab w:leader="none" w:pos="159"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had previously estimated that its spending to complete this milestone would be $40,101.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also footnote 10.</w:t>
      </w:r>
    </w:p>
    <w:p>
      <w:pPr>
        <w:ind w:left="160" w:hanging="152"/>
        <w:spacing w:after="0" w:line="214" w:lineRule="auto"/>
        <w:tabs>
          <w:tab w:leader="none" w:pos="160"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footnote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40" w:right="33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20"/>
          <w:szCs w:val="20"/>
          <w:color w:val="auto"/>
        </w:rPr>
        <w:t>robust psychedelic effects lasting a short duration (average approximately 90 minutes) in the majority of subjects.</w:t>
      </w:r>
    </w:p>
    <w:p>
      <w:pPr>
        <w:spacing w:after="0" w:line="50" w:lineRule="exact"/>
        <w:rPr>
          <w:sz w:val="20"/>
          <w:szCs w:val="20"/>
          <w:color w:val="auto"/>
        </w:rPr>
      </w:pPr>
    </w:p>
    <w:p>
      <w:pPr>
        <w:jc w:val="both"/>
        <w:ind w:left="660" w:hanging="331"/>
        <w:spacing w:after="0" w:line="287" w:lineRule="auto"/>
        <w:tabs>
          <w:tab w:leader="none" w:pos="624"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Phase 1b study evaluating the safety and efficacy of SPL026 in conjunction with selective serotonin reuptake inhibitors (“</w:t>
      </w:r>
      <w:r>
        <w:rPr>
          <w:rFonts w:ascii="Times New Roman" w:cs="Times New Roman" w:eastAsia="Times New Roman" w:hAnsi="Times New Roman"/>
          <w:sz w:val="20"/>
          <w:szCs w:val="20"/>
          <w:b w:val="1"/>
          <w:bCs w:val="1"/>
          <w:color w:val="auto"/>
        </w:rPr>
        <w:t>SSRIs</w:t>
      </w:r>
      <w:r>
        <w:rPr>
          <w:rFonts w:ascii="Times New Roman" w:cs="Times New Roman" w:eastAsia="Times New Roman" w:hAnsi="Times New Roman"/>
          <w:sz w:val="20"/>
          <w:szCs w:val="20"/>
          <w:color w:val="auto"/>
        </w:rPr>
        <w:t>”) in 17 participants with MDD, demonstrating no relevant drug-drug interactions, a favorable safety profile and enhanced efficacy when SPL026 was administered with SSRIs, and a 92% remission rate at 4 weeks in the DMT + SSRI combination cohort (n=12).</w:t>
      </w:r>
    </w:p>
    <w:p>
      <w:pPr>
        <w:spacing w:after="0" w:line="1" w:lineRule="exact"/>
        <w:rPr>
          <w:rFonts w:ascii="Arial" w:cs="Arial" w:eastAsia="Arial" w:hAnsi="Arial"/>
          <w:sz w:val="20"/>
          <w:szCs w:val="20"/>
          <w:color w:val="auto"/>
        </w:rPr>
      </w:pPr>
    </w:p>
    <w:p>
      <w:pPr>
        <w:ind w:left="660" w:hanging="331"/>
        <w:spacing w:after="0" w:line="310" w:lineRule="auto"/>
        <w:tabs>
          <w:tab w:leader="none" w:pos="624"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Phase 1 results for IV CYB004 demonstrated robust and rapid-onset psychedelic effects at lower doses compared to native DMT, suggesting potential as a short-acting, scalable treatment.</w:t>
      </w:r>
    </w:p>
    <w:p>
      <w:pPr>
        <w:spacing w:after="0" w:line="18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Exploratory analysis of the Phase 2a and Phase 1b data for SPL026 also shows significant improvements in symptoms of anxiety, as measured using the State Trait Anxiety Inventory – Trait version (STAI-T), with a 23 point improvement from baseline at the two week endpoint, in the DMT+ SSRI combination group.</w:t>
      </w:r>
    </w:p>
    <w:p>
      <w:pPr>
        <w:spacing w:after="0" w:line="20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Company is currently advancing CYB004, a deuterated version of DMT, for the potential treatment of GAD. DMT activates the serotonin 5-HT</w:t>
      </w:r>
      <w:r>
        <w:rPr>
          <w:rFonts w:ascii="Times New Roman" w:cs="Times New Roman" w:eastAsia="Times New Roman" w:hAnsi="Times New Roman"/>
          <w:sz w:val="25"/>
          <w:szCs w:val="25"/>
          <w:color w:val="auto"/>
          <w:vertAlign w:val="subscript"/>
        </w:rPr>
        <w:t>2A</w:t>
      </w:r>
      <w:r>
        <w:rPr>
          <w:rFonts w:ascii="Times New Roman" w:cs="Times New Roman" w:eastAsia="Times New Roman" w:hAnsi="Times New Roman"/>
          <w:sz w:val="20"/>
          <w:szCs w:val="20"/>
          <w:color w:val="auto"/>
        </w:rPr>
        <w:t xml:space="preserve"> receptor, which is believed to mediate the potential therapeutic effects of DMT. In its regular form, DMT is an unstable molecule rapidly metabolized in the body, which significantly reduces its bioavailability. CYB004, as a deuterated molecule, has the potential to overcome the therapeutic limitations of native DMT. To date, CYB004 has demonstrated robust and rapid-onset psychedelic effects at lower doses compared to native DMT, suggesting potential as a short-acting, scalable treatment. Additionally, learnings from Phase 1 studies of IM SPL028 have supported IM administration as a viable dosing method for deuterated DMT, suggesting the potential for CYB004 to offer more convenient and patient-friendly dosing methods.</w:t>
      </w:r>
    </w:p>
    <w:p>
      <w:pPr>
        <w:spacing w:after="0" w:line="222"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CYB004 is secured by a U.S. composition of matter patent with protection through 2041. The patent covers a range of deuteration forms of DMT and protects CYB004 as a putative new chemical entity.</w:t>
      </w:r>
    </w:p>
    <w:p>
      <w:pPr>
        <w:spacing w:after="0" w:line="170"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9"/>
          <w:szCs w:val="19"/>
          <w:color w:val="auto"/>
        </w:rPr>
        <w:t>On June 7, 2022, the Company announced it had entered into an agreement to acquire a Phase 1 DMT study (the “</w:t>
      </w:r>
      <w:r>
        <w:rPr>
          <w:rFonts w:ascii="Times New Roman" w:cs="Times New Roman" w:eastAsia="Times New Roman" w:hAnsi="Times New Roman"/>
          <w:sz w:val="19"/>
          <w:szCs w:val="19"/>
          <w:b w:val="1"/>
          <w:bCs w:val="1"/>
          <w:color w:val="auto"/>
        </w:rPr>
        <w:t>Asset Acquisition</w:t>
      </w:r>
      <w:r>
        <w:rPr>
          <w:rFonts w:ascii="Times New Roman" w:cs="Times New Roman" w:eastAsia="Times New Roman" w:hAnsi="Times New Roman"/>
          <w:sz w:val="19"/>
          <w:szCs w:val="19"/>
          <w:color w:val="auto"/>
        </w:rPr>
        <w:t>”) from Entheon Biomedical Corp. (“</w:t>
      </w:r>
      <w:r>
        <w:rPr>
          <w:rFonts w:ascii="Times New Roman" w:cs="Times New Roman" w:eastAsia="Times New Roman" w:hAnsi="Times New Roman"/>
          <w:sz w:val="19"/>
          <w:szCs w:val="19"/>
          <w:b w:val="1"/>
          <w:bCs w:val="1"/>
          <w:color w:val="auto"/>
        </w:rPr>
        <w:t>Entheon</w:t>
      </w:r>
      <w:r>
        <w:rPr>
          <w:rFonts w:ascii="Times New Roman" w:cs="Times New Roman" w:eastAsia="Times New Roman" w:hAnsi="Times New Roman"/>
          <w:sz w:val="19"/>
          <w:szCs w:val="19"/>
          <w:color w:val="auto"/>
        </w:rPr>
        <w:t>”) to accelerate the clinical development path for CYB004. On July 11, 2022, the Company announced that the Asset Acquisition was completed. The Phase 1 study, previously identified as EBRX-101 and now named CYB004-E, was conducted in the Netherlands. Entheon acted as external consultants to the Company for approximately 10 months after the Asset Acquisition.</w:t>
      </w:r>
    </w:p>
    <w:p>
      <w:pPr>
        <w:spacing w:after="0" w:line="186"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On January 12, 2023, the Company announced that it has selected GAD as the target indication for its proprietary deuterated DMT molecule, CYB004.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About the Phase 1 CYB004-E DMT Study</w:t>
      </w:r>
    </w:p>
    <w:p>
      <w:pPr>
        <w:spacing w:after="0" w:line="29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Phase 1 trial was a three-part study evaluating the safety, pharmacokinetics, and pharmacodynamics of escalating doses of DMT and CYB004 in healthy volunteers. The three-part study design was established in a protocol amendment to the initial study design, allowing the Company to commence first-in-human dosing of CYB004 sooner than initially planned. The study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40" w:right="339" w:bottom="1440" w:gutter="0" w:footer="0" w:header="0"/>
        </w:sectPr>
      </w:pPr>
    </w:p>
    <w:bookmarkStart w:id="46" w:name="page47"/>
    <w:bookmarkEnd w:id="46"/>
    <w:p>
      <w:pPr>
        <w:jc w:val="both"/>
        <w:spacing w:after="0" w:line="325" w:lineRule="auto"/>
        <w:rPr>
          <w:sz w:val="20"/>
          <w:szCs w:val="20"/>
          <w:color w:val="auto"/>
        </w:rPr>
      </w:pPr>
      <w:r>
        <w:rPr>
          <w:rFonts w:ascii="Times New Roman" w:cs="Times New Roman" w:eastAsia="Times New Roman" w:hAnsi="Times New Roman"/>
          <w:sz w:val="20"/>
          <w:szCs w:val="20"/>
          <w:color w:val="auto"/>
        </w:rPr>
        <w:t>provided essential safety and dosing optimization data informing the clinical path forward for CYB004. The CYB004-E study was conducted at the Centre for Human Drug Research in the Netherlands and is one of the largest Phase 1 DMT clinical trials to date.</w:t>
      </w:r>
    </w:p>
    <w:p>
      <w:pPr>
        <w:spacing w:after="0" w:line="174"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On November 10, 2022, the Company announced that its CYB004-E Phase 1 trial evaluating IV DMT completed dosing for four out of five cohorts and that the Safety Review Committee had confirmed no safety issues.</w:t>
      </w:r>
    </w:p>
    <w:p>
      <w:pPr>
        <w:spacing w:after="0" w:line="200"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On February 1, 2023, the Company announced that it had received approval from an independent ethics committee in the Netherlands to initiate first-in-human dosing of CYB004 through a protocol amendment to its ongoing Phase 1 CYB004-E study.</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On February 28, 2023, the Company announced a protocol amendment to the initial Phase 1 study design that would allow the Company to initiate first-in-human dosing of CYB004 sooner than initially planned. Per the protocol amendment, Cybin established a three-part study to include Part A (IV DMT infusion), Part B (IV DMT bolus + infusion) and Part C (IV CYB004 bolus + infusion) in healthy volunteers. The Company was able to rely upon completed preclinical data to gain regulatory authorization to add CYB004 to the CYB004-E DMT Study. The Company also announced confirmatory data from Part A, the single ascending dose portion of the CYB004-E study, which assessed a continuous IV DMT infusion. The Part A data showed a dose-proportional increase in exposure and dose-related increase in behavioral measures of subjective psychedelic experience with IV DMT. IV DMT was also well-tolerated with no safety issues and no serious adverse events within the dose range evaluated.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May 9, 2023, the Company announced that it had completed dosing for the last subject in Part B of the Phase 1 CYB004-E trial.</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May 24, 2023, the Company announced that it had initiated first-in-human dosing of CYB004 in Part C of the Phase 1 CYB004-E trial.</w:t>
      </w:r>
    </w:p>
    <w:p>
      <w:pPr>
        <w:spacing w:after="0" w:line="283"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On January 8, 2024, the Company announced positive topline results from its Phase 1 studies of its proprietary deuterated DMT molecules, CYB004 and SPL028.</w:t>
      </w:r>
    </w:p>
    <w:p>
      <w:pPr>
        <w:spacing w:after="0" w:line="174" w:lineRule="exact"/>
        <w:rPr>
          <w:sz w:val="20"/>
          <w:szCs w:val="20"/>
          <w:color w:val="auto"/>
        </w:rPr>
      </w:pPr>
    </w:p>
    <w:p>
      <w:pPr>
        <w:jc w:val="both"/>
        <w:ind w:left="660" w:hanging="331"/>
        <w:spacing w:after="0" w:line="286" w:lineRule="auto"/>
        <w:tabs>
          <w:tab w:leader="none" w:pos="624"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The Phase 1 CYB004 study results showed that IV CYB004 demonstrated robust and rapid-onset psychedelic effects at lower doses compared to native DMT. These psychedelic effects were rapid in onset when administered as an IV bolus over five minutes and persisted for about 40 minutes after the bolus without the need for an extended infusion.</w:t>
      </w:r>
    </w:p>
    <w:p>
      <w:pPr>
        <w:ind w:left="660" w:right="20" w:hanging="331"/>
        <w:spacing w:after="0" w:line="288" w:lineRule="auto"/>
        <w:tabs>
          <w:tab w:leader="none" w:pos="624"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The Phase 1 SPL028 study identified an IM dose of SPL028 that resulted in a breakthrough psychedelic experience, with a total duration ranging from 55 to 120 minutes.</w:t>
      </w:r>
    </w:p>
    <w:p>
      <w:pPr>
        <w:ind w:left="660" w:hanging="331"/>
        <w:spacing w:after="0" w:line="310" w:lineRule="auto"/>
        <w:tabs>
          <w:tab w:leader="none" w:pos="624"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Both CYB004 (IV) and SPL028 (IM and IV) were well-tolerated with no serious adverse events, and the majority of adverse events were mild to moderate and self-limiting.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January 23, 2024, the Company announced that it had received FDA clearance to initiate a Phase 2 study of CYB004 in GAD.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40" w:right="339" w:bottom="1440" w:gutter="0" w:footer="0" w:header="0"/>
        </w:sectPr>
      </w:pPr>
    </w:p>
    <w:bookmarkStart w:id="47" w:name="page48"/>
    <w:bookmarkEnd w:id="47"/>
    <w:p>
      <w:pPr>
        <w:ind w:right="420"/>
        <w:spacing w:after="0" w:line="325" w:lineRule="auto"/>
        <w:rPr>
          <w:sz w:val="20"/>
          <w:szCs w:val="20"/>
          <w:color w:val="auto"/>
        </w:rPr>
      </w:pPr>
      <w:r>
        <w:rPr>
          <w:rFonts w:ascii="Times New Roman" w:cs="Times New Roman" w:eastAsia="Times New Roman" w:hAnsi="Times New Roman"/>
          <w:sz w:val="20"/>
          <w:szCs w:val="20"/>
          <w:color w:val="auto"/>
        </w:rPr>
        <w:t>On March 15, 2024, the Company announced that it had initiated a Phase 2 study of IM CYB004 in participants with moderate to severe GAD.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About the Phase 2 CYB004 Study in GAD</w:t>
      </w:r>
    </w:p>
    <w:p>
      <w:pPr>
        <w:spacing w:after="0" w:line="28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CYB004-002 Phase 2 study is a randomized, double-blind study which will evaluate the safety and efficacy of CYB004 in participants with moderate to severe GAD (GAD-7 score ≥10), with concomitant antidepressant/anxiolytic treatment and co-morbid depression allowed. The study has recruited 36 participants, who will be randomized in a double-blind manner, into two groups. The first group will receive two IM doses of CYB004, three weeks apart, while the second group will receive two low-dose control administrations of sub-therapeutic doses of CYB004. The primary endpoint is a change in the Hamilton Anxiety Rating Scale score from baseline at six weeks following the first dose, with an additional efficacy assessment twelve weeks following the first dose. Other endpoints include the HAM-D (Hamilton Depression Rating Scale), safety assessments, MEQ30 (psychedelic experience assessment) and EQ-5D-5L (quality of life assessment). Participants may enroll into an optional follow up for up to a year. Results from this study are expected to provide proof of concept for CYB004’s efficacy in GAD, the time to onset of effects, as well as durability of effects to one year.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September 8, 2025, the Company announced that it had completed enrollment in the Phase 2 study of CYB004 in GAD.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 spent approximately $5,932 on its Deuterated Dimethyltryptamine Program during the six months ended September 30, 2025.</w:t>
      </w:r>
    </w:p>
    <w:p>
      <w:pPr>
        <w:spacing w:after="0" w:line="295"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As the Company continues to progress its Deuterated Dimethyltryptamine Program, additional milestones related to its clinical development have been identified. The Company intends to:</w:t>
      </w:r>
    </w:p>
    <w:p>
      <w:pPr>
        <w:spacing w:after="0" w:line="151" w:lineRule="exact"/>
        <w:rPr>
          <w:sz w:val="20"/>
          <w:szCs w:val="20"/>
          <w:color w:val="auto"/>
        </w:rPr>
      </w:pPr>
    </w:p>
    <w:p>
      <w:pPr>
        <w:ind w:left="620" w:hanging="291"/>
        <w:spacing w:after="0"/>
        <w:tabs>
          <w:tab w:leader="none" w:pos="62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Complete the Phase 2 GAD study in December 2025.</w:t>
      </w:r>
      <w:r>
        <w:rPr>
          <w:rFonts w:ascii="Times New Roman" w:cs="Times New Roman" w:eastAsia="Times New Roman" w:hAnsi="Times New Roman"/>
          <w:sz w:val="25"/>
          <w:szCs w:val="25"/>
          <w:color w:val="auto"/>
          <w:vertAlign w:val="superscript"/>
        </w:rPr>
        <w:t>15</w:t>
      </w:r>
    </w:p>
    <w:p>
      <w:pPr>
        <w:ind w:left="620" w:hanging="291"/>
        <w:spacing w:after="0"/>
        <w:tabs>
          <w:tab w:leader="none" w:pos="62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Provide topline data readout from the Phase 2 GAD study in Q1 2026.</w:t>
      </w:r>
      <w:r>
        <w:rPr>
          <w:rFonts w:ascii="Times New Roman" w:cs="Times New Roman" w:eastAsia="Times New Roman" w:hAnsi="Times New Roman"/>
          <w:sz w:val="25"/>
          <w:szCs w:val="25"/>
          <w:color w:val="auto"/>
          <w:vertAlign w:val="superscript"/>
        </w:rPr>
        <w:t>16</w:t>
      </w:r>
    </w:p>
    <w:p>
      <w:pPr>
        <w:spacing w:after="0" w:line="16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The Company expects to spend approximately $8,713</w:t>
      </w:r>
      <w:r>
        <w:rPr>
          <w:rFonts w:ascii="Times New Roman" w:cs="Times New Roman" w:eastAsia="Times New Roman" w:hAnsi="Times New Roman"/>
          <w:sz w:val="25"/>
          <w:szCs w:val="25"/>
          <w:color w:val="auto"/>
          <w:vertAlign w:val="superscript"/>
        </w:rPr>
        <w:t>17</w:t>
      </w:r>
      <w:r>
        <w:rPr>
          <w:rFonts w:ascii="Times New Roman" w:cs="Times New Roman" w:eastAsia="Times New Roman" w:hAnsi="Times New Roman"/>
          <w:sz w:val="20"/>
          <w:szCs w:val="20"/>
          <w:color w:val="auto"/>
        </w:rPr>
        <w:t xml:space="preserve"> to complete the Phase 2 GAD study by the milestone completion in December 2025 of which approximately $2,391 was spent during the six months ended September 30, 2025 and approximately $5,030 was spent in prior fiscal years, resulting in an approximate remaining spend as of September 30, 2025 of $1,292 by the milestone completion in December 2025.</w:t>
      </w:r>
      <w:r>
        <w:rPr>
          <w:rFonts w:ascii="Times New Roman" w:cs="Times New Roman" w:eastAsia="Times New Roman" w:hAnsi="Times New Roman"/>
          <w:sz w:val="25"/>
          <w:szCs w:val="25"/>
          <w:color w:val="auto"/>
          <w:vertAlign w:val="superscript"/>
        </w:rPr>
        <w:t>18</w:t>
      </w:r>
    </w:p>
    <w:p>
      <w:pPr>
        <w:spacing w:after="0" w:line="1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Company expects to spend approximately $810</w:t>
      </w:r>
      <w:r>
        <w:rPr>
          <w:rFonts w:ascii="Times New Roman" w:cs="Times New Roman" w:eastAsia="Times New Roman" w:hAnsi="Times New Roman"/>
          <w:sz w:val="25"/>
          <w:szCs w:val="25"/>
          <w:color w:val="auto"/>
          <w:vertAlign w:val="superscript"/>
        </w:rPr>
        <w:t>19</w:t>
      </w:r>
      <w:r>
        <w:rPr>
          <w:rFonts w:ascii="Times New Roman" w:cs="Times New Roman" w:eastAsia="Times New Roman" w:hAnsi="Times New Roman"/>
          <w:sz w:val="20"/>
          <w:szCs w:val="20"/>
          <w:color w:val="auto"/>
        </w:rPr>
        <w:t xml:space="preserve"> to provide topline data readout from the Phase 2 GAD study by the milestone completion in Q1 2026 of which nil was spent during the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714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4" w:lineRule="exact"/>
        <w:rPr>
          <w:sz w:val="20"/>
          <w:szCs w:val="20"/>
          <w:color w:val="auto"/>
        </w:rPr>
      </w:pPr>
    </w:p>
    <w:p>
      <w:pPr>
        <w:ind w:left="160" w:hanging="152"/>
        <w:spacing w:after="0"/>
        <w:tabs>
          <w:tab w:leader="none" w:pos="160" w:val="left"/>
        </w:tabs>
        <w:numPr>
          <w:ilvl w:val="0"/>
          <w:numId w:val="4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footnote 10.</w:t>
      </w:r>
    </w:p>
    <w:p>
      <w:pPr>
        <w:spacing w:after="0" w:line="23" w:lineRule="exact"/>
        <w:rPr>
          <w:rFonts w:ascii="Times New Roman" w:cs="Times New Roman" w:eastAsia="Times New Roman" w:hAnsi="Times New Roman"/>
          <w:sz w:val="21"/>
          <w:szCs w:val="21"/>
          <w:color w:val="auto"/>
          <w:vertAlign w:val="superscript"/>
        </w:rPr>
      </w:pPr>
    </w:p>
    <w:p>
      <w:pPr>
        <w:ind w:left="160" w:hanging="152"/>
        <w:spacing w:after="0" w:line="188" w:lineRule="auto"/>
        <w:tabs>
          <w:tab w:leader="none" w:pos="160" w:val="left"/>
        </w:tabs>
        <w:numPr>
          <w:ilvl w:val="0"/>
          <w:numId w:val="4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See footnote 10.</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vertAlign w:val="superscript"/>
        </w:rPr>
        <w:t>17</w:t>
      </w:r>
      <w:r>
        <w:rPr>
          <w:rFonts w:ascii="Times New Roman" w:cs="Times New Roman" w:eastAsia="Times New Roman" w:hAnsi="Times New Roman"/>
          <w:sz w:val="16"/>
          <w:szCs w:val="16"/>
          <w:color w:val="auto"/>
        </w:rPr>
        <w:t>The Company had previously estimated that its spending to complete this milestone would be $8,944.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also footnote 10.</w:t>
      </w:r>
    </w:p>
    <w:p>
      <w:pPr>
        <w:ind w:left="160" w:hanging="152"/>
        <w:spacing w:after="0" w:line="197" w:lineRule="auto"/>
        <w:tabs>
          <w:tab w:leader="none" w:pos="160" w:val="left"/>
        </w:tabs>
        <w:numPr>
          <w:ilvl w:val="0"/>
          <w:numId w:val="4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footnote 10.</w:t>
      </w:r>
    </w:p>
    <w:p>
      <w:pPr>
        <w:spacing w:after="0" w:line="37" w:lineRule="exact"/>
        <w:rPr>
          <w:rFonts w:ascii="Times New Roman" w:cs="Times New Roman" w:eastAsia="Times New Roman" w:hAnsi="Times New Roman"/>
          <w:sz w:val="21"/>
          <w:szCs w:val="21"/>
          <w:color w:val="auto"/>
          <w:vertAlign w:val="superscript"/>
        </w:rPr>
      </w:pPr>
    </w:p>
    <w:p>
      <w:pPr>
        <w:ind w:left="160" w:hanging="152"/>
        <w:spacing w:after="0" w:line="191" w:lineRule="auto"/>
        <w:tabs>
          <w:tab w:leader="none" w:pos="160" w:val="left"/>
        </w:tabs>
        <w:numPr>
          <w:ilvl w:val="0"/>
          <w:numId w:val="4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footnote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4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0"/>
          <w:szCs w:val="20"/>
          <w:color w:val="auto"/>
        </w:rPr>
        <w:t>ended September 30, 2025. Spend relating to this milestone will commence once the trial has been completed.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intends to continue funding the Deuterated Dimethyltryptamine (CYB004) Program.</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About the Company’s Phenethylamine and Tryptamine Derivatives Program (CYB005)</w:t>
      </w:r>
    </w:p>
    <w:p>
      <w:pPr>
        <w:spacing w:after="0" w:line="28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The Company’s Phenethylamine and Tryptamine Derivatives Program (CYB005) is focused on the development of therapeutic phenethylamine and tryptamine derivatives. In Q2 2025, the program, which historically focused on phenethylamine derivatives, was expanded to include tryptamine derivatives. Studies that have been conducted with compounds of a similar chemical structure have demonstrated potential for therapeutic use. The CYB005 program builds upon the current understanding of the mechanisms of action of psychedelics and aims to identify key polypharmacological combinations capable of mediating therapeutic effects for target indications. Cybin’s proprietary approach to phenethylamines and tryptamines modification with novel chemistry, proprietary formulations and directed delivery systems has yielded a number of novel, IP-protected leads with diverse pharmacology. Several compounds are now being further studied both in vitro and in vivo for selection of the best development candidates based on neuroplasticity mediated brain circuit rewiring to achieve therapeutic efficacy, including through sub-psychedelic and chronic dosing. The Company is investigating the efficacy and durability of the lead compounds to induce neuroplasticity as a therapeutic biomarker, and for the potential treatment of a range of psychiatric and neurological conditions.</w:t>
      </w:r>
      <w:r>
        <w:rPr>
          <w:rFonts w:ascii="Times New Roman" w:cs="Times New Roman" w:eastAsia="Times New Roman" w:hAnsi="Times New Roman"/>
          <w:sz w:val="25"/>
          <w:szCs w:val="25"/>
          <w:color w:val="auto"/>
          <w:vertAlign w:val="superscript"/>
        </w:rPr>
        <w:t>20</w:t>
      </w:r>
    </w:p>
    <w:p>
      <w:pPr>
        <w:spacing w:after="0" w:line="13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In order to assess the feasibility and viability of these phenethylamine and tryptamine derivatives entering clinical studies, the Company has and will continue to contract with reputable and licensed third-party vendors to undertake extensive preclinical characterization of target molecules on the Company’s behalf. These activities include, but are not limited to: the synthesis of such molecules as API at laboratory scale, the development and optimization of production processes for such APIs, the development of stable formulations utilizing these APIs, the development and validation of analytical methods for such formulations, the scale up of API production processes beyond laboratory scale to deliver good laboratory practice and GMP (as defined below) material suitable for entry into animal and human studies, studies of the stability of such formulations suitable for human studies, the development of Chemistry, Manufacturing and Controls to meet Current Good Manufacturing Practices (“</w:t>
      </w:r>
      <w:r>
        <w:rPr>
          <w:rFonts w:ascii="Times New Roman" w:cs="Times New Roman" w:eastAsia="Times New Roman" w:hAnsi="Times New Roman"/>
          <w:sz w:val="20"/>
          <w:szCs w:val="20"/>
          <w:b w:val="1"/>
          <w:bCs w:val="1"/>
          <w:color w:val="auto"/>
        </w:rPr>
        <w:t>cGMP</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In addition, utilizing the expertise of selected third parties, the Company intends to oversee the study of the pharmacokinetic profiles of its formulations in a number of animal models and the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1714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63" w:lineRule="exact"/>
        <w:rPr>
          <w:sz w:val="20"/>
          <w:szCs w:val="20"/>
          <w:color w:val="auto"/>
        </w:rPr>
      </w:pPr>
    </w:p>
    <w:p>
      <w:pPr>
        <w:jc w:val="both"/>
        <w:ind w:firstLine="8"/>
        <w:spacing w:after="0"/>
        <w:tabs>
          <w:tab w:leader="none" w:pos="160" w:val="left"/>
        </w:tabs>
        <w:numPr>
          <w:ilvl w:val="0"/>
          <w:numId w:val="4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statement is based on the following material factors and assumptions: (a) the Company assumes it will enter into a contract with a licensed third-party vendor to undertake extensive preclinical characterization of target molecules on the Company’s behalf; (b) the Company anticipates to complete a number of animal models and the completion of ADME profiles; (c) the Company assumes to enter into third party agreements in order to complete a range of additional preclinical programs including but not limited to dose-ranging studies in multiple animal species, toxicity studies in multiple animal species, genotoxicity studies, teratogenicity studies, along with neuropharmacological, pulmonary, and cardiovascular profiling before the final selection of drug candidates for entry into human trials; and (d) obtain an IND and/or a CTA to enter into clinical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40" w:right="339" w:bottom="1440" w:gutter="0" w:footer="0" w:header="0"/>
        </w:sectPr>
      </w:pPr>
    </w:p>
    <w:bookmarkStart w:id="49" w:name="page50"/>
    <w:bookmarkEnd w:id="49"/>
    <w:p>
      <w:pPr>
        <w:jc w:val="both"/>
        <w:spacing w:after="0" w:line="297" w:lineRule="auto"/>
        <w:rPr>
          <w:sz w:val="20"/>
          <w:szCs w:val="20"/>
          <w:color w:val="auto"/>
        </w:rPr>
      </w:pPr>
      <w:r>
        <w:rPr>
          <w:rFonts w:ascii="Times New Roman" w:cs="Times New Roman" w:eastAsia="Times New Roman" w:hAnsi="Times New Roman"/>
          <w:sz w:val="20"/>
          <w:szCs w:val="20"/>
          <w:color w:val="auto"/>
        </w:rPr>
        <w:t>of Absorption, Distribution, Metabolism, and Excretion (“</w:t>
      </w:r>
      <w:r>
        <w:rPr>
          <w:rFonts w:ascii="Times New Roman" w:cs="Times New Roman" w:eastAsia="Times New Roman" w:hAnsi="Times New Roman"/>
          <w:sz w:val="20"/>
          <w:szCs w:val="20"/>
          <w:b w:val="1"/>
          <w:bCs w:val="1"/>
          <w:color w:val="auto"/>
        </w:rPr>
        <w:t>ADME</w:t>
      </w:r>
      <w:r>
        <w:rPr>
          <w:rFonts w:ascii="Times New Roman" w:cs="Times New Roman" w:eastAsia="Times New Roman" w:hAnsi="Times New Roman"/>
          <w:sz w:val="20"/>
          <w:szCs w:val="20"/>
          <w:color w:val="auto"/>
        </w:rPr>
        <w:t>”) profiles. Further, the Company’s licensed third party vendors will be responsible for completing a range of additional preclinical programs including, but not limited to, dose-ranging studies in multiple animal species, toxicity studies in multiple animal species, genotoxicity studies, along with neuropharmacological, pulmonary, and cardiovascular profiling, before the final selection of drug candidates for entry into human trials.</w:t>
      </w:r>
    </w:p>
    <w:p>
      <w:pPr>
        <w:spacing w:after="0" w:line="216"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The Company intends to complete these studies, and collect further relevant safety and toxicity data, prior to the filing for any IND application with the FDA, a CTA with Health Canada, or other similar application with regulatory bodies in other jurisdictions.</w:t>
      </w:r>
    </w:p>
    <w:p>
      <w:pPr>
        <w:spacing w:after="0" w:line="187"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On October 24, 2024, the Company announced that the United States Patent and Trademark Office granted U.S. patent 12,122,741 with claims to the composition of matter of lead preclinical candidates in the Company’s CYB005 program.</w:t>
      </w:r>
    </w:p>
    <w:p>
      <w:pPr>
        <w:spacing w:after="0" w:line="174"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The Company spent approximately $221 on its preclinical Phenethylamine and Tryptamine Derivatives Program during the six months ended September 30, 2025.</w:t>
      </w:r>
    </w:p>
    <w:p>
      <w:pPr>
        <w:spacing w:after="0" w:line="17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is currently identifying a viable drug development candidate and completing its assessment of the potential path forward for this candidate, including whether it will be developed internally or by way of potential third party partners. The Company anticipates that its Phenethylamine and Tryptamine Derivatives Program may deliver a drug development candidate by the end of Q3 2026.</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Company expects to spend approximately $1,249</w:t>
      </w:r>
      <w:r>
        <w:rPr>
          <w:rFonts w:ascii="Times New Roman" w:cs="Times New Roman" w:eastAsia="Times New Roman" w:hAnsi="Times New Roman"/>
          <w:sz w:val="25"/>
          <w:szCs w:val="25"/>
          <w:color w:val="auto"/>
          <w:vertAlign w:val="superscript"/>
        </w:rPr>
        <w:t>21</w:t>
      </w:r>
      <w:r>
        <w:rPr>
          <w:rFonts w:ascii="Times New Roman" w:cs="Times New Roman" w:eastAsia="Times New Roman" w:hAnsi="Times New Roman"/>
          <w:sz w:val="20"/>
          <w:szCs w:val="20"/>
          <w:color w:val="auto"/>
        </w:rPr>
        <w:t xml:space="preserve"> to deliver a drug development candidate by the end of Q3 2026, of which approximately $221 was spent in the six months ended September 30, 2025, approximately $691 was spent in prior fiscal years resulting in an approximate remaining spend as of September 30, 2025, of $337 by the milestone completion in Q3 2026</w:t>
      </w:r>
      <w:r>
        <w:rPr>
          <w:rFonts w:ascii="Times New Roman" w:cs="Times New Roman" w:eastAsia="Times New Roman" w:hAnsi="Times New Roman"/>
          <w:sz w:val="25"/>
          <w:szCs w:val="25"/>
          <w:color w:val="auto"/>
          <w:vertAlign w:val="superscript"/>
        </w:rPr>
        <w:t>22</w:t>
      </w:r>
      <w:r>
        <w:rPr>
          <w:rFonts w:ascii="Times New Roman" w:cs="Times New Roman" w:eastAsia="Times New Roman" w:hAnsi="Times New Roman"/>
          <w:sz w:val="20"/>
          <w:szCs w:val="20"/>
          <w:color w:val="auto"/>
        </w:rPr>
        <w:t>. The Company intends to continue funding the Phenethylamine and Tryptamine Derivatives Program (CYB005).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Relationships with Third Parties</w:t>
      </w:r>
    </w:p>
    <w:p>
      <w:pPr>
        <w:spacing w:after="0" w:line="27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The Company’s research and development of its psychedelic pharmaceutical products is conducted by way of licensed partners. The Company also intends to sponsor clinical and other studies at various clinical trial sites.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Clinilabs Drug Development Corporation</w:t>
      </w:r>
    </w:p>
    <w:p>
      <w:pPr>
        <w:spacing w:after="0" w:line="301"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On April 21, 2022, the Company announced that it had partnered with Clinilabs, a global, full-service contract research organization with deep expertise in central nervous system drug development,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17145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89" w:lineRule="exact"/>
        <w:rPr>
          <w:sz w:val="20"/>
          <w:szCs w:val="20"/>
          <w:color w:val="auto"/>
        </w:rPr>
      </w:pPr>
    </w:p>
    <w:p>
      <w:pPr>
        <w:jc w:val="both"/>
        <w:ind w:firstLine="8"/>
        <w:spacing w:after="0" w:line="234" w:lineRule="auto"/>
        <w:tabs>
          <w:tab w:leader="none" w:pos="159" w:val="left"/>
        </w:tabs>
        <w:numPr>
          <w:ilvl w:val="0"/>
          <w:numId w:val="4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had previously estimated that its spending to complete this milestone would be $1,212.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Amount reflects actual spend during the six months ended September 30, 2025, the financial year ended March 31, 2025, the financial year ended March 31, 2024, and expected spend during the period from October 1, 2025 until the achievement of preclinical development of a phenethylamine drug candidate by Q3 2026. See also footnote 10.</w:t>
      </w:r>
    </w:p>
    <w:p>
      <w:pPr>
        <w:spacing w:after="0" w:line="2" w:lineRule="exact"/>
        <w:rPr>
          <w:rFonts w:ascii="Times New Roman" w:cs="Times New Roman" w:eastAsia="Times New Roman" w:hAnsi="Times New Roman"/>
          <w:sz w:val="21"/>
          <w:szCs w:val="21"/>
          <w:color w:val="auto"/>
          <w:vertAlign w:val="superscript"/>
        </w:rPr>
      </w:pPr>
    </w:p>
    <w:p>
      <w:pPr>
        <w:ind w:left="160" w:hanging="152"/>
        <w:spacing w:after="0" w:line="191" w:lineRule="auto"/>
        <w:tabs>
          <w:tab w:leader="none" w:pos="160" w:val="left"/>
        </w:tabs>
        <w:numPr>
          <w:ilvl w:val="0"/>
          <w:numId w:val="4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footnote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3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color w:val="auto"/>
        </w:rPr>
        <w:t>carry out the Company’s Phase 1/2a clinical trial of CYB003, its proprietary deuterated psilocin program.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Entheon Biomedical Corp.</w:t>
      </w:r>
    </w:p>
    <w:p>
      <w:pPr>
        <w:spacing w:after="0" w:line="28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On July 11, 2022, the Company completed the acquisition of a Phase 1 DMT study from Entheon. As part of the Asset Acquisition, Entheon assigned its rights under the Master Services Agreement between Entheon and Centre For Human Drug Research (“</w:t>
      </w:r>
      <w:r>
        <w:rPr>
          <w:rFonts w:ascii="Times New Roman" w:cs="Times New Roman" w:eastAsia="Times New Roman" w:hAnsi="Times New Roman"/>
          <w:sz w:val="20"/>
          <w:szCs w:val="20"/>
          <w:b w:val="1"/>
          <w:bCs w:val="1"/>
          <w:color w:val="auto"/>
        </w:rPr>
        <w:t>CHDR</w:t>
      </w:r>
      <w:r>
        <w:rPr>
          <w:rFonts w:ascii="Times New Roman" w:cs="Times New Roman" w:eastAsia="Times New Roman" w:hAnsi="Times New Roman"/>
          <w:sz w:val="20"/>
          <w:szCs w:val="20"/>
          <w:color w:val="auto"/>
        </w:rPr>
        <w:t>”) to the Company. The Company now maintains a direct contractual relationship with CHDR to conduct the CYB004-E trial. CHDR is an independent institute in the Netherlands specializing in innovative early-stage clinical drug research.</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Mindset Pharma Inc.</w:t>
      </w:r>
    </w:p>
    <w:p>
      <w:pPr>
        <w:spacing w:after="0" w:line="29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On September 27, 2022, the Company entered into an agreement, as amended, with Mindset Pharma Inc. (“</w:t>
      </w:r>
      <w:r>
        <w:rPr>
          <w:rFonts w:ascii="Times New Roman" w:cs="Times New Roman" w:eastAsia="Times New Roman" w:hAnsi="Times New Roman"/>
          <w:sz w:val="20"/>
          <w:szCs w:val="20"/>
          <w:b w:val="1"/>
          <w:bCs w:val="1"/>
          <w:color w:val="auto"/>
        </w:rPr>
        <w:t>Mindset</w:t>
      </w:r>
      <w:r>
        <w:rPr>
          <w:rFonts w:ascii="Times New Roman" w:cs="Times New Roman" w:eastAsia="Times New Roman" w:hAnsi="Times New Roman"/>
          <w:sz w:val="20"/>
          <w:szCs w:val="20"/>
          <w:color w:val="auto"/>
        </w:rPr>
        <w:t>”) to acquire an exclusive license to an extensive targeted class of tryptamine-based molecules. The agreement includes an initial license fee payment by Cybin to Mindset of US$500 as well as additional clinical development milestone payments of up to US$9,500, with the first milestone payment, in the amount of US$500, payable upon completion of a Phase 1 clinical trial. At the sole discretion of Cybin, the milestones may be paid in cash or in Common Shares, or a combination thereof, subject to the approval of the Cboe Canada. There is no assurance that the aforementioned milestones will be met. The agreement also contemplates a sales royalty of approximately 2% for all commercialized licensed products within the scope of the agreement, which is customary for drug licensing agreements of this nature.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Worldwide Clinical Trials</w:t>
      </w:r>
    </w:p>
    <w:p>
      <w:pPr>
        <w:spacing w:after="0" w:line="287"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On July 26, 2023, the Company announced that it has partnered with Worldwide Clinical Trials, a global, full-service contract research organization with deep expertise managing clinical trials for mental health conditions, including MDD.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Segal Trials</w:t>
      </w:r>
    </w:p>
    <w:p>
      <w:pPr>
        <w:spacing w:after="0" w:line="26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January 15, 2025, the Company launched its first strategic partnership agreement with Segal Trials in furtherance of Cybin’s multinational pivotal Phase 3 program evaluating CYB003 for the adjunctive treatment of MDD. Segal Trials is a privately held company with a network of six research sites throughout South Florida. Segal Trials has extensive experience conducting research trials with an emphasis on psychiatry, neurology, addiction, and psychedelics research.</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Osmind</w:t>
      </w:r>
    </w:p>
    <w:p>
      <w:pPr>
        <w:spacing w:after="0" w:line="26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April 21, 2025, the Company announced a strategic partnership with Osmind, a leading service provider advancing psychiatry through technology, services, and real-world evidence to bring innovative mental health treatments to patients in need. Through this partnership, the Company will leverage Osmind’s 800-clinic network, point-of-care software, and real-world data to support the commercial preparation for its clinical-stage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4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20"/>
          <w:szCs w:val="20"/>
          <w:b w:val="1"/>
          <w:bCs w:val="1"/>
          <w:i w:val="1"/>
          <w:iCs w:val="1"/>
          <w:color w:val="auto"/>
        </w:rPr>
        <w:t>enExel iResearch Atlanta and Cedar Clinical Research</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April 23, 2025, the Company announced the addition of CenExel iResearch Atlanta and Cedar Clinical Research to its SPA program, bringing the total to 18 clinical sites engaged to advance Cybin’s multinational Phase 3 PARADIGM program evaluating CYB003 for the adjunctive treatment of MDD. The APPROACH study is expected to include approximately 45 clinical sites.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Thermo Fisher Scientific</w:t>
      </w:r>
    </w:p>
    <w:p>
      <w:pPr>
        <w:spacing w:after="0" w:line="24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May 15, 2025, the Company announced that it has engaged Thermo Fisher Scientific to provide U.S.-based manufacturing for the CYB003 program. The production of both drug substance and drug product will be performed at Thermo Fisher’s U.S. pharma services manufacturing sites. The Company is working with Thermo Fisher’s pharma services sites in Florence, South Carolina, for Phase 3 clinical supply and future commercialization, and Cincinnati, Ohio, for Phase 3 capsule production and commercialization.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Third-Party Partners</w:t>
      </w:r>
    </w:p>
    <w:p>
      <w:pPr>
        <w:spacing w:after="0" w:line="28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Company has established contractual sources of synthetic GMP and non-GMP raw materials to support its development operations through licensed third-party suppliers located in Canada, the United States, the UK and Europe. Such raw materials are expected to be, in general, readily available and in adequate supply to meet the Company’s need for development quantities, or custom manufactured on the Company’s behalf.</w:t>
      </w:r>
      <w:r>
        <w:rPr>
          <w:rFonts w:ascii="Times New Roman" w:cs="Times New Roman" w:eastAsia="Times New Roman" w:hAnsi="Times New Roman"/>
          <w:sz w:val="25"/>
          <w:szCs w:val="25"/>
          <w:color w:val="auto"/>
          <w:vertAlign w:val="superscript"/>
        </w:rPr>
        <w:t>23</w:t>
      </w:r>
      <w:r>
        <w:rPr>
          <w:rFonts w:ascii="Times New Roman" w:cs="Times New Roman" w:eastAsia="Times New Roman" w:hAnsi="Times New Roman"/>
          <w:sz w:val="20"/>
          <w:szCs w:val="20"/>
          <w:color w:val="auto"/>
        </w:rPr>
        <w:t xml:space="preserve"> The prices of research quantities of novel tryptamine compounds are generally higher than commercial supply prices at significantly larger scale and the Company, therefore, expects its supply prices to reduce over time. Development and production of the Company’s proprietary novel compounds is performed under confidential contractual agreements.</w:t>
      </w:r>
    </w:p>
    <w:p>
      <w:pPr>
        <w:spacing w:after="0" w:line="233"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The Company has conducted due diligence on each such third party, including but not limited to the review of necessary licences and the regulatory framework enacted in the jurisdiction of operation.</w:t>
      </w:r>
    </w:p>
    <w:p>
      <w:pPr>
        <w:spacing w:after="0" w:line="17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The allocation of capital towards the Company’s ongoing projects and programs is largely dependent on the success, or difficulties encountered, in any particular portion of the process and therefore the time involved in completing it; in turn the time and costs associated with completing each step are highly dependent on the incremental results of each step and the results of other programs, and the Company’s need to be flexible to rapidly reallocate capital to projects whose results show the greatest potential. As such, it is difficult for the Company to anticipate the timing and costs associated with taking the projects to their next planned stage, and the Company cannot make assurances that the foregoing estimates will prove to be accurate, as actual results and future events could differ materially from those anticipated. Accordingly, investors are cautioned not to put undue reliance on the foregoing estimates.</w:t>
      </w:r>
    </w:p>
    <w:p>
      <w:pPr>
        <w:spacing w:after="0" w:line="20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Moreover, identifying the timing and costs of such projects beyond their immediate next steps go to the core differentiating factors with respect to the Company and its competitors. The disclosure of prospective costs and timing other than as already disclosed by the Company would negatively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7145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98" w:lineRule="exact"/>
        <w:rPr>
          <w:sz w:val="20"/>
          <w:szCs w:val="20"/>
          <w:color w:val="auto"/>
        </w:rPr>
      </w:pPr>
    </w:p>
    <w:p>
      <w:pPr>
        <w:ind w:firstLine="8"/>
        <w:spacing w:after="0" w:line="217" w:lineRule="auto"/>
        <w:tabs>
          <w:tab w:leader="none" w:pos="151" w:val="left"/>
        </w:tabs>
        <w:numPr>
          <w:ilvl w:val="0"/>
          <w:numId w:val="4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At this time the Company has not entered into commercial supply agreements and has no control over price or conditions. The Company has assumed that it will be able to enter into commercial supply agreements at such a time when there will be sufficient competition in the market which will render prices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436" w:right="339" w:bottom="1440" w:gutter="0" w:footer="0" w:header="0"/>
        </w:sectPr>
      </w:pPr>
    </w:p>
    <w:bookmarkStart w:id="52" w:name="page53"/>
    <w:bookmarkEnd w:id="52"/>
    <w:p>
      <w:pPr>
        <w:jc w:val="both"/>
        <w:ind w:right="20"/>
        <w:spacing w:after="0" w:line="296" w:lineRule="auto"/>
        <w:rPr>
          <w:sz w:val="20"/>
          <w:szCs w:val="20"/>
          <w:color w:val="auto"/>
        </w:rPr>
      </w:pPr>
      <w:r>
        <w:rPr>
          <w:rFonts w:ascii="Times New Roman" w:cs="Times New Roman" w:eastAsia="Times New Roman" w:hAnsi="Times New Roman"/>
          <w:sz w:val="20"/>
          <w:szCs w:val="20"/>
          <w:color w:val="auto"/>
        </w:rPr>
        <w:t>shareholder value and undermine the Company’s proprietary technology. In keeping with pharmaceutical industry practice, it is the Company’s policy to disclose these details in conjunction with its financial statements, and to publicly disclose published patent applications, published scientific papers, scientific symposia and the attainment of key milestones only. In addition, the premature disclosure of proprietary data would have a material and adverse effect on the Company’s patent and other intellectual property rights and could result in the breach of confidentiality obligations.</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20"/>
          <w:szCs w:val="20"/>
          <w:color w:val="auto"/>
        </w:rPr>
        <w:t>The material factors or assumptions used to develop the estimated costs disclosed above are included in the “Cautionary Note Regarding Forward-Looking Information” section above. The actual amount that the Company spends in connection with each of the intended uses of proceeds will depend on a number of factors, including those listed under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in this MD&amp;A or unforeseen events.</w:t>
      </w:r>
    </w:p>
    <w:p>
      <w:pPr>
        <w:spacing w:after="0" w:line="215"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20"/>
          <w:szCs w:val="20"/>
          <w:color w:val="auto"/>
        </w:rPr>
        <w:t>There is no guarantee that the Company will meet its business objectives or milestones described above within the specific time periods, within the estimated costs or at all. The Company may, for sound business reasons, reallocate its time or capital resources, or both, differently than as described above.</w:t>
      </w:r>
    </w:p>
    <w:p>
      <w:pPr>
        <w:spacing w:after="0" w:line="168"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20"/>
          <w:szCs w:val="20"/>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Intellectual Property</w:t>
      </w:r>
    </w:p>
    <w:p>
      <w:pPr>
        <w:spacing w:after="0" w:line="287"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19"/>
          <w:szCs w:val="19"/>
          <w:color w:val="auto"/>
        </w:rPr>
        <w:t>Cybin has title to twenty five granted US patents and eighty two granted national (non-US) patents, including claims directed to compositions of matter and methods of use in support of its research and development and preclinical and clinical trial programs. Granted European patents are counted as a single granted patent (as opposed to multiple patents in each European territory in which the patent is in force).</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660" w:type="dxa"/>
            <w:vAlign w:val="bottom"/>
            <w:tcBorders>
              <w:top w:val="single" w:sz="8" w:color="auto"/>
              <w:left w:val="single" w:sz="8" w:color="auto"/>
              <w:bottom w:val="single" w:sz="8" w:color="auto"/>
              <w:right w:val="single" w:sz="8" w:color="auto"/>
            </w:tcBorders>
            <w:shd w:val="clear" w:color="auto" w:fill="BFBFBF"/>
          </w:tcPr>
          <w:p>
            <w:pPr>
              <w:ind w:left="800"/>
              <w:spacing w:after="0"/>
              <w:rPr>
                <w:sz w:val="20"/>
                <w:szCs w:val="20"/>
                <w:color w:val="auto"/>
              </w:rPr>
            </w:pPr>
            <w:r>
              <w:rPr>
                <w:rFonts w:ascii="Times New Roman" w:cs="Times New Roman" w:eastAsia="Times New Roman" w:hAnsi="Times New Roman"/>
                <w:sz w:val="16"/>
                <w:szCs w:val="16"/>
                <w:b w:val="1"/>
                <w:bCs w:val="1"/>
                <w:color w:val="auto"/>
              </w:rPr>
              <w:t>Patent Number</w:t>
            </w:r>
          </w:p>
        </w:tc>
        <w:tc>
          <w:tcPr>
            <w:tcW w:w="168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69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08"/>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11,242,318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11,724,985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11,746,088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11,834,410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11,958,807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12,110,272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12,240,813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12,291,499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12,122,741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2018311307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Australia</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Crystalline Forms of Hydroxynorketamine</w:t>
            </w: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2020378647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Australia</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 of Synthesis</w:t>
            </w: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2020381103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Australia</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Compounds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60"/>
          </w:cols>
          <w:pgMar w:left="320" w:top="1440" w:right="319" w:bottom="1440" w:gutter="0" w:footer="0" w:header="0"/>
        </w:sectPr>
      </w:pPr>
    </w:p>
    <w:bookmarkStart w:id="53" w:name="page54"/>
    <w:bookmarkEnd w:id="5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660" w:type="dxa"/>
            <w:vAlign w:val="bottom"/>
            <w:tcBorders>
              <w:top w:val="single" w:sz="8" w:color="auto"/>
              <w:left w:val="single" w:sz="8" w:color="auto"/>
              <w:bottom w:val="single" w:sz="8" w:color="auto"/>
              <w:right w:val="single" w:sz="8" w:color="auto"/>
            </w:tcBorders>
            <w:shd w:val="clear" w:color="auto" w:fill="BFBFBF"/>
          </w:tcPr>
          <w:p>
            <w:pPr>
              <w:ind w:left="800"/>
              <w:spacing w:after="0"/>
              <w:rPr>
                <w:sz w:val="20"/>
                <w:szCs w:val="20"/>
                <w:color w:val="auto"/>
              </w:rPr>
            </w:pPr>
            <w:r>
              <w:rPr>
                <w:rFonts w:ascii="Times New Roman" w:cs="Times New Roman" w:eastAsia="Times New Roman" w:hAnsi="Times New Roman"/>
                <w:sz w:val="16"/>
                <w:szCs w:val="16"/>
                <w:b w:val="1"/>
                <w:bCs w:val="1"/>
                <w:color w:val="auto"/>
              </w:rPr>
              <w:t>Patent Number</w:t>
            </w:r>
          </w:p>
        </w:tc>
        <w:tc>
          <w:tcPr>
            <w:tcW w:w="168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69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2021334933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Australia</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w:t>
            </w: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2021204158</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Australia</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2020286709</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Australia</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1120220221983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Brazil</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3104072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Canada</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Drug Substance Compositions Comprising N,N-Dimethyltryptamine</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3160337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Canada</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 of Synthesis</w:t>
            </w: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3179161</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Canada</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3142290</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Canada</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3160334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Canada</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3179335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Canada</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ZL202080087091.0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ZL202080087092.5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 of Synthesis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ZL202180044031.5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w:t>
            </w: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ZL202180046463.X</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ZL202080050439.9</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ZL202180090269.1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or Partially Deuterated N,N-Dimethyltryptamine Compounds</w:t>
            </w: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046951</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Eurasian Patent Office</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048675</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Eurasian Patent Office</w:t>
            </w:r>
          </w:p>
        </w:tc>
        <w:tc>
          <w:tcPr>
            <w:tcW w:w="6920" w:type="dxa"/>
            <w:vAlign w:val="bottom"/>
            <w:tcBorders>
              <w:right w:val="single" w:sz="8" w:color="auto"/>
            </w:tcBorders>
          </w:tcPr>
          <w:p>
            <w:pPr>
              <w:ind w:left="300"/>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049402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Eurasian Patent Office</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049106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Eurasian Patent Office</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3463323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European Patent Office</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Solid Oral Dosage Forms of 2R,6R-Hydroxynorketamine or Derivatives Thereof</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3687515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European Patent Office</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Solid Oral Dosage Forms of Ketamine Derivatives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3532457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European Patent Office</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Crystalline Forms of Hydroxynorketamine</w:t>
            </w: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3826632</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European Patent Office</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3844147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European Patent Office</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3873883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European Patent Office</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 of Synthesis</w:t>
            </w: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3902541</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European Patent Office</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4031529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European Patent Office</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or Partially Deuterated N,N-Dimethyltryptamine Compounds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4138818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European Patent Office</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4149460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European Patent Office</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40042383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Compositions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40035970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Solid Oral Dosage Forms of Ketamine Derivatives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40056359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40060666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 of Synthesis</w:t>
            </w: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40065709</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40064531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40045846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Compositions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40060891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Compositions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60"/>
          </w:cols>
          <w:pgMar w:left="320" w:top="1440" w:right="319" w:bottom="1440" w:gutter="0" w:footer="0" w:header="0"/>
          <w:type w:val="continuous"/>
        </w:sectPr>
      </w:pPr>
    </w:p>
    <w:bookmarkStart w:id="54" w:name="page55"/>
    <w:bookmarkEnd w:id="5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660" w:type="dxa"/>
            <w:vAlign w:val="bottom"/>
            <w:tcBorders>
              <w:top w:val="single" w:sz="8" w:color="auto"/>
              <w:left w:val="single" w:sz="8" w:color="auto"/>
              <w:bottom w:val="single" w:sz="8" w:color="auto"/>
              <w:right w:val="single" w:sz="8" w:color="auto"/>
            </w:tcBorders>
            <w:shd w:val="clear" w:color="auto" w:fill="BFBFBF"/>
          </w:tcPr>
          <w:p>
            <w:pPr>
              <w:ind w:left="800"/>
              <w:spacing w:after="0"/>
              <w:rPr>
                <w:sz w:val="20"/>
                <w:szCs w:val="20"/>
                <w:color w:val="auto"/>
              </w:rPr>
            </w:pPr>
            <w:r>
              <w:rPr>
                <w:rFonts w:ascii="Times New Roman" w:cs="Times New Roman" w:eastAsia="Times New Roman" w:hAnsi="Times New Roman"/>
                <w:sz w:val="16"/>
                <w:szCs w:val="16"/>
                <w:b w:val="1"/>
                <w:bCs w:val="1"/>
                <w:color w:val="auto"/>
              </w:rPr>
              <w:t>Patent Number</w:t>
            </w:r>
          </w:p>
        </w:tc>
        <w:tc>
          <w:tcPr>
            <w:tcW w:w="168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69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40078818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or Partially Deuterated N,N-Dimethyltryptamine Compounds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40089095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w:t>
            </w: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507114</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India</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528813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India</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w:t>
            </w: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570120</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India</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Compounds, Compositions Comprising Same, and Uses Thereof in the Treatment of Psychiatric or</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Neurological Disorders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0"/>
        </w:trPr>
        <w:tc>
          <w:tcPr>
            <w:tcW w:w="2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292753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6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Compounds, Compositions Comprising Same, and Uses Thereof in the Treatment of Psychiatric or</w:t>
            </w:r>
          </w:p>
        </w:tc>
        <w:tc>
          <w:tcPr>
            <w:tcW w:w="0" w:type="dxa"/>
            <w:vAlign w:val="bottom"/>
          </w:tcPr>
          <w:p>
            <w:pPr>
              <w:spacing w:after="0"/>
              <w:rPr>
                <w:sz w:val="1"/>
                <w:szCs w:val="1"/>
                <w:color w:val="auto"/>
              </w:rPr>
            </w:pPr>
          </w:p>
        </w:tc>
      </w:tr>
      <w:tr>
        <w:trPr>
          <w:trHeight w:val="213"/>
        </w:trPr>
        <w:tc>
          <w:tcPr>
            <w:tcW w:w="2660" w:type="dxa"/>
            <w:vAlign w:val="bottom"/>
            <w:tcBorders>
              <w:left w:val="single" w:sz="8" w:color="auto"/>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Neurological Disorders</w:t>
            </w: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288617</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298542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298754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 of Synthesis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298129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Formulations</w:t>
            </w: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298541</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7288154</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Japan</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7422474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Japan</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 of Synthesis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7423131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Japan</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7422474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Japan</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Formulations</w:t>
            </w: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7523474</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Japan</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A therapeutic composition comprising a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7579888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Japan</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ZL202180044031.5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Macao</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ZL202080087092.5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Macao</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 of Synthesis</w:t>
            </w: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ZL202180046463.X</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Macao</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ZL202080050439.9</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Macao</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ZL202180090269.1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Macao</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or Partially Deuterated N,N-Dimethyltryptamine Compounds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404310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411316</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412331</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415678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788543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Dimethyltryptamine derivatives and their use in psychedelic-assisted psychotherapy</w:t>
            </w: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794833</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793361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794813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Solid Dosage Form</w:t>
            </w: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783166</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2589605</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Republic of Korea</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2636385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Republic of Korea</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2023/01086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South Africa</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2024/03906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South Africa</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I891942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Taiwan</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Compounds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I860478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Taiwan</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Compositions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2585978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Kingdom</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Compositions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2586940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Kingdom</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Compositions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2592822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Kingdom</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Compositions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60"/>
          </w:cols>
          <w:pgMar w:left="320" w:top="1440" w:right="319" w:bottom="1440" w:gutter="0" w:footer="0" w:header="0"/>
          <w:type w:val="continuous"/>
        </w:sectPr>
      </w:pPr>
    </w:p>
    <w:bookmarkStart w:id="55" w:name="page56"/>
    <w:bookmarkEnd w:id="5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660" w:type="dxa"/>
            <w:vAlign w:val="bottom"/>
            <w:tcBorders>
              <w:top w:val="single" w:sz="8" w:color="auto"/>
              <w:left w:val="single" w:sz="8" w:color="auto"/>
              <w:bottom w:val="single" w:sz="8" w:color="auto"/>
              <w:right w:val="single" w:sz="8" w:color="auto"/>
            </w:tcBorders>
            <w:shd w:val="clear" w:color="auto" w:fill="BFBFBF"/>
          </w:tcPr>
          <w:p>
            <w:pPr>
              <w:ind w:left="800"/>
              <w:spacing w:after="0"/>
              <w:rPr>
                <w:sz w:val="20"/>
                <w:szCs w:val="20"/>
                <w:color w:val="auto"/>
              </w:rPr>
            </w:pPr>
            <w:r>
              <w:rPr>
                <w:rFonts w:ascii="Times New Roman" w:cs="Times New Roman" w:eastAsia="Times New Roman" w:hAnsi="Times New Roman"/>
                <w:sz w:val="16"/>
                <w:szCs w:val="16"/>
                <w:b w:val="1"/>
                <w:bCs w:val="1"/>
                <w:color w:val="auto"/>
              </w:rPr>
              <w:t>Patent Number</w:t>
            </w:r>
          </w:p>
        </w:tc>
        <w:tc>
          <w:tcPr>
            <w:tcW w:w="168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69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8"/>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2595776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Kingdom</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11,377,416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Crystalline Forms of Hydroxynorketamine</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11,771,681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Compositions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11,773,062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Compounds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11,643,390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Synthesis of N,N-Dimethyltryptamine-Type Compounds, Methods, and Uses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11,471,417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N,N-Dimethyltryptamine Compounds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11,406,619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11,697,638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5-Methoxy-N,N-Dimethyltryptamine Crystalline Forms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11,660,289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or Partially Deuterated N,N-Dimethyltryptamine Compounds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11,578,039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12,042,564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12,076,311</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12,084,417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Synthesis of N,N-Dimethyltryptamine-Type Compounds, Methods, and Uses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12,157,723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12,251,371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or Partially Deuterated N,N-Dimethyltryptamine Compounds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12,318,477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12,343,327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Formulations</w:t>
            </w:r>
          </w:p>
        </w:tc>
        <w:tc>
          <w:tcPr>
            <w:tcW w:w="0" w:type="dxa"/>
            <w:vAlign w:val="bottom"/>
          </w:tcPr>
          <w:p>
            <w:pPr>
              <w:spacing w:after="0"/>
              <w:rPr>
                <w:sz w:val="1"/>
                <w:szCs w:val="1"/>
                <w:color w:val="auto"/>
              </w:rPr>
            </w:pPr>
          </w:p>
        </w:tc>
      </w:tr>
    </w:tbl>
    <w:p>
      <w:pPr>
        <w:spacing w:after="0" w:line="342"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20"/>
          <w:szCs w:val="20"/>
          <w:color w:val="auto"/>
        </w:rPr>
        <w:t>In addition, Cybin has title to two provisional patent applications, thirty five US non-provisional patent applications, two hundred and forty two national (non-US) patent applications, and four Patent Cooperation Treaty (“</w:t>
      </w:r>
      <w:r>
        <w:rPr>
          <w:rFonts w:ascii="Times New Roman" w:cs="Times New Roman" w:eastAsia="Times New Roman" w:hAnsi="Times New Roman"/>
          <w:sz w:val="20"/>
          <w:szCs w:val="20"/>
          <w:b w:val="1"/>
          <w:bCs w:val="1"/>
          <w:color w:val="auto"/>
        </w:rPr>
        <w:t>PCT</w:t>
      </w:r>
      <w:r>
        <w:rPr>
          <w:rFonts w:ascii="Times New Roman" w:cs="Times New Roman" w:eastAsia="Times New Roman" w:hAnsi="Times New Roman"/>
          <w:sz w:val="20"/>
          <w:szCs w:val="20"/>
          <w:color w:val="auto"/>
        </w:rPr>
        <w:t>”) applications, including claims directed to compositions of matter and methods of use in support of its research and development and preclinical and clinical trial programs.</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980" w:type="dxa"/>
            <w:vAlign w:val="bottom"/>
            <w:tcBorders>
              <w:top w:val="single" w:sz="8" w:color="auto"/>
              <w:left w:val="single" w:sz="8" w:color="auto"/>
              <w:bottom w:val="single" w:sz="8" w:color="auto"/>
              <w:right w:val="single" w:sz="8" w:color="auto"/>
            </w:tcBorders>
            <w:shd w:val="clear" w:color="auto" w:fill="BFBFBF"/>
          </w:tcPr>
          <w:p>
            <w:pPr>
              <w:ind w:left="520"/>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1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18/056,958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18/041,728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Derivatives, Compositions, and Methods of Use</w:t>
            </w: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18/027,810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Methods For Delivery of Psychedelic Medications By Inhalation and</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Systems For Performing the Methods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18/547,100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18/561,152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18/576,487</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Integrated Data Collection Devices for Use in Various Therapeutic and</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Wellness Applications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18/588,132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Methods of Treating Disorders with a Psilocybin Analog</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18/688,125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Combination Drug Therapies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PCT/EP2024/062406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WIPO</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Pharmaceutical Formulations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18/707,825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 Analogs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PCT/EP2024/065453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WIPO</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Companion Animal Treatments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18/720,922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Compositions and Methods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PCT/EP2024/067458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WIPO</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Processes For Preparing Phenethylamine Compounds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18/730,397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18/730,423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Derivatives,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18/825,122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60"/>
          </w:cols>
          <w:pgMar w:left="320" w:top="1440" w:right="319" w:bottom="1440" w:gutter="0" w:footer="0" w:header="0"/>
        </w:sectPr>
      </w:pPr>
    </w:p>
    <w:bookmarkStart w:id="56" w:name="page57"/>
    <w:bookmarkEnd w:id="5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980" w:type="dxa"/>
            <w:vAlign w:val="bottom"/>
            <w:tcBorders>
              <w:top w:val="single" w:sz="8" w:color="auto"/>
              <w:left w:val="single" w:sz="8" w:color="auto"/>
              <w:bottom w:val="single" w:sz="8" w:color="auto"/>
              <w:right w:val="single" w:sz="8" w:color="auto"/>
            </w:tcBorders>
            <w:shd w:val="clear" w:color="auto" w:fill="BFBFBF"/>
          </w:tcPr>
          <w:p>
            <w:pPr>
              <w:ind w:left="520"/>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1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8"/>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18/883,262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18/850,356</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Methods For Delivery of Psychedelic Medications By Inhalation and</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Systems For Performing the Methods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18/852,115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Combination of Nitrous Oxide and 5-HT2A Receptor Agonists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18/867,231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Solid Dispersions of Psilocybin</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19/020,095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19/106,551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Compounds,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19/119,308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Compounds,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19/170,327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63/822,926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Manufacture of Psilocin or Deuterated Psilocin Salts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19/159,085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Methods of Treating Depressive Disorders with a Psilocybin Analog</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19/481,242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Pharmaceutical Formulations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793553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812214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297492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312785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3177454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NC2022/0016662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Colombia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MX/a/2022/014605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MX/a/2024/006467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202203191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Chile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10-2022-7040243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Republic of Korea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10-2024-7019118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Republic of Korea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EP21808464.8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24175524.8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202180036163.3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202410728550.9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1120220235658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2021276656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2024203974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11202254530T</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Singapore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10202401521X</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Singapore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60"/>
          </w:cols>
          <w:pgMar w:left="320" w:top="1440" w:right="319" w:bottom="1440" w:gutter="0" w:footer="0" w:header="0"/>
        </w:sectPr>
      </w:pPr>
    </w:p>
    <w:bookmarkStart w:id="57" w:name="page58"/>
    <w:bookmarkEnd w:id="5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980" w:type="dxa"/>
            <w:vAlign w:val="bottom"/>
            <w:tcBorders>
              <w:top w:val="single" w:sz="8" w:color="auto"/>
              <w:left w:val="single" w:sz="8" w:color="auto"/>
              <w:bottom w:val="single" w:sz="8" w:color="auto"/>
              <w:right w:val="single" w:sz="8" w:color="auto"/>
            </w:tcBorders>
            <w:shd w:val="clear" w:color="auto" w:fill="BFBFBF"/>
          </w:tcPr>
          <w:p>
            <w:pPr>
              <w:ind w:left="520"/>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1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8"/>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202213256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South Africa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2201007493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Thailand</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1-2022-553135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Philippines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1-2024-551326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Philippines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202227065770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2022-571175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2024-080101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62023078320.6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42024099806.2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3186357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10-2023-7003815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2021327136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2023-512063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21766581.9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62023079716.4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3186359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Derivatives,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10-2023-7006128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Derivatives,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2021328671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Derivatives,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2023-512107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Derivatives,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21763068.0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Derivatives,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62023079718.0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Derivatives, Compositions, and Methods of Use</w:t>
            </w: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21786852.0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Methods For Delivery of Psychedelic Medications By Inhalation and</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Systems For Performing the Methods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10-2023-7007858</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Methods For Delivery of Psychedelic Medications By Inhalation and</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Systems For Performing the Methods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2021354006</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Methods For Delivery of Psychedelic Medications By Inhalation and</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Systems For Performing the Methods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2023-519831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Methods For Delivery of Psychedelic Medications By Inhalation and</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Systems For Performing the Methods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3194558</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Methods For Delivery of Psychedelic Medications By Inhalation and</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Systems For Performing the Methods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62023079720.6</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Methods For Delivery of Psychedelic Medications By Inhalation and</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Systems For Performing the Methods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802136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60"/>
          </w:cols>
          <w:pgMar w:left="320" w:top="1440" w:right="319" w:bottom="1440" w:gutter="0" w:footer="0" w:header="0"/>
        </w:sectPr>
      </w:pPr>
    </w:p>
    <w:bookmarkStart w:id="58" w:name="page59"/>
    <w:bookmarkEnd w:id="5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980" w:type="dxa"/>
            <w:vAlign w:val="bottom"/>
            <w:tcBorders>
              <w:top w:val="single" w:sz="8" w:color="auto"/>
              <w:left w:val="single" w:sz="8" w:color="auto"/>
              <w:bottom w:val="single" w:sz="8" w:color="auto"/>
              <w:right w:val="single" w:sz="8" w:color="auto"/>
            </w:tcBorders>
            <w:shd w:val="clear" w:color="auto" w:fill="BFBFBF"/>
          </w:tcPr>
          <w:p>
            <w:pPr>
              <w:ind w:left="520"/>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1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08"/>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305457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3212563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NC2023/0013714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Colombia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MX/a/2023/010843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202302731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Chile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202501220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Chile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10-2023-7032581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22716857.2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202280022029.2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1120230188946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2022239825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11202305618U</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Singapore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202309486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South Africa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2301005753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Thailand</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1-2023-552572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Philippines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202327063524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2023-556906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62024086011.9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2022277515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w:t>
            </w: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3216799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w:t>
            </w: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22729558.1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w:t>
            </w: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202327074210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w:t>
            </w: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2023-571283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w:t>
            </w: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10-2023-7041239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w:t>
            </w: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62024089505.7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w:t>
            </w: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2022342266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Combination Drug Therapies</w:t>
            </w: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3231021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Combination Drug Therapies</w:t>
            </w: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22716971.1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Combination Drug Therapies</w:t>
            </w: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2024-515026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Combination Drug Therapies</w:t>
            </w: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10-2024-7008355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Combination Drug Therapies</w:t>
            </w: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62024094405.3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Combination Drug Therapies</w:t>
            </w: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2022381220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 Analogs and Methods of Use</w:t>
            </w: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1120240088332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 Analogs and Methods of Use</w:t>
            </w: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3236624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 Analogs and Methods of Use</w:t>
            </w: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202280073355.6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 Analogs and Methods of Use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60"/>
          </w:cols>
          <w:pgMar w:left="320" w:top="1440" w:right="319" w:bottom="1440" w:gutter="0" w:footer="0" w:header="0"/>
        </w:sectPr>
      </w:pPr>
    </w:p>
    <w:bookmarkStart w:id="59" w:name="page60"/>
    <w:bookmarkEnd w:id="5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980" w:type="dxa"/>
            <w:vAlign w:val="bottom"/>
            <w:tcBorders>
              <w:top w:val="single" w:sz="8" w:color="auto"/>
              <w:left w:val="single" w:sz="8" w:color="auto"/>
              <w:bottom w:val="single" w:sz="8" w:color="auto"/>
              <w:right w:val="single" w:sz="8" w:color="auto"/>
            </w:tcBorders>
            <w:shd w:val="clear" w:color="auto" w:fill="BFBFBF"/>
          </w:tcPr>
          <w:p>
            <w:pPr>
              <w:ind w:left="520"/>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1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8"/>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22783493.4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 Analogs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202417038272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 Analogs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312175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 Analogs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2024-526529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 Analogs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10-2024-7017594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 Analogs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810005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 Analogs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1120242311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Saudi Arabia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 Analogs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62024097476.1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 Analogs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2023207801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Compositions and Methods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1120240139522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Compositions and Methods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3259235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Compositions and Methods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202380016531.7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Compositions and Methods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23700949.3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Compositions and Methods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313889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Compositions and Methods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202417058417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Compositions and Methods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2024-541809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Compositions and Methods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10-2024-7026687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Compositions and Methods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MX/a/2024/008691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Compositions and Methods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PI2024003160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Malaysia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Compositions and Methods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811765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Compositions and Methods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1120243886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Saudi Arabia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Compositions and Methods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62024099899.2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Compositions and Methods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2023222397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3244275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23705529.8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2024-547671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10-2024-7028837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62024101488.0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2023222126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Derivatives,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3244130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Derivatives,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23705530.6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Derivatives,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2024-547667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Derivatives,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10-2024-7028843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Derivatives,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62024101490.6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Derivatives, Compositions, and Methods of Use</w:t>
            </w: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2023246690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Methods For Delivery of Psychedelic Medications By Inhalation and</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Systems For Performing the Methods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60"/>
          </w:cols>
          <w:pgMar w:left="320" w:top="1440" w:right="319" w:bottom="1440" w:gutter="0" w:footer="0" w:header="0"/>
        </w:sectPr>
      </w:pPr>
    </w:p>
    <w:bookmarkStart w:id="60" w:name="page61"/>
    <w:bookmarkEnd w:id="6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980" w:type="dxa"/>
            <w:vAlign w:val="bottom"/>
            <w:tcBorders>
              <w:top w:val="single" w:sz="8" w:color="auto"/>
              <w:left w:val="single" w:sz="8" w:color="auto"/>
              <w:bottom w:val="single" w:sz="8" w:color="auto"/>
              <w:right w:val="single" w:sz="8" w:color="auto"/>
            </w:tcBorders>
            <w:shd w:val="clear" w:color="auto" w:fill="BFBFBF"/>
          </w:tcPr>
          <w:p>
            <w:pPr>
              <w:ind w:left="520"/>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1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57"/>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3246274</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Methods For Delivery of Psychedelic Medications By Inhalation and</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Systems For Performing the Methods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23715813.4</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Methods For Delivery of Psychedelic Medications By Inhalation and</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Systems For Performing the Methods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2024-557460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Methods For Delivery of Psychedelic Medications By Inhalation and</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Systems For Performing the Methods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10-2024-7032719</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Methods For Delivery of Psychedelic Medications By Inhalation and</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Systems For Performing the Methods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815769</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Methods For Delivery of Psychedelic Medications By Inhalation and</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Systems For Performing the Methods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62025103102.2</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Methods For Delivery of Psychedelic Medications By Inhalation and</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Systems For Performing the Methods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2023242469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Combination of Nitrous Oxide and 5-HT2A Receptor Agonists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3247035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Combination of Nitrous Oxide and 5-HT2A Receptor Agonists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23717049.3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Combination of Nitrous Oxide and 5-HT2A Receptor Agonists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2024-557455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Combination of Nitrous Oxide and 5-HT2A Receptor Agonists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813800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Combination of Nitrous Oxide and 5-HT2A Receptor Agonists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62025103101.4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Combination of Nitrous Oxide and 5-HT2A Receptor Agonists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2023331937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Compounds,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3265884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Compounds,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23764241.8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Compounds,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2025-512678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Compounds,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10-2025-7007259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Compounds,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62025111889.4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Compounds,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2023366306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Compounds,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3271746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Compounds,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202380075041.4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Compounds,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23798713.6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Compounds,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2025-524528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Compounds,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10-2025-7014590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Compounds,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1120253030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Saudi Arabia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Compounds,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62025112197.1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Compounds,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2024229430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Methods of Treating Depressive Disorders with a Psilocybin Analog</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1120250180169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Methods of Treating Depressive Disorders with a Psilocybin Analog</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60"/>
          </w:cols>
          <w:pgMar w:left="320" w:top="1440" w:right="319" w:bottom="1440" w:gutter="0" w:footer="0" w:header="0"/>
        </w:sectPr>
      </w:pPr>
    </w:p>
    <w:bookmarkStart w:id="61" w:name="page62"/>
    <w:bookmarkEnd w:id="6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980" w:type="dxa"/>
            <w:vAlign w:val="bottom"/>
            <w:tcBorders>
              <w:top w:val="single" w:sz="8" w:color="auto"/>
              <w:left w:val="single" w:sz="8" w:color="auto"/>
              <w:bottom w:val="single" w:sz="8" w:color="auto"/>
              <w:right w:val="single" w:sz="8" w:color="auto"/>
            </w:tcBorders>
            <w:shd w:val="clear" w:color="auto" w:fill="BFBFBF"/>
          </w:tcPr>
          <w:p>
            <w:pPr>
              <w:ind w:left="520"/>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1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8"/>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3284066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Methods of Treating Depressive Disorders with a Psilocybin Analog</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202502558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Chile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Methods of Treating Depressive Disorders with a Psilocybin Analog</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202480014984.0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Methods of Treating Depressive Disorders with a Psilocybin Analog</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NC2025/0011490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Colombia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Methods of Treating Depressive Disorders with a Psilocybin Analog</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24708160.7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Methods of Treating Depressive Disorders with a Psilocybin Analog</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322138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Methods of Treating Depressive Disorders with a Psilocybin Analog</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2025-549789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Methods of Treating Depressive Disorders with a Psilocybin Analog</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10-2025-7029225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Methods of Treating Depressive Disorders with a Psilocybin Analog</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MX/a/2025/010013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Methods of Treating Depressive Disorders with a Psilocybin Analog</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PI2025005159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Malaysia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Methods of Treating Depressive Disorders with a Psilocybin Analog</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823179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Methods of Treating Depressive Disorders with a Psilocybin Analog</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1-2025-552057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Philippines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Methods of Treating Depressive Disorders with a Psilocybin Analog</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1120256479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Saudi Arabia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Methods of Treating Depressive Disorders with a Psilocybin Analog</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11202504641X</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Singapore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Methods of Treating Depressive Disorders with a Psilocybin Analog</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2501005646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Thailand</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Methods of Treating Depressive Disorders with a Psilocybin Analog</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2025/06705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South Africa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Methods of Treating Depressive Disorders with a Psilocybin Analog</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3290612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Pharmaceutical Formulations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24725094.7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Pharmaceutical Formulations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1120220089198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2023-202672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18/921,515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2021391581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Deuterated or Partially Deuterated N,N-Dimethyltryptamine</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3203020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Deuterated or Partially Deuterated N,N-Dimethyltryptamine</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23198784.3</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Deuterated or Partially Deuterated N,N-Dimethyltryptamine</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42024091001.8</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Deuterated or Partially Deuterated N,N-Dimethyltryptamine</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202317043169</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Deuterated or Partially Deuterated N,N-Dimethyltryptamine</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303288</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Deuterated or Partially Deuterated N,N-Dimethyltryptamine</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2023-533243</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Deuterated or Partially Deuterated N,N-Dimethyltryptamine</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800961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Deuterated or Partially Deuterated N,N-Dimethyltryptamine</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21 816489.5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Inhalable Formulations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18/252,949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Inhalable Formulations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2022393234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11 2024 009571 1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60"/>
          </w:cols>
          <w:pgMar w:left="320" w:top="1440" w:right="319" w:bottom="1440" w:gutter="0" w:footer="0" w:header="0"/>
        </w:sectPr>
      </w:pPr>
    </w:p>
    <w:bookmarkStart w:id="62" w:name="page63"/>
    <w:bookmarkEnd w:id="6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98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1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8"/>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3238583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22 818741.5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62025102900.0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202417045861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312859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2024-529536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10-2024-7020007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MX/a/2024/005955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811102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11202403174T</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Singapore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PI 2024002791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Malaysia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1120242659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Saudi Arabia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202401452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Chile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2401003192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Thailand</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12024551165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Philippines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18/711,130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19/192,691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NC2024/0007518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Colombia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202280084101.4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24194778.7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42025103259.5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PI 2023000584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Malaysia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11202300697X</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Singapore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19/202,059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18/619,547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 of Administration</w:t>
            </w: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2024242138</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Combination Comprising a Monoamine Antidepressant Agent and a</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Short-Duration Psychedelic Agent</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BR1120250210513</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Combination Comprising a Monoamine Antidepressant Agent and a</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Short-Duration Psychedelic Agent</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3,285,080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Combination Comprising a Monoamine Antidepressant Agent and a</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Short-Duration Psychedelic Agent</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TBC</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Combination Comprising a Monoamine Antidepressant Agent and a</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Short-Duration Psychedelic Agent</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24716712.5</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Combination Comprising a Monoamine Antidepressant Agent and a</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Short-Duration Psychedelic Agent</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323233</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Combination Comprising a Monoamine Antidepressant Agent and a</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Short-Duration Psychedelic Agent</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TBC</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Combination Comprising a Monoamine Antidepressant Agent and a</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Short-Duration Psychedelic Agent</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10-2025-7035981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Republic of Korea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Combination Comprising a Monoamine Antidepressant Agent and a</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Short-Duration Psychedelic Agent</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TBC</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Combination Comprising a Monoamine Antidepressant Agent and a</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Short-Duration Psychedelic Agent</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60"/>
          </w:cols>
          <w:pgMar w:left="320" w:top="1440" w:right="319" w:bottom="1440" w:gutter="0" w:footer="0" w:header="0"/>
        </w:sectPr>
      </w:pPr>
    </w:p>
    <w:bookmarkStart w:id="63" w:name="page64"/>
    <w:bookmarkEnd w:id="6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98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1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57"/>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19/469,610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Combination Comprising a Monoamine Antidepressant Agent and a</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Short-Duration Psychedelic Agent</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1120257248</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Saudi Arabia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Combination Comprising a Monoamine Antidepressant Agent and a</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Short-Duration Psychedelic Agent</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202517099658</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Combination Comprising a Monoamine Antidepressant Agent and a</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Short-Duration Psychedelic Agent</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MX/a/2025/011603</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Combination Comprising a Monoamine Antidepressant Agent and a</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Short-Duration Psychedelic Agent</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P2025-03094</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United Arab Emirates</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Combination Comprising a Monoamine Antidepressant Agent and a</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Short-Duration Psychedelic Agent</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22214748.0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 of Synthesis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202217028688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 of Synthesis</w:t>
            </w: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21203394.8</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Solid Oral Dosage Forms of 2R,6R-Hydroxynorketamine or</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Derivatives Thereof</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18/602,171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Synthesis of N,N-Dimethyltryptamine-Type Compounds, Methods, and</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Uses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1120220245661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Deuterated N,N-Dimethyltryptamine Compounds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42023070531.1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Deuterated N,N-Dimethyltryptamine Compounds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202217076779</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Deuterated N,N-Dimethyltryptamine Compounds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1120210243330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Deuterated N,N-Dimethyltryptamine Compounds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22173907.1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Deuterated N,N-Dimethyltryptamine Compounds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10-2021-7043410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Republic of Korea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Deuterated N,N-Dimethyltryptamine Compounds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10-2024-7030292</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Republic of Korea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Deuterated N,N-Dimethyltryptamine Compounds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18/779,611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Deuterated N,N-Dimethyltryptamine Compounds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2021284861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Solid Dosage Form</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202217076899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Solid Dosage Form</w:t>
            </w: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2023361184</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 of Administration of a Parenteral Formulation Comprising a</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Psychedelic Agent</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3,270,486</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 of Administration of a Parenteral Formulation Comprising a</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Psychedelic Agent</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TBD</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 of Administration of a Parenteral Formulation Comprising a</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Psychedelic Agent</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23 790574.0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 of Administration of a Parenteral Formulation Comprising a</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Psychedelic Agent</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2025-521004</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 of Administration of a Parenteral Formulation Comprising a</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Psychedelic Agent</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10-2025-7015515</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Republic of Korea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 of Administration of a Parenteral Formulation Comprising a</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Psychedelic Agent</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19/119,888</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 of Administration of a Parenteral Formulation Comprising a</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Psychedelic Agent</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3118556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60"/>
          </w:cols>
          <w:pgMar w:left="320" w:top="1440" w:right="319" w:bottom="1440" w:gutter="0" w:footer="0" w:header="0"/>
        </w:sectPr>
      </w:pPr>
    </w:p>
    <w:bookmarkStart w:id="64" w:name="page65"/>
    <w:bookmarkEnd w:id="6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980" w:type="dxa"/>
            <w:vAlign w:val="bottom"/>
            <w:tcBorders>
              <w:top w:val="single" w:sz="8" w:color="auto"/>
              <w:left w:val="single" w:sz="8" w:color="auto"/>
              <w:bottom w:val="single" w:sz="8" w:color="auto"/>
              <w:right w:val="single" w:sz="8" w:color="auto"/>
            </w:tcBorders>
            <w:shd w:val="clear" w:color="auto" w:fill="BFBFBF"/>
          </w:tcPr>
          <w:p>
            <w:pPr>
              <w:ind w:left="520"/>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1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8"/>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202180046533.1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18/748,483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24 215587.7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42025109674.9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63/723,250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Pharmaceutical Compositions Comprising Deuterated N,N-</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Dimethyltryptamine</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PCT/EP2025/069677</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WIPO</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Pharmaceutical Compositions Comprising Deuterated N,N-</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Dimethyltryptamine</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114126133</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Taiwan</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Pharmaceutical Compositions Comprising Deuterated N,N-</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Dimethyltryptamine</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2024212866</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ind w:left="320"/>
              <w:spacing w:after="0" w:line="158" w:lineRule="exact"/>
              <w:rPr>
                <w:sz w:val="20"/>
                <w:szCs w:val="20"/>
                <w:color w:val="auto"/>
              </w:rPr>
            </w:pPr>
            <w:r>
              <w:rPr>
                <w:rFonts w:ascii="Times New Roman" w:cs="Times New Roman" w:eastAsia="Times New Roman" w:hAnsi="Times New Roman"/>
                <w:sz w:val="16"/>
                <w:szCs w:val="16"/>
                <w:color w:val="auto"/>
              </w:rPr>
              <w:t>Treatment of Psychiatric or Neurological Disorders by Parenteral</w:t>
            </w:r>
          </w:p>
        </w:tc>
        <w:tc>
          <w:tcPr>
            <w:tcW w:w="0" w:type="dxa"/>
            <w:vAlign w:val="bottom"/>
          </w:tcPr>
          <w:p>
            <w:pPr>
              <w:spacing w:after="0"/>
              <w:rPr>
                <w:sz w:val="1"/>
                <w:szCs w:val="1"/>
                <w:color w:val="auto"/>
              </w:rPr>
            </w:pPr>
          </w:p>
        </w:tc>
      </w:tr>
      <w:tr>
        <w:trPr>
          <w:trHeight w:val="162"/>
        </w:trPr>
        <w:tc>
          <w:tcPr>
            <w:tcW w:w="2980" w:type="dxa"/>
            <w:vAlign w:val="bottom"/>
            <w:tcBorders>
              <w:left w:val="single" w:sz="8" w:color="auto"/>
              <w:right w:val="single" w:sz="8" w:color="auto"/>
            </w:tcBorders>
            <w:vMerge w:val="continue"/>
          </w:tcPr>
          <w:p>
            <w:pPr>
              <w:spacing w:after="0"/>
              <w:rPr>
                <w:sz w:val="14"/>
                <w:szCs w:val="14"/>
                <w:color w:val="auto"/>
              </w:rPr>
            </w:pPr>
          </w:p>
        </w:tc>
        <w:tc>
          <w:tcPr>
            <w:tcW w:w="1840" w:type="dxa"/>
            <w:vAlign w:val="bottom"/>
            <w:tcBorders>
              <w:right w:val="single" w:sz="8" w:color="auto"/>
            </w:tcBorders>
            <w:vMerge w:val="continue"/>
          </w:tcPr>
          <w:p>
            <w:pPr>
              <w:spacing w:after="0"/>
              <w:rPr>
                <w:sz w:val="14"/>
                <w:szCs w:val="14"/>
                <w:color w:val="auto"/>
              </w:rPr>
            </w:pPr>
          </w:p>
        </w:tc>
        <w:tc>
          <w:tcPr>
            <w:tcW w:w="1720" w:type="dxa"/>
            <w:vAlign w:val="bottom"/>
            <w:tcBorders>
              <w:right w:val="single" w:sz="8" w:color="auto"/>
            </w:tcBorders>
            <w:vMerge w:val="continue"/>
          </w:tcPr>
          <w:p>
            <w:pPr>
              <w:spacing w:after="0"/>
              <w:rPr>
                <w:sz w:val="14"/>
                <w:szCs w:val="14"/>
                <w:color w:val="auto"/>
              </w:rPr>
            </w:pPr>
          </w:p>
        </w:tc>
        <w:tc>
          <w:tcPr>
            <w:tcW w:w="47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Administration of a Single, Effective Parenteral Dose of A Short-</w:t>
            </w:r>
          </w:p>
        </w:tc>
        <w:tc>
          <w:tcPr>
            <w:tcW w:w="0" w:type="dxa"/>
            <w:vAlign w:val="bottom"/>
          </w:tcPr>
          <w:p>
            <w:pPr>
              <w:spacing w:after="0"/>
              <w:rPr>
                <w:sz w:val="1"/>
                <w:szCs w:val="1"/>
                <w:color w:val="auto"/>
              </w:rPr>
            </w:pPr>
          </w:p>
        </w:tc>
      </w:tr>
      <w:tr>
        <w:trPr>
          <w:trHeight w:val="213"/>
        </w:trPr>
        <w:tc>
          <w:tcPr>
            <w:tcW w:w="2980" w:type="dxa"/>
            <w:vAlign w:val="bottom"/>
            <w:tcBorders>
              <w:left w:val="single" w:sz="8" w:color="auto"/>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Acting Psychedelic Agent</w:t>
            </w: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3280177</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ind w:left="320"/>
              <w:spacing w:after="0" w:line="158" w:lineRule="exact"/>
              <w:rPr>
                <w:sz w:val="20"/>
                <w:szCs w:val="20"/>
                <w:color w:val="auto"/>
              </w:rPr>
            </w:pPr>
            <w:r>
              <w:rPr>
                <w:rFonts w:ascii="Times New Roman" w:cs="Times New Roman" w:eastAsia="Times New Roman" w:hAnsi="Times New Roman"/>
                <w:sz w:val="16"/>
                <w:szCs w:val="16"/>
                <w:color w:val="auto"/>
              </w:rPr>
              <w:t>Treatment of Psychiatric or Neurological Disorders by Parenteral</w:t>
            </w:r>
          </w:p>
        </w:tc>
        <w:tc>
          <w:tcPr>
            <w:tcW w:w="0" w:type="dxa"/>
            <w:vAlign w:val="bottom"/>
          </w:tcPr>
          <w:p>
            <w:pPr>
              <w:spacing w:after="0"/>
              <w:rPr>
                <w:sz w:val="1"/>
                <w:szCs w:val="1"/>
                <w:color w:val="auto"/>
              </w:rPr>
            </w:pPr>
          </w:p>
        </w:tc>
      </w:tr>
      <w:tr>
        <w:trPr>
          <w:trHeight w:val="162"/>
        </w:trPr>
        <w:tc>
          <w:tcPr>
            <w:tcW w:w="2980" w:type="dxa"/>
            <w:vAlign w:val="bottom"/>
            <w:tcBorders>
              <w:left w:val="single" w:sz="8" w:color="auto"/>
              <w:right w:val="single" w:sz="8" w:color="auto"/>
            </w:tcBorders>
            <w:vMerge w:val="continue"/>
          </w:tcPr>
          <w:p>
            <w:pPr>
              <w:spacing w:after="0"/>
              <w:rPr>
                <w:sz w:val="14"/>
                <w:szCs w:val="14"/>
                <w:color w:val="auto"/>
              </w:rPr>
            </w:pPr>
          </w:p>
        </w:tc>
        <w:tc>
          <w:tcPr>
            <w:tcW w:w="1840" w:type="dxa"/>
            <w:vAlign w:val="bottom"/>
            <w:tcBorders>
              <w:right w:val="single" w:sz="8" w:color="auto"/>
            </w:tcBorders>
            <w:vMerge w:val="continue"/>
          </w:tcPr>
          <w:p>
            <w:pPr>
              <w:spacing w:after="0"/>
              <w:rPr>
                <w:sz w:val="14"/>
                <w:szCs w:val="14"/>
                <w:color w:val="auto"/>
              </w:rPr>
            </w:pPr>
          </w:p>
        </w:tc>
        <w:tc>
          <w:tcPr>
            <w:tcW w:w="1720" w:type="dxa"/>
            <w:vAlign w:val="bottom"/>
            <w:tcBorders>
              <w:right w:val="single" w:sz="8" w:color="auto"/>
            </w:tcBorders>
            <w:vMerge w:val="continue"/>
          </w:tcPr>
          <w:p>
            <w:pPr>
              <w:spacing w:after="0"/>
              <w:rPr>
                <w:sz w:val="14"/>
                <w:szCs w:val="14"/>
                <w:color w:val="auto"/>
              </w:rPr>
            </w:pPr>
          </w:p>
        </w:tc>
        <w:tc>
          <w:tcPr>
            <w:tcW w:w="47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Administration of a Single, Effective Parenteral Dose of A Short-</w:t>
            </w:r>
          </w:p>
        </w:tc>
        <w:tc>
          <w:tcPr>
            <w:tcW w:w="0" w:type="dxa"/>
            <w:vAlign w:val="bottom"/>
          </w:tcPr>
          <w:p>
            <w:pPr>
              <w:spacing w:after="0"/>
              <w:rPr>
                <w:sz w:val="1"/>
                <w:szCs w:val="1"/>
                <w:color w:val="auto"/>
              </w:rPr>
            </w:pPr>
          </w:p>
        </w:tc>
      </w:tr>
      <w:tr>
        <w:trPr>
          <w:trHeight w:val="213"/>
        </w:trPr>
        <w:tc>
          <w:tcPr>
            <w:tcW w:w="2980" w:type="dxa"/>
            <w:vAlign w:val="bottom"/>
            <w:tcBorders>
              <w:left w:val="single" w:sz="8" w:color="auto"/>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Acting Psychedelic Agent</w:t>
            </w: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202480014812.3</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Treatment of Psychiatric or Neurological Disorders by Parenteral</w:t>
            </w:r>
          </w:p>
        </w:tc>
        <w:tc>
          <w:tcPr>
            <w:tcW w:w="0" w:type="dxa"/>
            <w:vAlign w:val="bottom"/>
          </w:tcPr>
          <w:p>
            <w:pPr>
              <w:spacing w:after="0"/>
              <w:rPr>
                <w:sz w:val="1"/>
                <w:szCs w:val="1"/>
                <w:color w:val="auto"/>
              </w:rPr>
            </w:pPr>
          </w:p>
        </w:tc>
      </w:tr>
      <w:tr>
        <w:trPr>
          <w:trHeight w:val="162"/>
        </w:trPr>
        <w:tc>
          <w:tcPr>
            <w:tcW w:w="2980" w:type="dxa"/>
            <w:vAlign w:val="bottom"/>
            <w:tcBorders>
              <w:left w:val="single" w:sz="8" w:color="auto"/>
              <w:right w:val="single" w:sz="8" w:color="auto"/>
            </w:tcBorders>
            <w:vMerge w:val="continue"/>
          </w:tcPr>
          <w:p>
            <w:pPr>
              <w:spacing w:after="0"/>
              <w:rPr>
                <w:sz w:val="14"/>
                <w:szCs w:val="14"/>
                <w:color w:val="auto"/>
              </w:rPr>
            </w:pPr>
          </w:p>
        </w:tc>
        <w:tc>
          <w:tcPr>
            <w:tcW w:w="1840" w:type="dxa"/>
            <w:vAlign w:val="bottom"/>
            <w:tcBorders>
              <w:right w:val="single" w:sz="8" w:color="auto"/>
            </w:tcBorders>
            <w:vMerge w:val="continue"/>
          </w:tcPr>
          <w:p>
            <w:pPr>
              <w:spacing w:after="0"/>
              <w:rPr>
                <w:sz w:val="14"/>
                <w:szCs w:val="14"/>
                <w:color w:val="auto"/>
              </w:rPr>
            </w:pPr>
          </w:p>
        </w:tc>
        <w:tc>
          <w:tcPr>
            <w:tcW w:w="1720" w:type="dxa"/>
            <w:vAlign w:val="bottom"/>
            <w:tcBorders>
              <w:right w:val="single" w:sz="8" w:color="auto"/>
            </w:tcBorders>
            <w:vMerge w:val="continue"/>
          </w:tcPr>
          <w:p>
            <w:pPr>
              <w:spacing w:after="0"/>
              <w:rPr>
                <w:sz w:val="14"/>
                <w:szCs w:val="14"/>
                <w:color w:val="auto"/>
              </w:rPr>
            </w:pPr>
          </w:p>
        </w:tc>
        <w:tc>
          <w:tcPr>
            <w:tcW w:w="47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Administration of a Single, Effective Parenteral Dose of A Short-</w:t>
            </w:r>
          </w:p>
        </w:tc>
        <w:tc>
          <w:tcPr>
            <w:tcW w:w="0" w:type="dxa"/>
            <w:vAlign w:val="bottom"/>
          </w:tcPr>
          <w:p>
            <w:pPr>
              <w:spacing w:after="0"/>
              <w:rPr>
                <w:sz w:val="1"/>
                <w:szCs w:val="1"/>
                <w:color w:val="auto"/>
              </w:rPr>
            </w:pPr>
          </w:p>
        </w:tc>
      </w:tr>
      <w:tr>
        <w:trPr>
          <w:trHeight w:val="213"/>
        </w:trPr>
        <w:tc>
          <w:tcPr>
            <w:tcW w:w="2980" w:type="dxa"/>
            <w:vAlign w:val="bottom"/>
            <w:tcBorders>
              <w:left w:val="single" w:sz="8" w:color="auto"/>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Acting Psychedelic Agent</w:t>
            </w: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24 702075.3</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ind w:left="320"/>
              <w:spacing w:after="0" w:line="158" w:lineRule="exact"/>
              <w:rPr>
                <w:sz w:val="20"/>
                <w:szCs w:val="20"/>
                <w:color w:val="auto"/>
              </w:rPr>
            </w:pPr>
            <w:r>
              <w:rPr>
                <w:rFonts w:ascii="Times New Roman" w:cs="Times New Roman" w:eastAsia="Times New Roman" w:hAnsi="Times New Roman"/>
                <w:sz w:val="16"/>
                <w:szCs w:val="16"/>
                <w:color w:val="auto"/>
              </w:rPr>
              <w:t>Treatment of Psychiatric or Neurological Disorders by Parenteral</w:t>
            </w:r>
          </w:p>
        </w:tc>
        <w:tc>
          <w:tcPr>
            <w:tcW w:w="0" w:type="dxa"/>
            <w:vAlign w:val="bottom"/>
          </w:tcPr>
          <w:p>
            <w:pPr>
              <w:spacing w:after="0"/>
              <w:rPr>
                <w:sz w:val="1"/>
                <w:szCs w:val="1"/>
                <w:color w:val="auto"/>
              </w:rPr>
            </w:pPr>
          </w:p>
        </w:tc>
      </w:tr>
      <w:tr>
        <w:trPr>
          <w:trHeight w:val="162"/>
        </w:trPr>
        <w:tc>
          <w:tcPr>
            <w:tcW w:w="2980" w:type="dxa"/>
            <w:vAlign w:val="bottom"/>
            <w:tcBorders>
              <w:left w:val="single" w:sz="8" w:color="auto"/>
              <w:right w:val="single" w:sz="8" w:color="auto"/>
            </w:tcBorders>
            <w:vMerge w:val="continue"/>
          </w:tcPr>
          <w:p>
            <w:pPr>
              <w:spacing w:after="0"/>
              <w:rPr>
                <w:sz w:val="14"/>
                <w:szCs w:val="14"/>
                <w:color w:val="auto"/>
              </w:rPr>
            </w:pPr>
          </w:p>
        </w:tc>
        <w:tc>
          <w:tcPr>
            <w:tcW w:w="1840" w:type="dxa"/>
            <w:vAlign w:val="bottom"/>
            <w:tcBorders>
              <w:right w:val="single" w:sz="8" w:color="auto"/>
            </w:tcBorders>
            <w:vMerge w:val="continue"/>
          </w:tcPr>
          <w:p>
            <w:pPr>
              <w:spacing w:after="0"/>
              <w:rPr>
                <w:sz w:val="14"/>
                <w:szCs w:val="14"/>
                <w:color w:val="auto"/>
              </w:rPr>
            </w:pPr>
          </w:p>
        </w:tc>
        <w:tc>
          <w:tcPr>
            <w:tcW w:w="1720" w:type="dxa"/>
            <w:vAlign w:val="bottom"/>
            <w:tcBorders>
              <w:right w:val="single" w:sz="8" w:color="auto"/>
            </w:tcBorders>
            <w:vMerge w:val="continue"/>
          </w:tcPr>
          <w:p>
            <w:pPr>
              <w:spacing w:after="0"/>
              <w:rPr>
                <w:sz w:val="14"/>
                <w:szCs w:val="14"/>
                <w:color w:val="auto"/>
              </w:rPr>
            </w:pPr>
          </w:p>
        </w:tc>
        <w:tc>
          <w:tcPr>
            <w:tcW w:w="47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Administration of a Single, Effective Parenteral Dose of A Short-</w:t>
            </w:r>
          </w:p>
        </w:tc>
        <w:tc>
          <w:tcPr>
            <w:tcW w:w="0" w:type="dxa"/>
            <w:vAlign w:val="bottom"/>
          </w:tcPr>
          <w:p>
            <w:pPr>
              <w:spacing w:after="0"/>
              <w:rPr>
                <w:sz w:val="1"/>
                <w:szCs w:val="1"/>
                <w:color w:val="auto"/>
              </w:rPr>
            </w:pPr>
          </w:p>
        </w:tc>
      </w:tr>
      <w:tr>
        <w:trPr>
          <w:trHeight w:val="213"/>
        </w:trPr>
        <w:tc>
          <w:tcPr>
            <w:tcW w:w="2980" w:type="dxa"/>
            <w:vAlign w:val="bottom"/>
            <w:tcBorders>
              <w:left w:val="single" w:sz="8" w:color="auto"/>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Acting Psychedelic Agent</w:t>
            </w: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322260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ind w:left="320"/>
              <w:spacing w:after="0" w:line="158" w:lineRule="exact"/>
              <w:rPr>
                <w:sz w:val="20"/>
                <w:szCs w:val="20"/>
                <w:color w:val="auto"/>
              </w:rPr>
            </w:pPr>
            <w:r>
              <w:rPr>
                <w:rFonts w:ascii="Times New Roman" w:cs="Times New Roman" w:eastAsia="Times New Roman" w:hAnsi="Times New Roman"/>
                <w:sz w:val="16"/>
                <w:szCs w:val="16"/>
                <w:color w:val="auto"/>
              </w:rPr>
              <w:t>Treatment of Psychiatric or Neurological Disorders by Parenteral</w:t>
            </w:r>
          </w:p>
        </w:tc>
        <w:tc>
          <w:tcPr>
            <w:tcW w:w="0" w:type="dxa"/>
            <w:vAlign w:val="bottom"/>
          </w:tcPr>
          <w:p>
            <w:pPr>
              <w:spacing w:after="0"/>
              <w:rPr>
                <w:sz w:val="1"/>
                <w:szCs w:val="1"/>
                <w:color w:val="auto"/>
              </w:rPr>
            </w:pPr>
          </w:p>
        </w:tc>
      </w:tr>
      <w:tr>
        <w:trPr>
          <w:trHeight w:val="162"/>
        </w:trPr>
        <w:tc>
          <w:tcPr>
            <w:tcW w:w="2980" w:type="dxa"/>
            <w:vAlign w:val="bottom"/>
            <w:tcBorders>
              <w:left w:val="single" w:sz="8" w:color="auto"/>
              <w:right w:val="single" w:sz="8" w:color="auto"/>
            </w:tcBorders>
            <w:vMerge w:val="continue"/>
          </w:tcPr>
          <w:p>
            <w:pPr>
              <w:spacing w:after="0"/>
              <w:rPr>
                <w:sz w:val="14"/>
                <w:szCs w:val="14"/>
                <w:color w:val="auto"/>
              </w:rPr>
            </w:pPr>
          </w:p>
        </w:tc>
        <w:tc>
          <w:tcPr>
            <w:tcW w:w="1840" w:type="dxa"/>
            <w:vAlign w:val="bottom"/>
            <w:tcBorders>
              <w:right w:val="single" w:sz="8" w:color="auto"/>
            </w:tcBorders>
            <w:vMerge w:val="continue"/>
          </w:tcPr>
          <w:p>
            <w:pPr>
              <w:spacing w:after="0"/>
              <w:rPr>
                <w:sz w:val="14"/>
                <w:szCs w:val="14"/>
                <w:color w:val="auto"/>
              </w:rPr>
            </w:pPr>
          </w:p>
        </w:tc>
        <w:tc>
          <w:tcPr>
            <w:tcW w:w="1720" w:type="dxa"/>
            <w:vAlign w:val="bottom"/>
            <w:tcBorders>
              <w:right w:val="single" w:sz="8" w:color="auto"/>
            </w:tcBorders>
            <w:vMerge w:val="continue"/>
          </w:tcPr>
          <w:p>
            <w:pPr>
              <w:spacing w:after="0"/>
              <w:rPr>
                <w:sz w:val="14"/>
                <w:szCs w:val="14"/>
                <w:color w:val="auto"/>
              </w:rPr>
            </w:pPr>
          </w:p>
        </w:tc>
        <w:tc>
          <w:tcPr>
            <w:tcW w:w="47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Administration of a Single, Effective Parenteral Dose of A Short-</w:t>
            </w:r>
          </w:p>
        </w:tc>
        <w:tc>
          <w:tcPr>
            <w:tcW w:w="0" w:type="dxa"/>
            <w:vAlign w:val="bottom"/>
          </w:tcPr>
          <w:p>
            <w:pPr>
              <w:spacing w:after="0"/>
              <w:rPr>
                <w:sz w:val="1"/>
                <w:szCs w:val="1"/>
                <w:color w:val="auto"/>
              </w:rPr>
            </w:pPr>
          </w:p>
        </w:tc>
      </w:tr>
      <w:tr>
        <w:trPr>
          <w:trHeight w:val="213"/>
        </w:trPr>
        <w:tc>
          <w:tcPr>
            <w:tcW w:w="2980" w:type="dxa"/>
            <w:vAlign w:val="bottom"/>
            <w:tcBorders>
              <w:left w:val="single" w:sz="8" w:color="auto"/>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Acting Psychedelic Agent</w:t>
            </w: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2025-542221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ind w:left="320"/>
              <w:spacing w:after="0" w:line="158" w:lineRule="exact"/>
              <w:rPr>
                <w:sz w:val="20"/>
                <w:szCs w:val="20"/>
                <w:color w:val="auto"/>
              </w:rPr>
            </w:pPr>
            <w:r>
              <w:rPr>
                <w:rFonts w:ascii="Times New Roman" w:cs="Times New Roman" w:eastAsia="Times New Roman" w:hAnsi="Times New Roman"/>
                <w:sz w:val="16"/>
                <w:szCs w:val="16"/>
                <w:color w:val="auto"/>
              </w:rPr>
              <w:t>Treatment of Psychiatric or Neurological Disorders by Parenteral</w:t>
            </w:r>
          </w:p>
        </w:tc>
        <w:tc>
          <w:tcPr>
            <w:tcW w:w="0" w:type="dxa"/>
            <w:vAlign w:val="bottom"/>
          </w:tcPr>
          <w:p>
            <w:pPr>
              <w:spacing w:after="0"/>
              <w:rPr>
                <w:sz w:val="1"/>
                <w:szCs w:val="1"/>
                <w:color w:val="auto"/>
              </w:rPr>
            </w:pPr>
          </w:p>
        </w:tc>
      </w:tr>
      <w:tr>
        <w:trPr>
          <w:trHeight w:val="162"/>
        </w:trPr>
        <w:tc>
          <w:tcPr>
            <w:tcW w:w="2980" w:type="dxa"/>
            <w:vAlign w:val="bottom"/>
            <w:tcBorders>
              <w:left w:val="single" w:sz="8" w:color="auto"/>
              <w:right w:val="single" w:sz="8" w:color="auto"/>
            </w:tcBorders>
            <w:vMerge w:val="continue"/>
          </w:tcPr>
          <w:p>
            <w:pPr>
              <w:spacing w:after="0"/>
              <w:rPr>
                <w:sz w:val="14"/>
                <w:szCs w:val="14"/>
                <w:color w:val="auto"/>
              </w:rPr>
            </w:pPr>
          </w:p>
        </w:tc>
        <w:tc>
          <w:tcPr>
            <w:tcW w:w="1840" w:type="dxa"/>
            <w:vAlign w:val="bottom"/>
            <w:tcBorders>
              <w:right w:val="single" w:sz="8" w:color="auto"/>
            </w:tcBorders>
            <w:vMerge w:val="continue"/>
          </w:tcPr>
          <w:p>
            <w:pPr>
              <w:spacing w:after="0"/>
              <w:rPr>
                <w:sz w:val="14"/>
                <w:szCs w:val="14"/>
                <w:color w:val="auto"/>
              </w:rPr>
            </w:pPr>
          </w:p>
        </w:tc>
        <w:tc>
          <w:tcPr>
            <w:tcW w:w="1720" w:type="dxa"/>
            <w:vAlign w:val="bottom"/>
            <w:tcBorders>
              <w:right w:val="single" w:sz="8" w:color="auto"/>
            </w:tcBorders>
            <w:vMerge w:val="continue"/>
          </w:tcPr>
          <w:p>
            <w:pPr>
              <w:spacing w:after="0"/>
              <w:rPr>
                <w:sz w:val="14"/>
                <w:szCs w:val="14"/>
                <w:color w:val="auto"/>
              </w:rPr>
            </w:pPr>
          </w:p>
        </w:tc>
        <w:tc>
          <w:tcPr>
            <w:tcW w:w="47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Administration of a Single, Effective Parenteral Dose of A Short-</w:t>
            </w:r>
          </w:p>
        </w:tc>
        <w:tc>
          <w:tcPr>
            <w:tcW w:w="0" w:type="dxa"/>
            <w:vAlign w:val="bottom"/>
          </w:tcPr>
          <w:p>
            <w:pPr>
              <w:spacing w:after="0"/>
              <w:rPr>
                <w:sz w:val="1"/>
                <w:szCs w:val="1"/>
                <w:color w:val="auto"/>
              </w:rPr>
            </w:pPr>
          </w:p>
        </w:tc>
      </w:tr>
      <w:tr>
        <w:trPr>
          <w:trHeight w:val="213"/>
        </w:trPr>
        <w:tc>
          <w:tcPr>
            <w:tcW w:w="2980" w:type="dxa"/>
            <w:vAlign w:val="bottom"/>
            <w:tcBorders>
              <w:left w:val="single" w:sz="8" w:color="auto"/>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Acting Psychedelic Agent</w:t>
            </w: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10-2025-7027840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Republic of Korea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Treatment of Psychiatric or Neurological Disorders by Parenteral</w:t>
            </w:r>
          </w:p>
        </w:tc>
        <w:tc>
          <w:tcPr>
            <w:tcW w:w="0" w:type="dxa"/>
            <w:vAlign w:val="bottom"/>
          </w:tcPr>
          <w:p>
            <w:pPr>
              <w:spacing w:after="0"/>
              <w:rPr>
                <w:sz w:val="1"/>
                <w:szCs w:val="1"/>
                <w:color w:val="auto"/>
              </w:rPr>
            </w:pPr>
          </w:p>
        </w:tc>
      </w:tr>
      <w:tr>
        <w:trPr>
          <w:trHeight w:val="162"/>
        </w:trPr>
        <w:tc>
          <w:tcPr>
            <w:tcW w:w="2980" w:type="dxa"/>
            <w:vAlign w:val="bottom"/>
            <w:tcBorders>
              <w:left w:val="single" w:sz="8" w:color="auto"/>
              <w:right w:val="single" w:sz="8" w:color="auto"/>
            </w:tcBorders>
            <w:vMerge w:val="continue"/>
          </w:tcPr>
          <w:p>
            <w:pPr>
              <w:spacing w:after="0"/>
              <w:rPr>
                <w:sz w:val="14"/>
                <w:szCs w:val="14"/>
                <w:color w:val="auto"/>
              </w:rPr>
            </w:pPr>
          </w:p>
        </w:tc>
        <w:tc>
          <w:tcPr>
            <w:tcW w:w="1840" w:type="dxa"/>
            <w:vAlign w:val="bottom"/>
            <w:tcBorders>
              <w:right w:val="single" w:sz="8" w:color="auto"/>
            </w:tcBorders>
            <w:vMerge w:val="continue"/>
          </w:tcPr>
          <w:p>
            <w:pPr>
              <w:spacing w:after="0"/>
              <w:rPr>
                <w:sz w:val="14"/>
                <w:szCs w:val="14"/>
                <w:color w:val="auto"/>
              </w:rPr>
            </w:pPr>
          </w:p>
        </w:tc>
        <w:tc>
          <w:tcPr>
            <w:tcW w:w="1720" w:type="dxa"/>
            <w:vAlign w:val="bottom"/>
            <w:tcBorders>
              <w:right w:val="single" w:sz="8" w:color="auto"/>
            </w:tcBorders>
            <w:vMerge w:val="continue"/>
          </w:tcPr>
          <w:p>
            <w:pPr>
              <w:spacing w:after="0"/>
              <w:rPr>
                <w:sz w:val="14"/>
                <w:szCs w:val="14"/>
                <w:color w:val="auto"/>
              </w:rPr>
            </w:pPr>
          </w:p>
        </w:tc>
        <w:tc>
          <w:tcPr>
            <w:tcW w:w="47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Administration of a Single, Effective Parenteral Dose of A Short-</w:t>
            </w:r>
          </w:p>
        </w:tc>
        <w:tc>
          <w:tcPr>
            <w:tcW w:w="0" w:type="dxa"/>
            <w:vAlign w:val="bottom"/>
          </w:tcPr>
          <w:p>
            <w:pPr>
              <w:spacing w:after="0"/>
              <w:rPr>
                <w:sz w:val="1"/>
                <w:szCs w:val="1"/>
                <w:color w:val="auto"/>
              </w:rPr>
            </w:pPr>
          </w:p>
        </w:tc>
      </w:tr>
      <w:tr>
        <w:trPr>
          <w:trHeight w:val="213"/>
        </w:trPr>
        <w:tc>
          <w:tcPr>
            <w:tcW w:w="2980" w:type="dxa"/>
            <w:vAlign w:val="bottom"/>
            <w:tcBorders>
              <w:left w:val="single" w:sz="8" w:color="auto"/>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Acting Psychedelic Agent</w:t>
            </w: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823545</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ind w:left="320"/>
              <w:spacing w:after="0" w:line="158" w:lineRule="exact"/>
              <w:rPr>
                <w:sz w:val="20"/>
                <w:szCs w:val="20"/>
                <w:color w:val="auto"/>
              </w:rPr>
            </w:pPr>
            <w:r>
              <w:rPr>
                <w:rFonts w:ascii="Times New Roman" w:cs="Times New Roman" w:eastAsia="Times New Roman" w:hAnsi="Times New Roman"/>
                <w:sz w:val="16"/>
                <w:szCs w:val="16"/>
                <w:color w:val="auto"/>
              </w:rPr>
              <w:t>Treatment of Psychiatric or Neurological Disorders by Parenteral</w:t>
            </w:r>
          </w:p>
        </w:tc>
        <w:tc>
          <w:tcPr>
            <w:tcW w:w="0" w:type="dxa"/>
            <w:vAlign w:val="bottom"/>
          </w:tcPr>
          <w:p>
            <w:pPr>
              <w:spacing w:after="0"/>
              <w:rPr>
                <w:sz w:val="1"/>
                <w:szCs w:val="1"/>
                <w:color w:val="auto"/>
              </w:rPr>
            </w:pPr>
          </w:p>
        </w:tc>
      </w:tr>
      <w:tr>
        <w:trPr>
          <w:trHeight w:val="162"/>
        </w:trPr>
        <w:tc>
          <w:tcPr>
            <w:tcW w:w="2980" w:type="dxa"/>
            <w:vAlign w:val="bottom"/>
            <w:tcBorders>
              <w:left w:val="single" w:sz="8" w:color="auto"/>
              <w:right w:val="single" w:sz="8" w:color="auto"/>
            </w:tcBorders>
            <w:vMerge w:val="continue"/>
          </w:tcPr>
          <w:p>
            <w:pPr>
              <w:spacing w:after="0"/>
              <w:rPr>
                <w:sz w:val="14"/>
                <w:szCs w:val="14"/>
                <w:color w:val="auto"/>
              </w:rPr>
            </w:pPr>
          </w:p>
        </w:tc>
        <w:tc>
          <w:tcPr>
            <w:tcW w:w="1840" w:type="dxa"/>
            <w:vAlign w:val="bottom"/>
            <w:tcBorders>
              <w:right w:val="single" w:sz="8" w:color="auto"/>
            </w:tcBorders>
            <w:vMerge w:val="continue"/>
          </w:tcPr>
          <w:p>
            <w:pPr>
              <w:spacing w:after="0"/>
              <w:rPr>
                <w:sz w:val="14"/>
                <w:szCs w:val="14"/>
                <w:color w:val="auto"/>
              </w:rPr>
            </w:pPr>
          </w:p>
        </w:tc>
        <w:tc>
          <w:tcPr>
            <w:tcW w:w="1720" w:type="dxa"/>
            <w:vAlign w:val="bottom"/>
            <w:tcBorders>
              <w:right w:val="single" w:sz="8" w:color="auto"/>
            </w:tcBorders>
            <w:vMerge w:val="continue"/>
          </w:tcPr>
          <w:p>
            <w:pPr>
              <w:spacing w:after="0"/>
              <w:rPr>
                <w:sz w:val="14"/>
                <w:szCs w:val="14"/>
                <w:color w:val="auto"/>
              </w:rPr>
            </w:pPr>
          </w:p>
        </w:tc>
        <w:tc>
          <w:tcPr>
            <w:tcW w:w="47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Administration of a Single, Effective Parenteral Dose of A Short-</w:t>
            </w:r>
          </w:p>
        </w:tc>
        <w:tc>
          <w:tcPr>
            <w:tcW w:w="0" w:type="dxa"/>
            <w:vAlign w:val="bottom"/>
          </w:tcPr>
          <w:p>
            <w:pPr>
              <w:spacing w:after="0"/>
              <w:rPr>
                <w:sz w:val="1"/>
                <w:szCs w:val="1"/>
                <w:color w:val="auto"/>
              </w:rPr>
            </w:pPr>
          </w:p>
        </w:tc>
      </w:tr>
      <w:tr>
        <w:trPr>
          <w:trHeight w:val="213"/>
        </w:trPr>
        <w:tc>
          <w:tcPr>
            <w:tcW w:w="2980" w:type="dxa"/>
            <w:vAlign w:val="bottom"/>
            <w:tcBorders>
              <w:left w:val="single" w:sz="8" w:color="auto"/>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Acting Psychedelic Agent</w:t>
            </w: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19/149,911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ind w:left="320"/>
              <w:spacing w:after="0" w:line="158" w:lineRule="exact"/>
              <w:rPr>
                <w:sz w:val="20"/>
                <w:szCs w:val="20"/>
                <w:color w:val="auto"/>
              </w:rPr>
            </w:pPr>
            <w:r>
              <w:rPr>
                <w:rFonts w:ascii="Times New Roman" w:cs="Times New Roman" w:eastAsia="Times New Roman" w:hAnsi="Times New Roman"/>
                <w:sz w:val="16"/>
                <w:szCs w:val="16"/>
                <w:color w:val="auto"/>
              </w:rPr>
              <w:t>Treatment of Psychiatric or Neurological Disorders by Parenteral</w:t>
            </w:r>
          </w:p>
        </w:tc>
        <w:tc>
          <w:tcPr>
            <w:tcW w:w="0" w:type="dxa"/>
            <w:vAlign w:val="bottom"/>
          </w:tcPr>
          <w:p>
            <w:pPr>
              <w:spacing w:after="0"/>
              <w:rPr>
                <w:sz w:val="1"/>
                <w:szCs w:val="1"/>
                <w:color w:val="auto"/>
              </w:rPr>
            </w:pPr>
          </w:p>
        </w:tc>
      </w:tr>
      <w:tr>
        <w:trPr>
          <w:trHeight w:val="162"/>
        </w:trPr>
        <w:tc>
          <w:tcPr>
            <w:tcW w:w="2980" w:type="dxa"/>
            <w:vAlign w:val="bottom"/>
            <w:tcBorders>
              <w:left w:val="single" w:sz="8" w:color="auto"/>
              <w:right w:val="single" w:sz="8" w:color="auto"/>
            </w:tcBorders>
            <w:vMerge w:val="continue"/>
          </w:tcPr>
          <w:p>
            <w:pPr>
              <w:spacing w:after="0"/>
              <w:rPr>
                <w:sz w:val="14"/>
                <w:szCs w:val="14"/>
                <w:color w:val="auto"/>
              </w:rPr>
            </w:pPr>
          </w:p>
        </w:tc>
        <w:tc>
          <w:tcPr>
            <w:tcW w:w="1840" w:type="dxa"/>
            <w:vAlign w:val="bottom"/>
            <w:tcBorders>
              <w:right w:val="single" w:sz="8" w:color="auto"/>
            </w:tcBorders>
            <w:vMerge w:val="continue"/>
          </w:tcPr>
          <w:p>
            <w:pPr>
              <w:spacing w:after="0"/>
              <w:rPr>
                <w:sz w:val="14"/>
                <w:szCs w:val="14"/>
                <w:color w:val="auto"/>
              </w:rPr>
            </w:pPr>
          </w:p>
        </w:tc>
        <w:tc>
          <w:tcPr>
            <w:tcW w:w="1720" w:type="dxa"/>
            <w:vAlign w:val="bottom"/>
            <w:tcBorders>
              <w:right w:val="single" w:sz="8" w:color="auto"/>
            </w:tcBorders>
            <w:vMerge w:val="continue"/>
          </w:tcPr>
          <w:p>
            <w:pPr>
              <w:spacing w:after="0"/>
              <w:rPr>
                <w:sz w:val="14"/>
                <w:szCs w:val="14"/>
                <w:color w:val="auto"/>
              </w:rPr>
            </w:pPr>
          </w:p>
        </w:tc>
        <w:tc>
          <w:tcPr>
            <w:tcW w:w="47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Administration of a Single, Effective Parenteral Dose of A Short-</w:t>
            </w:r>
          </w:p>
        </w:tc>
        <w:tc>
          <w:tcPr>
            <w:tcW w:w="0" w:type="dxa"/>
            <w:vAlign w:val="bottom"/>
          </w:tcPr>
          <w:p>
            <w:pPr>
              <w:spacing w:after="0"/>
              <w:rPr>
                <w:sz w:val="1"/>
                <w:szCs w:val="1"/>
                <w:color w:val="auto"/>
              </w:rPr>
            </w:pPr>
          </w:p>
        </w:tc>
      </w:tr>
      <w:tr>
        <w:trPr>
          <w:trHeight w:val="213"/>
        </w:trPr>
        <w:tc>
          <w:tcPr>
            <w:tcW w:w="2980" w:type="dxa"/>
            <w:vAlign w:val="bottom"/>
            <w:tcBorders>
              <w:left w:val="single" w:sz="8" w:color="auto"/>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Acting Psychedelic Agent</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20"/>
          <w:szCs w:val="20"/>
          <w:color w:val="auto"/>
        </w:rPr>
        <w:t>Cybin’s patent applications cover a wide range of novel psychedelic compounds from different classes, including those with targeted structural modifications for improved pharmacokinetic characteristics and safety profiles without altering their receptor binding. The patent applications also cover novel synthetic routes, pharmaceutical formulations, methods of use, and methods of administration.</w:t>
      </w:r>
    </w:p>
    <w:p>
      <w:pPr>
        <w:spacing w:after="0" w:line="195"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20"/>
          <w:szCs w:val="20"/>
          <w:color w:val="auto"/>
        </w:rPr>
        <w:t>Additionally, the Company has entered into multiple licensing agreements that provide the Company with additional access to IP, including the acquisition of an exclusive license to a targeted class of tryptamine-based molecules from Mindset. The licensing agreements collectively provide the Company with access to a broad range of preclinical molecule combinations for its library of psychedelic derivative drug development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60"/>
          </w:cols>
          <w:pgMar w:left="320" w:top="1440"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0"/>
          <w:szCs w:val="20"/>
          <w:color w:val="auto"/>
        </w:rPr>
        <w:t>The Company owns registrations or applications for thirty-three trademarks, including CYBIN®, CYB® and CHANGING MINDS®.</w:t>
      </w:r>
    </w:p>
    <w:p>
      <w:pPr>
        <w:spacing w:after="0" w:line="29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Company’s mission is to revolutionize mental healthcare by engineering proprietary drug discovery platforms, innovative drug delivery systems, novel formulation approaches and treatment regimens to address the unmet needs of patients across a multitude of mental health issues. As the Company generates new data it will continue to file or acquire additional patent applications throughout the Company’s development program.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Research and Development</w:t>
      </w:r>
    </w:p>
    <w:p>
      <w:pPr>
        <w:spacing w:after="0" w:line="274"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9"/>
          <w:szCs w:val="19"/>
          <w:color w:val="auto"/>
        </w:rPr>
        <w:t>The Company is focused on development of psychedelic medicines and other products, through research and development of novel chemical compounds and delivery mechanisms and study of such compounds in clinical environments around the world. The Company anticipates growing its pipeline of psychedelic pharmaceutical products inspired medicines through its internal research, development, proprietary discovery programs, mergers and acquisitions, joint ventures and collaborative development agreements. For the time being, the Company maintains intellectual property generated by its R&amp;D programs through patent filings and as trade secrets. The Company anticipates that as these programs mature more patent applications will be filed and more details about these programs will be disclosed at such time.</w:t>
      </w:r>
    </w:p>
    <w:p>
      <w:pPr>
        <w:spacing w:after="0" w:line="16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psilocin, and DMT. Psilocybin is a naturally occurring psychedelic prodrug compound produced by more than 200 species of mushrooms, collectively known as psilocybin mushrooms. The most potent are members of the genus </w:t>
      </w:r>
      <w:r>
        <w:rPr>
          <w:rFonts w:ascii="Times New Roman" w:cs="Times New Roman" w:eastAsia="Times New Roman" w:hAnsi="Times New Roman"/>
          <w:sz w:val="20"/>
          <w:szCs w:val="20"/>
          <w:i w:val="1"/>
          <w:iCs w:val="1"/>
          <w:color w:val="auto"/>
        </w:rPr>
        <w:t>Psilocybe</w:t>
      </w:r>
      <w:r>
        <w:rPr>
          <w:rFonts w:ascii="Times New Roman" w:cs="Times New Roman" w:eastAsia="Times New Roman" w:hAnsi="Times New Roman"/>
          <w:sz w:val="20"/>
          <w:szCs w:val="20"/>
          <w:color w:val="auto"/>
        </w:rPr>
        <w:t xml:space="preserve">, such as </w:t>
      </w:r>
      <w:r>
        <w:rPr>
          <w:rFonts w:ascii="Times New Roman" w:cs="Times New Roman" w:eastAsia="Times New Roman" w:hAnsi="Times New Roman"/>
          <w:sz w:val="20"/>
          <w:szCs w:val="20"/>
          <w:i w:val="1"/>
          <w:iCs w:val="1"/>
          <w:color w:val="auto"/>
        </w:rPr>
        <w:t>P. azurescens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 semilanceata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cyanescens</w:t>
      </w:r>
      <w:r>
        <w:rPr>
          <w:rFonts w:ascii="Times New Roman" w:cs="Times New Roman" w:eastAsia="Times New Roman" w:hAnsi="Times New Roman"/>
          <w:sz w:val="20"/>
          <w:szCs w:val="20"/>
          <w:color w:val="auto"/>
        </w:rPr>
        <w:t>, but psilocybin has also been isolated from about a dozen other genera. As a prodrug, psilocybin is quickly converted by the body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psilocin, which has mind-altering effects.</w:t>
      </w:r>
    </w:p>
    <w:p>
      <w:pPr>
        <w:spacing w:after="0" w:line="178"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The pharmacokinetics, pharmacology and human metabolism of psilocin are well known and well characterized. In conjunction with psychotherapy, psilocin has been utilized broadly in phase II clinical trials.</w:t>
      </w:r>
    </w:p>
    <w:p>
      <w:pPr>
        <w:spacing w:after="0" w:line="147"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Psilocybin found in certain species of mushrooms is a non-habit forming naturally occurring psychedelic compound. Once ingested, psilocybin is rapidly metabolized to psilocin, which then acts on serotonin receptors in the brain.</w:t>
      </w:r>
    </w:p>
    <w:p>
      <w:pPr>
        <w:spacing w:after="0" w:line="173"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Cybin has commenced research and development on the delivery of synthetic psilocin and other psychedelics through mechanisms such as sublingual film delivery, IV, and by way of inhalation.</w:t>
      </w:r>
    </w:p>
    <w:p>
      <w:pPr>
        <w:spacing w:after="0" w:line="17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Company’s research and development must be conducted in strict compliance with the regulations of federal, state, local and regulatory agencies in the United States, European Union, the UK, Australia, Poland, Greece, Ireland and Canada, and the equivalent regulatory agencies in any other jurisdictions in which the Company operates. These regulatory authorities regulate, among other things, the research, manufacture, promotion and distribution of drugs in specific jurisdictions under applicable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440" w:right="339" w:bottom="1440" w:gutter="0" w:footer="0" w:header="0"/>
        </w:sectPr>
      </w:pPr>
    </w:p>
    <w:bookmarkStart w:id="66" w:name="page67"/>
    <w:bookmarkEnd w:id="66"/>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Regulatory Framework</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United States</w:t>
      </w:r>
    </w:p>
    <w:p>
      <w:pPr>
        <w:spacing w:after="0" w:line="2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FDA and other federal, state, local and foreign regulatory agencies impose substantial requirements upon the clinical development, clinical testing,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Anticipated timelines related to regulatory filings are based on reasonable assumptions informed by current knowledge and information available to the Company.</w:t>
      </w:r>
    </w:p>
    <w:p>
      <w:pPr>
        <w:spacing w:after="0" w:line="20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Psilocybin, psilocin, DMT, and 5-Methoxy-DMT are strictly controlled under the federal Controlled Substances Act, 21 U.S.C. §801, et. seq. (“</w:t>
      </w:r>
      <w:r>
        <w:rPr>
          <w:rFonts w:ascii="Times New Roman" w:cs="Times New Roman" w:eastAsia="Times New Roman" w:hAnsi="Times New Roman"/>
          <w:sz w:val="20"/>
          <w:szCs w:val="20"/>
          <w:b w:val="1"/>
          <w:bCs w:val="1"/>
          <w:color w:val="auto"/>
        </w:rPr>
        <w:t>CSA</w:t>
      </w:r>
      <w:r>
        <w:rPr>
          <w:rFonts w:ascii="Times New Roman" w:cs="Times New Roman" w:eastAsia="Times New Roman" w:hAnsi="Times New Roman"/>
          <w:sz w:val="20"/>
          <w:szCs w:val="20"/>
          <w:color w:val="auto"/>
        </w:rPr>
        <w:t>”)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DEA and obtain DEA approval of the research proposal. A majority of state laws in the United States also classify psilocybin and psilocin as Schedule I controlled substances. For any product containing psilocin or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Research and Development</w:t>
      </w:r>
    </w:p>
    <w:p>
      <w:pPr>
        <w:spacing w:after="0" w:line="29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Because psilocybin, psilocin, DMT, and 5-Methoxy-DMT are listed as Schedule I substances under the CSA, for any product containing psilocin or any Schedule I substance to be available for commercial marketing in the United States, such substance must be rescheduled, or the product itself must be scheduled, by the DEA to Schedule II, III, IV or V.</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process required before a prescription drug product candidate may be marketed in the United States generally involves:</w:t>
      </w:r>
    </w:p>
    <w:p>
      <w:pPr>
        <w:spacing w:after="0" w:line="297" w:lineRule="exact"/>
        <w:rPr>
          <w:sz w:val="20"/>
          <w:szCs w:val="20"/>
          <w:color w:val="auto"/>
        </w:rPr>
      </w:pPr>
    </w:p>
    <w:p>
      <w:pPr>
        <w:ind w:left="660" w:hanging="328"/>
        <w:spacing w:after="0" w:line="301" w:lineRule="auto"/>
        <w:tabs>
          <w:tab w:leader="none" w:pos="628" w:val="left"/>
        </w:tabs>
        <w:numPr>
          <w:ilvl w:val="0"/>
          <w:numId w:val="48"/>
        </w:numPr>
        <w:rPr>
          <w:rFonts w:ascii="Arial" w:cs="Arial" w:eastAsia="Arial" w:hAnsi="Arial"/>
          <w:sz w:val="22"/>
          <w:szCs w:val="22"/>
          <w:color w:val="auto"/>
        </w:rPr>
      </w:pPr>
      <w:r>
        <w:rPr>
          <w:rFonts w:ascii="Times New Roman" w:cs="Times New Roman" w:eastAsia="Times New Roman" w:hAnsi="Times New Roman"/>
          <w:sz w:val="20"/>
          <w:szCs w:val="20"/>
          <w:color w:val="auto"/>
        </w:rPr>
        <w:t>completion of extensive non-clinical laboratory tests, animal studies and formulation studies, all performed in accordance with the FDA’s Good Laboratory, Good Clinical and/or Good Manufacturing Practice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4" w:lineRule="exact"/>
        <w:rPr>
          <w:sz w:val="20"/>
          <w:szCs w:val="20"/>
          <w:color w:val="auto"/>
        </w:rPr>
      </w:pPr>
    </w:p>
    <w:p>
      <w:pPr>
        <w:ind w:left="620" w:hanging="288"/>
        <w:spacing w:after="0"/>
        <w:tabs>
          <w:tab w:leader="none" w:pos="620" w:val="left"/>
        </w:tabs>
        <w:numPr>
          <w:ilvl w:val="0"/>
          <w:numId w:val="49"/>
        </w:numPr>
        <w:rPr>
          <w:rFonts w:ascii="Arial" w:cs="Arial" w:eastAsia="Arial" w:hAnsi="Arial"/>
          <w:sz w:val="22"/>
          <w:szCs w:val="22"/>
          <w:color w:val="auto"/>
        </w:rPr>
      </w:pPr>
      <w:r>
        <w:rPr>
          <w:rFonts w:ascii="Times New Roman" w:cs="Times New Roman" w:eastAsia="Times New Roman" w:hAnsi="Times New Roman"/>
          <w:sz w:val="20"/>
          <w:szCs w:val="20"/>
          <w:color w:val="auto"/>
        </w:rPr>
        <w:t>submission to the FDA of an IND Application, which the FDA must approve before human clinical trials may begin;</w:t>
      </w:r>
    </w:p>
    <w:p>
      <w:pPr>
        <w:spacing w:after="0" w:line="44" w:lineRule="exact"/>
        <w:rPr>
          <w:rFonts w:ascii="Arial" w:cs="Arial" w:eastAsia="Arial" w:hAnsi="Arial"/>
          <w:sz w:val="22"/>
          <w:szCs w:val="22"/>
          <w:color w:val="auto"/>
        </w:rPr>
      </w:pPr>
    </w:p>
    <w:p>
      <w:pPr>
        <w:ind w:left="620" w:hanging="288"/>
        <w:spacing w:after="0"/>
        <w:tabs>
          <w:tab w:leader="none" w:pos="620" w:val="left"/>
        </w:tabs>
        <w:numPr>
          <w:ilvl w:val="0"/>
          <w:numId w:val="49"/>
        </w:numPr>
        <w:rPr>
          <w:rFonts w:ascii="Arial" w:cs="Arial" w:eastAsia="Arial" w:hAnsi="Arial"/>
          <w:sz w:val="22"/>
          <w:szCs w:val="22"/>
          <w:color w:val="auto"/>
        </w:rPr>
      </w:pPr>
      <w:r>
        <w:rPr>
          <w:rFonts w:ascii="Times New Roman" w:cs="Times New Roman" w:eastAsia="Times New Roman" w:hAnsi="Times New Roman"/>
          <w:sz w:val="20"/>
          <w:szCs w:val="20"/>
          <w:color w:val="auto"/>
        </w:rPr>
        <w:t>approval by an IRB or independent ethics committee at each clinical trial site before each trial may be initiated;</w:t>
      </w:r>
    </w:p>
    <w:p>
      <w:pPr>
        <w:spacing w:after="0" w:line="57" w:lineRule="exact"/>
        <w:rPr>
          <w:rFonts w:ascii="Arial" w:cs="Arial" w:eastAsia="Arial" w:hAnsi="Arial"/>
          <w:sz w:val="22"/>
          <w:szCs w:val="22"/>
          <w:color w:val="auto"/>
        </w:rPr>
      </w:pPr>
    </w:p>
    <w:p>
      <w:pPr>
        <w:jc w:val="both"/>
        <w:ind w:left="660" w:hanging="328"/>
        <w:spacing w:after="0" w:line="280" w:lineRule="auto"/>
        <w:tabs>
          <w:tab w:leader="none" w:pos="628" w:val="left"/>
        </w:tabs>
        <w:numPr>
          <w:ilvl w:val="0"/>
          <w:numId w:val="49"/>
        </w:numPr>
        <w:rPr>
          <w:rFonts w:ascii="Arial" w:cs="Arial" w:eastAsia="Arial" w:hAnsi="Arial"/>
          <w:sz w:val="22"/>
          <w:szCs w:val="22"/>
          <w:color w:val="auto"/>
        </w:rPr>
      </w:pPr>
      <w:r>
        <w:rPr>
          <w:rFonts w:ascii="Times New Roman" w:cs="Times New Roman" w:eastAsia="Times New Roman" w:hAnsi="Times New Roman"/>
          <w:sz w:val="20"/>
          <w:szCs w:val="20"/>
          <w:color w:val="auto"/>
        </w:rPr>
        <w:t>for nearly all new pharmaceutical products, performance of adequate and well-controlled human clinical trials in accordance with the FDA’s regulations, including Good Clinical Practices, to establish the safety and efficacy of the prescription drug product candidate for each proposed indication;</w:t>
      </w:r>
    </w:p>
    <w:p>
      <w:pPr>
        <w:spacing w:after="0" w:line="14" w:lineRule="exact"/>
        <w:rPr>
          <w:rFonts w:ascii="Arial" w:cs="Arial" w:eastAsia="Arial" w:hAnsi="Arial"/>
          <w:sz w:val="22"/>
          <w:szCs w:val="22"/>
          <w:color w:val="auto"/>
        </w:rPr>
      </w:pPr>
    </w:p>
    <w:p>
      <w:pPr>
        <w:ind w:left="620" w:hanging="288"/>
        <w:spacing w:after="0"/>
        <w:tabs>
          <w:tab w:leader="none" w:pos="620" w:val="left"/>
        </w:tabs>
        <w:numPr>
          <w:ilvl w:val="0"/>
          <w:numId w:val="49"/>
        </w:numPr>
        <w:rPr>
          <w:rFonts w:ascii="Arial" w:cs="Arial" w:eastAsia="Arial" w:hAnsi="Arial"/>
          <w:sz w:val="22"/>
          <w:szCs w:val="22"/>
          <w:color w:val="auto"/>
        </w:rPr>
      </w:pPr>
      <w:r>
        <w:rPr>
          <w:rFonts w:ascii="Times New Roman" w:cs="Times New Roman" w:eastAsia="Times New Roman" w:hAnsi="Times New Roman"/>
          <w:sz w:val="20"/>
          <w:szCs w:val="20"/>
          <w:color w:val="auto"/>
        </w:rPr>
        <w:t>submission to the FDA of a New Drug Application (“</w:t>
      </w:r>
      <w:r>
        <w:rPr>
          <w:rFonts w:ascii="Times New Roman" w:cs="Times New Roman" w:eastAsia="Times New Roman" w:hAnsi="Times New Roman"/>
          <w:sz w:val="20"/>
          <w:szCs w:val="20"/>
          <w:b w:val="1"/>
          <w:bCs w:val="1"/>
          <w:color w:val="auto"/>
        </w:rPr>
        <w:t>NDA</w:t>
      </w:r>
      <w:r>
        <w:rPr>
          <w:rFonts w:ascii="Times New Roman" w:cs="Times New Roman" w:eastAsia="Times New Roman" w:hAnsi="Times New Roman"/>
          <w:sz w:val="20"/>
          <w:szCs w:val="20"/>
          <w:color w:val="auto"/>
        </w:rPr>
        <w:t>”);</w:t>
      </w:r>
    </w:p>
    <w:p>
      <w:pPr>
        <w:spacing w:after="0" w:line="48" w:lineRule="exact"/>
        <w:rPr>
          <w:rFonts w:ascii="Arial" w:cs="Arial" w:eastAsia="Arial" w:hAnsi="Arial"/>
          <w:sz w:val="22"/>
          <w:szCs w:val="22"/>
          <w:color w:val="auto"/>
        </w:rPr>
      </w:pPr>
    </w:p>
    <w:p>
      <w:pPr>
        <w:jc w:val="both"/>
        <w:ind w:left="660" w:hanging="328"/>
        <w:spacing w:after="0" w:line="280" w:lineRule="auto"/>
        <w:tabs>
          <w:tab w:leader="none" w:pos="628" w:val="left"/>
        </w:tabs>
        <w:numPr>
          <w:ilvl w:val="0"/>
          <w:numId w:val="49"/>
        </w:numPr>
        <w:rPr>
          <w:rFonts w:ascii="Arial" w:cs="Arial" w:eastAsia="Arial" w:hAnsi="Arial"/>
          <w:sz w:val="22"/>
          <w:szCs w:val="22"/>
          <w:color w:val="auto"/>
        </w:rPr>
      </w:pPr>
      <w:r>
        <w:rPr>
          <w:rFonts w:ascii="Times New Roman" w:cs="Times New Roman" w:eastAsia="Times New Roman" w:hAnsi="Times New Roman"/>
          <w:sz w:val="20"/>
          <w:szCs w:val="20"/>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 and</w:t>
      </w:r>
    </w:p>
    <w:p>
      <w:pPr>
        <w:spacing w:after="0" w:line="18" w:lineRule="exact"/>
        <w:rPr>
          <w:rFonts w:ascii="Arial" w:cs="Arial" w:eastAsia="Arial" w:hAnsi="Arial"/>
          <w:sz w:val="22"/>
          <w:szCs w:val="22"/>
          <w:color w:val="auto"/>
        </w:rPr>
      </w:pPr>
    </w:p>
    <w:p>
      <w:pPr>
        <w:ind w:left="620" w:hanging="288"/>
        <w:spacing w:after="0"/>
        <w:tabs>
          <w:tab w:leader="none" w:pos="620" w:val="left"/>
        </w:tabs>
        <w:numPr>
          <w:ilvl w:val="0"/>
          <w:numId w:val="49"/>
        </w:numPr>
        <w:rPr>
          <w:rFonts w:ascii="Arial" w:cs="Arial" w:eastAsia="Arial" w:hAnsi="Arial"/>
          <w:sz w:val="22"/>
          <w:szCs w:val="22"/>
          <w:color w:val="auto"/>
        </w:rPr>
      </w:pPr>
      <w:r>
        <w:rPr>
          <w:rFonts w:ascii="Times New Roman" w:cs="Times New Roman" w:eastAsia="Times New Roman" w:hAnsi="Times New Roman"/>
          <w:sz w:val="20"/>
          <w:szCs w:val="20"/>
          <w:color w:val="auto"/>
        </w:rPr>
        <w:t>FDA review and approval of the NDA prior to any commercial marketing, sale or shipment of the drug.</w:t>
      </w:r>
    </w:p>
    <w:p>
      <w:pPr>
        <w:spacing w:after="0" w:line="27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testing and approval process requires substantial time, effort and financial resources, and the Company cannot be certain that the DEA will schedule or reschedule any Schedule I substance or product candidate to Schedule II, III, IV, or V, or that approvals for its prescription drug product candidates will be granted on a timely basis, if at all.</w:t>
      </w:r>
    </w:p>
    <w:p>
      <w:pPr>
        <w:spacing w:after="0" w:line="19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Non-clinical tests include laboratory evaluations of product chemistry, formulation and stability, as well as studies to evaluate toxicity in animals and other animal studies or through FDA-accepted alternative methods (New Approach Methodologies or NAMs).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2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color w:val="auto"/>
        </w:rPr>
        <w:t>An IRB board, at each of the clinical centers proposing to conduct the clinical trial, must review and approve the plan for any clinical trial before it commences at that center. An IRB board considers, among other things, whether the risks to individuals participating in the trials are minimized and are reasonable in relation to anticipated benefits. The IRB board also approves the consent form signed by the trial participants and must monitor the study until completed. The FDA, the independent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3"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The FDA offers a number of regulatory mechanisms that provide expedited or accelerated approval procedures for selected drugs and indications which are designed to address unmet medical needs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440" w:right="339" w:bottom="1440" w:gutter="0" w:footer="0" w:header="0"/>
        </w:sectPr>
      </w:pPr>
    </w:p>
    <w:bookmarkStart w:id="68" w:name="page69"/>
    <w:bookmarkEnd w:id="68"/>
    <w:p>
      <w:pPr>
        <w:jc w:val="both"/>
        <w:spacing w:after="0" w:line="325" w:lineRule="auto"/>
        <w:rPr>
          <w:sz w:val="20"/>
          <w:szCs w:val="20"/>
          <w:color w:val="auto"/>
        </w:rPr>
      </w:pPr>
      <w:r>
        <w:rPr>
          <w:rFonts w:ascii="Times New Roman" w:cs="Times New Roman" w:eastAsia="Times New Roman" w:hAnsi="Times New Roman"/>
          <w:sz w:val="20"/>
          <w:szCs w:val="20"/>
          <w:color w:val="auto"/>
        </w:rPr>
        <w:t>the treatment of serious or life-threatening diseases or conditions. These include programs such as BTDs, Fast Track designations, Priority Review and Accelerated Approval, which the Company may need to rely upon in order to receive timely approval or to be competitive.</w:t>
      </w:r>
    </w:p>
    <w:p>
      <w:pPr>
        <w:spacing w:after="0" w:line="17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The Company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fees.</w:t>
      </w:r>
    </w:p>
    <w:p>
      <w:pPr>
        <w:spacing w:after="0" w:line="21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pacing w:after="0" w:line="21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440" w:right="339" w:bottom="1440" w:gutter="0" w:footer="0" w:header="0"/>
        </w:sectPr>
      </w:pPr>
    </w:p>
    <w:bookmarkStart w:id="69" w:name="page70"/>
    <w:bookmarkEnd w:id="69"/>
    <w:p>
      <w:pPr>
        <w:jc w:val="both"/>
        <w:spacing w:after="0" w:line="303" w:lineRule="auto"/>
        <w:rPr>
          <w:sz w:val="20"/>
          <w:szCs w:val="20"/>
          <w:color w:val="auto"/>
        </w:rPr>
      </w:pPr>
      <w:r>
        <w:rPr>
          <w:rFonts w:ascii="Times New Roman" w:cs="Times New Roman" w:eastAsia="Times New Roman" w:hAnsi="Times New Roman"/>
          <w:sz w:val="20"/>
          <w:szCs w:val="20"/>
          <w:color w:val="auto"/>
        </w:rPr>
        <w:t>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19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 xml:space="preserve">In the United States, pharmaceutical manufacturers are subject to complex laws and regulations pertaining to healthcare “fraud and abuse,” including, but not limited to, the Anti-Kickback Statute, the federal </w:t>
      </w:r>
      <w:r>
        <w:rPr>
          <w:rFonts w:ascii="Times New Roman" w:cs="Times New Roman" w:eastAsia="Times New Roman" w:hAnsi="Times New Roman"/>
          <w:sz w:val="20"/>
          <w:szCs w:val="20"/>
          <w:i w:val="1"/>
          <w:iCs w:val="1"/>
          <w:color w:val="auto"/>
        </w:rPr>
        <w:t>False Claims Act</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FCA</w:t>
      </w:r>
      <w:r>
        <w:rPr>
          <w:rFonts w:ascii="Times New Roman" w:cs="Times New Roman" w:eastAsia="Times New Roman" w:hAnsi="Times New Roman"/>
          <w:sz w:val="20"/>
          <w:szCs w:val="20"/>
          <w:color w:val="auto"/>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21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 marketing practices. 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22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44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0"/>
          <w:szCs w:val="20"/>
          <w:u w:val="single" w:color="auto"/>
          <w:color w:val="auto"/>
        </w:rPr>
        <w:t>Controlled Substances</w:t>
      </w:r>
    </w:p>
    <w:p>
      <w:pPr>
        <w:spacing w:after="0" w:line="29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20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For any product containing a Schedule I substance, such as psilocin,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21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Facilities that research,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21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The DEA may inspect all research and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researchers and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440" w:right="339" w:bottom="1440" w:gutter="0" w:footer="0" w:header="0"/>
        </w:sectPr>
      </w:pPr>
    </w:p>
    <w:bookmarkStart w:id="71" w:name="page72"/>
    <w:bookmarkEnd w:id="71"/>
    <w:p>
      <w:pPr>
        <w:jc w:val="both"/>
        <w:spacing w:after="0" w:line="293" w:lineRule="auto"/>
        <w:rPr>
          <w:sz w:val="20"/>
          <w:szCs w:val="20"/>
          <w:color w:val="auto"/>
        </w:rPr>
      </w:pPr>
      <w:r>
        <w:rPr>
          <w:rFonts w:ascii="Times New Roman" w:cs="Times New Roman" w:eastAsia="Times New Roman" w:hAnsi="Times New Roman"/>
          <w:sz w:val="20"/>
          <w:szCs w:val="20"/>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20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Individual U.S. states also establish and maintain separate controlled substance laws and regulations, including licensing, recordkeeping, security, distribution, and dispensing requirements. A majority of state laws in the United States classify psilocybin and psilocin as Schedule I controlled substances. State authorities, including boards of pharmacy, regulate use of controlled substances in each state, including state specific controlled substance registration requirements. Failure to obtain applicable registrations or maintain compliance with applicable requirements, particularly as manifested in the loss or diversion of controlled substances, can result in enforcement action that could have a material adverse effect on the Company’s business, operations and financial condition. The DEA and/or state regulatory agencies may seek civil penalties, refuse to renew necessary registrations, or initiate proceedings to revoke those registrations. In certain circumstances, violations could lead to criminal prosecution.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European Union/Netherlands</w:t>
      </w:r>
    </w:p>
    <w:p>
      <w:pPr>
        <w:spacing w:after="0" w:line="2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The International Narcotics Control Board (“</w:t>
      </w:r>
      <w:r>
        <w:rPr>
          <w:rFonts w:ascii="Times New Roman" w:cs="Times New Roman" w:eastAsia="Times New Roman" w:hAnsi="Times New Roman"/>
          <w:sz w:val="20"/>
          <w:szCs w:val="20"/>
          <w:b w:val="1"/>
          <w:bCs w:val="1"/>
          <w:color w:val="auto"/>
        </w:rPr>
        <w:t>INCB</w:t>
      </w:r>
      <w:r>
        <w:rPr>
          <w:rFonts w:ascii="Times New Roman" w:cs="Times New Roman" w:eastAsia="Times New Roman" w:hAnsi="Times New Roman"/>
          <w:sz w:val="20"/>
          <w:szCs w:val="20"/>
          <w:color w:val="auto"/>
        </w:rPr>
        <w:t>”), a United Nations (“</w:t>
      </w:r>
      <w:r>
        <w:rPr>
          <w:rFonts w:ascii="Times New Roman" w:cs="Times New Roman" w:eastAsia="Times New Roman" w:hAnsi="Times New Roman"/>
          <w:sz w:val="20"/>
          <w:szCs w:val="20"/>
          <w:b w:val="1"/>
          <w:bCs w:val="1"/>
          <w:color w:val="auto"/>
        </w:rPr>
        <w:t>UN</w:t>
      </w:r>
      <w:r>
        <w:rPr>
          <w:rFonts w:ascii="Times New Roman" w:cs="Times New Roman" w:eastAsia="Times New Roman" w:hAnsi="Times New Roman"/>
          <w:sz w:val="20"/>
          <w:szCs w:val="20"/>
          <w:color w:val="auto"/>
        </w:rPr>
        <w:t>”)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w:t>
      </w:r>
    </w:p>
    <w:p>
      <w:pPr>
        <w:spacing w:after="0" w:line="20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 2005/387/JHA of May 10, 2005 (which applies only in certain limited situations)</w:t>
      </w:r>
      <w:r>
        <w:rPr>
          <w:rFonts w:ascii="Times New Roman" w:cs="Times New Roman" w:eastAsia="Times New Roman" w:hAnsi="Times New Roman"/>
          <w:sz w:val="25"/>
          <w:szCs w:val="25"/>
          <w:color w:val="auto"/>
          <w:vertAlign w:val="superscript"/>
        </w:rPr>
        <w:t>24</w:t>
      </w:r>
      <w:r>
        <w:rPr>
          <w:rFonts w:ascii="Times New Roman" w:cs="Times New Roman" w:eastAsia="Times New Roman" w:hAnsi="Times New Roman"/>
          <w:sz w:val="20"/>
          <w:szCs w:val="20"/>
          <w:color w:val="auto"/>
        </w:rPr>
        <w:t xml:space="preserve"> can provoke a Council Decision requiring EU member states to put a drug under national controls equivalent to those of the INCB. DMT is currently classified as a Schedule I substance under the UN71; the EU member states that are party to the UN71, including the Netherlands, have agreed to the following in respect of Schedule I substances: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17145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5" w:lineRule="exact"/>
        <w:rPr>
          <w:sz w:val="20"/>
          <w:szCs w:val="20"/>
          <w:color w:val="auto"/>
        </w:rPr>
      </w:pPr>
    </w:p>
    <w:p>
      <w:pPr>
        <w:jc w:val="both"/>
        <w:ind w:firstLine="8"/>
        <w:spacing w:after="0" w:line="193" w:lineRule="auto"/>
        <w:tabs>
          <w:tab w:leader="none" w:pos="194" w:val="left"/>
        </w:tabs>
        <w:numPr>
          <w:ilvl w:val="0"/>
          <w:numId w:val="5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Decision 2005/387/JHA was repealed (by Directive (EU) 2017/2103 of the European Parliament and of the Council of November 15, 2017 amending Council Framework Decision 2004/757/JHA in order to include new psychoactive substances in the definition of ‘drug’ and repealing Council Decision 2005/387/JHA), but still continues to apply to new psychoactive substances in respect of which a Joint Report (as referred to in Article 5 of that Decision) has been submitted before November 23,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440" w:right="339" w:bottom="1440" w:gutter="0" w:footer="0" w:header="0"/>
        </w:sectPr>
      </w:pPr>
    </w:p>
    <w:bookmarkStart w:id="72" w:name="page73"/>
    <w:bookmarkEnd w:id="72"/>
    <w:p>
      <w:pPr>
        <w:spacing w:after="0" w:line="257" w:lineRule="exact"/>
        <w:rPr>
          <w:sz w:val="20"/>
          <w:szCs w:val="20"/>
          <w:color w:val="auto"/>
        </w:rPr>
      </w:pPr>
    </w:p>
    <w:p>
      <w:pPr>
        <w:ind w:left="660" w:right="20" w:hanging="328"/>
        <w:spacing w:after="0" w:line="279" w:lineRule="auto"/>
        <w:tabs>
          <w:tab w:leader="none" w:pos="628" w:val="left"/>
        </w:tabs>
        <w:numPr>
          <w:ilvl w:val="0"/>
          <w:numId w:val="51"/>
        </w:numPr>
        <w:rPr>
          <w:rFonts w:ascii="Arial" w:cs="Arial" w:eastAsia="Arial" w:hAnsi="Arial"/>
          <w:sz w:val="22"/>
          <w:szCs w:val="22"/>
          <w:color w:val="auto"/>
        </w:rPr>
      </w:pPr>
      <w:r>
        <w:rPr>
          <w:rFonts w:ascii="Times New Roman" w:cs="Times New Roman" w:eastAsia="Times New Roman" w:hAnsi="Times New Roman"/>
          <w:sz w:val="20"/>
          <w:szCs w:val="20"/>
          <w:color w:val="auto"/>
        </w:rPr>
        <w:t>prohibit all use except for scientific and very limited medical purposes by duly authorized persons, in medical or scientific establishments which are directly under the control of their Governments or specifically approved by them;</w:t>
      </w:r>
    </w:p>
    <w:p>
      <w:pPr>
        <w:spacing w:after="0" w:line="19" w:lineRule="exact"/>
        <w:rPr>
          <w:rFonts w:ascii="Arial" w:cs="Arial" w:eastAsia="Arial" w:hAnsi="Arial"/>
          <w:sz w:val="22"/>
          <w:szCs w:val="22"/>
          <w:color w:val="auto"/>
        </w:rPr>
      </w:pPr>
    </w:p>
    <w:p>
      <w:pPr>
        <w:ind w:left="620" w:hanging="288"/>
        <w:spacing w:after="0"/>
        <w:tabs>
          <w:tab w:leader="none" w:pos="620" w:val="left"/>
        </w:tabs>
        <w:numPr>
          <w:ilvl w:val="0"/>
          <w:numId w:val="51"/>
        </w:numPr>
        <w:rPr>
          <w:rFonts w:ascii="Arial" w:cs="Arial" w:eastAsia="Arial" w:hAnsi="Arial"/>
          <w:sz w:val="22"/>
          <w:szCs w:val="22"/>
          <w:color w:val="auto"/>
        </w:rPr>
      </w:pPr>
      <w:r>
        <w:rPr>
          <w:rFonts w:ascii="Times New Roman" w:cs="Times New Roman" w:eastAsia="Times New Roman" w:hAnsi="Times New Roman"/>
          <w:sz w:val="20"/>
          <w:szCs w:val="20"/>
          <w:color w:val="auto"/>
        </w:rPr>
        <w:t>require that manufacture, trade, distribution and possession be under a special licence or prior authorization;</w:t>
      </w:r>
    </w:p>
    <w:p>
      <w:pPr>
        <w:spacing w:after="0" w:line="44" w:lineRule="exact"/>
        <w:rPr>
          <w:rFonts w:ascii="Arial" w:cs="Arial" w:eastAsia="Arial" w:hAnsi="Arial"/>
          <w:sz w:val="22"/>
          <w:szCs w:val="22"/>
          <w:color w:val="auto"/>
        </w:rPr>
      </w:pPr>
    </w:p>
    <w:p>
      <w:pPr>
        <w:ind w:left="620" w:hanging="288"/>
        <w:spacing w:after="0"/>
        <w:tabs>
          <w:tab w:leader="none" w:pos="620" w:val="left"/>
        </w:tabs>
        <w:numPr>
          <w:ilvl w:val="0"/>
          <w:numId w:val="51"/>
        </w:numPr>
        <w:rPr>
          <w:rFonts w:ascii="Arial" w:cs="Arial" w:eastAsia="Arial" w:hAnsi="Arial"/>
          <w:sz w:val="22"/>
          <w:szCs w:val="22"/>
          <w:color w:val="auto"/>
        </w:rPr>
      </w:pPr>
      <w:r>
        <w:rPr>
          <w:rFonts w:ascii="Times New Roman" w:cs="Times New Roman" w:eastAsia="Times New Roman" w:hAnsi="Times New Roman"/>
          <w:sz w:val="20"/>
          <w:szCs w:val="20"/>
          <w:color w:val="auto"/>
        </w:rPr>
        <w:t>provide for close supervision of the activities and acts mentioned in paragraphs (a) and (b);</w:t>
      </w:r>
    </w:p>
    <w:p>
      <w:pPr>
        <w:spacing w:after="0" w:line="44" w:lineRule="exact"/>
        <w:rPr>
          <w:rFonts w:ascii="Arial" w:cs="Arial" w:eastAsia="Arial" w:hAnsi="Arial"/>
          <w:sz w:val="22"/>
          <w:szCs w:val="22"/>
          <w:color w:val="auto"/>
        </w:rPr>
      </w:pPr>
    </w:p>
    <w:p>
      <w:pPr>
        <w:ind w:left="620" w:hanging="288"/>
        <w:spacing w:after="0"/>
        <w:tabs>
          <w:tab w:leader="none" w:pos="620" w:val="left"/>
        </w:tabs>
        <w:numPr>
          <w:ilvl w:val="0"/>
          <w:numId w:val="51"/>
        </w:numPr>
        <w:rPr>
          <w:rFonts w:ascii="Arial" w:cs="Arial" w:eastAsia="Arial" w:hAnsi="Arial"/>
          <w:sz w:val="22"/>
          <w:szCs w:val="22"/>
          <w:color w:val="auto"/>
        </w:rPr>
      </w:pPr>
      <w:r>
        <w:rPr>
          <w:rFonts w:ascii="Times New Roman" w:cs="Times New Roman" w:eastAsia="Times New Roman" w:hAnsi="Times New Roman"/>
          <w:sz w:val="20"/>
          <w:szCs w:val="20"/>
          <w:color w:val="auto"/>
        </w:rPr>
        <w:t>restrict the amount supplied to a duly authorized person to the quantity required for his authorized purpose;</w:t>
      </w:r>
    </w:p>
    <w:p>
      <w:pPr>
        <w:spacing w:after="0" w:line="44" w:lineRule="exact"/>
        <w:rPr>
          <w:rFonts w:ascii="Arial" w:cs="Arial" w:eastAsia="Arial" w:hAnsi="Arial"/>
          <w:sz w:val="22"/>
          <w:szCs w:val="22"/>
          <w:color w:val="auto"/>
        </w:rPr>
      </w:pPr>
    </w:p>
    <w:p>
      <w:pPr>
        <w:ind w:left="660" w:hanging="328"/>
        <w:spacing w:after="0" w:line="279" w:lineRule="auto"/>
        <w:tabs>
          <w:tab w:leader="none" w:pos="628" w:val="left"/>
        </w:tabs>
        <w:numPr>
          <w:ilvl w:val="0"/>
          <w:numId w:val="51"/>
        </w:numPr>
        <w:rPr>
          <w:rFonts w:ascii="Arial" w:cs="Arial" w:eastAsia="Arial" w:hAnsi="Arial"/>
          <w:sz w:val="22"/>
          <w:szCs w:val="22"/>
          <w:color w:val="auto"/>
        </w:rPr>
      </w:pPr>
      <w:r>
        <w:rPr>
          <w:rFonts w:ascii="Times New Roman" w:cs="Times New Roman" w:eastAsia="Times New Roman" w:hAnsi="Times New Roman"/>
          <w:sz w:val="20"/>
          <w:szCs w:val="20"/>
          <w:color w:val="auto"/>
        </w:rPr>
        <w:t>require that persons performing medical or scientific functions keep records concerning the acquisition of the substances and the details of their use, such records to be preserved for at least two years after the last use recorded therein; and</w:t>
      </w:r>
    </w:p>
    <w:p>
      <w:pPr>
        <w:spacing w:after="0" w:line="19" w:lineRule="exact"/>
        <w:rPr>
          <w:rFonts w:ascii="Arial" w:cs="Arial" w:eastAsia="Arial" w:hAnsi="Arial"/>
          <w:sz w:val="22"/>
          <w:szCs w:val="22"/>
          <w:color w:val="auto"/>
        </w:rPr>
      </w:pPr>
    </w:p>
    <w:p>
      <w:pPr>
        <w:jc w:val="both"/>
        <w:ind w:left="660" w:hanging="328"/>
        <w:spacing w:after="0" w:line="295" w:lineRule="auto"/>
        <w:tabs>
          <w:tab w:leader="none" w:pos="628" w:val="left"/>
        </w:tabs>
        <w:numPr>
          <w:ilvl w:val="0"/>
          <w:numId w:val="51"/>
        </w:numPr>
        <w:rPr>
          <w:rFonts w:ascii="Arial" w:cs="Arial" w:eastAsia="Arial" w:hAnsi="Arial"/>
          <w:sz w:val="22"/>
          <w:szCs w:val="22"/>
          <w:color w:val="auto"/>
        </w:rPr>
      </w:pPr>
      <w:r>
        <w:rPr>
          <w:rFonts w:ascii="Times New Roman" w:cs="Times New Roman" w:eastAsia="Times New Roman" w:hAnsi="Times New Roman"/>
          <w:sz w:val="20"/>
          <w:szCs w:val="20"/>
          <w:color w:val="auto"/>
        </w:rPr>
        <w:t>prohibit export and import except when both the exporter and importer are the competent authorities or agencies of the exporting and importing country or region, respectively, or other persons or enterprises which are specifically authorized by the competent authorities of their country or region for the purpose.</w:t>
      </w:r>
    </w:p>
    <w:p>
      <w:pPr>
        <w:spacing w:after="0" w:line="20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Cybin will investigate the specific regulatory requirements of such EU member state. As referenced above, a licence is required for individuals and entities who wish to produce, dispense, import, or export Schedule I substances (including DMT), but the specific requirements vary from country to country. Currently, DMT is classified in the Netherlands as a List 1 Drug under the Dutch Opium Act (Opiumwet) (the “</w:t>
      </w:r>
      <w:r>
        <w:rPr>
          <w:rFonts w:ascii="Times New Roman" w:cs="Times New Roman" w:eastAsia="Times New Roman" w:hAnsi="Times New Roman"/>
          <w:sz w:val="20"/>
          <w:szCs w:val="20"/>
          <w:b w:val="1"/>
          <w:bCs w:val="1"/>
          <w:color w:val="auto"/>
        </w:rPr>
        <w:t>Dutch Opium Act</w:t>
      </w:r>
      <w:r>
        <w:rPr>
          <w:rFonts w:ascii="Times New Roman" w:cs="Times New Roman" w:eastAsia="Times New Roman" w:hAnsi="Times New Roman"/>
          <w:sz w:val="20"/>
          <w:szCs w:val="20"/>
          <w:color w:val="auto"/>
        </w:rPr>
        <w:t>”) and as such, subject to express authorization being obtained, the production, trade and possession of DMT are prohibited.</w:t>
      </w:r>
    </w:p>
    <w:p>
      <w:pPr>
        <w:spacing w:after="0" w:line="222"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In addition to the Dutch Opium Act, two other Dutch Acts may be relevant when it comes to drugs: the Medicines Act and the Commodities Act.</w:t>
      </w:r>
    </w:p>
    <w:p>
      <w:pPr>
        <w:spacing w:after="0" w:line="18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(Clinical Trial Application) dossier containing the preclinical and any clinical information along with the proposed clinical trial design must be submitted to an accredited Ethics Committee and to the Central Commission on Research in Humans (the “</w:t>
      </w:r>
      <w:r>
        <w:rPr>
          <w:rFonts w:ascii="Times New Roman" w:cs="Times New Roman" w:eastAsia="Times New Roman" w:hAnsi="Times New Roman"/>
          <w:sz w:val="20"/>
          <w:szCs w:val="20"/>
          <w:b w:val="1"/>
          <w:bCs w:val="1"/>
          <w:color w:val="auto"/>
        </w:rPr>
        <w:t>CCMO</w:t>
      </w:r>
      <w:r>
        <w:rPr>
          <w:rFonts w:ascii="Times New Roman" w:cs="Times New Roman" w:eastAsia="Times New Roman" w:hAnsi="Times New Roman"/>
          <w:sz w:val="20"/>
          <w:szCs w:val="20"/>
          <w:color w:val="auto"/>
        </w:rPr>
        <w:t>”), which is also known as the Competent Authority in The Netherlands. In Dutch, the CCMO is called the ‘</w:t>
      </w:r>
      <w:r>
        <w:rPr>
          <w:rFonts w:ascii="Times New Roman" w:cs="Times New Roman" w:eastAsia="Times New Roman" w:hAnsi="Times New Roman"/>
          <w:sz w:val="20"/>
          <w:szCs w:val="20"/>
          <w:i w:val="1"/>
          <w:iCs w:val="1"/>
          <w:color w:val="auto"/>
        </w:rPr>
        <w:t>Centrale Commissie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Mensgebonden Onderzoek</w:t>
      </w:r>
      <w:r>
        <w:rPr>
          <w:rFonts w:ascii="Times New Roman" w:cs="Times New Roman" w:eastAsia="Times New Roman" w:hAnsi="Times New Roman"/>
          <w:sz w:val="20"/>
          <w:szCs w:val="20"/>
          <w:color w:val="auto"/>
        </w:rPr>
        <w:t>’. In cases where the study involves a substance subject to the Dutch Opium Act (such as DMT), an official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exemption by Farmatec is needed, which needs to be included in the CTA.</w:t>
      </w:r>
    </w:p>
    <w:p>
      <w:pPr>
        <w:spacing w:after="0" w:line="20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440" w:right="339" w:bottom="1440" w:gutter="0" w:footer="0" w:header="0"/>
        </w:sectPr>
      </w:pPr>
    </w:p>
    <w:bookmarkStart w:id="73" w:name="page74"/>
    <w:bookmarkEnd w:id="73"/>
    <w:p>
      <w:pPr>
        <w:spacing w:after="0" w:line="243"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9"/>
          <w:szCs w:val="19"/>
          <w:color w:val="auto"/>
        </w:rPr>
        <w:t>On April 26, 2023, the European Commission introduced a comprehensive “pharmaceutical package” aimed at revising the EU’s pharmaceutical legislation. This package includes proposals for a new directive and regulation designed to enhance the availability, accessibility, and affordability of medicines. Additionally, it seeks to boost the competitiveness and attractiveness of the EU pharmaceutical industry while imposing higher environmental standards. The European Parliament has recently looked at these proposals to renovate the EU pharmaceutical legislation, and a newly elected Parliament will take up the proposal following the European elections of June 6-9, 2024.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Research and Development</w:t>
      </w:r>
    </w:p>
    <w:p>
      <w:pPr>
        <w:spacing w:after="0" w:line="27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Regulation (EU) No 536/2014 on Clinical Trials on Medicinal Products for Human Use ( the “</w:t>
      </w:r>
      <w:r>
        <w:rPr>
          <w:rFonts w:ascii="Times New Roman" w:cs="Times New Roman" w:eastAsia="Times New Roman" w:hAnsi="Times New Roman"/>
          <w:sz w:val="19"/>
          <w:szCs w:val="19"/>
          <w:b w:val="1"/>
          <w:bCs w:val="1"/>
          <w:color w:val="auto"/>
        </w:rPr>
        <w:t>CTR</w:t>
      </w:r>
      <w:r>
        <w:rPr>
          <w:rFonts w:ascii="Times New Roman" w:cs="Times New Roman" w:eastAsia="Times New Roman" w:hAnsi="Times New Roman"/>
          <w:sz w:val="19"/>
          <w:szCs w:val="19"/>
          <w:color w:val="auto"/>
        </w:rPr>
        <w:t>”) is applicable as of January 31, 2022, harmonizing the laws, regulations and administrative provisions of the EU Member States relating to the implementation of Good Clinical Practice in the conduct of clinical trials on medicinal products for human use.</w:t>
      </w:r>
      <w:r>
        <w:rPr>
          <w:rFonts w:ascii="Times New Roman" w:cs="Times New Roman" w:eastAsia="Times New Roman" w:hAnsi="Times New Roman"/>
          <w:sz w:val="24"/>
          <w:szCs w:val="24"/>
          <w:color w:val="auto"/>
          <w:vertAlign w:val="superscript"/>
        </w:rPr>
        <w:t>25</w:t>
      </w:r>
      <w:r>
        <w:rPr>
          <w:rFonts w:ascii="Times New Roman" w:cs="Times New Roman" w:eastAsia="Times New Roman" w:hAnsi="Times New Roman"/>
          <w:sz w:val="19"/>
          <w:szCs w:val="19"/>
          <w:color w:val="auto"/>
        </w:rPr>
        <w:t xml:space="preserve"> EU Member States have transformed the requirements outlined in the Clinical Trials Directive into the respective national laws. Pursuant to the CTR, as of January 31, 2023 sponsors are obliged to use the Clinical Trials Information System (“</w:t>
      </w:r>
      <w:r>
        <w:rPr>
          <w:rFonts w:ascii="Times New Roman" w:cs="Times New Roman" w:eastAsia="Times New Roman" w:hAnsi="Times New Roman"/>
          <w:sz w:val="19"/>
          <w:szCs w:val="19"/>
          <w:b w:val="1"/>
          <w:bCs w:val="1"/>
          <w:color w:val="auto"/>
        </w:rPr>
        <w:t>CTSI</w:t>
      </w:r>
      <w:r>
        <w:rPr>
          <w:rFonts w:ascii="Times New Roman" w:cs="Times New Roman" w:eastAsia="Times New Roman" w:hAnsi="Times New Roman"/>
          <w:sz w:val="19"/>
          <w:szCs w:val="19"/>
          <w:color w:val="auto"/>
        </w:rPr>
        <w:t>”) for regularity submission, authorization and supervision of clinical trials in the EU and the EEA. CTIS will thus serve as the single-entry point for submissions by sponsors and for regulatory assessment. In addition to this obligation, sponsors must transfer any ongoing (approved) trials under the CTR to CTIS by January 2025. Further, EMA adopted on October 5, 2023, the “Revised CTIS Transparency Rules” on publishing information about clinical trials submitted through CTIS. To increase transparency, EMA removed the deferral mechanism which allowed sponsors to delay certain data and document publication for up to seven years after the end of their trial. Annex I of the revised rules outlines the timing of information publication for each category of clinical trial and patient population. These new rules became applicable on June 18, 2024, the same day of the launch of the new CTIS portal. In order to smoothen the process of transitioning clinical trials from the Clinical Trial Directive to the CTR, a non-binding guide named “Guidance for the Transition of clinical trials from the Clinical Trials Directive to the Clinical Trials Regulation” (version 4) dated May 2024 is published.</w:t>
      </w:r>
    </w:p>
    <w:p>
      <w:pPr>
        <w:spacing w:after="0" w:line="20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CTIS and the practical aspects thereof are also discussed and explained (among other relevant topics relating to clinical trials) in a quick guide on the rules and procedures of the EU Clinical Trials Regulation called “Clinical Trials Regulation (EU) 536/2014 in practice”, which is published by the Clinical Trials Coordination and Advisory Group (“</w:t>
      </w:r>
      <w:r>
        <w:rPr>
          <w:rFonts w:ascii="Times New Roman" w:cs="Times New Roman" w:eastAsia="Times New Roman" w:hAnsi="Times New Roman"/>
          <w:sz w:val="20"/>
          <w:szCs w:val="20"/>
          <w:b w:val="1"/>
          <w:bCs w:val="1"/>
          <w:color w:val="auto"/>
        </w:rPr>
        <w:t>CTAG</w:t>
      </w:r>
      <w:r>
        <w:rPr>
          <w:rFonts w:ascii="Times New Roman" w:cs="Times New Roman" w:eastAsia="Times New Roman" w:hAnsi="Times New Roman"/>
          <w:sz w:val="20"/>
          <w:szCs w:val="20"/>
          <w:color w:val="auto"/>
        </w:rPr>
        <w:t>”) on December 8, 2023. The objective of the rules is to provide sponsors and investigators a quick guide on the rules and procedures of the CTR with a view to facilitating implementation. In addition to the quick guide, CTAG also published a non-binding Questions &amp; Answers (Version 7.1) that should be read in conjunction with the quick guide and with the “Clinical Trials Information System (CTIS): online training modules” in order to gain a better understanding of the legislative changes that are effected by the CTR.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1714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both"/>
        <w:ind w:firstLine="8"/>
        <w:spacing w:after="0"/>
        <w:tabs>
          <w:tab w:leader="none" w:pos="208" w:val="left"/>
        </w:tabs>
        <w:numPr>
          <w:ilvl w:val="0"/>
          <w:numId w:val="5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The CTR does not apply in the UK and UK law on clinical trials is currently based on old EU law (the Clinical Trials Directive), transposed into UK law via the Medicines for Human Use (Clinical Trials) Regulations 2004. An overhaul of UK law on clinical trials has been on-going for a few years, and new legislation on clinical trials in the UK, the Medicines for Human Use (Clinical Trials) (Amendment) Regulations 2024, has been signed into law and is due to come into effect from mid-April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440" w:right="339" w:bottom="1440" w:gutter="0" w:footer="0" w:header="0"/>
        </w:sectPr>
      </w:pPr>
    </w:p>
    <w:bookmarkStart w:id="74" w:name="page75"/>
    <w:bookmarkEnd w:id="74"/>
    <w:p>
      <w:pPr>
        <w:jc w:val="both"/>
        <w:spacing w:after="0" w:line="297" w:lineRule="auto"/>
        <w:rPr>
          <w:sz w:val="20"/>
          <w:szCs w:val="20"/>
          <w:color w:val="auto"/>
        </w:rPr>
      </w:pPr>
      <w:r>
        <w:rPr>
          <w:rFonts w:ascii="Times New Roman" w:cs="Times New Roman" w:eastAsia="Times New Roman" w:hAnsi="Times New Roman"/>
          <w:sz w:val="20"/>
          <w:szCs w:val="20"/>
          <w:color w:val="auto"/>
        </w:rPr>
        <w:t>The Investigational Medicinal Product Dossier (“</w:t>
      </w:r>
      <w:r>
        <w:rPr>
          <w:rFonts w:ascii="Times New Roman" w:cs="Times New Roman" w:eastAsia="Times New Roman" w:hAnsi="Times New Roman"/>
          <w:sz w:val="21"/>
          <w:szCs w:val="21"/>
          <w:b w:val="1"/>
          <w:bCs w:val="1"/>
          <w:color w:val="auto"/>
        </w:rPr>
        <w:t>IMPD</w:t>
      </w:r>
      <w:r>
        <w:rPr>
          <w:rFonts w:ascii="Times New Roman" w:cs="Times New Roman" w:eastAsia="Times New Roman" w:hAnsi="Times New Roman"/>
          <w:sz w:val="20"/>
          <w:szCs w:val="20"/>
          <w:color w:val="auto"/>
        </w:rPr>
        <w:t>”) is one of several regulatory documents required for conducting a clinical trial of a pharmacologically API intended for one or more EU Member States. The IMPD includes summaries of information related to the quality, manufacture and control of any IMP (including reference product and placebo), and data from non-clinical and clinical studies. Guidance concerning IMPDs is based on the CTR and on the approximation of laws, regulations and administrative provisions of the Member States relating to the implementation of good clinical practice in the conduct of clinical trials on medicinal products for human use (also commonly referred to as the “</w:t>
      </w:r>
      <w:r>
        <w:rPr>
          <w:rFonts w:ascii="Times New Roman" w:cs="Times New Roman" w:eastAsia="Times New Roman" w:hAnsi="Times New Roman"/>
          <w:sz w:val="20"/>
          <w:szCs w:val="20"/>
          <w:b w:val="1"/>
          <w:bCs w:val="1"/>
          <w:color w:val="auto"/>
        </w:rPr>
        <w:t>Clinical Trials Directive</w:t>
      </w:r>
      <w:r>
        <w:rPr>
          <w:rFonts w:ascii="Times New Roman" w:cs="Times New Roman" w:eastAsia="Times New Roman" w:hAnsi="Times New Roman"/>
          <w:sz w:val="20"/>
          <w:szCs w:val="20"/>
          <w:color w:val="auto"/>
        </w:rPr>
        <w:t>”).</w:t>
      </w:r>
    </w:p>
    <w:p>
      <w:pPr>
        <w:spacing w:after="0" w:line="20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are largely equivalent to clinical trial applications in Canada and the United States. The IMPD need not be a large document as the amount of information to be contained in the dossier is dependent on various factors such as product type, indication, development phase etc.</w:t>
      </w:r>
    </w:p>
    <w:p>
      <w:pPr>
        <w:spacing w:after="0" w:line="22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spacing w:after="0" w:line="22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With the completion of the Asset Acquisition, the Company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w:t>
      </w:r>
    </w:p>
    <w:p>
      <w:pPr>
        <w:spacing w:after="0" w:line="217"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9"/>
          <w:szCs w:val="19"/>
          <w:color w:val="auto"/>
        </w:rPr>
        <w:t>Failure of the Company to receive the necessary regulatory approvals required to conduct the Phase 1 Study would have an adverse impact on its business plans and financial condition for a number of reasons including, without limitation: (i) it would cause delays in the Company’s research and development plans; (ii) it may require the Company to expend additional financial and human resources on revising its application package or creating a new one; or (iii) it may require the Company to approach an entirely different regulatory authority in a new jurisdiction, in which case the Company would have to expend a substantial amount of capital and other resources on engaging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431" w:right="339" w:bottom="1440" w:gutter="0" w:footer="0" w:header="0"/>
        </w:sectPr>
      </w:pPr>
    </w:p>
    <w:bookmarkStart w:id="75" w:name="page76"/>
    <w:bookmarkEnd w:id="75"/>
    <w:p>
      <w:pPr>
        <w:jc w:val="both"/>
        <w:spacing w:after="0" w:line="303" w:lineRule="auto"/>
        <w:rPr>
          <w:sz w:val="20"/>
          <w:szCs w:val="20"/>
          <w:color w:val="auto"/>
        </w:rPr>
      </w:pPr>
      <w:r>
        <w:rPr>
          <w:rFonts w:ascii="Times New Roman" w:cs="Times New Roman" w:eastAsia="Times New Roman" w:hAnsi="Times New Roman"/>
          <w:sz w:val="20"/>
          <w:szCs w:val="20"/>
          <w:color w:val="auto"/>
        </w:rPr>
        <w:t>the appropriate research and development partners and creating an application package that complies with the regulations of that new jurisdiction. Additionally, the Company would be required to spend capital on transferring the DMT materials to the new jurisdiction. All of the foregoing would likely have a negative impact on the Company’s business and financial condition.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Pharmaceutical Products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accordance with the Dutch Medicines Act (</w:t>
      </w:r>
      <w:r>
        <w:rPr>
          <w:rFonts w:ascii="Times New Roman" w:cs="Times New Roman" w:eastAsia="Times New Roman" w:hAnsi="Times New Roman"/>
          <w:sz w:val="21"/>
          <w:szCs w:val="21"/>
          <w:i w:val="1"/>
          <w:iCs w:val="1"/>
          <w:color w:val="auto"/>
        </w:rPr>
        <w:t>Geneesmiddelenwet</w:t>
      </w:r>
      <w:r>
        <w:rPr>
          <w:rFonts w:ascii="Times New Roman" w:cs="Times New Roman" w:eastAsia="Times New Roman" w:hAnsi="Times New Roman"/>
          <w:sz w:val="20"/>
          <w:szCs w:val="20"/>
          <w:color w:val="auto"/>
        </w:rPr>
        <w:t>), “medicinal products” are defined as: a substance or a combination of</w:t>
      </w:r>
    </w:p>
    <w:p>
      <w:pPr>
        <w:spacing w:after="0" w:line="6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substances that is 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w:t>
      </w:r>
    </w:p>
    <w:p>
      <w:pPr>
        <w:spacing w:after="0" w:line="1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color w:val="auto"/>
        </w:rPr>
        <w:t>If a product constitutes a medicinal product, a marketing authorization for the product is required before the product may be placed on the market in the Netherlands. In the EU, marketing authorizations may be obtained through the Centralized procedure, the Decentralized or Mutual Recognition procedures and/or the national procedure. The Centralized procedure is compulsory for medicines intended to treat i.e. cancer, AIDS, neurodegenerative diseases and diabetes and optional (only) for medicines comprising of new active substances not previously approved for the EEA. When applying for a marketing authorization through the Centralized procedure, applications are submitted with the European Medicines Agency (the “</w:t>
      </w:r>
      <w:r>
        <w:rPr>
          <w:rFonts w:ascii="Times New Roman" w:cs="Times New Roman" w:eastAsia="Times New Roman" w:hAnsi="Times New Roman"/>
          <w:sz w:val="20"/>
          <w:szCs w:val="20"/>
          <w:b w:val="1"/>
          <w:bCs w:val="1"/>
          <w:color w:val="auto"/>
        </w:rPr>
        <w:t>EMA</w:t>
      </w:r>
      <w:r>
        <w:rPr>
          <w:rFonts w:ascii="Times New Roman" w:cs="Times New Roman" w:eastAsia="Times New Roman" w:hAnsi="Times New Roman"/>
          <w:sz w:val="20"/>
          <w:szCs w:val="20"/>
          <w:color w:val="auto"/>
        </w:rPr>
        <w:t>”). Where the Centralized procedure is not available but a medicinal product is intended for several EU/EEA Member States, an application for a marketing authorization may be submitted with the competent authority of a single EU/EEA Member State in accordance with the Decentralized procedure. When the assessment of the application results in a decision to grant the marketing authorization, this decision will be recognized by the competent authorities of the other Member States for which the marketing authorization is applied. The Mutual Recognition procedure is similar to the Decentralised procedure, but applies to applications where the medicinal product is already the subject of a marketing authorization in another EU/EEA Member State. Finally, should a medicinal product be intended for the Netherlands only, then the national procedure may be followed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spacing w:after="0" w:line="23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440" w:right="339" w:bottom="1440" w:gutter="0" w:footer="0" w:header="0"/>
        </w:sectPr>
      </w:pPr>
    </w:p>
    <w:bookmarkStart w:id="76" w:name="page77"/>
    <w:bookmarkEnd w:id="76"/>
    <w:p>
      <w:pPr>
        <w:jc w:val="both"/>
        <w:spacing w:after="0" w:line="325" w:lineRule="auto"/>
        <w:rPr>
          <w:sz w:val="20"/>
          <w:szCs w:val="20"/>
          <w:color w:val="auto"/>
        </w:rPr>
      </w:pPr>
      <w:r>
        <w:rPr>
          <w:rFonts w:ascii="Times New Roman" w:cs="Times New Roman" w:eastAsia="Times New Roman" w:hAnsi="Times New Roman"/>
          <w:sz w:val="20"/>
          <w:szCs w:val="20"/>
          <w:color w:val="auto"/>
        </w:rPr>
        <w:t>It may be noted that holders of wholesale distribution authorization, other than holders of marketing authorizations, are not authorized to import medicinal products from countries outside the EEA.</w:t>
      </w:r>
    </w:p>
    <w:p>
      <w:pPr>
        <w:spacing w:after="0" w:line="18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Marketing Authorization Regulatory Process</w:t>
      </w:r>
    </w:p>
    <w:p>
      <w:pPr>
        <w:spacing w:after="0" w:line="29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auto"/>
        </w:rPr>
        <w:t>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Company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spacing w:after="0" w:line="21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440" w:right="339" w:bottom="1440" w:gutter="0" w:footer="0" w:header="0"/>
        </w:sectPr>
      </w:pPr>
    </w:p>
    <w:bookmarkStart w:id="77" w:name="page78"/>
    <w:bookmarkEnd w:id="77"/>
    <w:p>
      <w:pPr>
        <w:jc w:val="both"/>
        <w:spacing w:after="0" w:line="291" w:lineRule="auto"/>
        <w:rPr>
          <w:sz w:val="20"/>
          <w:szCs w:val="20"/>
          <w:color w:val="auto"/>
        </w:rPr>
      </w:pPr>
      <w:r>
        <w:rPr>
          <w:rFonts w:ascii="Times New Roman" w:cs="Times New Roman" w:eastAsia="Times New Roman" w:hAnsi="Times New Roman"/>
          <w:sz w:val="20"/>
          <w:szCs w:val="20"/>
          <w:color w:val="auto"/>
        </w:rPr>
        <w:t>diseases i.e. cancer, AIDS, neurodegenerative diseases and diabetes and only optional for medicines comprising of new active substances not previously approved for the EU/EEA, in all other circumstances the Decentralized procedure should be used instead if a marketing authorization is to be obtained for several EU/EEA Member States. When following the Decentralized procedure, the applicant requests one country to be the Reference Member State (“</w:t>
      </w:r>
      <w:r>
        <w:rPr>
          <w:rFonts w:ascii="Times New Roman" w:cs="Times New Roman" w:eastAsia="Times New Roman" w:hAnsi="Times New Roman"/>
          <w:sz w:val="20"/>
          <w:szCs w:val="20"/>
          <w:b w:val="1"/>
          <w:bCs w:val="1"/>
          <w:color w:val="auto"/>
        </w:rPr>
        <w:t>RMS</w:t>
      </w:r>
      <w:r>
        <w:rPr>
          <w:rFonts w:ascii="Times New Roman" w:cs="Times New Roman" w:eastAsia="Times New Roman" w:hAnsi="Times New Roman"/>
          <w:sz w:val="20"/>
          <w:szCs w:val="20"/>
          <w:color w:val="auto"/>
        </w:rPr>
        <w:t>”) in the procedure. After having shared draft assessment reports to which both the applicant and the competent authorities of other Member States may respond, the to be granted marketing authorization will eventually go through the Mutual recognition procedure.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rFonts w:ascii="Times New Roman" w:cs="Times New Roman" w:eastAsia="Times New Roman" w:hAnsi="Times New Roman"/>
          <w:sz w:val="20"/>
          <w:szCs w:val="20"/>
          <w:b w:val="1"/>
          <w:bCs w:val="1"/>
          <w:color w:val="auto"/>
        </w:rPr>
        <w:t>CMDh</w:t>
      </w:r>
      <w:r>
        <w:rPr>
          <w:rFonts w:ascii="Times New Roman" w:cs="Times New Roman" w:eastAsia="Times New Roman" w:hAnsi="Times New Roman"/>
          <w:sz w:val="20"/>
          <w:szCs w:val="20"/>
          <w:color w:val="auto"/>
        </w:rPr>
        <w:t>”). When all Member States involved decide on a positive opinion on products in the CMDh, Dutch translations of the summary of product characteristics, package leaflet, labelling texts and mock-ups are submitted and a national marketing authorization is issued.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United Kingdom</w:t>
      </w:r>
    </w:p>
    <w:p>
      <w:pPr>
        <w:spacing w:after="0" w:line="2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In the UK, there are two main “layers” of regulation with which products containing controlled substances must comply. These are: (i) controlled drugs legislation, which applies to all products irrespective of the type of product, and (ii) the regulatory frameworks applicable to a specific category of products, in this case, pharmaceuticals and food/food supplements.</w:t>
      </w:r>
    </w:p>
    <w:p>
      <w:pPr>
        <w:spacing w:after="0" w:line="191"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9"/>
          <w:szCs w:val="19"/>
          <w:color w:val="auto"/>
        </w:rPr>
        <w:t>The main UK controlled drugs legislation is the Misuse of Drugs Act 1971 (the “</w:t>
      </w:r>
      <w:r>
        <w:rPr>
          <w:rFonts w:ascii="Times New Roman" w:cs="Times New Roman" w:eastAsia="Times New Roman" w:hAnsi="Times New Roman"/>
          <w:sz w:val="19"/>
          <w:szCs w:val="19"/>
          <w:b w:val="1"/>
          <w:bCs w:val="1"/>
          <w:color w:val="auto"/>
        </w:rPr>
        <w:t>MDA</w:t>
      </w:r>
      <w:r>
        <w:rPr>
          <w:rFonts w:ascii="Times New Roman" w:cs="Times New Roman" w:eastAsia="Times New Roman" w:hAnsi="Times New Roman"/>
          <w:sz w:val="19"/>
          <w:szCs w:val="19"/>
          <w:color w:val="auto"/>
        </w:rPr>
        <w:t>”) and the Misuse of Drugs Regulations 2001 (the “</w:t>
      </w:r>
      <w:r>
        <w:rPr>
          <w:rFonts w:ascii="Times New Roman" w:cs="Times New Roman" w:eastAsia="Times New Roman" w:hAnsi="Times New Roman"/>
          <w:sz w:val="19"/>
          <w:szCs w:val="19"/>
          <w:b w:val="1"/>
          <w:bCs w:val="1"/>
          <w:color w:val="auto"/>
        </w:rPr>
        <w:t>MDR</w:t>
      </w:r>
      <w:r>
        <w:rPr>
          <w:rFonts w:ascii="Times New Roman" w:cs="Times New Roman" w:eastAsia="Times New Roman" w:hAnsi="Times New Roman"/>
          <w:sz w:val="19"/>
          <w:szCs w:val="19"/>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88"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In the United Kingdom, “Fungus (of any kind) which contains psilocin or an ester of psilocin” is controlled as a Class A drug under the MDA and Schedule 1 drug under the MDR.</w:t>
      </w:r>
    </w:p>
    <w:p>
      <w:pPr>
        <w:spacing w:after="0" w:line="1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which specifies the specific activities to which it relates together with any applicable conditions, issued by the UK Home Office. While exemptions do exist, none are applicable to the API. DMT is also considered a Class A drug under the MDA and as a Schedule I drug under the MDR.</w:t>
      </w:r>
    </w:p>
    <w:p>
      <w:pPr>
        <w:spacing w:after="0" w:line="20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 previously mentioned that it intended to file a clinical trial application with the UK Medical and Healthcare Products Regulatory Agency (“</w:t>
      </w:r>
      <w:r>
        <w:rPr>
          <w:rFonts w:ascii="Times New Roman" w:cs="Times New Roman" w:eastAsia="Times New Roman" w:hAnsi="Times New Roman"/>
          <w:sz w:val="20"/>
          <w:szCs w:val="20"/>
          <w:b w:val="1"/>
          <w:bCs w:val="1"/>
          <w:color w:val="auto"/>
        </w:rPr>
        <w:t>MHRA</w:t>
      </w:r>
      <w:r>
        <w:rPr>
          <w:rFonts w:ascii="Times New Roman" w:cs="Times New Roman" w:eastAsia="Times New Roman" w:hAnsi="Times New Roman"/>
          <w:sz w:val="20"/>
          <w:szCs w:val="20"/>
          <w:color w:val="auto"/>
        </w:rPr>
        <w:t>”) related to the Deuterated Psilocin Program upon completion of its pre-clinical studies and CMC development. The Company had then decided that it would first proceed in the U.S. and would subsequently file a clinical trial application with the MHRA. On July 17, 2025, the Company announced that it has received approval from the MHRA to commence EMBRACE, the second pivotal study in PARADIGM. Anticipated timelines related to regulatory filings are based on reasonable assumptions informed by current knowledge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440" w:right="339" w:bottom="1440" w:gutter="0" w:footer="0" w:header="0"/>
        </w:sectPr>
      </w:pPr>
    </w:p>
    <w:bookmarkStart w:id="78" w:name="page79"/>
    <w:bookmarkEnd w:id="78"/>
    <w:p>
      <w:pPr>
        <w:jc w:val="both"/>
        <w:spacing w:after="0" w:line="315" w:lineRule="auto"/>
        <w:rPr>
          <w:sz w:val="20"/>
          <w:szCs w:val="20"/>
          <w:color w:val="auto"/>
        </w:rPr>
      </w:pPr>
      <w:r>
        <w:rPr>
          <w:rFonts w:ascii="Times New Roman" w:cs="Times New Roman" w:eastAsia="Times New Roman" w:hAnsi="Times New Roman"/>
          <w:sz w:val="20"/>
          <w:szCs w:val="20"/>
          <w:color w:val="auto"/>
        </w:rPr>
        <w:t xml:space="preserve">information available to the Company. Small Pharma has a controlled drug licence in respect of the offices at 50 Featherstone St </w:t>
      </w:r>
      <w:r>
        <w:rPr>
          <w:rFonts w:ascii="Times New Roman" w:cs="Times New Roman" w:eastAsia="Times New Roman" w:hAnsi="Times New Roman"/>
          <w:sz w:val="21"/>
          <w:szCs w:val="21"/>
          <w:color w:val="auto"/>
        </w:rPr>
        <w:t>which was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issued on </w:t>
      </w:r>
      <w:r>
        <w:rPr>
          <w:rFonts w:ascii="Times New Roman" w:cs="Times New Roman" w:eastAsia="Times New Roman" w:hAnsi="Times New Roman"/>
          <w:sz w:val="19"/>
          <w:szCs w:val="19"/>
          <w:color w:val="auto"/>
        </w:rPr>
        <w:t>June 6, 2024 and expired on June 5, 2025. An application for 2025 renewal has been made in good time prior to expiration.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Although the new certificate has not yet been issued for 2025-2026, the Home Office has advised that the Company may continue to handle controlled drugs on the same terms and subject to the same conditions of the 2024-2025 licence.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Licensing Requirements</w:t>
      </w:r>
    </w:p>
    <w:p>
      <w:pPr>
        <w:spacing w:after="0" w:line="28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Company obtains CYB003 API from a pharmaceutical ingredient provider who is FDA-registered and based in the United States. The API itself has been manufactured and packaged in FDA-registered facilities in the United States. The API is expected to be sent directly to the Company’s partners for research and development purposes in the United States, Canada and the UK and to its clinical trial sites in the U.S., Europe, the UK and Australia. As a part of the Asset Acquisition, the Company also acquired API. The CYB004-E API was manufactured in the Netherlands by a pharmaceutical ingredient provider that is US FDA-inspected.</w:t>
      </w:r>
      <w:r>
        <w:rPr>
          <w:rFonts w:ascii="Times New Roman" w:cs="Times New Roman" w:eastAsia="Times New Roman" w:hAnsi="Times New Roman"/>
          <w:sz w:val="25"/>
          <w:szCs w:val="25"/>
          <w:color w:val="auto"/>
          <w:vertAlign w:val="superscript"/>
        </w:rPr>
        <w:t>26</w:t>
      </w:r>
    </w:p>
    <w:p>
      <w:pPr>
        <w:spacing w:after="0" w:line="1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As mentioned above, in order to produce, possess and supply the API at a UK-based facility, the facility must also hold a domestic license issued by the Home Office covering the manufacture, production, possession and supply of a controlled substance. For export of the API to the United States, an export license is required for each API shipment. The export application must include details of the importer and any import license required by the local authorities in the United States. Moreover, as set out below in more detail under the heading “Pharmaceutical Products”, depending on how the API is developed and supplied, certain authorizations and licenses from the MHRA may be required to authorize some of the activities carried on at the UK-based facilities in relation to the API.</w:t>
      </w:r>
    </w:p>
    <w:p>
      <w:pPr>
        <w:spacing w:after="0" w:line="212"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auto"/>
        </w:rPr>
        <w:t>All premises that are Home Office licensed, or are intending to be licensed, in connection with the possession, and/or supply and/or production of controlled drugs should consider certain security measures.</w:t>
      </w:r>
      <w:r>
        <w:rPr>
          <w:rFonts w:ascii="Times New Roman" w:cs="Times New Roman" w:eastAsia="Times New Roman" w:hAnsi="Times New Roman"/>
          <w:sz w:val="25"/>
          <w:szCs w:val="25"/>
          <w:color w:val="auto"/>
          <w:vertAlign w:val="superscript"/>
        </w:rPr>
        <w:t>27</w:t>
      </w:r>
    </w:p>
    <w:p>
      <w:pPr>
        <w:spacing w:after="0" w:line="12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The MDA requires that every person in possession of controlled drugs holds an appropriate Home Office License and under the Home Office guidance, each organization involved in the movement of controlled drugs should have a standard operating procedure covering their responsibilities, record keeping, reconciliation and reporting of thefts/losses.</w:t>
      </w:r>
      <w:r>
        <w:rPr>
          <w:rFonts w:ascii="Times New Roman" w:cs="Times New Roman" w:eastAsia="Times New Roman" w:hAnsi="Times New Roman"/>
          <w:sz w:val="25"/>
          <w:szCs w:val="25"/>
          <w:color w:val="auto"/>
          <w:vertAlign w:val="superscript"/>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1714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96" w:lineRule="exact"/>
        <w:rPr>
          <w:sz w:val="20"/>
          <w:szCs w:val="20"/>
          <w:color w:val="auto"/>
        </w:rPr>
      </w:pPr>
    </w:p>
    <w:p>
      <w:pPr>
        <w:ind w:left="200" w:hanging="192"/>
        <w:spacing w:after="0"/>
        <w:tabs>
          <w:tab w:leader="none" w:pos="200" w:val="left"/>
        </w:tabs>
        <w:numPr>
          <w:ilvl w:val="0"/>
          <w:numId w:val="5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As a result of the Asset Acquisition, including the existing API, the Company did not direct the manufacturing of the API for CYB004-E and proceeded in reliance upon</w:t>
      </w:r>
    </w:p>
    <w:p>
      <w:pPr>
        <w:spacing w:after="0" w:line="37"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6"/>
          <w:szCs w:val="16"/>
          <w:color w:val="auto"/>
        </w:rPr>
        <w:t>the representations of Entheon and the Company’s acquisition diligence. While the Company believes the CYB004-E API meets all required specifications, the Company did not oversee or direct the manufacture of the DMT API being used in CYB004-E.</w:t>
      </w:r>
    </w:p>
    <w:p>
      <w:pPr>
        <w:spacing w:after="0" w:line="32" w:lineRule="exact"/>
        <w:rPr>
          <w:sz w:val="20"/>
          <w:szCs w:val="20"/>
          <w:color w:val="auto"/>
        </w:rPr>
      </w:pPr>
    </w:p>
    <w:p>
      <w:pPr>
        <w:ind w:firstLine="8"/>
        <w:spacing w:after="0" w:line="193" w:lineRule="auto"/>
        <w:tabs>
          <w:tab w:leader="none" w:pos="194" w:val="left"/>
        </w:tabs>
        <w:numPr>
          <w:ilvl w:val="0"/>
          <w:numId w:val="5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Home Office guidance; Security guidance for all existing or prospective Home Office Controlled Drug Licensees and/or Precursor Chemical Licensees or Registrants; 2022; https://assets.publishing.service.gov.uk/media/63a1b6c8e90e075874d91825/Security_Guidance_for_all_Businesses_and_Other_Organisations_v1.5_Nov_2022.pdf</w:t>
      </w:r>
    </w:p>
    <w:p>
      <w:pPr>
        <w:spacing w:after="0" w:line="7" w:lineRule="exact"/>
        <w:rPr>
          <w:rFonts w:ascii="Times New Roman" w:cs="Times New Roman" w:eastAsia="Times New Roman" w:hAnsi="Times New Roman"/>
          <w:sz w:val="27"/>
          <w:szCs w:val="27"/>
          <w:color w:val="auto"/>
          <w:vertAlign w:val="superscript"/>
        </w:rPr>
      </w:pPr>
    </w:p>
    <w:p>
      <w:pPr>
        <w:ind w:firstLine="8"/>
        <w:spacing w:after="0" w:line="183" w:lineRule="auto"/>
        <w:tabs>
          <w:tab w:leader="none" w:pos="842" w:val="left"/>
        </w:tabs>
        <w:numPr>
          <w:ilvl w:val="0"/>
          <w:numId w:val="5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Home Office guidance; Guidelines for Standard Operating Procedures (SOPs); https://assets.publishing.service.gov.uk/government/uploads/system/uploads/attachment_data/file/480572/StandardOpProcedure.pdf.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43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0"/>
          <w:szCs w:val="20"/>
          <w:color w:val="auto"/>
        </w:rPr>
        <w:t>Small Pharma holds the appropriate UK Home Office licence required to sponsor clinical trials using Schedule I compounds.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Pharmaceutical Products</w:t>
      </w:r>
    </w:p>
    <w:p>
      <w:pPr>
        <w:spacing w:after="0" w:line="2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A product is regulated as a “medicinal product” under UK legislation (the Human Medicines Regulations 2012, as amended) if (i) it is a substance or combination of substances presented as having properties of preventing or treating disease in human beings (e.g., in marketing claims) or (ii) it is a substance or combination of substances that may be used by or administered to human beings with a view to (a) restoring, correcting or modifying a physiological function by exerting a pharmacological, immunological or metabolic action, or (b) making a medical diagnosis.</w:t>
      </w:r>
    </w:p>
    <w:p>
      <w:pPr>
        <w:spacing w:after="0" w:line="22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In respect of psilocybin/psilocin and DMT, whether a specific product restores, corrects or modifies a physiological function by exerting a pharmacological, immunological or metabolic action will depend on factors such as the concentration of the psilocybin/psilocin or DMT (as applicable) and the mode of action of any psilocybin/psilocin or DMT (as applicable) absorbed in the body. This requires scientific analysis.</w:t>
      </w:r>
    </w:p>
    <w:p>
      <w:pPr>
        <w:spacing w:after="0" w:line="195"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9"/>
          <w:szCs w:val="19"/>
          <w:color w:val="auto"/>
        </w:rPr>
        <w:t>If a product is a medicinal product, the Human Medicines Regulations 2012 require that a marketing authorization for the product granted by the UK Licensing Authority should be in place before the product is placed on the market in the UK (other, more limited, licensing options are available, such as a conditional marketing authorization), unless the product falls within one of the specified exemptions, such as supply in response to an unsolicited request from a healthcare professional to meet the special clinical needs of a particular patient under his/her care ). Following the UK’s exit from the EU and the end of the transitional period, up to (and including) December 31, 2024, there were separate licensing routes and licences for products supplied: (i) in Great Britain only; (ii) in Northern Ireland only; and (iii) across the UK. From 1 January 2025, the UK Licensing Authority now licenses products across the whole of the UK through UK-wide licenses, removing the separate licensing routes for Great Britain and Northern Ireland for many medicinal products. The process for obtaining a standard marketing authorization generally involves submitting preclinical and clinical data as well as quality and manufacturing information in the form of a common technical document to the MHRA. In addition to a marketing authorization for the product itself, companies carrying out activities involving medicinal products, such as manufacturing, distribution and wholesaling, need to meet defined standards (Good Manufacturing Practices (“</w:t>
      </w:r>
      <w:r>
        <w:rPr>
          <w:rFonts w:ascii="Times New Roman" w:cs="Times New Roman" w:eastAsia="Times New Roman" w:hAnsi="Times New Roman"/>
          <w:sz w:val="19"/>
          <w:szCs w:val="19"/>
          <w:b w:val="1"/>
          <w:bCs w:val="1"/>
          <w:color w:val="auto"/>
        </w:rPr>
        <w:t>GMP</w:t>
      </w:r>
      <w:r>
        <w:rPr>
          <w:rFonts w:ascii="Times New Roman" w:cs="Times New Roman" w:eastAsia="Times New Roman" w:hAnsi="Times New Roman"/>
          <w:sz w:val="19"/>
          <w:szCs w:val="19"/>
          <w:color w:val="auto"/>
        </w:rPr>
        <w:t>”)) and/or Good Distribution Practice (“</w:t>
      </w:r>
      <w:r>
        <w:rPr>
          <w:rFonts w:ascii="Times New Roman" w:cs="Times New Roman" w:eastAsia="Times New Roman" w:hAnsi="Times New Roman"/>
          <w:sz w:val="19"/>
          <w:szCs w:val="19"/>
          <w:b w:val="1"/>
          <w:bCs w:val="1"/>
          <w:color w:val="auto"/>
        </w:rPr>
        <w:t>GDP</w:t>
      </w:r>
      <w:r>
        <w:rPr>
          <w:rFonts w:ascii="Times New Roman" w:cs="Times New Roman" w:eastAsia="Times New Roman" w:hAnsi="Times New Roman"/>
          <w:sz w:val="19"/>
          <w:szCs w:val="19"/>
          <w:color w:val="auto"/>
        </w:rPr>
        <w:t>”) and to hold a related licence from the MHRA.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How the API is subsequently processed will determine the licences (in addition to any applicable Home Office licences as referred to above)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that the UK-based facility must hold. In particular:</w:t>
      </w:r>
    </w:p>
    <w:p>
      <w:pPr>
        <w:spacing w:after="0" w:line="279" w:lineRule="exact"/>
        <w:rPr>
          <w:sz w:val="20"/>
          <w:szCs w:val="20"/>
          <w:color w:val="auto"/>
        </w:rPr>
      </w:pPr>
    </w:p>
    <w:p>
      <w:pPr>
        <w:ind w:left="620" w:hanging="288"/>
        <w:spacing w:after="0"/>
        <w:tabs>
          <w:tab w:leader="none" w:pos="62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if the API is just one ‘ingredient’ (i.e. active substance) of the investigational medicinal product (the “</w:t>
      </w:r>
      <w:r>
        <w:rPr>
          <w:rFonts w:ascii="Times New Roman" w:cs="Times New Roman" w:eastAsia="Times New Roman" w:hAnsi="Times New Roman"/>
          <w:sz w:val="20"/>
          <w:szCs w:val="20"/>
          <w:b w:val="1"/>
          <w:bCs w:val="1"/>
          <w:color w:val="auto"/>
        </w:rPr>
        <w:t>IMP</w:t>
      </w:r>
      <w:r>
        <w:rPr>
          <w:rFonts w:ascii="Times New Roman" w:cs="Times New Roman" w:eastAsia="Times New Roman" w:hAnsi="Times New Roman"/>
          <w:sz w:val="20"/>
          <w:szCs w:val="20"/>
          <w:color w:val="auto"/>
        </w:rPr>
        <w:t>”) which is used in the</w:t>
      </w:r>
    </w:p>
    <w:p>
      <w:pPr>
        <w:spacing w:after="0" w:line="56" w:lineRule="exact"/>
        <w:rPr>
          <w:rFonts w:ascii="Arial" w:cs="Arial" w:eastAsia="Arial" w:hAnsi="Arial"/>
          <w:sz w:val="20"/>
          <w:szCs w:val="20"/>
          <w:color w:val="auto"/>
        </w:rPr>
      </w:pPr>
    </w:p>
    <w:p>
      <w:pPr>
        <w:jc w:val="both"/>
        <w:ind w:left="660"/>
        <w:spacing w:after="0" w:line="285" w:lineRule="auto"/>
        <w:rPr>
          <w:rFonts w:ascii="Arial" w:cs="Arial" w:eastAsia="Arial" w:hAnsi="Arial"/>
          <w:sz w:val="20"/>
          <w:szCs w:val="20"/>
          <w:color w:val="auto"/>
        </w:rPr>
      </w:pPr>
      <w:r>
        <w:rPr>
          <w:rFonts w:ascii="Times New Roman" w:cs="Times New Roman" w:eastAsia="Times New Roman" w:hAnsi="Times New Roman"/>
          <w:sz w:val="20"/>
          <w:szCs w:val="20"/>
          <w:color w:val="auto"/>
        </w:rPr>
        <w:t>clinical trial then the UK-based facility must apply to be registered with the MHRA and provide the MHRA with 60 days’ notice of the intended start of manufacture, import or distribution of the API, and comply with GMP and GDP for active substances. Furthermore, an MHRA inspection may be required; and</w:t>
      </w:r>
    </w:p>
    <w:p>
      <w:pPr>
        <w:spacing w:after="0" w:line="17" w:lineRule="exact"/>
        <w:rPr>
          <w:rFonts w:ascii="Arial" w:cs="Arial" w:eastAsia="Arial" w:hAnsi="Arial"/>
          <w:sz w:val="20"/>
          <w:szCs w:val="20"/>
          <w:color w:val="auto"/>
        </w:rPr>
      </w:pPr>
    </w:p>
    <w:p>
      <w:pPr>
        <w:ind w:left="660" w:hanging="328"/>
        <w:spacing w:after="0" w:line="301" w:lineRule="auto"/>
        <w:tabs>
          <w:tab w:leader="none" w:pos="628" w:val="left"/>
        </w:tabs>
        <w:numPr>
          <w:ilvl w:val="0"/>
          <w:numId w:val="55"/>
        </w:numPr>
        <w:rPr>
          <w:rFonts w:ascii="Arial" w:cs="Arial" w:eastAsia="Arial" w:hAnsi="Arial"/>
          <w:sz w:val="22"/>
          <w:szCs w:val="22"/>
          <w:color w:val="auto"/>
        </w:rPr>
      </w:pPr>
      <w:r>
        <w:rPr>
          <w:rFonts w:ascii="Times New Roman" w:cs="Times New Roman" w:eastAsia="Times New Roman" w:hAnsi="Times New Roman"/>
          <w:sz w:val="20"/>
          <w:szCs w:val="20"/>
          <w:color w:val="auto"/>
        </w:rPr>
        <w:t>conversely, if the API will itself constitute the IMP, the manufacturer must, except in certain limited circumstances, hold a Manufacturer’s Authorizations for IMPs licence (“</w:t>
      </w:r>
      <w:r>
        <w:rPr>
          <w:rFonts w:ascii="Times New Roman" w:cs="Times New Roman" w:eastAsia="Times New Roman" w:hAnsi="Times New Roman"/>
          <w:sz w:val="20"/>
          <w:szCs w:val="20"/>
          <w:b w:val="1"/>
          <w:bCs w:val="1"/>
          <w:color w:val="auto"/>
        </w:rPr>
        <w:t>MIA(IMP</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440" w:right="339" w:bottom="1440" w:gutter="0" w:footer="0" w:header="0"/>
        </w:sectPr>
      </w:pPr>
    </w:p>
    <w:bookmarkStart w:id="80" w:name="page81"/>
    <w:bookmarkEnd w:id="80"/>
    <w:p>
      <w:pPr>
        <w:jc w:val="both"/>
        <w:ind w:left="660"/>
        <w:spacing w:after="0" w:line="303" w:lineRule="auto"/>
        <w:rPr>
          <w:sz w:val="20"/>
          <w:szCs w:val="20"/>
          <w:color w:val="auto"/>
        </w:rPr>
      </w:pPr>
      <w:r>
        <w:rPr>
          <w:rFonts w:ascii="Times New Roman" w:cs="Times New Roman" w:eastAsia="Times New Roman" w:hAnsi="Times New Roman"/>
          <w:sz w:val="20"/>
          <w:szCs w:val="20"/>
          <w:color w:val="auto"/>
        </w:rPr>
        <w:t>granted by the MHRA. In this scenario, assuming the IMP is manufactured or assembled in the UK, an MIA(IMP) would be required regardless of whether the IMP is for use in clinical trials in the UK, an EEA Member State or a third country (such as the United States or Canada). GMP, GDP and inspection requirements will apply.</w:t>
      </w:r>
    </w:p>
    <w:p>
      <w:pPr>
        <w:spacing w:after="0" w:line="18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Some products fall on the borderline between medicines and other categories of regulate products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Australia</w:t>
      </w:r>
    </w:p>
    <w:p>
      <w:pPr>
        <w:spacing w:after="0" w:line="301"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The Australian regulatory framework for therapeutic goods (i.e. medicines) and clinical trials is overseen by the Therapeutic Goods Administration (the “</w:t>
      </w:r>
      <w:r>
        <w:rPr>
          <w:rFonts w:ascii="Times New Roman" w:cs="Times New Roman" w:eastAsia="Times New Roman" w:hAnsi="Times New Roman"/>
          <w:sz w:val="20"/>
          <w:szCs w:val="20"/>
          <w:b w:val="1"/>
          <w:bCs w:val="1"/>
          <w:color w:val="auto"/>
        </w:rPr>
        <w:t>TGA</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20"/>
          <w:szCs w:val="20"/>
          <w:color w:val="auto"/>
        </w:rPr>
        <w:t>In most cases, the Therapeutic Goods Act 1989 (Cth) (the “</w:t>
      </w:r>
      <w:r>
        <w:rPr>
          <w:rFonts w:ascii="Times New Roman" w:cs="Times New Roman" w:eastAsia="Times New Roman" w:hAnsi="Times New Roman"/>
          <w:sz w:val="20"/>
          <w:szCs w:val="20"/>
          <w:b w:val="1"/>
          <w:bCs w:val="1"/>
          <w:color w:val="auto"/>
        </w:rPr>
        <w:t>TG Act</w:t>
      </w:r>
      <w:r>
        <w:rPr>
          <w:rFonts w:ascii="Times New Roman" w:cs="Times New Roman" w:eastAsia="Times New Roman" w:hAnsi="Times New Roman"/>
          <w:sz w:val="20"/>
          <w:szCs w:val="20"/>
          <w:color w:val="auto"/>
        </w:rPr>
        <w:t>”) requires that medicines must be entered on the Australian Register of Therapeutic Goods before they can be imported into and/or supplied in Australia. However, in some circumstances the TGA permits access to unapproved therapeutic goods as part of clinical trials, or via a prescription from an authorized clinician.</w:t>
      </w:r>
    </w:p>
    <w:p>
      <w:pPr>
        <w:spacing w:after="0" w:line="207" w:lineRule="exact"/>
        <w:rPr>
          <w:sz w:val="20"/>
          <w:szCs w:val="20"/>
          <w:color w:val="auto"/>
        </w:rPr>
      </w:pPr>
    </w:p>
    <w:p>
      <w:pPr>
        <w:jc w:val="both"/>
        <w:spacing w:after="0" w:line="340" w:lineRule="auto"/>
        <w:rPr>
          <w:sz w:val="20"/>
          <w:szCs w:val="20"/>
          <w:color w:val="auto"/>
        </w:rPr>
      </w:pPr>
      <w:r>
        <w:rPr>
          <w:rFonts w:ascii="Times New Roman" w:cs="Times New Roman" w:eastAsia="Times New Roman" w:hAnsi="Times New Roman"/>
          <w:sz w:val="19"/>
          <w:szCs w:val="19"/>
          <w:color w:val="auto"/>
        </w:rPr>
        <w:t>In Australia, the regulations applicable to certain drugs are determined by their classification under the Therapeutic Goods (Poisons Standard —October 2025) Instrument 2025 (Poisons Standard), a legislative instrument made under the TG Act and maintained by the TGA.</w:t>
      </w:r>
    </w:p>
    <w:p>
      <w:pPr>
        <w:spacing w:after="0" w:line="164"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The Poisons Standard is given legal effect and enforced through State and Territory legislation, regulations and instruments across Australia, including:</w:t>
      </w:r>
    </w:p>
    <w:p>
      <w:pPr>
        <w:spacing w:after="0" w:line="187" w:lineRule="exact"/>
        <w:rPr>
          <w:sz w:val="20"/>
          <w:szCs w:val="20"/>
          <w:color w:val="auto"/>
        </w:rPr>
      </w:pPr>
    </w:p>
    <w:p>
      <w:pPr>
        <w:ind w:left="660" w:right="20" w:hanging="328"/>
        <w:spacing w:after="0" w:line="279" w:lineRule="auto"/>
        <w:tabs>
          <w:tab w:leader="none" w:pos="655" w:val="left"/>
        </w:tabs>
        <w:numPr>
          <w:ilvl w:val="0"/>
          <w:numId w:val="56"/>
        </w:numPr>
        <w:rPr>
          <w:rFonts w:ascii="Arial" w:cs="Arial" w:eastAsia="Arial" w:hAnsi="Arial"/>
          <w:sz w:val="22"/>
          <w:szCs w:val="22"/>
          <w:color w:val="auto"/>
        </w:rPr>
      </w:pPr>
      <w:r>
        <w:rPr>
          <w:rFonts w:ascii="Times New Roman" w:cs="Times New Roman" w:eastAsia="Times New Roman" w:hAnsi="Times New Roman"/>
          <w:sz w:val="20"/>
          <w:szCs w:val="20"/>
          <w:color w:val="auto"/>
        </w:rPr>
        <w:t>Australian Capital Territory: Medicines, Poisons and Therapeutic Goods Act 2008 (ACT); Medicines, Poisons and Therapeutic Goods Regulation 2008 (ACT);</w:t>
      </w:r>
    </w:p>
    <w:p>
      <w:pPr>
        <w:spacing w:after="0" w:line="19" w:lineRule="exact"/>
        <w:rPr>
          <w:rFonts w:ascii="Arial" w:cs="Arial" w:eastAsia="Arial" w:hAnsi="Arial"/>
          <w:sz w:val="22"/>
          <w:szCs w:val="22"/>
          <w:color w:val="auto"/>
        </w:rPr>
      </w:pPr>
    </w:p>
    <w:p>
      <w:pPr>
        <w:ind w:left="660" w:hanging="328"/>
        <w:spacing w:after="0"/>
        <w:tabs>
          <w:tab w:leader="none" w:pos="6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New South Wales: Poisons and Therapeutic Goods Act 1966 (NSW); Poisons and Therapeutic Goods Regulation 2008 (NSW);</w:t>
      </w:r>
    </w:p>
    <w:p>
      <w:pPr>
        <w:spacing w:after="0" w:line="44" w:lineRule="exact"/>
        <w:rPr>
          <w:rFonts w:ascii="Times New Roman" w:cs="Times New Roman" w:eastAsia="Times New Roman" w:hAnsi="Times New Roman"/>
          <w:sz w:val="22"/>
          <w:szCs w:val="22"/>
          <w:color w:val="auto"/>
        </w:rPr>
      </w:pPr>
    </w:p>
    <w:p>
      <w:pPr>
        <w:ind w:left="660" w:right="20" w:hanging="328"/>
        <w:spacing w:after="0" w:line="279" w:lineRule="auto"/>
        <w:tabs>
          <w:tab w:leader="none" w:pos="65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Northern Territory: Medicines, Poisons and Therapeutic Goods Act 2012 (NT); Medicines, Poisons and Therapeutic Goods Regulations 2014 (NT);</w:t>
      </w:r>
    </w:p>
    <w:p>
      <w:pPr>
        <w:spacing w:after="0" w:line="19" w:lineRule="exact"/>
        <w:rPr>
          <w:rFonts w:ascii="Times New Roman" w:cs="Times New Roman" w:eastAsia="Times New Roman" w:hAnsi="Times New Roman"/>
          <w:sz w:val="22"/>
          <w:szCs w:val="22"/>
          <w:color w:val="auto"/>
        </w:rPr>
      </w:pPr>
    </w:p>
    <w:p>
      <w:pPr>
        <w:jc w:val="both"/>
        <w:ind w:left="660" w:right="20" w:hanging="328"/>
        <w:spacing w:after="0" w:line="280" w:lineRule="auto"/>
        <w:tabs>
          <w:tab w:leader="none" w:pos="65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Queensland: Medicines and Poisons Act 2019 (Qld); Medicines and Poisons (Poisons and Prohibited Substances) Regulation 2021 (Qld); Medicines and Poisons (Medicines) Regulation 2021 (Qld); Medicines and Poisons (Pest Management Activities) Regulation 2021 (Qld);</w:t>
      </w:r>
    </w:p>
    <w:p>
      <w:pPr>
        <w:spacing w:after="0" w:line="18" w:lineRule="exact"/>
        <w:rPr>
          <w:rFonts w:ascii="Times New Roman" w:cs="Times New Roman" w:eastAsia="Times New Roman" w:hAnsi="Times New Roman"/>
          <w:sz w:val="22"/>
          <w:szCs w:val="22"/>
          <w:color w:val="auto"/>
        </w:rPr>
      </w:pPr>
    </w:p>
    <w:p>
      <w:pPr>
        <w:ind w:left="660" w:hanging="328"/>
        <w:spacing w:after="0" w:line="272" w:lineRule="auto"/>
        <w:tabs>
          <w:tab w:leader="none" w:pos="65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South Australia: Controlled Substances Act 1984 (SA); Controlled Substances (Poisons) Regulations 2011 (SA); Controlled Substances (Controlled Drugs, Precursors and Plants) Regulations 2014 (SA);</w:t>
      </w:r>
    </w:p>
    <w:p>
      <w:pPr>
        <w:spacing w:after="0" w:line="1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Tasmania: Poisons Act 1971 (Tas); Poisons Regulations 2018 (Tas);</w:t>
      </w:r>
    </w:p>
    <w:p>
      <w:pPr>
        <w:spacing w:after="0" w:line="44" w:lineRule="exact"/>
        <w:rPr>
          <w:rFonts w:ascii="Times New Roman" w:cs="Times New Roman" w:eastAsia="Times New Roman" w:hAnsi="Times New Roman"/>
          <w:sz w:val="22"/>
          <w:szCs w:val="22"/>
          <w:color w:val="auto"/>
        </w:rPr>
      </w:pPr>
    </w:p>
    <w:p>
      <w:pPr>
        <w:ind w:left="660" w:hanging="328"/>
        <w:spacing w:after="0" w:line="315" w:lineRule="auto"/>
        <w:tabs>
          <w:tab w:leader="none" w:pos="65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Victoria: Drugs, Poisons and Controlled Substances Act 1981 (Vic) and Drugs, Poisons and Controlled Substances Regulations 2017 (Vic);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4"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Western Australia: Medicines and Poisons Act 2014 (WA); Medicines and Poisons Regulations 2016 (WA).</w:t>
      </w:r>
    </w:p>
    <w:p>
      <w:pPr>
        <w:spacing w:after="0" w:line="27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Schedule 8 of the Poisons Standard lists controlled drugs which are only available for therapeutic use via a prescription for certain indications. These drugs are subject to more stringent controls than other prescription medicines because of the relatively greater risk of misuse. Schedule 9 of the Poisons Standard contains prohibited substances which cannot be used without regulatory approvals (for example, approvals for use in clinical trials) because these substances have been deemed to have a higher risk of abuse, misuse or diversion.</w:t>
      </w:r>
    </w:p>
    <w:p>
      <w:pPr>
        <w:spacing w:after="0" w:line="21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Changes to the Australian regulations applicable to psychedelics were introduced in July 2023. As part of these amendments, psilocybin (in preparations for human therapeutic use for the treatment of treatment-resistant depression) and MDMA (in preparations for human therapeutic use for the treatment of post-traumatic stress disorder) were moved from Schedule 9 to Schedule 8 of the Poisons Standard and are now regulated as controlled drugs (for these specific indications). Psilocybin and MDMA remain in Schedule 9 for all other indications and the importation and supply of psylocibin and MDMA remains highly regulated in Australia.</w:t>
      </w:r>
    </w:p>
    <w:p>
      <w:pPr>
        <w:spacing w:after="0" w:line="22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In Australia, psilocybin can only be supplied by a medical practitioner, who is registered as a specialist psychiatrist in their State or Territory, directly to their patients. The psychiatrist must also have obtained authorization from the TGA under the TGA’s Authorized Prescriber Scheme and a human research ethics committee (the “</w:t>
      </w:r>
      <w:r>
        <w:rPr>
          <w:rFonts w:ascii="Times New Roman" w:cs="Times New Roman" w:eastAsia="Times New Roman" w:hAnsi="Times New Roman"/>
          <w:sz w:val="20"/>
          <w:szCs w:val="20"/>
          <w:b w:val="1"/>
          <w:bCs w:val="1"/>
          <w:color w:val="auto"/>
        </w:rPr>
        <w:t>HREC</w:t>
      </w:r>
      <w:r>
        <w:rPr>
          <w:rFonts w:ascii="Times New Roman" w:cs="Times New Roman" w:eastAsia="Times New Roman" w:hAnsi="Times New Roman"/>
          <w:sz w:val="20"/>
          <w:szCs w:val="20"/>
          <w:color w:val="auto"/>
        </w:rPr>
        <w:t>”) to prescribe psilocybin to patients under their care. Pharmacists can only dispense Schedule 8 psilocybin products directly to a psychiatrist who is authorized by the TGA. Any psilocybin product that is manufactured in, supplied or imported into Australia must also comply with the minimum quality requirements applicable under the Therapeutic Goods (Standard for Psilocybine) (TGO 113) Order 2024.</w:t>
      </w:r>
    </w:p>
    <w:p>
      <w:pPr>
        <w:spacing w:after="0" w:line="205"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Despite the introduction of these changes, any use of psilocybin in a clinical trial must still be approved by, or notified to, the TGA (this process is described in further detail below).</w:t>
      </w:r>
    </w:p>
    <w:p>
      <w:pPr>
        <w:spacing w:after="0" w:line="155" w:lineRule="exact"/>
        <w:rPr>
          <w:sz w:val="20"/>
          <w:szCs w:val="20"/>
          <w:color w:val="auto"/>
        </w:rPr>
      </w:pPr>
    </w:p>
    <w:p>
      <w:pPr>
        <w:jc w:val="both"/>
        <w:spacing w:after="0" w:line="282" w:lineRule="exact"/>
        <w:rPr>
          <w:sz w:val="20"/>
          <w:szCs w:val="20"/>
          <w:color w:val="auto"/>
        </w:rPr>
      </w:pPr>
      <w:r>
        <w:rPr>
          <w:rFonts w:ascii="Times New Roman" w:cs="Times New Roman" w:eastAsia="Times New Roman" w:hAnsi="Times New Roman"/>
          <w:sz w:val="20"/>
          <w:szCs w:val="20"/>
          <w:color w:val="auto"/>
        </w:rPr>
        <w:t>Unlike the prodrug psilocybin, 3</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(2</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DIMETHYLAMINOETHYL)</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4</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HYDROXYINDOLE (i.e., psilocin or psilotsin) and DMT have not been down scheduled and remain prohibited substances under Schedule 9 of the Poisons Standard. The use and supply of these substances is only permitted under the TGA’s Authorized Prescriber Scheme, the Special Access Scheme and clinical trials approved by, or notified to, the TGA.</w:t>
      </w:r>
    </w:p>
    <w:p>
      <w:pPr>
        <w:spacing w:after="0" w:line="25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importation of schedule 9 drugs, including psilocin, is prohibited and the importation an/or supply of a prohibited substance without the relevant approvals is a criminal offence. Approvals must be obtained from the TGA and the Office of Drug Control to import psilocin for the purpose of conducting clinical trials.</w:t>
      </w:r>
    </w:p>
    <w:p>
      <w:pPr>
        <w:spacing w:after="0" w:line="19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Under section 19 of the TG Act, the TGA may grant approval for the importation and/or supply of unapproved therapeutic goods to a clinician for use in the treatment of a patient, or solely for experimental purposes in humans. The Office of Drug Control also regulates the importation of psychotropic substances and a licence must be issued by the Narcotics Control Section in order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440" w:right="339" w:bottom="1440" w:gutter="0" w:footer="0" w:header="0"/>
        </w:sectPr>
      </w:pPr>
    </w:p>
    <w:bookmarkStart w:id="82" w:name="page83"/>
    <w:bookmarkEnd w:id="82"/>
    <w:p>
      <w:pPr>
        <w:jc w:val="both"/>
        <w:spacing w:after="0" w:line="296" w:lineRule="auto"/>
        <w:rPr>
          <w:sz w:val="20"/>
          <w:szCs w:val="20"/>
          <w:color w:val="auto"/>
        </w:rPr>
      </w:pPr>
      <w:r>
        <w:rPr>
          <w:rFonts w:ascii="Times New Roman" w:cs="Times New Roman" w:eastAsia="Times New Roman" w:hAnsi="Times New Roman"/>
          <w:sz w:val="20"/>
          <w:szCs w:val="20"/>
          <w:color w:val="auto"/>
        </w:rPr>
        <w:t>import psilocin into Australia. Individual permits must then be obtained for each consignment of psilocin. Further licences and/or permits must be sought from the State or Territory health authority in the State or Territory in which the trial is to be conducted, in order to manufacture, possess, supply or use schedule 9 drugs for clinical trials. The specific regulations applicable will depend on the State or Territory in which these acts occur.</w:t>
      </w:r>
    </w:p>
    <w:p>
      <w:pPr>
        <w:spacing w:after="0" w:line="22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By way of example, in New South Wales section 17D of the Poisons and Therapeutic Goods Act 1966 (NSW) enables the Secretary of the New South Wales Ministry of Health to authorise a person to manufacture, possess, use or supply a specified Schedule 9 substance (including psilocin and its derivatives, being those derivatives having hallucinogenic properties). The conditions of any authorization obtained in New South Wales can also include additional restrictions on the personnel authorized to psilocin in the trial and further storage, handling and disposal requirements. Meanwhile, in the state of Victoria, an additional licence/permit is also required to import schedule 9 drugs. Clinical trials</w:t>
      </w:r>
    </w:p>
    <w:p>
      <w:pPr>
        <w:spacing w:after="0" w:line="21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All clinical trials conducted in Australia must have a local sponsor (an overseas company cannot be the sponsor of a clinical trial conducted in Australia). The trial sponsor is responsible for the initiation, management and financing of the trial and carries the legal risk arising from the conduct of the trial. The sponsor must also ensure that the use of therapeutic goods in the trial must be in accordance with the Guideline for Good Clinical Practice, the National Statement on Ethical Conduct in Research Involving Humans and the protocol approved by the HREC responsible for monitoring the conduct of the trial.</w:t>
      </w:r>
    </w:p>
    <w:p>
      <w:pPr>
        <w:spacing w:after="0" w:line="22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Clinical trials involving unapproved therapeutic goods, including products containing psilocin, may be conducted in Australia under two schemes: Clinical Trial Notification (the “</w:t>
      </w:r>
      <w:r>
        <w:rPr>
          <w:rFonts w:ascii="Times New Roman" w:cs="Times New Roman" w:eastAsia="Times New Roman" w:hAnsi="Times New Roman"/>
          <w:sz w:val="21"/>
          <w:szCs w:val="21"/>
          <w:b w:val="1"/>
          <w:bCs w:val="1"/>
          <w:color w:val="auto"/>
        </w:rPr>
        <w:t>CTN</w:t>
      </w:r>
      <w:r>
        <w:rPr>
          <w:rFonts w:ascii="Times New Roman" w:cs="Times New Roman" w:eastAsia="Times New Roman" w:hAnsi="Times New Roman"/>
          <w:sz w:val="20"/>
          <w:szCs w:val="20"/>
          <w:color w:val="auto"/>
        </w:rPr>
        <w:t>”) or Clinical Trial Approval (the “</w:t>
      </w:r>
      <w:r>
        <w:rPr>
          <w:rFonts w:ascii="Times New Roman" w:cs="Times New Roman" w:eastAsia="Times New Roman" w:hAnsi="Times New Roman"/>
          <w:sz w:val="21"/>
          <w:szCs w:val="21"/>
          <w:b w:val="1"/>
          <w:bCs w:val="1"/>
          <w:color w:val="auto"/>
        </w:rPr>
        <w:t>CTA</w:t>
      </w:r>
      <w:r>
        <w:rPr>
          <w:rFonts w:ascii="Times New Roman" w:cs="Times New Roman" w:eastAsia="Times New Roman" w:hAnsi="Times New Roman"/>
          <w:sz w:val="20"/>
          <w:szCs w:val="20"/>
          <w:color w:val="auto"/>
        </w:rPr>
        <w:t>”). The Australian clinical trial involving CYB003 was approved through the CTN scheme, obtained clearance from multiple Ethics Committees of the TGA, and the study site Research Governance Offices.</w:t>
      </w:r>
    </w:p>
    <w:p>
      <w:pPr>
        <w:spacing w:after="0" w:line="19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Under the CTN scheme the TGA does not review or evaluate any data relating to clinical trials. All material relating to the proposed trial, including the trial protocol is submitted directly to, and reviewed by the HREC and the site where the trial will be conducted. The CTN scheme can be used where a foreign regulator with comparable regulatory requirements has already approved a clinical trial for an equivalent indication.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clinical trial is deemed to be notified by the TGA, after the CTN form has been submitted to the TGA and the relevant fee has been paid.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Once that occurs, the CTN exemption comes into effect and the trial sponsor can lawfully supply the goods.</w:t>
      </w:r>
    </w:p>
    <w:p>
      <w:pPr>
        <w:spacing w:after="0" w:line="28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Under the CTA scheme, the TGA will review and evaluate relevant, but limited, scientific data (which may be preclinical and early clinical data) prior to the start of a trial. The TGA’s primary responsibility is to review the safety of the product and the HREC is responsible for considering the scientific and ethical issues of the proposed trial protocol. Conduct of a clinical trial under the CTA scheme must also be approved by the responsible HREC.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40"/>
          </w:cols>
          <w:pgMar w:left="320" w:top="1440" w:right="339" w:bottom="1440" w:gutter="0" w:footer="0" w:header="0"/>
        </w:sectPr>
      </w:pPr>
    </w:p>
    <w:bookmarkStart w:id="83" w:name="page84"/>
    <w:bookmarkEnd w:id="83"/>
    <w:p>
      <w:pPr>
        <w:jc w:val="both"/>
        <w:spacing w:after="0" w:line="286" w:lineRule="auto"/>
        <w:rPr>
          <w:sz w:val="20"/>
          <w:szCs w:val="20"/>
          <w:color w:val="auto"/>
        </w:rPr>
      </w:pPr>
      <w:r>
        <w:rPr>
          <w:rFonts w:ascii="Times New Roman" w:cs="Times New Roman" w:eastAsia="Times New Roman" w:hAnsi="Times New Roman"/>
          <w:sz w:val="20"/>
          <w:szCs w:val="20"/>
          <w:color w:val="auto"/>
        </w:rPr>
        <w:t>Throughout the conduct of the trial, sponsors must ensure that any advertisements and promotional materials relating to the trial do not promote the use of unapproved therapeutic goods. However, materials promoting clinical trials directly to clinicians fall outside of these restrictions.</w:t>
      </w:r>
    </w:p>
    <w:p>
      <w:pPr>
        <w:spacing w:after="0" w:line="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Upon the completion of the Australian trial, it will not be possible to make an application to register CYB003 on the Australian Register of Therapeutic Goods because psilocin is currently listed in schedule 9 of the Poisons Standard. However, this may be possible if an application is made to the TGA to change the scheduling of psilocin so that it is removed from Schedule 9 of the Poisons Standard.</w:t>
      </w:r>
    </w:p>
    <w:p>
      <w:pPr>
        <w:spacing w:after="0" w:line="195"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0"/>
          <w:szCs w:val="20"/>
          <w:color w:val="auto"/>
        </w:rPr>
        <w:t>In some circumstances it is possible for clinicians to import and then supply unapproved therapeutic goods, including schedule 9 drugs, to patients. The Special Access Scheme (the “</w:t>
      </w:r>
      <w:r>
        <w:rPr>
          <w:rFonts w:ascii="Times New Roman" w:cs="Times New Roman" w:eastAsia="Times New Roman" w:hAnsi="Times New Roman"/>
          <w:sz w:val="21"/>
          <w:szCs w:val="21"/>
          <w:b w:val="1"/>
          <w:bCs w:val="1"/>
          <w:color w:val="auto"/>
        </w:rPr>
        <w:t>SAS</w:t>
      </w:r>
      <w:r>
        <w:rPr>
          <w:rFonts w:ascii="Times New Roman" w:cs="Times New Roman" w:eastAsia="Times New Roman" w:hAnsi="Times New Roman"/>
          <w:sz w:val="20"/>
          <w:szCs w:val="20"/>
          <w:color w:val="auto"/>
        </w:rPr>
        <w:t>”) permits approved clinicians to prescribe Schedule 9 drugs to individual patients in limited circumstances. Category A of the SAS enables medical practitioners to access unapproved therapeutic goods for a patient who is seriously ill. Clinicians who are unable to access psilocin through the Category A can also seek approval to access psilocin for patients on a case by case basis under Category B of the SAS.</w:t>
      </w:r>
    </w:p>
    <w:p>
      <w:pPr>
        <w:spacing w:after="0" w:line="200"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20"/>
          <w:szCs w:val="20"/>
          <w:color w:val="auto"/>
        </w:rPr>
        <w:t>Meanwhile, medical practitioners who wish to prescribe psilocin to more than one patient can seek to become an authorized prescriber. The medical practitioner must first obtain approval for the proposed use of psilocin from a human research ethics committee (because the TGA does not consider that psilocin has an established history of use) and then make an application to the TGA.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Poland</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manufacture, trade, processing, possession, use and distribution of narcotic drugs, psychotropic substances and new psychoactive substances in Poland are governed primarily by two legal acts: the Act of July 29, 2005 on Counteracting Drug Addiction (the “</w:t>
      </w:r>
      <w:r>
        <w:rPr>
          <w:rFonts w:ascii="Times New Roman" w:cs="Times New Roman" w:eastAsia="Times New Roman" w:hAnsi="Times New Roman"/>
          <w:sz w:val="20"/>
          <w:szCs w:val="20"/>
          <w:b w:val="1"/>
          <w:bCs w:val="1"/>
          <w:color w:val="auto"/>
        </w:rPr>
        <w:t>ACDA</w:t>
      </w:r>
      <w:r>
        <w:rPr>
          <w:rFonts w:ascii="Times New Roman" w:cs="Times New Roman" w:eastAsia="Times New Roman" w:hAnsi="Times New Roman"/>
          <w:sz w:val="20"/>
          <w:szCs w:val="20"/>
          <w:color w:val="auto"/>
        </w:rPr>
        <w:t>”), and the Act of September 6, 2001 the Pharmaceutical Law (the “</w:t>
      </w:r>
      <w:r>
        <w:rPr>
          <w:rFonts w:ascii="Times New Roman" w:cs="Times New Roman" w:eastAsia="Times New Roman" w:hAnsi="Times New Roman"/>
          <w:sz w:val="20"/>
          <w:szCs w:val="20"/>
          <w:b w:val="1"/>
          <w:bCs w:val="1"/>
          <w:color w:val="auto"/>
        </w:rPr>
        <w:t>PLA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Under the ACDA, psychotropic substances are defined as substances of natural or synthetic origin, in pure form or in the form of a preparation, acting on the central nervous system.</w:t>
      </w:r>
    </w:p>
    <w:p>
      <w:pPr>
        <w:spacing w:after="0" w:line="187"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Psychotropic substances are divided into four groups: I-P, II-P, III-P and IV-P. Narcotic drugs are analogously divided into groups I-N to IV-N. The classification is based on the risk of abuse and dependence and the extent of recognised medical use.</w:t>
      </w:r>
    </w:p>
    <w:p>
      <w:pPr>
        <w:spacing w:after="0" w:line="17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According to the ACDA narcotic drugs of groups I-N and II-N and psychotropic substances of groups II-P, III-P and IV-P may only be used for medical, industrial or research purposes. Psychotropic substances of group I-P may be used exclusively for scientific research purposes. This is due to the fact that psychotropic substances classified to group I-P substances are considered the most dangerous, with a high potential for abuse and no accepted medical use under current Polish law.</w:t>
      </w:r>
    </w:p>
    <w:p>
      <w:pPr>
        <w:spacing w:after="0" w:line="207"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20"/>
          <w:szCs w:val="20"/>
          <w:color w:val="auto"/>
        </w:rPr>
        <w:t xml:space="preserve">Psilocybin, psilocin and DMT are strictly controlled substances. According to the Ordinance of the Minister of Health of 17 August </w:t>
      </w:r>
      <w:r>
        <w:rPr>
          <w:rFonts w:ascii="Times New Roman" w:cs="Times New Roman" w:eastAsia="Times New Roman" w:hAnsi="Times New Roman"/>
          <w:sz w:val="21"/>
          <w:szCs w:val="21"/>
          <w:i w:val="1"/>
          <w:iCs w:val="1"/>
          <w:color w:val="auto"/>
        </w:rPr>
        <w:t>2018 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i w:val="1"/>
          <w:iCs w:val="1"/>
          <w:color w:val="auto"/>
        </w:rPr>
        <w:t>the list of psychotropic substances, narcotic drugs and new psychoactive substances (Rozporządzenie Ministra Zdrowia z dnia 17 sierpnia 2018 r. w sprawie wykazu substancji psychotropowych, środków odurzających oraz nowych substancji psychoaktywnych</w:t>
      </w:r>
      <w:r>
        <w:rPr>
          <w:rFonts w:ascii="Times New Roman" w:cs="Times New Roman" w:eastAsia="Times New Roman" w:hAnsi="Times New Roman"/>
          <w:sz w:val="19"/>
          <w:szCs w:val="19"/>
          <w:color w:val="auto"/>
        </w:rPr>
        <w:t>), DMT, psilocin and psilocybin are classified as group I-P psychotropic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440" w:right="339" w:bottom="1440" w:gutter="0" w:footer="0" w:header="0"/>
        </w:sectPr>
      </w:pPr>
    </w:p>
    <w:bookmarkStart w:id="84" w:name="page85"/>
    <w:bookmarkEnd w:id="84"/>
    <w:p>
      <w:pPr>
        <w:jc w:val="both"/>
        <w:spacing w:after="0" w:line="325" w:lineRule="auto"/>
        <w:rPr>
          <w:sz w:val="20"/>
          <w:szCs w:val="20"/>
          <w:color w:val="auto"/>
        </w:rPr>
      </w:pPr>
      <w:r>
        <w:rPr>
          <w:rFonts w:ascii="Times New Roman" w:cs="Times New Roman" w:eastAsia="Times New Roman" w:hAnsi="Times New Roman"/>
          <w:sz w:val="20"/>
          <w:szCs w:val="20"/>
          <w:color w:val="auto"/>
        </w:rPr>
        <w:t>substances. Thus, for any product containing psilocin or any group I-P psychotropic substances to be available for commercial marketing in Poland, such substance must be first reclassified/reassigned to another group.</w:t>
      </w:r>
    </w:p>
    <w:p>
      <w:pPr>
        <w:spacing w:after="0" w:line="17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Only strictly defined entities specified in the ACDA may possess narcotic drugs, psychotropic substances and new psychoactive substances or their preparations, i.e. entrepreneurs holding appropriate permits, scientific institutions, or entities additionally specified in Regulation 273/2004 or Regulation 111/2005. Undertaking activities involving the manufacture, processing, conversion, import, or distribution of narcotic drugs or psychotropic substances requires an appropriate authorization issued by the national authorities. Authorization is also required for the manufacture, processing, or conversion of such substances for the purpose of conducting scientific research by scientific institutions within the scope of their statutory activities, in relation to narcotic drugs of groups I-N, II-N, and IV-N, or psychotropic substances of groups I-P, II-P, III-P, and IV-P. A separate authorization is additionally required for the use of narcotic drugs or psychotropic substances for the purpose of conducting scientific research by scientific institutions within the scope of their statutory activities.</w:t>
      </w:r>
    </w:p>
    <w:p>
      <w:pPr>
        <w:spacing w:after="0" w:line="20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Obtaining the required authorizations involves meeting numerous criteria set out in detail in the ACDA and in the Ordinance of the Minister of Health of 9 November 2015 on the issuance of permits for the manufacture, processing, conversion, import, distribution or use for scientific research purposes of narcotic drugs, psychotropic substances or category 1 precursors (</w:t>
      </w:r>
      <w:r>
        <w:rPr>
          <w:rFonts w:ascii="Times New Roman" w:cs="Times New Roman" w:eastAsia="Times New Roman" w:hAnsi="Times New Roman"/>
          <w:sz w:val="21"/>
          <w:szCs w:val="21"/>
          <w:i w:val="1"/>
          <w:iCs w:val="1"/>
          <w:color w:val="auto"/>
        </w:rPr>
        <w:t>Rozporządzenie Ministra Zdrowia z dnia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i w:val="1"/>
          <w:iCs w:val="1"/>
          <w:color w:val="auto"/>
        </w:rPr>
        <w:t>9 listopada 2015 r. w sprawie wydawania zezwoleń na wytwarzanie, przetwarzanie, przerabianie, przywóz, dystrybucję albo stosowanie w celu prowadzenia badań naukowych środków odurzających, substancji psychotropowych lub prekursorów kategorii 1</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30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criteria include, among others: maintaining adequate procedures and internal control systems, employing a qualified person responsible for supervision of narcotics and psychotropics, ensuring physical security of premises (two-lock doors, alarm system, reinforced windows, safes or fixed metal cabinets), maintaining inventory and turnover records. In the case of conducting scientific research, it is also necessary to:</w:t>
      </w:r>
    </w:p>
    <w:p>
      <w:pPr>
        <w:spacing w:after="0" w:line="215"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define the purpose and scope of the research, as well as the methods for sample preparation and analysis of research results;</w:t>
      </w:r>
    </w:p>
    <w:p>
      <w:pPr>
        <w:spacing w:after="0" w:line="44" w:lineRule="exact"/>
        <w:rPr>
          <w:rFonts w:ascii="Times New Roman" w:cs="Times New Roman" w:eastAsia="Times New Roman" w:hAnsi="Times New Roman"/>
          <w:sz w:val="22"/>
          <w:szCs w:val="22"/>
          <w:color w:val="auto"/>
        </w:rPr>
      </w:pPr>
    </w:p>
    <w:p>
      <w:pPr>
        <w:ind w:left="660" w:hanging="328"/>
        <w:spacing w:after="0" w:line="279" w:lineRule="auto"/>
        <w:tabs>
          <w:tab w:leader="none" w:pos="65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submit to the regulatory authority a copy of the institution’s statute and a commitment to provide copies of any amendments to the statute;</w:t>
      </w:r>
    </w:p>
    <w:p>
      <w:pPr>
        <w:spacing w:after="0" w:line="1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specify the planned start and end dates of the research; and</w:t>
      </w:r>
    </w:p>
    <w:p>
      <w:pPr>
        <w:spacing w:after="0" w:line="44" w:lineRule="exact"/>
        <w:rPr>
          <w:rFonts w:ascii="Times New Roman" w:cs="Times New Roman" w:eastAsia="Times New Roman" w:hAnsi="Times New Roman"/>
          <w:sz w:val="22"/>
          <w:szCs w:val="22"/>
          <w:color w:val="auto"/>
        </w:rPr>
      </w:pPr>
    </w:p>
    <w:p>
      <w:pPr>
        <w:jc w:val="both"/>
        <w:ind w:left="660" w:hanging="328"/>
        <w:spacing w:after="0" w:line="295" w:lineRule="auto"/>
        <w:tabs>
          <w:tab w:leader="none" w:pos="65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the case of manufacture, processing, or conversion of narcotic drugs of groups I-N, II-N, and IV-N or psychotropic substances of groups I-P, II-P, III-P, and IV-P, maintain documentation of technically justified standards for the consumption of raw materials used in the process, as well as the acceptable loss rates at each stage of production.</w:t>
      </w:r>
    </w:p>
    <w:p>
      <w:pPr>
        <w:spacing w:after="0" w:line="20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records of narcotic drugs, psychotropic substances, and precursors must be kept in a way that allows easy tracking of all events and transactions related to them, especially those involving the receipt and release of these substances. A separate control book must be kept for each narcotic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40"/>
          </w:cols>
          <w:pgMar w:left="320" w:top="1440"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0"/>
          <w:szCs w:val="20"/>
          <w:color w:val="auto"/>
        </w:rPr>
        <w:t>psychotropic substance (by group and dosage), recording receipts, issues, stock levels, and remarks. Entries are made by qualified person.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control book is retained for five years from the beginning of the year following the last entry.</w:t>
      </w:r>
    </w:p>
    <w:p>
      <w:pPr>
        <w:spacing w:after="0" w:line="2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Unlawful manufacturing, processing or conversion of narcotic drugs or psychotropic substances is subject to imprisonment for up to three years. In the case of significant quantities of narcotic drugs or psychotropic substances, the perpetrator is liable to a fine and imprisonment for three to 20 years. Narcotic drugs, psychotropic substances, new psychoactive substances, or their preparations, as well as category 1 precursors, possessed without authorization, are subject to seizure by law enforcement or customs authorities in the manner specified in criminal procedure. Sized products are subject to forfeiture of the goods to the benefit of the State Treasury.</w:t>
      </w:r>
    </w:p>
    <w:p>
      <w:pPr>
        <w:spacing w:after="0" w:line="22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color w:val="auto"/>
        </w:rPr>
        <w:t>Clinical (scientific) research involving psychotropic substances is regulated by several legal acts, including the ACDA, the PLA, the Act of March 9, 2023, on clinical trials of medicinal products used in humans, Regulation (EU) No 536/2014 of April 16, 2014, on clinical trials on medicinal products for human use and repealing Directive 2001/20/EC, as well as implementing acts and regulations, including the Ordinance of the Minister of Health of November 9, 2015, on the issuance of permits for the manufacture, processing, conversion, import, distribution, or use for scientific research purposes of narcotic drugs, psychotropic substances, or category 1 precursors. Only entities authorised for this purpose may conduct scientific studies involving psychotropic substances from group I-P, including, for example, universities, scientific institutes and research institutes.</w:t>
      </w:r>
    </w:p>
    <w:p>
      <w:pPr>
        <w:spacing w:after="0" w:line="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Clinical trials involving psychotropic substance are legally possible only as scientific research, and only after obtaining all of the following approvals, including authorisation to use the I-P psychotropic substance for research, positive opinion of a Bioethics Committee, clinical-trial authorisation, as well as all permits required for handling a controlled substance, such as authorizations for manufacture, processing, conversion, import, export, intra-EU acquisition, and intra-EU supply of narcotic drugs and psychotropic substances.</w:t>
      </w:r>
    </w:p>
    <w:p>
      <w:pPr>
        <w:spacing w:after="0" w:line="19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All stages of the study must comply with the Good Clinical Practice (“</w:t>
      </w:r>
      <w:r>
        <w:rPr>
          <w:rFonts w:ascii="Times New Roman" w:cs="Times New Roman" w:eastAsia="Times New Roman" w:hAnsi="Times New Roman"/>
          <w:sz w:val="20"/>
          <w:szCs w:val="20"/>
          <w:b w:val="1"/>
          <w:bCs w:val="1"/>
          <w:color w:val="auto"/>
        </w:rPr>
        <w:t>GCP</w:t>
      </w:r>
      <w:r>
        <w:rPr>
          <w:rFonts w:ascii="Times New Roman" w:cs="Times New Roman" w:eastAsia="Times New Roman" w:hAnsi="Times New Roman"/>
          <w:sz w:val="20"/>
          <w:szCs w:val="20"/>
          <w:color w:val="auto"/>
        </w:rPr>
        <w:t>”) standards, relevant EU and national data protection, pharmacovigilance, and biosafety regulations, and the ethical principles set out in the Declaration of Helsinki. Given the high risk of abuse of group I-P substances, the scientific institution must maintain secure storage conditions (in line with the standards included in the Ordinance of the Minister of Health of November 9, 2015), keep detailed logs of the quantity, source, and use of each psychotropic substance, and report any discrepancies or losses immediately to the competent authorities.</w:t>
      </w:r>
    </w:p>
    <w:p>
      <w:pPr>
        <w:spacing w:after="0" w:line="22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Under the current ACDA, medicinal products containing group I-P substances cannot be granted marketing authorisation, as the use of such substances is permitted only for research purposes. This prohibition effectively prevents them from being included in authorised medicinal products. Obtaining a marketing authorisation would thus require first a reclassification of the substance (from group I-P to II-P or lower). Medicinal products containing psychotropic substances may be authorised and marketed in Poland only if they meet the definition of a medicinal product under the PLA and comply with all ACDA restrictions applicable to controlled substances. According to the PLA, a medicinal product is any substance or combination of substances presented for preventing or treating disease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440" w:right="339" w:bottom="1440" w:gutter="0" w:footer="0" w:header="0"/>
        </w:sectPr>
      </w:pPr>
    </w:p>
    <w:bookmarkStart w:id="86" w:name="page87"/>
    <w:bookmarkEnd w:id="86"/>
    <w:p>
      <w:pPr>
        <w:spacing w:after="0" w:line="325" w:lineRule="auto"/>
        <w:rPr>
          <w:sz w:val="20"/>
          <w:szCs w:val="20"/>
          <w:color w:val="auto"/>
        </w:rPr>
      </w:pPr>
      <w:r>
        <w:rPr>
          <w:rFonts w:ascii="Times New Roman" w:cs="Times New Roman" w:eastAsia="Times New Roman" w:hAnsi="Times New Roman"/>
          <w:sz w:val="20"/>
          <w:szCs w:val="20"/>
          <w:color w:val="auto"/>
        </w:rPr>
        <w:t>humans or animals, or administered with a view to making a diagnosis or restoring, correcting or modifying physiological functions by exerting a pharmacological, immunological or metabolic action.</w:t>
      </w:r>
    </w:p>
    <w:p>
      <w:pPr>
        <w:spacing w:after="0" w:line="174" w:lineRule="exact"/>
        <w:rPr>
          <w:sz w:val="20"/>
          <w:szCs w:val="20"/>
          <w:color w:val="auto"/>
        </w:rPr>
      </w:pPr>
    </w:p>
    <w:p>
      <w:pPr>
        <w:spacing w:after="0" w:line="311" w:lineRule="auto"/>
        <w:rPr>
          <w:sz w:val="20"/>
          <w:szCs w:val="20"/>
          <w:color w:val="auto"/>
        </w:rPr>
      </w:pPr>
      <w:r>
        <w:rPr>
          <w:rFonts w:ascii="Times New Roman" w:cs="Times New Roman" w:eastAsia="Times New Roman" w:hAnsi="Times New Roman"/>
          <w:sz w:val="20"/>
          <w:szCs w:val="20"/>
          <w:color w:val="auto"/>
        </w:rPr>
        <w:t>Marketing authorization of a medicinal product can be obtained through several procedures, depending on the product type and the geographical scope:</w:t>
      </w:r>
    </w:p>
    <w:p>
      <w:pPr>
        <w:spacing w:after="0" w:line="200" w:lineRule="exact"/>
        <w:rPr>
          <w:sz w:val="20"/>
          <w:szCs w:val="20"/>
          <w:color w:val="auto"/>
        </w:rPr>
      </w:pPr>
    </w:p>
    <w:p>
      <w:pPr>
        <w:ind w:left="660" w:right="20" w:hanging="328"/>
        <w:spacing w:after="0" w:line="279" w:lineRule="auto"/>
        <w:tabs>
          <w:tab w:leader="none" w:pos="64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National Procedure – authorization is granted by the national authority - the Office for Registration of Medicinal Products. The authorization is valid only in Poland.</w:t>
      </w:r>
    </w:p>
    <w:p>
      <w:pPr>
        <w:spacing w:after="0" w:line="18" w:lineRule="exact"/>
        <w:rPr>
          <w:rFonts w:ascii="Times New Roman" w:cs="Times New Roman" w:eastAsia="Times New Roman" w:hAnsi="Times New Roman"/>
          <w:sz w:val="20"/>
          <w:szCs w:val="20"/>
          <w:color w:val="auto"/>
        </w:rPr>
      </w:pPr>
    </w:p>
    <w:p>
      <w:pPr>
        <w:ind w:left="660" w:hanging="328"/>
        <w:spacing w:after="0" w:line="281" w:lineRule="auto"/>
        <w:tabs>
          <w:tab w:leader="none" w:pos="655"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Decentralised Procedure – used for products not yet authorized in any EU Member State. The applicant applies simultaneously in several countries, with one acting as the Reference Member State (“</w:t>
      </w:r>
      <w:r>
        <w:rPr>
          <w:rFonts w:ascii="Times New Roman" w:cs="Times New Roman" w:eastAsia="Times New Roman" w:hAnsi="Times New Roman"/>
          <w:sz w:val="20"/>
          <w:szCs w:val="20"/>
          <w:b w:val="1"/>
          <w:bCs w:val="1"/>
          <w:color w:val="auto"/>
        </w:rPr>
        <w:t>RMS</w:t>
      </w:r>
      <w:r>
        <w:rPr>
          <w:rFonts w:ascii="Times New Roman" w:cs="Times New Roman" w:eastAsia="Times New Roman" w:hAnsi="Times New Roman"/>
          <w:sz w:val="20"/>
          <w:szCs w:val="20"/>
          <w:color w:val="auto"/>
        </w:rPr>
        <w:t>”).</w:t>
      </w:r>
    </w:p>
    <w:p>
      <w:pPr>
        <w:spacing w:after="0" w:line="1" w:lineRule="exact"/>
        <w:rPr>
          <w:rFonts w:ascii="Times New Roman" w:cs="Times New Roman" w:eastAsia="Times New Roman" w:hAnsi="Times New Roman"/>
          <w:sz w:val="22"/>
          <w:szCs w:val="22"/>
          <w:color w:val="auto"/>
        </w:rPr>
      </w:pPr>
    </w:p>
    <w:p>
      <w:pPr>
        <w:ind w:left="660" w:right="20" w:hanging="328"/>
        <w:spacing w:after="0" w:line="288" w:lineRule="auto"/>
        <w:tabs>
          <w:tab w:leader="none" w:pos="64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Mutual Recognition Procedure – used when a product is already authorized in one EU Member State. Other countries recognize this authorization based on the RMS assessment.</w:t>
      </w:r>
    </w:p>
    <w:p>
      <w:pPr>
        <w:spacing w:after="0" w:line="1" w:lineRule="exact"/>
        <w:rPr>
          <w:rFonts w:ascii="Times New Roman" w:cs="Times New Roman" w:eastAsia="Times New Roman" w:hAnsi="Times New Roman"/>
          <w:sz w:val="20"/>
          <w:szCs w:val="20"/>
          <w:color w:val="auto"/>
        </w:rPr>
      </w:pPr>
    </w:p>
    <w:p>
      <w:pPr>
        <w:ind w:left="660" w:right="20" w:hanging="328"/>
        <w:spacing w:after="0" w:line="311" w:lineRule="auto"/>
        <w:tabs>
          <w:tab w:leader="none" w:pos="64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Centralised Procedure – conducted by the EMA. Once approved by the European Commission, the authorization is valid across all EU and EFTA countries.</w:t>
      </w:r>
    </w:p>
    <w:p>
      <w:pPr>
        <w:spacing w:after="0" w:line="187"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color w:val="auto"/>
        </w:rPr>
        <w:t>Medicinal products that have obtained a marketing authorisation issued by the President of the Office for Registration of Medicinal Products, Medical Devices and Biocidal Products may be lawfully placed on the market.</w:t>
      </w:r>
    </w:p>
    <w:p>
      <w:pPr>
        <w:spacing w:after="0" w:line="174"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color w:val="auto"/>
        </w:rPr>
        <w:t>The application for a marketing authorization of a medicinal product must include documentation confirming its manufacturing process, quality control, safety, and efficacy. Specifically:</w:t>
      </w:r>
    </w:p>
    <w:p>
      <w:pPr>
        <w:spacing w:after="0" w:line="187"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description of manufacturing process and quality control methods,</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written confirmation of GMP audit for the active substance manufacturer,</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information on storage, dispensing, and disposal, including environmental risk assessment,</w:t>
      </w:r>
    </w:p>
    <w:p>
      <w:pPr>
        <w:spacing w:after="0" w:line="5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results and summaries of pharmaceutical, non-clinical, and clinical studies,</w:t>
      </w:r>
    </w:p>
    <w:p>
      <w:pPr>
        <w:spacing w:after="0" w:line="44" w:lineRule="exact"/>
        <w:rPr>
          <w:rFonts w:ascii="Times New Roman" w:cs="Times New Roman" w:eastAsia="Times New Roman" w:hAnsi="Times New Roman"/>
          <w:sz w:val="22"/>
          <w:szCs w:val="22"/>
          <w:color w:val="auto"/>
        </w:rPr>
      </w:pPr>
    </w:p>
    <w:p>
      <w:pPr>
        <w:ind w:left="660" w:hanging="328"/>
        <w:spacing w:after="0" w:line="279" w:lineRule="auto"/>
        <w:tabs>
          <w:tab w:leader="none" w:pos="65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summary of the pharmacovigilance system, including declarations from the marketing authorization holder and details of the qualified person,</w:t>
      </w:r>
    </w:p>
    <w:p>
      <w:pPr>
        <w:spacing w:after="0" w:line="1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risk management plan for the product’s use,</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ethical compliance statement for clinical trials conducted outside the EU/EFTA,</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expert declarations of qualifications,</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summary of Product Characteristics,</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mock-ups of packaging and patient leaflet, with a readability test report,</w:t>
      </w:r>
    </w:p>
    <w:p>
      <w:pPr>
        <w:spacing w:after="0" w:line="5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copies of authorizations, decisions, and related documents from EU, EFTA, or third countries,</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list of countries where the application is under review, and</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copy of the manufacturing authorization from the production site.</w:t>
      </w:r>
    </w:p>
    <w:p>
      <w:pPr>
        <w:spacing w:after="0" w:line="27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By way of a separate national regulation, the Minister of Health indicates psychoactive substances and their maximum content in medicinal products necessary for effective treatment within the acceptable period of safe treatment for one person. This obligation is intended to limit the dispensing of medicinal products in single sales, with a view to protecting public health and the safety and efficacy of medicinal products, as well as their dosage.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440"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20"/>
          <w:szCs w:val="20"/>
          <w:b w:val="1"/>
          <w:bCs w:val="1"/>
          <w:i w:val="1"/>
          <w:iCs w:val="1"/>
          <w:color w:val="auto"/>
        </w:rPr>
        <w:t>Greece</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Company’s development activities in Greece relate to its multinational pivotal clinical program evaluating CYB003 for the adjunctive treatment of major depressive disorder (EMBRACE). The Company has received European approval to initiate the EMBRACE study in selected EU Member States, including Greece, and will conduct any activities in Greece in accordance with applicable EU and Greek legal and regulatory frameworks governing investigational medicinal products and controlled substances.</w:t>
      </w:r>
    </w:p>
    <w:p>
      <w:pPr>
        <w:spacing w:after="0" w:line="20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In Greece, controlled substances are regulated under national legislation implementing the UN Single Convention on Narcotic Drugs (1961), the UN Convention on Psychotropic Substances (1971) and related EU law, including Greek Law 4139/2013 on addictive substances and Presidential Decree 148/2007 (codification of provisions of national drugs legislation). Psilocin as a controlled substance is subject to strict prohibitions on manufacture, possession, distribution, import and export, unless expressly authorized for scientific or very limited medical purposes by duly authorized persons or entities, operating under licence and subject to stringent security, recordkeeping and oversight requirements. Licensing and enforcement responsibilities are shared between the Ministry of Health (Department for Narcotic and Psychotropic Substances) and the Greek National Organization for Medicines (the “</w:t>
      </w:r>
      <w:r>
        <w:rPr>
          <w:rFonts w:ascii="Times New Roman" w:cs="Times New Roman" w:eastAsia="Times New Roman" w:hAnsi="Times New Roman"/>
          <w:sz w:val="20"/>
          <w:szCs w:val="20"/>
          <w:b w:val="1"/>
          <w:bCs w:val="1"/>
          <w:color w:val="auto"/>
        </w:rPr>
        <w:t>EOF</w:t>
      </w:r>
      <w:r>
        <w:rPr>
          <w:rFonts w:ascii="Times New Roman" w:cs="Times New Roman" w:eastAsia="Times New Roman" w:hAnsi="Times New Roman"/>
          <w:sz w:val="20"/>
          <w:szCs w:val="20"/>
          <w:color w:val="auto"/>
        </w:rPr>
        <w:t>”). As an EU Member State, Greece applies Regulation (EU) No. 536/2014 on clinical trials of medicinal products for human use (the Clinical Trials Regulation; “CTR”), including the Clinical Trials Information System for submissions, supervision and transparency. The EOF and the competent National Ethics Committee are responsible, within their respective remits, for authorization and ethical review of clinical trials conducted in Greece.</w:t>
      </w:r>
    </w:p>
    <w:p>
      <w:pPr>
        <w:spacing w:after="0" w:line="22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Clinical trials in Greece involving controlled substances require all standard clinical trial approvals under the EU Clinical Trials Regulation, together with any specific national licences and permits applicable to the handling, storage, receipt, use, transport, import and export of the relevant controlled substances at trial sites and other facilities involved in the conduct of the study. Compliance includes, among other obligations, appropriate physical security, access controls, inventory reconciliation, documentation and retention, diversion prevention and incident reporting. Additionally, import and export of controlled substances are subject to prior authorization and documentation by the competent authorities pursuant to Law 4139/2013 and the relevant codified provisions under Presidential Decree 148/2007, as well as the requirements of the exporting and importing jurisdictions.</w:t>
      </w:r>
    </w:p>
    <w:p>
      <w:pPr>
        <w:spacing w:after="0" w:line="20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Cybin does not itself manufacture, handle or distribute controlled substances in Greece. The Company sponsors and oversees clinical research conducted by licensed third-party institutions and clinical sites, that are responsible for obtaining and maintaining all applicable Greek licences, permits and authorizations for controlled substances and investigational medicinal products, and for ensuring site-level compliance with the Clinical Trials Regulation, current GCP standards, and Greek controlled drug requirements under Law 4139/2013, including security, storage, documentation, and reporting obligations. Cybin continues to monitor compliance through its quality and clinical governance systems and relies on contractual undertakings, ongoing oversight, and representations and warranties from its partners and vendors with respect to regulatory compliance.</w:t>
      </w:r>
    </w:p>
    <w:p>
      <w:pPr>
        <w:spacing w:after="0" w:line="204"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20"/>
          <w:szCs w:val="20"/>
          <w:color w:val="auto"/>
        </w:rPr>
        <w:t>Any future commercialization of the CYB003 product would require marketing authorization (“</w:t>
      </w:r>
      <w:r>
        <w:rPr>
          <w:rFonts w:ascii="Times New Roman" w:cs="Times New Roman" w:eastAsia="Times New Roman" w:hAnsi="Times New Roman"/>
          <w:sz w:val="20"/>
          <w:szCs w:val="20"/>
          <w:b w:val="1"/>
          <w:bCs w:val="1"/>
          <w:color w:val="auto"/>
        </w:rPr>
        <w:t>MA</w:t>
      </w:r>
      <w:r>
        <w:rPr>
          <w:rFonts w:ascii="Times New Roman" w:cs="Times New Roman" w:eastAsia="Times New Roman" w:hAnsi="Times New Roman"/>
          <w:sz w:val="20"/>
          <w:szCs w:val="20"/>
          <w:color w:val="auto"/>
        </w:rPr>
        <w:t>”) and continued compliance with applicable controlled-substance controls, pharmacovigilance,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40"/>
          </w:cols>
          <w:pgMar w:left="320" w:top="1436" w:right="339" w:bottom="1440" w:gutter="0" w:footer="0" w:header="0"/>
        </w:sectPr>
      </w:pPr>
    </w:p>
    <w:bookmarkStart w:id="88" w:name="page89"/>
    <w:bookmarkEnd w:id="88"/>
    <w:p>
      <w:pPr>
        <w:jc w:val="both"/>
        <w:spacing w:after="0" w:line="296" w:lineRule="auto"/>
        <w:rPr>
          <w:sz w:val="20"/>
          <w:szCs w:val="20"/>
          <w:color w:val="auto"/>
        </w:rPr>
      </w:pPr>
      <w:r>
        <w:rPr>
          <w:rFonts w:ascii="Times New Roman" w:cs="Times New Roman" w:eastAsia="Times New Roman" w:hAnsi="Times New Roman"/>
          <w:sz w:val="20"/>
          <w:szCs w:val="20"/>
          <w:color w:val="auto"/>
        </w:rPr>
        <w:t>labelling, GDP/GMP and other requirements. Pharmaceutical products in Greece are regulated primarily under the EU and national frameworks implementing Directive 2001/83/EC and Regulation No. 726/2004. Products authorized through the EU centralized procedure receive a single marketing authorization issued by the European Commission, which is automatically valid in all EU Member States, including Greece.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While the centralized MA permits marketing throughout the EU, national-level compliance obligations remain in place, including:</w:t>
      </w:r>
    </w:p>
    <w:p>
      <w:pPr>
        <w:spacing w:after="0" w:line="297"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22"/>
          <w:szCs w:val="22"/>
          <w:color w:val="auto"/>
        </w:rPr>
      </w:pPr>
      <w:r>
        <w:rPr>
          <w:rFonts w:ascii="Times New Roman" w:cs="Times New Roman" w:eastAsia="Times New Roman" w:hAnsi="Times New Roman"/>
          <w:sz w:val="20"/>
          <w:szCs w:val="20"/>
          <w:color w:val="auto"/>
        </w:rPr>
        <w:t>Pricing and reimbursement procedures overseen by the Ministry of Health and EOF;</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Notification to EOF prior to product launch in the national market;</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Pharmacovigilance and safety reporting obligations in accordance with Regulation (EU) No. 1235/2010 and Directive 2010/84/EU;</w:t>
      </w:r>
    </w:p>
    <w:p>
      <w:pPr>
        <w:spacing w:after="0" w:line="5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GMP and GDP requirements, implemented through Greek secondary legislation (Ministerial Decision ΔΥΓ3α/Γ.Π. 32221/2013);</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Greek-language labelling and patient information leaflet requirements; and</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Restrictions on advertising and promotion, as applicable.</w:t>
      </w:r>
    </w:p>
    <w:p>
      <w:pPr>
        <w:spacing w:after="0" w:line="27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For centrally authorized medicinal products containing controlled substances, additional Greek licensing and notification requirements apply for importation, distribution, and storage, consistent with the national controlled substance framework under Law 4139/2013. EOF may require confirmation of appropriate site licences prior to allowing local supply chain activities. To be noted that changes to Greek or EU legislation, regulations, scheduling or enforcement priorities could increase compliance burdens, delay clinical timelines, or adversely affect the Company’s operations in Greece.</w:t>
      </w:r>
    </w:p>
    <w:p>
      <w:pPr>
        <w:spacing w:after="0" w:line="20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As of the date of this MD&amp;A, the Company is in compliance with applicable EU and Greek laws and the related licensing frameworks, as they pertain to the Company’s activities in Greece conducted through authorized third parties. The Company and, to its knowledge, its third party researchers and suppliers have not received any notices of violation that may have a material impact on the Company’s licences, business activities or operations in Greece.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Ireland</w:t>
      </w:r>
    </w:p>
    <w:p>
      <w:pPr>
        <w:spacing w:after="0" w:line="28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 xml:space="preserve">In Ireland, psilocin is a controlled substance under the </w:t>
      </w:r>
      <w:r>
        <w:rPr>
          <w:rFonts w:ascii="Times New Roman" w:cs="Times New Roman" w:eastAsia="Times New Roman" w:hAnsi="Times New Roman"/>
          <w:sz w:val="20"/>
          <w:szCs w:val="20"/>
          <w:i w:val="1"/>
          <w:iCs w:val="1"/>
          <w:color w:val="auto"/>
        </w:rPr>
        <w:t>Misuse of Drugs Act, 1977, 1984 and 2015</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Ireland MDA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i w:val="1"/>
          <w:iCs w:val="1"/>
          <w:color w:val="auto"/>
        </w:rPr>
        <w:t>Misuse of Drugs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Regulations 2017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Ireland MDR</w:t>
      </w:r>
      <w:r>
        <w:rPr>
          <w:rFonts w:ascii="Times New Roman" w:cs="Times New Roman" w:eastAsia="Times New Roman" w:hAnsi="Times New Roman"/>
          <w:sz w:val="20"/>
          <w:szCs w:val="20"/>
          <w:color w:val="auto"/>
        </w:rPr>
        <w:t>”) and the</w:t>
      </w:r>
      <w:r>
        <w:rPr>
          <w:rFonts w:ascii="Times New Roman" w:cs="Times New Roman" w:eastAsia="Times New Roman" w:hAnsi="Times New Roman"/>
          <w:sz w:val="20"/>
          <w:szCs w:val="20"/>
          <w:i w:val="1"/>
          <w:iCs w:val="1"/>
          <w:color w:val="auto"/>
        </w:rPr>
        <w:t xml:space="preserve"> Criminal Justice (Psychoactive Substances) Act 2010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2010 Act</w:t>
      </w:r>
      <w:r>
        <w:rPr>
          <w:rFonts w:ascii="Times New Roman" w:cs="Times New Roman" w:eastAsia="Times New Roman" w:hAnsi="Times New Roman"/>
          <w:sz w:val="20"/>
          <w:szCs w:val="20"/>
          <w:color w:val="auto"/>
        </w:rPr>
        <w:t>”). These are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primary legislative instruments which govern controlled substances in Ireland. This legislation regulates the use, possession, supply, licensing, and administration of listed scheduled substances and establishes the offences and penalties for infringement of the legislation.</w:t>
      </w:r>
    </w:p>
    <w:p>
      <w:pPr>
        <w:spacing w:after="0" w:line="21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Any substance, product or preparation (whether natural or otherwise) including a fungus of any kind or description, which contains psilocin or an ester of psilocin is classed as a Schedule 1 controlled substance under the Ireland MDA and the Ireland MDR. Accordingly, psilocin is subject to the strict regime of control that applies.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440" w:right="339" w:bottom="1440" w:gutter="0" w:footer="0" w:header="0"/>
        </w:sectPr>
      </w:pPr>
    </w:p>
    <w:bookmarkStart w:id="89" w:name="page90"/>
    <w:bookmarkEnd w:id="89"/>
    <w:p>
      <w:pPr>
        <w:spacing w:after="0" w:line="24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As a Schedule 1 controlled substance under the Ireland MDA, unlawful manufacturing, production, preparation, importation, exportation, supply, or distribution of psilocin carries onerous obligations and harsh punishments for contravention; this includes prohibition orders, closure orders, fines and/or terms of imprisonment of up to 14 years. The Gardaí and Customs officials are granted powers to search persons, vehicles, premises and postal packages suspected of possessing/containing a Schedule 1 controlled substance and/or a psychoactive substance for human consumption.</w:t>
      </w:r>
    </w:p>
    <w:p>
      <w:pPr>
        <w:spacing w:after="0" w:line="20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Pursuant to section 14 of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 Further, the 2010 Act permits the Minister to make an order declaring that the Act shall not apply in relation to any “substance, product, preparation, plant, fungus or natural organism” as specified in the order.</w:t>
      </w:r>
    </w:p>
    <w:p>
      <w:pPr>
        <w:spacing w:after="0" w:line="205"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The Irish Government’s Legislative Programme for Autumn 2025 does not contain any proposed amendments to the above-mentioned legislation which currently govern controlled substances.</w:t>
      </w:r>
    </w:p>
    <w:p>
      <w:pPr>
        <w:spacing w:after="0" w:line="17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has received European Clinical Trial Application approval to initiate the EMBRACE study in Ireland and, as such, will have to abide by the regulations governing clinical trials in Ireland. EU Regulation 536/2014 (the “</w:t>
      </w:r>
      <w:r>
        <w:rPr>
          <w:rFonts w:ascii="Times New Roman" w:cs="Times New Roman" w:eastAsia="Times New Roman" w:hAnsi="Times New Roman"/>
          <w:sz w:val="20"/>
          <w:szCs w:val="20"/>
          <w:b w:val="1"/>
          <w:bCs w:val="1"/>
          <w:color w:val="auto"/>
        </w:rPr>
        <w:t>CTR</w:t>
      </w:r>
      <w:r>
        <w:rPr>
          <w:rFonts w:ascii="Times New Roman" w:cs="Times New Roman" w:eastAsia="Times New Roman" w:hAnsi="Times New Roman"/>
          <w:sz w:val="20"/>
          <w:szCs w:val="20"/>
          <w:color w:val="auto"/>
        </w:rPr>
        <w:t>”) is implemented in Ireland via the EU (Clinical Trials on Medicinal Products for Human Use) (Principal) Regulations 2022 (S.I. No. 99 of 2022), the EU (Clinical Trials on Medicinal Products for Human Use) (National Research Ethics Committees) Regulations 2022 (S.I. No. 41 of 2022), and the EU (Clinical Trials on Medicinal Products for Human Use) Regulations 2022 (S.I. No. 40 of 2022), (together, the “2022 Regulations”).</w:t>
      </w:r>
    </w:p>
    <w:p>
      <w:pPr>
        <w:spacing w:after="0" w:line="20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Clinical trials taking place in Ireland must be conducted in accordance with the CTR, the 2022 Regulations, the Declaration of Helsinki, clinical trial authorization (which has been granted), CT protocol(s), any accompanying documentation relevant to the clinical trial and the conditions and principles of good clinical practice. The manufacturing and importation of an investigational medicinal product in Ireland requires a manufacturer’s authorisation.</w:t>
      </w:r>
    </w:p>
    <w:p>
      <w:pPr>
        <w:spacing w:after="0" w:line="20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Schedule 1 controlled substances can be used for “research, forensic analysis or use as an essential intermediate or starting material in an industrial manufacturing process” once a Ministerial licence under section 14 of the MDA has been obtained. Where the controlled substance is so licensed and the</w:t>
      </w:r>
    </w:p>
    <w:p>
      <w:pPr>
        <w:jc w:val="both"/>
        <w:spacing w:after="0" w:line="311" w:lineRule="auto"/>
        <w:rPr>
          <w:sz w:val="20"/>
          <w:szCs w:val="20"/>
          <w:color w:val="auto"/>
        </w:rPr>
      </w:pPr>
      <w:r>
        <w:rPr>
          <w:rFonts w:ascii="Times New Roman" w:cs="Times New Roman" w:eastAsia="Times New Roman" w:hAnsi="Times New Roman"/>
          <w:sz w:val="20"/>
          <w:szCs w:val="20"/>
          <w:color w:val="auto"/>
        </w:rPr>
        <w:t>proposed trial is fully compliant with the CTR and the 2022 Regulations, it is possible for a Schedule 1 controlled substance to be used in clinical trials in Ireland.</w:t>
      </w:r>
    </w:p>
    <w:p>
      <w:pPr>
        <w:spacing w:after="0" w:line="1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clinical trial sponsor (i.e., the Company) must also upload the clinical trial protocol, the investigator’s brochure, the assessment report and any inspection reports to the EU-wide Clinical Trials Information System (“</w:t>
      </w:r>
      <w:r>
        <w:rPr>
          <w:rFonts w:ascii="Times New Roman" w:cs="Times New Roman" w:eastAsia="Times New Roman" w:hAnsi="Times New Roman"/>
          <w:sz w:val="20"/>
          <w:szCs w:val="20"/>
          <w:b w:val="1"/>
          <w:bCs w:val="1"/>
          <w:color w:val="auto"/>
        </w:rPr>
        <w:t>CTIS</w:t>
      </w:r>
      <w:r>
        <w:rPr>
          <w:rFonts w:ascii="Times New Roman" w:cs="Times New Roman" w:eastAsia="Times New Roman" w:hAnsi="Times New Roman"/>
          <w:sz w:val="20"/>
          <w:szCs w:val="20"/>
          <w:color w:val="auto"/>
        </w:rPr>
        <w:t>”). Personal and commercially sensitive/confidential information may be redacted from these documents prior to upload as once they are posted to the CTIS they will be publicly available on the CTIS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44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0"/>
          <w:szCs w:val="20"/>
          <w:b w:val="1"/>
          <w:bCs w:val="1"/>
          <w:i w:val="1"/>
          <w:iCs w:val="1"/>
          <w:color w:val="auto"/>
        </w:rPr>
        <w:t>Canada</w:t>
      </w:r>
    </w:p>
    <w:p>
      <w:pPr>
        <w:spacing w:after="0" w:line="3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In Canada, oversight of healthcare is divided between the federal and provincial governments. The federal government is responsible for regulating, among other things, the approval, import, sale, and marketing of drugs such as psilocin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21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 xml:space="preserve">Certain psychoactive compounds, such as psilocin, are considered controlled substances under Schedule III of the </w:t>
      </w:r>
      <w:r>
        <w:rPr>
          <w:rFonts w:ascii="Times New Roman" w:cs="Times New Roman" w:eastAsia="Times New Roman" w:hAnsi="Times New Roman"/>
          <w:sz w:val="20"/>
          <w:szCs w:val="20"/>
          <w:i w:val="1"/>
          <w:iCs w:val="1"/>
          <w:color w:val="auto"/>
        </w:rPr>
        <w:t>Controlled Drugs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Substances Act </w:t>
      </w:r>
      <w:r>
        <w:rPr>
          <w:rFonts w:ascii="Times New Roman" w:cs="Times New Roman" w:eastAsia="Times New Roman" w:hAnsi="Times New Roman"/>
          <w:sz w:val="20"/>
          <w:szCs w:val="20"/>
          <w:color w:val="auto"/>
        </w:rPr>
        <w:t>(Canada) (the “</w:t>
      </w:r>
      <w:r>
        <w:rPr>
          <w:rFonts w:ascii="Times New Roman" w:cs="Times New Roman" w:eastAsia="Times New Roman" w:hAnsi="Times New Roman"/>
          <w:sz w:val="20"/>
          <w:szCs w:val="20"/>
          <w:b w:val="1"/>
          <w:bCs w:val="1"/>
          <w:color w:val="auto"/>
        </w:rPr>
        <w:t>CDSA</w:t>
      </w:r>
      <w:r>
        <w:rPr>
          <w:rFonts w:ascii="Times New Roman" w:cs="Times New Roman" w:eastAsia="Times New Roman" w:hAnsi="Times New Roman"/>
          <w:sz w:val="20"/>
          <w:szCs w:val="20"/>
          <w:color w:val="auto"/>
        </w:rPr>
        <w:t>”). In order to conduct any scientific research, including preclinical and clinical trials, using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psychoactive compounds listed as controlled substances under the CDSA, an exemption under Section 56 of the CDSA (“</w:t>
      </w:r>
      <w:r>
        <w:rPr>
          <w:rFonts w:ascii="Times New Roman" w:cs="Times New Roman" w:eastAsia="Times New Roman" w:hAnsi="Times New Roman"/>
          <w:sz w:val="20"/>
          <w:szCs w:val="20"/>
          <w:b w:val="1"/>
          <w:bCs w:val="1"/>
          <w:color w:val="auto"/>
        </w:rPr>
        <w:t>Section 56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Exemption</w:t>
      </w:r>
      <w:r>
        <w:rPr>
          <w:rFonts w:ascii="Times New Roman" w:cs="Times New Roman" w:eastAsia="Times New Roman" w:hAnsi="Times New Roman"/>
          <w:sz w:val="20"/>
          <w:szCs w:val="20"/>
          <w:color w:val="auto"/>
        </w:rPr>
        <w:t>”) is required.</w:t>
      </w:r>
    </w:p>
    <w:p>
      <w:pPr>
        <w:spacing w:after="0" w:line="202"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9"/>
          <w:szCs w:val="19"/>
          <w:color w:val="auto"/>
        </w:rPr>
        <w:t>Health Canada has not approved psilocin as a drug for any indication. However, there are legal routes through which psilocin may be accessed for medical or scientific purposes. The Canadian Minister of Health can grant exemptions under section 56 of the CDSA to use controlled substances if it is deemed to be necessary for a medical or scientific purpose or is otherwise in the public interest. The Company has not applied for a Section 56 Exemption from Health Canada. Health Canada’s Special Access Program (“</w:t>
      </w:r>
      <w:r>
        <w:rPr>
          <w:rFonts w:ascii="Times New Roman" w:cs="Times New Roman" w:eastAsia="Times New Roman" w:hAnsi="Times New Roman"/>
          <w:sz w:val="19"/>
          <w:szCs w:val="19"/>
          <w:b w:val="1"/>
          <w:bCs w:val="1"/>
          <w:color w:val="auto"/>
        </w:rPr>
        <w:t>SAP</w:t>
      </w:r>
      <w:r>
        <w:rPr>
          <w:rFonts w:ascii="Times New Roman" w:cs="Times New Roman" w:eastAsia="Times New Roman" w:hAnsi="Times New Roman"/>
          <w:sz w:val="19"/>
          <w:szCs w:val="19"/>
          <w:color w:val="auto"/>
        </w:rPr>
        <w:t>”) was designed to provide Canadians to access certain restricted drugs before 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psilocin through the SAP. The Company has not applied for access under the SAP.</w:t>
      </w:r>
    </w:p>
    <w:p>
      <w:pPr>
        <w:spacing w:after="0" w:line="19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psilocin cannot be made, transported or sold 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(Controlled Drugs and Substances Act, Food and Drugs Regulations) and subject to any restrictions placed on the licence by Health Canada, an entity with a Dealer’s Licence may produce, assemble, sell, provide, transport, send, deliver, import or export a restricted drug (as listed in Part J in the Food and Drugs Regulations – which includes psilocybin and psilocin) (see s. J.01.009 (1) of the Food and Drug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40"/>
          </w:cols>
          <w:pgMar w:left="320" w:top="1436" w:right="339" w:bottom="1440" w:gutter="0" w:footer="0" w:header="0"/>
        </w:sectPr>
      </w:pPr>
    </w:p>
    <w:bookmarkStart w:id="91" w:name="page92"/>
    <w:bookmarkEnd w:id="91"/>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intends to sponsor and work with licensed third parties to conduct any clinical trials and research and does not handle controlled substances. If the Company were to conduct this work without the reliance on third parties, it would need to obtain additional licences and approvals described above.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Research and Development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process required before a prescription drug product candidate may be marketed in Canada generally involves:</w:t>
      </w:r>
    </w:p>
    <w:p>
      <w:pPr>
        <w:spacing w:after="0" w:line="293" w:lineRule="exact"/>
        <w:rPr>
          <w:sz w:val="20"/>
          <w:szCs w:val="20"/>
          <w:color w:val="auto"/>
        </w:rPr>
      </w:pPr>
    </w:p>
    <w:p>
      <w:pPr>
        <w:ind w:left="660" w:hanging="328"/>
        <w:spacing w:after="0" w:line="305" w:lineRule="auto"/>
        <w:tabs>
          <w:tab w:leader="none" w:pos="628" w:val="left"/>
        </w:tabs>
        <w:numPr>
          <w:ilvl w:val="0"/>
          <w:numId w:val="62"/>
        </w:numPr>
        <w:rPr>
          <w:rFonts w:ascii="Arial" w:cs="Arial" w:eastAsia="Arial" w:hAnsi="Arial"/>
          <w:sz w:val="22"/>
          <w:szCs w:val="22"/>
          <w:color w:val="auto"/>
        </w:rPr>
      </w:pPr>
      <w:r>
        <w:rPr>
          <w:rFonts w:ascii="Times New Roman" w:cs="Times New Roman" w:eastAsia="Times New Roman" w:hAnsi="Times New Roman"/>
          <w:sz w:val="20"/>
          <w:szCs w:val="20"/>
          <w:i w:val="1"/>
          <w:iCs w:val="1"/>
          <w:color w:val="auto"/>
        </w:rPr>
        <w:t xml:space="preserve">Chemical and Biological Research – </w:t>
      </w:r>
      <w:r>
        <w:rPr>
          <w:rFonts w:ascii="Times New Roman" w:cs="Times New Roman" w:eastAsia="Times New Roman" w:hAnsi="Times New Roman"/>
          <w:sz w:val="20"/>
          <w:szCs w:val="20"/>
          <w:color w:val="auto"/>
        </w:rPr>
        <w:t>Laboratory tests are carried out on tissue cultures and with a variety of small animals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determine the effects of the drug. If the results are promising, the manufacturer will proceed to the next step of development.</w:t>
      </w:r>
    </w:p>
    <w:p>
      <w:pPr>
        <w:spacing w:after="0" w:line="209" w:lineRule="exact"/>
        <w:rPr>
          <w:rFonts w:ascii="Arial" w:cs="Arial" w:eastAsia="Arial" w:hAnsi="Arial"/>
          <w:sz w:val="22"/>
          <w:szCs w:val="22"/>
          <w:color w:val="auto"/>
        </w:rPr>
      </w:pPr>
    </w:p>
    <w:p>
      <w:pPr>
        <w:ind w:left="660" w:hanging="328"/>
        <w:spacing w:after="0" w:line="305" w:lineRule="auto"/>
        <w:tabs>
          <w:tab w:leader="none" w:pos="628" w:val="left"/>
        </w:tabs>
        <w:numPr>
          <w:ilvl w:val="0"/>
          <w:numId w:val="62"/>
        </w:numPr>
        <w:rPr>
          <w:rFonts w:ascii="Arial" w:cs="Arial" w:eastAsia="Arial" w:hAnsi="Arial"/>
          <w:sz w:val="22"/>
          <w:szCs w:val="22"/>
          <w:color w:val="auto"/>
        </w:rPr>
      </w:pPr>
      <w:r>
        <w:rPr>
          <w:rFonts w:ascii="Times New Roman" w:cs="Times New Roman" w:eastAsia="Times New Roman" w:hAnsi="Times New Roman"/>
          <w:sz w:val="20"/>
          <w:szCs w:val="20"/>
          <w:i w:val="1"/>
          <w:iCs w:val="1"/>
          <w:color w:val="auto"/>
        </w:rPr>
        <w:t xml:space="preserve">Preclinical Development – </w:t>
      </w:r>
      <w:r>
        <w:rPr>
          <w:rFonts w:ascii="Times New Roman" w:cs="Times New Roman" w:eastAsia="Times New Roman" w:hAnsi="Times New Roman"/>
          <w:sz w:val="20"/>
          <w:szCs w:val="20"/>
          <w:color w:val="auto"/>
        </w:rPr>
        <w:t>Animals are given the drug in varying amounts over differing periods of time. If it can be shown that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drug causes no serious or unexpected harm at the doses required to have an effect, the manufacturer will proceed to clinical trials.</w:t>
      </w:r>
    </w:p>
    <w:p>
      <w:pPr>
        <w:spacing w:after="0" w:line="182" w:lineRule="exact"/>
        <w:rPr>
          <w:rFonts w:ascii="Arial" w:cs="Arial" w:eastAsia="Arial" w:hAnsi="Arial"/>
          <w:sz w:val="22"/>
          <w:szCs w:val="22"/>
          <w:color w:val="auto"/>
        </w:rPr>
      </w:pPr>
    </w:p>
    <w:p>
      <w:pPr>
        <w:ind w:left="620" w:hanging="288"/>
        <w:spacing w:after="0"/>
        <w:tabs>
          <w:tab w:leader="none" w:pos="620" w:val="left"/>
        </w:tabs>
        <w:numPr>
          <w:ilvl w:val="0"/>
          <w:numId w:val="62"/>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 xml:space="preserve">Clinical Trials – Phase 1 - </w:t>
      </w:r>
      <w:r>
        <w:rPr>
          <w:rFonts w:ascii="Times New Roman" w:cs="Times New Roman" w:eastAsia="Times New Roman" w:hAnsi="Times New Roman"/>
          <w:sz w:val="19"/>
          <w:szCs w:val="19"/>
          <w:color w:val="auto"/>
        </w:rPr>
        <w:t>The first administration in humans is to test if people can tolerate the drug. If this testing is to take place in</w:t>
      </w:r>
    </w:p>
    <w:p>
      <w:pPr>
        <w:spacing w:after="0" w:line="68" w:lineRule="exact"/>
        <w:rPr>
          <w:rFonts w:ascii="Arial" w:cs="Arial" w:eastAsia="Arial" w:hAnsi="Arial"/>
          <w:sz w:val="19"/>
          <w:szCs w:val="19"/>
          <w:color w:val="auto"/>
        </w:rPr>
      </w:pPr>
    </w:p>
    <w:p>
      <w:pPr>
        <w:jc w:val="both"/>
        <w:ind w:left="660"/>
        <w:spacing w:after="0" w:line="296" w:lineRule="auto"/>
        <w:rPr>
          <w:rFonts w:ascii="Arial" w:cs="Arial" w:eastAsia="Arial" w:hAnsi="Arial"/>
          <w:sz w:val="19"/>
          <w:szCs w:val="19"/>
          <w:color w:val="auto"/>
        </w:rPr>
      </w:pPr>
      <w:r>
        <w:rPr>
          <w:rFonts w:ascii="Times New Roman" w:cs="Times New Roman" w:eastAsia="Times New Roman" w:hAnsi="Times New Roman"/>
          <w:sz w:val="20"/>
          <w:szCs w:val="20"/>
          <w:color w:val="auto"/>
        </w:rPr>
        <w:t>Canada, the manufacturer must prepare a clinical trial application for the Therapeutic Products Directorate of Health Canada (the “</w:t>
      </w:r>
      <w:r>
        <w:rPr>
          <w:rFonts w:ascii="Times New Roman" w:cs="Times New Roman" w:eastAsia="Times New Roman" w:hAnsi="Times New Roman"/>
          <w:sz w:val="20"/>
          <w:szCs w:val="20"/>
          <w:b w:val="1"/>
          <w:bCs w:val="1"/>
          <w:color w:val="auto"/>
        </w:rPr>
        <w:t>TPD</w:t>
      </w:r>
      <w:r>
        <w:rPr>
          <w:rFonts w:ascii="Times New Roman" w:cs="Times New Roman" w:eastAsia="Times New Roman" w:hAnsi="Times New Roman"/>
          <w:sz w:val="20"/>
          <w:szCs w:val="20"/>
          <w:color w:val="auto"/>
        </w:rPr>
        <w:t>”). This includes the results of the first two steps and a proposal for testing in humans. If the information is sufficient, the Health Products and Food Branch of Health Canada (the “</w:t>
      </w:r>
      <w:r>
        <w:rPr>
          <w:rFonts w:ascii="Times New Roman" w:cs="Times New Roman" w:eastAsia="Times New Roman" w:hAnsi="Times New Roman"/>
          <w:sz w:val="20"/>
          <w:szCs w:val="20"/>
          <w:b w:val="1"/>
          <w:bCs w:val="1"/>
          <w:color w:val="auto"/>
        </w:rPr>
        <w:t>HPFB</w:t>
      </w:r>
      <w:r>
        <w:rPr>
          <w:rFonts w:ascii="Times New Roman" w:cs="Times New Roman" w:eastAsia="Times New Roman" w:hAnsi="Times New Roman"/>
          <w:sz w:val="20"/>
          <w:szCs w:val="20"/>
          <w:color w:val="auto"/>
        </w:rPr>
        <w:t>”) grants permission to start testing the drug, generally first on healthy volunteers.</w:t>
      </w:r>
    </w:p>
    <w:p>
      <w:pPr>
        <w:spacing w:after="0" w:line="197" w:lineRule="exact"/>
        <w:rPr>
          <w:rFonts w:ascii="Arial" w:cs="Arial" w:eastAsia="Arial" w:hAnsi="Arial"/>
          <w:sz w:val="19"/>
          <w:szCs w:val="19"/>
          <w:color w:val="auto"/>
        </w:rPr>
      </w:pPr>
    </w:p>
    <w:p>
      <w:pPr>
        <w:jc w:val="both"/>
        <w:ind w:left="660" w:hanging="328"/>
        <w:spacing w:after="0" w:line="305" w:lineRule="auto"/>
        <w:tabs>
          <w:tab w:leader="none" w:pos="621"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Clinical Trials – Phase 2 - Phase 2 </w:t>
      </w:r>
      <w:r>
        <w:rPr>
          <w:rFonts w:ascii="Times New Roman" w:cs="Times New Roman" w:eastAsia="Times New Roman" w:hAnsi="Times New Roman"/>
          <w:sz w:val="20"/>
          <w:szCs w:val="20"/>
          <w:color w:val="auto"/>
        </w:rPr>
        <w:t>trials are carried out on people with the target condition, who are usually otherwise healthy,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 other medical condition. Trials carried out in Canada must be approved by the TPD. In phase II, the objective of the trials is to continue to gather information on the safety of the drug and begin to determine its effectiveness.</w:t>
      </w:r>
    </w:p>
    <w:p>
      <w:pPr>
        <w:spacing w:after="0" w:line="202" w:lineRule="exact"/>
        <w:rPr>
          <w:rFonts w:ascii="Arial" w:cs="Arial" w:eastAsia="Arial" w:hAnsi="Arial"/>
          <w:sz w:val="20"/>
          <w:szCs w:val="20"/>
          <w:color w:val="auto"/>
        </w:rPr>
      </w:pPr>
    </w:p>
    <w:p>
      <w:pPr>
        <w:jc w:val="both"/>
        <w:ind w:left="660" w:hanging="328"/>
        <w:spacing w:after="0" w:line="283" w:lineRule="auto"/>
        <w:tabs>
          <w:tab w:leader="none" w:pos="628" w:val="left"/>
        </w:tabs>
        <w:numPr>
          <w:ilvl w:val="0"/>
          <w:numId w:val="62"/>
        </w:numPr>
        <w:rPr>
          <w:rFonts w:ascii="Arial" w:cs="Arial" w:eastAsia="Arial" w:hAnsi="Arial"/>
          <w:sz w:val="22"/>
          <w:szCs w:val="22"/>
          <w:color w:val="auto"/>
        </w:rPr>
      </w:pPr>
      <w:r>
        <w:rPr>
          <w:rFonts w:ascii="Times New Roman" w:cs="Times New Roman" w:eastAsia="Times New Roman" w:hAnsi="Times New Roman"/>
          <w:sz w:val="20"/>
          <w:szCs w:val="20"/>
          <w:i w:val="1"/>
          <w:iCs w:val="1"/>
          <w:color w:val="auto"/>
        </w:rPr>
        <w:t xml:space="preserve">Clinical Trials – Phase 3 - </w:t>
      </w:r>
      <w:r>
        <w:rPr>
          <w:rFonts w:ascii="Times New Roman" w:cs="Times New Roman" w:eastAsia="Times New Roman" w:hAnsi="Times New Roman"/>
          <w:sz w:val="20"/>
          <w:szCs w:val="20"/>
          <w:color w:val="auto"/>
        </w:rPr>
        <w:t>If the results from phase II show promise, the manufacturer provides an updated clinical trial application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the TPD for phase III trials. The objectives of phase III include determining whether the drug can be shown to be effective, and</w:t>
      </w:r>
    </w:p>
    <w:p>
      <w:pPr>
        <w:spacing w:after="0" w:line="1" w:lineRule="exact"/>
        <w:rPr>
          <w:rFonts w:ascii="Arial" w:cs="Arial" w:eastAsia="Arial" w:hAnsi="Arial"/>
          <w:sz w:val="22"/>
          <w:szCs w:val="22"/>
          <w:color w:val="auto"/>
        </w:rPr>
      </w:pPr>
    </w:p>
    <w:p>
      <w:pPr>
        <w:ind w:left="660"/>
        <w:spacing w:after="0" w:line="311" w:lineRule="auto"/>
        <w:rPr>
          <w:rFonts w:ascii="Arial" w:cs="Arial" w:eastAsia="Arial" w:hAnsi="Arial"/>
          <w:sz w:val="22"/>
          <w:szCs w:val="22"/>
          <w:color w:val="auto"/>
        </w:rPr>
      </w:pPr>
      <w:r>
        <w:rPr>
          <w:rFonts w:ascii="Times New Roman" w:cs="Times New Roman" w:eastAsia="Times New Roman" w:hAnsi="Times New Roman"/>
          <w:sz w:val="20"/>
          <w:szCs w:val="20"/>
          <w:color w:val="auto"/>
        </w:rPr>
        <w:t>have an acceptable side effect profile, in people who better represent the general population. Further information will also be obtained on how the drug should be used, the optimal dosage regimen and the possible side effects.</w:t>
      </w:r>
    </w:p>
    <w:p>
      <w:pPr>
        <w:spacing w:after="0" w:line="19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i w:val="1"/>
          <w:iCs w:val="1"/>
          <w:color w:val="auto"/>
        </w:rPr>
        <w:t xml:space="preserve">New Drug Submission – </w:t>
      </w:r>
      <w:r>
        <w:rPr>
          <w:rFonts w:ascii="Times New Roman" w:cs="Times New Roman" w:eastAsia="Times New Roman" w:hAnsi="Times New Roman"/>
          <w:sz w:val="20"/>
          <w:szCs w:val="20"/>
          <w:color w:val="auto"/>
        </w:rPr>
        <w:t>If the results from phase III continue to be favourable, the drug manufacturer can submit a new drug submission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NDS</w:t>
      </w:r>
      <w:r>
        <w:rPr>
          <w:rFonts w:ascii="Times New Roman" w:cs="Times New Roman" w:eastAsia="Times New Roman" w:hAnsi="Times New Roman"/>
          <w:sz w:val="20"/>
          <w:szCs w:val="20"/>
          <w:color w:val="auto"/>
        </w:rPr>
        <w:t>”) to 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440"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0"/>
          <w:szCs w:val="20"/>
          <w:b w:val="1"/>
          <w:bCs w:val="1"/>
          <w:u w:val="single" w:color="auto"/>
          <w:color w:val="auto"/>
        </w:rPr>
        <w:t>Compliance with Applicable Laws</w:t>
      </w:r>
    </w:p>
    <w:p>
      <w:pPr>
        <w:spacing w:after="0" w:line="26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The Company oversees and monitors compliance with applicable laws in each jurisdiction in which it operates. In addition to the Company’s senior executives and the employees responsible for overseeing compliance, the Company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Company has operations or intends to operate.</w:t>
      </w:r>
    </w:p>
    <w:p>
      <w:pPr>
        <w:spacing w:after="0" w:line="22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works with third parties who require regulatory licensing to handle scheduled drugs. The Company continuously updates its compliance and channel programs to maintain regulatory standards set for drug development. The Company also works with clinical research organizations who maintain batch records and data storage for the Company’s clinical programs.</w:t>
      </w:r>
    </w:p>
    <w:p>
      <w:pPr>
        <w:spacing w:after="0" w:line="16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Additionally, the Company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16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In conjunction with the Company’s human resources and operations departments, the Company oversees and implements training on the Company’s protocols. The Company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Company operates.</w:t>
      </w:r>
    </w:p>
    <w:p>
      <w:pPr>
        <w:spacing w:after="0" w:line="20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programs currently in place include monitoring by executives of the Company to ensure that operations conform to and comply with required laws, regulations and operating procedures. The Company is currently in compliance with the laws and regulations in all jurisdictions and the related licensing framework applicable to its business activities.</w:t>
      </w:r>
    </w:p>
    <w:p>
      <w:pPr>
        <w:spacing w:after="0" w:line="195"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The Company and, to its knowledge, each of its third-party researchers, suppliers and manufacturers have not received any non-compliance, citations or notices of violation which may have an impact on the Company’s licences, business activities or operations.</w:t>
      </w:r>
    </w:p>
    <w:p>
      <w:pPr>
        <w:spacing w:after="0" w:line="17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Company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Company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40"/>
          </w:cols>
          <w:pgMar w:left="320" w:top="1436"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20"/>
          <w:szCs w:val="20"/>
          <w:b w:val="1"/>
          <w:bCs w:val="1"/>
          <w:i w:val="1"/>
          <w:iCs w:val="1"/>
          <w:color w:val="auto"/>
        </w:rPr>
        <w:t>Patent Cooperation Treaty</w:t>
      </w:r>
    </w:p>
    <w:p>
      <w:pPr>
        <w:spacing w:after="0" w:line="301"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The PCT facilitates filing for patent recognition in multiple jurisdictions simultaneously using a single uniform patent application. 158 countries, including Canada and the United States have ratified the PCT.</w:t>
      </w:r>
    </w:p>
    <w:p>
      <w:pPr>
        <w:spacing w:after="0" w:line="173"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6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Within 12 months of filing a provisional patent application at the USPTO, the Company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7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While the Company is focused on programs using psychedelic-inspired compounds, the Company does not have any direct or indirect involvement with the illegal selling, production or distribution of any substances in the jurisdictions in which it operates. The Company is exploring drug development within approved laboratory clinical trial settings conducted within approved regulatory frameworks. Though highly speculative, should any prescription drug product be developed by the Company (which, if it does occur, would not be for several years), such drug product will not be commercialized prior to receipt of applicable regulatory approval, which will only be granted if clinical evidence of safety and efficacy for the intended use(s) is successfully developed. The Company may also employ non-prescription drugs, where appropriate.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Selected Quarterly Information</w:t>
      </w:r>
    </w:p>
    <w:p>
      <w:pPr>
        <w:spacing w:after="0" w:line="2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Effective April 1, 2025, the Company changed its presentation currency from the Canadian Dollar to the United States dollar to better reflect the Company’s operations, align with the currency in which the majority of cash based expenses are denominated, and improve comparability of its financial results with other publicly traded businesses in the industry. All amounts in the MD&amp;A are therefore presented in USD unless otherwise indicated.</w:t>
      </w:r>
    </w:p>
    <w:p>
      <w:pPr>
        <w:spacing w:after="0" w:line="19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The following table sets forth selected consolidated financial information for the periods indicated that are derived </w:t>
      </w:r>
      <w:r>
        <w:rPr>
          <w:rFonts w:ascii="Times New Roman" w:cs="Times New Roman" w:eastAsia="Times New Roman" w:hAnsi="Times New Roman"/>
          <w:sz w:val="21"/>
          <w:szCs w:val="21"/>
          <w:color w:val="auto"/>
        </w:rPr>
        <w:t>f</w:t>
      </w:r>
      <w:r>
        <w:rPr>
          <w:rFonts w:ascii="Times New Roman" w:cs="Times New Roman" w:eastAsia="Times New Roman" w:hAnsi="Times New Roman"/>
          <w:sz w:val="20"/>
          <w:szCs w:val="20"/>
          <w:color w:val="auto"/>
        </w:rPr>
        <w:t>rom, and should be read in conjunction with, the Financial Statements and related notes thereto. As a result of the change in reporting currency, the dollar amounts in the table below have been restated from CAD to USD. Assets and liabilities at each balance sheet date were translated at the closing rate on those dates. Expense items for prior periods were translated using the average rate for the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240"/>
          </w:cols>
          <w:pgMar w:left="320" w:top="1436"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72"/>
        </w:trPr>
        <w:tc>
          <w:tcPr>
            <w:tcW w:w="2380" w:type="dxa"/>
            <w:vAlign w:val="bottom"/>
          </w:tcPr>
          <w:p>
            <w:pPr>
              <w:ind w:left="80"/>
              <w:spacing w:after="0"/>
              <w:rPr>
                <w:sz w:val="20"/>
                <w:szCs w:val="20"/>
                <w:color w:val="auto"/>
              </w:rPr>
            </w:pPr>
            <w:r>
              <w:rPr>
                <w:rFonts w:ascii="Times New Roman" w:cs="Times New Roman" w:eastAsia="Times New Roman" w:hAnsi="Times New Roman"/>
                <w:sz w:val="15"/>
                <w:szCs w:val="15"/>
                <w:i w:val="1"/>
                <w:iCs w:val="1"/>
                <w:color w:val="auto"/>
              </w:rPr>
              <w:t>(United States dollars in thousands,</w:t>
            </w:r>
          </w:p>
        </w:tc>
        <w:tc>
          <w:tcPr>
            <w:tcW w:w="120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12"/>
        </w:trPr>
        <w:tc>
          <w:tcPr>
            <w:tcW w:w="2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i w:val="1"/>
                <w:iCs w:val="1"/>
                <w:color w:val="auto"/>
              </w:rPr>
              <w:t>except per share and share figures)</w:t>
            </w:r>
          </w:p>
        </w:tc>
        <w:tc>
          <w:tcPr>
            <w:tcW w:w="12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140" w:type="dxa"/>
            <w:vAlign w:val="bottom"/>
            <w:tcBorders>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June 30, 2025 March 31, 2025</w:t>
            </w:r>
          </w:p>
        </w:tc>
        <w:tc>
          <w:tcPr>
            <w:tcW w:w="11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16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June 30, 2024 March 31, 2024</w:t>
            </w:r>
          </w:p>
        </w:tc>
        <w:tc>
          <w:tcPr>
            <w:tcW w:w="10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92"/>
        </w:trPr>
        <w:tc>
          <w:tcPr>
            <w:tcW w:w="238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Revenues ($)</w:t>
            </w:r>
          </w:p>
        </w:tc>
        <w:tc>
          <w:tcPr>
            <w:tcW w:w="12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238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Operating Expenses ($)</w:t>
            </w:r>
          </w:p>
        </w:tc>
        <w:tc>
          <w:tcPr>
            <w:tcW w:w="12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28,894</w:t>
            </w:r>
          </w:p>
        </w:tc>
        <w:tc>
          <w:tcPr>
            <w:tcW w:w="114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24,624</w:t>
            </w:r>
          </w:p>
        </w:tc>
        <w:tc>
          <w:tcPr>
            <w:tcW w:w="10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23,183</w:t>
            </w: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22,388</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42,705</w:t>
            </w:r>
          </w:p>
        </w:tc>
        <w:tc>
          <w:tcPr>
            <w:tcW w:w="11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14,849</w:t>
            </w:r>
          </w:p>
        </w:tc>
        <w:tc>
          <w:tcPr>
            <w:tcW w:w="10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18,680</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19,838</w:t>
            </w:r>
          </w:p>
        </w:tc>
      </w:tr>
      <w:tr>
        <w:trPr>
          <w:trHeight w:val="203"/>
        </w:trPr>
        <w:tc>
          <w:tcPr>
            <w:tcW w:w="238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Net loss ($)</w:t>
            </w:r>
          </w:p>
        </w:tc>
        <w:tc>
          <w:tcPr>
            <w:tcW w:w="1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(33,722)</w:t>
            </w:r>
          </w:p>
        </w:tc>
        <w:tc>
          <w:tcPr>
            <w:tcW w:w="11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(24,613)</w:t>
            </w:r>
          </w:p>
        </w:tc>
        <w:tc>
          <w:tcPr>
            <w:tcW w:w="10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(21,307)</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(7,539)</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(41,927)</w:t>
            </w:r>
          </w:p>
        </w:tc>
        <w:tc>
          <w:tcPr>
            <w:tcW w:w="11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(10,834)</w:t>
            </w:r>
          </w:p>
        </w:tc>
        <w:tc>
          <w:tcPr>
            <w:tcW w:w="10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(15,826)</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(22,265)</w:t>
            </w:r>
          </w:p>
        </w:tc>
      </w:tr>
      <w:tr>
        <w:trPr>
          <w:trHeight w:val="473"/>
        </w:trPr>
        <w:tc>
          <w:tcPr>
            <w:tcW w:w="238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Weighted Average Shares - Basic</w:t>
            </w:r>
          </w:p>
        </w:tc>
        <w:tc>
          <w:tcPr>
            <w:tcW w:w="12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24,205,871</w:t>
            </w:r>
          </w:p>
        </w:tc>
        <w:tc>
          <w:tcPr>
            <w:tcW w:w="114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22,401,197</w:t>
            </w:r>
          </w:p>
        </w:tc>
        <w:tc>
          <w:tcPr>
            <w:tcW w:w="10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20,898,038</w:t>
            </w: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20,001,406</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20,001,406</w:t>
            </w:r>
          </w:p>
        </w:tc>
        <w:tc>
          <w:tcPr>
            <w:tcW w:w="11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20,001,404</w:t>
            </w:r>
          </w:p>
        </w:tc>
        <w:tc>
          <w:tcPr>
            <w:tcW w:w="10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12,045,467</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9,468,579</w:t>
            </w:r>
          </w:p>
        </w:tc>
      </w:tr>
      <w:tr>
        <w:trPr>
          <w:trHeight w:val="203"/>
        </w:trPr>
        <w:tc>
          <w:tcPr>
            <w:tcW w:w="238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Loss per share ($)</w:t>
            </w:r>
          </w:p>
        </w:tc>
        <w:tc>
          <w:tcPr>
            <w:tcW w:w="1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(1.39)</w:t>
            </w:r>
          </w:p>
        </w:tc>
        <w:tc>
          <w:tcPr>
            <w:tcW w:w="11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(1.10)</w:t>
            </w:r>
          </w:p>
        </w:tc>
        <w:tc>
          <w:tcPr>
            <w:tcW w:w="10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(1.02)</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(0.38)</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w:t>
            </w:r>
          </w:p>
        </w:tc>
        <w:tc>
          <w:tcPr>
            <w:tcW w:w="11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(0.54)</w:t>
            </w:r>
          </w:p>
        </w:tc>
        <w:tc>
          <w:tcPr>
            <w:tcW w:w="10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(1.31)</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w:t>
            </w:r>
          </w:p>
        </w:tc>
      </w:tr>
      <w:tr>
        <w:trPr>
          <w:trHeight w:val="427"/>
        </w:trPr>
        <w:tc>
          <w:tcPr>
            <w:tcW w:w="238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Weighted Average Shares -</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8"/>
        </w:trPr>
        <w:tc>
          <w:tcPr>
            <w:tcW w:w="238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Diluted</w:t>
            </w:r>
          </w:p>
        </w:tc>
        <w:tc>
          <w:tcPr>
            <w:tcW w:w="12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24,205,871</w:t>
            </w:r>
          </w:p>
        </w:tc>
        <w:tc>
          <w:tcPr>
            <w:tcW w:w="114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22,401,197</w:t>
            </w:r>
          </w:p>
        </w:tc>
        <w:tc>
          <w:tcPr>
            <w:tcW w:w="10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20,898,038</w:t>
            </w: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20,001,406</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20,001,406</w:t>
            </w:r>
          </w:p>
        </w:tc>
        <w:tc>
          <w:tcPr>
            <w:tcW w:w="11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20,001,404</w:t>
            </w:r>
          </w:p>
        </w:tc>
        <w:tc>
          <w:tcPr>
            <w:tcW w:w="10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12,045,467</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9,468,579</w:t>
            </w:r>
          </w:p>
        </w:tc>
      </w:tr>
      <w:tr>
        <w:trPr>
          <w:trHeight w:val="203"/>
        </w:trPr>
        <w:tc>
          <w:tcPr>
            <w:tcW w:w="238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Loss per share ($)</w:t>
            </w:r>
          </w:p>
        </w:tc>
        <w:tc>
          <w:tcPr>
            <w:tcW w:w="1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(1.39)</w:t>
            </w:r>
          </w:p>
        </w:tc>
        <w:tc>
          <w:tcPr>
            <w:tcW w:w="11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(1.10)</w:t>
            </w:r>
          </w:p>
        </w:tc>
        <w:tc>
          <w:tcPr>
            <w:tcW w:w="10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(1.02)</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(0.38)</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w:t>
            </w:r>
          </w:p>
        </w:tc>
        <w:tc>
          <w:tcPr>
            <w:tcW w:w="11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(0.54)</w:t>
            </w:r>
          </w:p>
        </w:tc>
        <w:tc>
          <w:tcPr>
            <w:tcW w:w="10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(1.31)</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w:t>
            </w:r>
          </w:p>
        </w:tc>
      </w:tr>
      <w:tr>
        <w:trPr>
          <w:trHeight w:val="473"/>
        </w:trPr>
        <w:tc>
          <w:tcPr>
            <w:tcW w:w="238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Cash and cash equivalents</w:t>
            </w:r>
          </w:p>
        </w:tc>
        <w:tc>
          <w:tcPr>
            <w:tcW w:w="12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83,752</w:t>
            </w:r>
          </w:p>
        </w:tc>
        <w:tc>
          <w:tcPr>
            <w:tcW w:w="114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118,692</w:t>
            </w:r>
          </w:p>
        </w:tc>
        <w:tc>
          <w:tcPr>
            <w:tcW w:w="10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93,922</w:t>
            </w: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94,718</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114,318</w:t>
            </w:r>
          </w:p>
        </w:tc>
        <w:tc>
          <w:tcPr>
            <w:tcW w:w="11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133,904</w:t>
            </w:r>
          </w:p>
        </w:tc>
        <w:tc>
          <w:tcPr>
            <w:tcW w:w="10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154,238</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29,487</w:t>
            </w:r>
          </w:p>
        </w:tc>
      </w:tr>
      <w:tr>
        <w:trPr>
          <w:trHeight w:val="203"/>
        </w:trPr>
        <w:tc>
          <w:tcPr>
            <w:tcW w:w="238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Total Assets ($)</w:t>
            </w:r>
          </w:p>
        </w:tc>
        <w:tc>
          <w:tcPr>
            <w:tcW w:w="12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181,246</w:t>
            </w:r>
          </w:p>
        </w:tc>
        <w:tc>
          <w:tcPr>
            <w:tcW w:w="114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210,813</w:t>
            </w:r>
          </w:p>
        </w:tc>
        <w:tc>
          <w:tcPr>
            <w:tcW w:w="10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179,897</w:t>
            </w: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176,208</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194,378</w:t>
            </w:r>
          </w:p>
        </w:tc>
        <w:tc>
          <w:tcPr>
            <w:tcW w:w="11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207,969</w:t>
            </w:r>
          </w:p>
        </w:tc>
        <w:tc>
          <w:tcPr>
            <w:tcW w:w="10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222,895</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98,083</w:t>
            </w:r>
          </w:p>
        </w:tc>
      </w:tr>
      <w:tr>
        <w:trPr>
          <w:trHeight w:val="207"/>
        </w:trPr>
        <w:tc>
          <w:tcPr>
            <w:tcW w:w="2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Total Non-Current Liabilities ($)</w:t>
            </w:r>
          </w:p>
        </w:tc>
        <w:tc>
          <w:tcPr>
            <w:tcW w:w="12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28,888</w:t>
            </w:r>
          </w:p>
        </w:tc>
        <w:tc>
          <w:tcPr>
            <w:tcW w:w="114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44,500</w:t>
            </w:r>
          </w:p>
        </w:tc>
        <w:tc>
          <w:tcPr>
            <w:tcW w:w="10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32</w:t>
            </w: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Assets</w:t>
      </w:r>
    </w:p>
    <w:p>
      <w:pPr>
        <w:spacing w:after="0" w:line="2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Total assets increased by $1,349 from April 1, 2025 to September 30, 2025, mainly as a result of an increase in prepaid expenses, offset by a decrease in the overall cash balance as the company continues to progress its operations. As at September 30, 2025, the Company had prepaid expenses related to future clinical work of $18,883 (March 31, 2025 - $11,165).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Results of Operations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tcPr>
          <w:p>
            <w:pPr>
              <w:spacing w:after="0"/>
              <w:rPr>
                <w:sz w:val="18"/>
                <w:szCs w:val="18"/>
                <w:color w:val="auto"/>
              </w:rPr>
            </w:pPr>
          </w:p>
        </w:tc>
        <w:tc>
          <w:tcPr>
            <w:tcW w:w="30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6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5640" w:type="dxa"/>
            <w:vAlign w:val="bottom"/>
          </w:tcPr>
          <w:p>
            <w:pPr>
              <w:spacing w:after="0"/>
              <w:rPr>
                <w:sz w:val="20"/>
                <w:szCs w:val="20"/>
                <w:color w:val="auto"/>
              </w:rPr>
            </w:pPr>
          </w:p>
        </w:tc>
        <w:tc>
          <w:tcPr>
            <w:tcW w:w="1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30,</w:t>
            </w:r>
          </w:p>
        </w:tc>
        <w:tc>
          <w:tcPr>
            <w:tcW w:w="13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2"/>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(U.S. dollars in thousands)</w:t>
            </w:r>
          </w:p>
        </w:tc>
        <w:tc>
          <w:tcPr>
            <w:tcW w:w="16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304"/>
        </w:trPr>
        <w:tc>
          <w:tcPr>
            <w:tcW w:w="56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w:t>
            </w:r>
          </w:p>
        </w:tc>
        <w:tc>
          <w:tcPr>
            <w:tcW w:w="16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18,850</w:t>
            </w: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6,682</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33,845</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12,559</w:t>
            </w:r>
          </w:p>
        </w:tc>
        <w:tc>
          <w:tcPr>
            <w:tcW w:w="0" w:type="dxa"/>
            <w:vAlign w:val="bottom"/>
          </w:tcPr>
          <w:p>
            <w:pPr>
              <w:spacing w:after="0"/>
              <w:rPr>
                <w:sz w:val="1"/>
                <w:szCs w:val="1"/>
                <w:color w:val="auto"/>
              </w:rPr>
            </w:pPr>
          </w:p>
        </w:tc>
      </w:tr>
      <w:tr>
        <w:trPr>
          <w:trHeight w:val="68"/>
        </w:trPr>
        <w:tc>
          <w:tcPr>
            <w:tcW w:w="56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 costs</w:t>
            </w:r>
          </w:p>
        </w:tc>
        <w:tc>
          <w:tcPr>
            <w:tcW w:w="16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9,667</w:t>
            </w: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11,493</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18,543</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17,561</w:t>
            </w:r>
          </w:p>
        </w:tc>
        <w:tc>
          <w:tcPr>
            <w:tcW w:w="0" w:type="dxa"/>
            <w:vAlign w:val="bottom"/>
          </w:tcPr>
          <w:p>
            <w:pPr>
              <w:spacing w:after="0"/>
              <w:rPr>
                <w:sz w:val="1"/>
                <w:szCs w:val="1"/>
                <w:color w:val="auto"/>
              </w:rPr>
            </w:pPr>
          </w:p>
        </w:tc>
      </w:tr>
      <w:tr>
        <w:trPr>
          <w:trHeight w:val="68"/>
        </w:trPr>
        <w:tc>
          <w:tcPr>
            <w:tcW w:w="56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377</w:t>
            </w: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24,530</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1,130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27,434</w:t>
            </w:r>
          </w:p>
        </w:tc>
        <w:tc>
          <w:tcPr>
            <w:tcW w:w="0" w:type="dxa"/>
            <w:vAlign w:val="bottom"/>
          </w:tcPr>
          <w:p>
            <w:pPr>
              <w:spacing w:after="0"/>
              <w:rPr>
                <w:sz w:val="1"/>
                <w:szCs w:val="1"/>
                <w:color w:val="auto"/>
              </w:rPr>
            </w:pPr>
          </w:p>
        </w:tc>
      </w:tr>
      <w:tr>
        <w:trPr>
          <w:trHeight w:val="68"/>
        </w:trPr>
        <w:tc>
          <w:tcPr>
            <w:tcW w:w="56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564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5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6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28,894</w:t>
            </w: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42,705</w:t>
            </w:r>
          </w:p>
        </w:tc>
        <w:tc>
          <w:tcPr>
            <w:tcW w:w="1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53,518</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57,554</w:t>
            </w:r>
          </w:p>
        </w:tc>
        <w:tc>
          <w:tcPr>
            <w:tcW w:w="0" w:type="dxa"/>
            <w:vAlign w:val="bottom"/>
          </w:tcPr>
          <w:p>
            <w:pPr>
              <w:spacing w:after="0"/>
              <w:rPr>
                <w:sz w:val="1"/>
                <w:szCs w:val="1"/>
                <w:color w:val="auto"/>
              </w:rPr>
            </w:pPr>
          </w:p>
        </w:tc>
      </w:tr>
      <w:tr>
        <w:trPr>
          <w:trHeight w:val="304"/>
        </w:trPr>
        <w:tc>
          <w:tcPr>
            <w:tcW w:w="56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16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(755)</w:t>
            </w: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(1,478)</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1,189</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68"/>
        </w:trPr>
        <w:tc>
          <w:tcPr>
            <w:tcW w:w="56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16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1,065</w:t>
            </w: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2,256</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0" w:type="dxa"/>
            <w:vAlign w:val="bottom"/>
          </w:tcPr>
          <w:p>
            <w:pPr>
              <w:spacing w:after="0"/>
              <w:rPr>
                <w:sz w:val="1"/>
                <w:szCs w:val="1"/>
                <w:color w:val="auto"/>
              </w:rPr>
            </w:pPr>
          </w:p>
        </w:tc>
      </w:tr>
      <w:tr>
        <w:trPr>
          <w:trHeight w:val="68"/>
        </w:trPr>
        <w:tc>
          <w:tcPr>
            <w:tcW w:w="56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w:t>
            </w:r>
          </w:p>
        </w:tc>
        <w:tc>
          <w:tcPr>
            <w:tcW w:w="16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Debt issuance costs</w:t>
            </w:r>
          </w:p>
        </w:tc>
        <w:tc>
          <w:tcPr>
            <w:tcW w:w="16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(2,917)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Fair value loss on financial instruments</w:t>
            </w:r>
          </w:p>
        </w:tc>
        <w:tc>
          <w:tcPr>
            <w:tcW w:w="16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(5,138)</w:t>
            </w: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(5,138)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OTHER INCOME (EXPENSES)</w:t>
            </w:r>
          </w:p>
        </w:tc>
        <w:tc>
          <w:tcPr>
            <w:tcW w:w="16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(4,828)</w:t>
            </w: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778</w:t>
            </w:r>
          </w:p>
        </w:tc>
        <w:tc>
          <w:tcPr>
            <w:tcW w:w="1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(4,817)</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0" w:type="dxa"/>
            <w:vAlign w:val="bottom"/>
          </w:tcPr>
          <w:p>
            <w:pPr>
              <w:spacing w:after="0"/>
              <w:rPr>
                <w:sz w:val="1"/>
                <w:szCs w:val="1"/>
                <w:color w:val="auto"/>
              </w:rPr>
            </w:pPr>
          </w:p>
        </w:tc>
      </w:tr>
      <w:tr>
        <w:trPr>
          <w:trHeight w:val="74"/>
        </w:trPr>
        <w:tc>
          <w:tcPr>
            <w:tcW w:w="564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5640" w:type="dxa"/>
            <w:vAlign w:val="bottom"/>
            <w:tcBorders>
              <w:bottom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NET LOSS FOR THE PERIOD</w:t>
            </w:r>
          </w:p>
        </w:tc>
        <w:tc>
          <w:tcPr>
            <w:tcW w:w="1660" w:type="dxa"/>
            <w:vAlign w:val="bottom"/>
            <w:tcBorders>
              <w:bottom w:val="single" w:sz="8" w:color="auto"/>
            </w:tcBorders>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(33,722)</w:t>
            </w:r>
          </w:p>
        </w:tc>
        <w:tc>
          <w:tcPr>
            <w:tcW w:w="1360" w:type="dxa"/>
            <w:vAlign w:val="bottom"/>
            <w:tcBorders>
              <w:bottom w:val="single" w:sz="8" w:color="auto"/>
            </w:tcBorders>
            <w:shd w:val="clear" w:color="auto" w:fill="DBDBDB"/>
          </w:tcPr>
          <w:p>
            <w:pPr>
              <w:jc w:val="right"/>
              <w:ind w:right="230"/>
              <w:spacing w:after="0"/>
              <w:rPr>
                <w:sz w:val="20"/>
                <w:szCs w:val="20"/>
                <w:color w:val="auto"/>
              </w:rPr>
            </w:pPr>
            <w:r>
              <w:rPr>
                <w:rFonts w:ascii="Times New Roman" w:cs="Times New Roman" w:eastAsia="Times New Roman" w:hAnsi="Times New Roman"/>
                <w:sz w:val="18"/>
                <w:szCs w:val="18"/>
                <w:color w:val="auto"/>
              </w:rPr>
              <w:t>(41,927)</w:t>
            </w:r>
          </w:p>
        </w:tc>
        <w:tc>
          <w:tcPr>
            <w:tcW w:w="1420" w:type="dxa"/>
            <w:vAlign w:val="bottom"/>
            <w:tcBorders>
              <w:bottom w:val="single" w:sz="8" w:color="auto"/>
            </w:tcBorders>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(58,335)</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(52,761)</w:t>
            </w:r>
          </w:p>
        </w:tc>
        <w:tc>
          <w:tcPr>
            <w:tcW w:w="0" w:type="dxa"/>
            <w:vAlign w:val="bottom"/>
          </w:tcPr>
          <w:p>
            <w:pPr>
              <w:spacing w:after="0"/>
              <w:rPr>
                <w:sz w:val="1"/>
                <w:szCs w:val="1"/>
                <w:color w:val="auto"/>
              </w:rPr>
            </w:pPr>
          </w:p>
        </w:tc>
      </w:tr>
      <w:tr>
        <w:trPr>
          <w:trHeight w:val="318"/>
        </w:trPr>
        <w:tc>
          <w:tcPr>
            <w:tcW w:w="5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Basic loss per share for the period</w:t>
            </w:r>
          </w:p>
        </w:tc>
        <w:tc>
          <w:tcPr>
            <w:tcW w:w="16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(1.39)</w:t>
            </w: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(2.10)</w:t>
            </w:r>
          </w:p>
        </w:tc>
        <w:tc>
          <w:tcPr>
            <w:tcW w:w="1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(2.50)</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 basic</w:t>
            </w:r>
          </w:p>
        </w:tc>
        <w:tc>
          <w:tcPr>
            <w:tcW w:w="16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24,205,871</w:t>
            </w: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20,001,406</w:t>
            </w:r>
          </w:p>
        </w:tc>
        <w:tc>
          <w:tcPr>
            <w:tcW w:w="1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23,308,465</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20,001,406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240"/>
          </w:cols>
          <w:pgMar w:left="320" w:top="1439" w:right="339" w:bottom="1440" w:gutter="0" w:footer="0" w:header="0"/>
          <w:type w:val="continuous"/>
        </w:sectPr>
      </w:pPr>
    </w:p>
    <w:bookmarkStart w:id="95" w:name="page96"/>
    <w:bookmarkEnd w:id="95"/>
    <w:p>
      <w:pPr>
        <w:spacing w:after="0" w:line="35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 xml:space="preserve">For the three and six months ended September 30, 2025, Cybin incurred a net loss of $33,722 and $58,335, respectively, compared to a net loss of $41,927 and $52,761 during the same periods in prior year. The net loss for the three and six months ended September 30, 2025, includes </w:t>
      </w:r>
      <w:r>
        <w:rPr>
          <w:rFonts w:ascii="Times New Roman" w:cs="Times New Roman" w:eastAsia="Times New Roman" w:hAnsi="Times New Roman"/>
          <w:sz w:val="21"/>
          <w:szCs w:val="21"/>
          <w:color w:val="auto"/>
        </w:rPr>
        <w:t>a non-cash component</w:t>
      </w:r>
      <w:r>
        <w:rPr>
          <w:rFonts w:ascii="Times New Roman" w:cs="Times New Roman" w:eastAsia="Times New Roman" w:hAnsi="Times New Roman"/>
          <w:sz w:val="20"/>
          <w:szCs w:val="20"/>
          <w:color w:val="auto"/>
        </w:rPr>
        <w:t xml:space="preserve"> related to share-based compensation of $377 and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1,130</w:t>
      </w:r>
      <w:r>
        <w:rPr>
          <w:rFonts w:ascii="Times New Roman" w:cs="Times New Roman" w:eastAsia="Times New Roman" w:hAnsi="Times New Roman"/>
          <w:sz w:val="21"/>
          <w:szCs w:val="21"/>
          <w:color w:val="auto"/>
        </w:rPr>
        <w:t>, respectively, compared to $</w:t>
      </w:r>
      <w:r>
        <w:rPr>
          <w:rFonts w:ascii="Times New Roman" w:cs="Times New Roman" w:eastAsia="Times New Roman" w:hAnsi="Times New Roman"/>
          <w:sz w:val="20"/>
          <w:szCs w:val="20"/>
          <w:color w:val="auto"/>
        </w:rPr>
        <w:t xml:space="preserve">24,530 and </w:t>
      </w:r>
      <w:r>
        <w:rPr>
          <w:rFonts w:ascii="Times New Roman" w:cs="Times New Roman" w:eastAsia="Times New Roman" w:hAnsi="Times New Roman"/>
          <w:sz w:val="21"/>
          <w:szCs w:val="21"/>
          <w:color w:val="auto"/>
        </w:rPr>
        <w:t>$</w:t>
      </w:r>
      <w:r>
        <w:rPr>
          <w:rFonts w:ascii="Times New Roman" w:cs="Times New Roman" w:eastAsia="Times New Roman" w:hAnsi="Times New Roman"/>
          <w:sz w:val="19"/>
          <w:szCs w:val="19"/>
          <w:color w:val="auto"/>
        </w:rPr>
        <w:t>27,434 during the same periods in prior year.</w:t>
      </w:r>
    </w:p>
    <w:p>
      <w:pPr>
        <w:spacing w:after="0" w:line="30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During the six months ended September 30, 2025, the Company was focused on progressing its various research programs, with a focus on its Deuterated Psilocin Program (CYB003) and Deuterated Dimethyltryptamine Program (CYB004), and raising awareness of the Company and its industry. During such period, both the CYB003 and the CYB004 clinical programs have progressed towards the milestones noted above. See “</w:t>
      </w:r>
      <w:r>
        <w:rPr>
          <w:rFonts w:ascii="Times New Roman" w:cs="Times New Roman" w:eastAsia="Times New Roman" w:hAnsi="Times New Roman"/>
          <w:sz w:val="20"/>
          <w:szCs w:val="20"/>
          <w:i w:val="1"/>
          <w:iCs w:val="1"/>
          <w:color w:val="auto"/>
        </w:rPr>
        <w:t>Non-Revenue Generating Projects</w:t>
      </w:r>
      <w:r>
        <w:rPr>
          <w:rFonts w:ascii="Times New Roman" w:cs="Times New Roman" w:eastAsia="Times New Roman" w:hAnsi="Times New Roman"/>
          <w:sz w:val="20"/>
          <w:szCs w:val="20"/>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26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For the three month period ended September 30, 2025, operating expenses totaled $28,894 (2024 - $42,705). The operating expenses include a non-cash component of $377 (2024 - $24,530) related to share-based compensation. The remaining operating expenses were incurred to support research activities, raising capital, and the overall development of the Company.</w:t>
      </w:r>
    </w:p>
    <w:p>
      <w:pPr>
        <w:spacing w:after="0" w:line="168"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20"/>
          <w:szCs w:val="20"/>
          <w:color w:val="auto"/>
        </w:rPr>
        <w:t>For the six month period ended September 30, 2025, operating expenses totaled $53,518 (2024 - $57,554). The operating expenses include a non-cash component of $1,130 (2024 - $27,434) related to share-based compensation. The remaining operating expenses were incurred to support research activities, raising capital, and the overall development of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For the three month period ended September 30, 2025, the Company’s research expenses totaled $18,850 compared to $6,682 during the same period in the prior year. Research expenses for the three month period are comprised of advancement of the development programs of $15,192 (2024 - $4,233), payroll related expenses of $3,016 (2024 - $1,628), professional and consulting fees of $324 (2024 - $311) and lab and administration expenses of $318 (2024- $510).</w:t>
      </w:r>
    </w:p>
    <w:p>
      <w:pPr>
        <w:spacing w:after="0" w:line="17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For the six month period ended September 30, 2025, the Company’s research expenses totaled $33,845 compared to $12,559 during the same period in the prior year. Research expenses for the six month period are comprised of advancement of the development programs of $27,287 (2024 - $7,620), payroll related expenses of $5,612 (2024 - $3,783), lab and administration expenses of $598 (2024 - $632), and professional and consulting fees of $348 (2024 - $524).</w:t>
      </w:r>
    </w:p>
    <w:p>
      <w:pPr>
        <w:spacing w:after="0" w:line="18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overall increase for the three and six month periods ended September 30, 2025 in research expenses is due to the progression of the Company’s various research programs, primarily related to the advancement of its clinical trials for both its Deuterated Psilocin Program (CYB003) and Deuterated Dimethyltryptamine Program (CYB004). Both of the Company’s proprietary clinical programs, CYB003 and CYB004, have shown positive phase 2 safety and efficacy results. Furthermore, CYB003, which has been granted FDA BTD, is progressing its phase 3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240"/>
          </w:cols>
          <w:pgMar w:left="320" w:top="1440"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Administration Costs</w:t>
      </w:r>
    </w:p>
    <w:p>
      <w:pPr>
        <w:spacing w:after="0" w:line="30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For the three month period ended September 30, 2025, general and administrative expenses were $9,667 compared to $11,493 during the same period in the prior year. General and administrative expenses for the three month period are comprised of capital market expenses of $3,833 (2024 - $7,043), payroll and benefits of $3,097 (2024 - $2,261), professional and consulting fees $969 (2024 - $595), office and administration expenses of $936 (2024 - $622), business development expenses of $357 (2024 - $237), investor relations and marketing media expenses of $349 (2024 - $677) and listing fees of $126 (2024 - $58). The overall decrease for the three month period ended September 30, 2025, is largely related to less capital market spend, partially offset by additional spend due to the overall growth of the Company</w:t>
      </w:r>
    </w:p>
    <w:p>
      <w:pPr>
        <w:spacing w:after="0" w:line="22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For the six month period ended September 30, 2025, general and administrative expenses were $18,543 compared to $17,561 during the same period in the prior year. General and administrative expenses for the six month period are comprised of capital market expenses of $6,492 (2024 - $8,948), payroll and benefits of $4,704 (2024 - $4,469), professional and consulting fees $3,877 (2024 - $1,055), office and administration expenses of $1,706 (2024 - $1,183), business development expenses of $882 (2024 - $701), investor relations and marketing media expenses of $730 (2024 - $1,073) and listing fees of $152 (2024 - $132). The overall increase for the six month period ended September 30, 2025 is due to due to additional professional and consulting fees incurred related to exploring financing opportunities and additional spend due to the overall growth of the Company. The increase is partially offset by less capital market spend incurred during the period.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Share-Based Compensation</w:t>
      </w:r>
    </w:p>
    <w:p>
      <w:pPr>
        <w:spacing w:after="0" w:line="301"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0"/>
          <w:szCs w:val="20"/>
          <w:color w:val="auto"/>
        </w:rPr>
        <w:t>For the three and six month periods ended September 30, 2025, the Company recorded a share-based compensation expense of $377 and $1,130, respectively, compared to $24,530 and $27,434 during the same periods in prior year. The decrease is largely related to the timing and amount of new options grants issued to consultants, officers, directors and employees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The share-based compensation expense was recorded based on the fair value using a Black Scholes Model. On exercise of warrants and options the equity reserve balances will be moved to share capital.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Foreign Exchange Gain (Loss)</w:t>
      </w:r>
    </w:p>
    <w:p>
      <w:pPr>
        <w:spacing w:after="0" w:line="29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For the three months ended September 30, 2025, the Company incurred foreign currency translation losses from operations and revaluations of balance sheet assets and liabilities held in foreign currencies of $755. The Company holds assets and liabilities in Canadian dollars, United States dollars, Euros, and British pounds.</w:t>
      </w:r>
    </w:p>
    <w:p>
      <w:pPr>
        <w:spacing w:after="0" w:line="168"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For the six months ended September 30, 2025, the Company incurred foreign currency translation gains from operations and revaluations of balance sheet assets and liabilities held in foreign currencies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240"/>
          </w:cols>
          <w:pgMar w:left="320" w:top="1436"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0"/>
          <w:szCs w:val="20"/>
          <w:color w:val="auto"/>
        </w:rPr>
        <w:t>of $1,189. The Company holds assets and liabilities in Canadian dollars, United States dollars, Euros, and British pounds.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Interest Income</w:t>
      </w:r>
    </w:p>
    <w:p>
      <w:pPr>
        <w:spacing w:after="0" w:line="256"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20"/>
          <w:szCs w:val="20"/>
          <w:color w:val="auto"/>
        </w:rPr>
        <w:t>For the three and six month period ended September 30, 2025, the Company recorded interest income of $1,065 and $2,020, respectively, compared to $2,256 and $3,821 during the same periods in prior year. The decrease is largely related to a decrease of the average cash balance earning interest.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Debt Issuance Costs</w:t>
      </w:r>
    </w:p>
    <w:p>
      <w:pPr>
        <w:spacing w:after="0" w:line="251" w:lineRule="exact"/>
        <w:rPr>
          <w:sz w:val="20"/>
          <w:szCs w:val="20"/>
          <w:color w:val="auto"/>
        </w:rPr>
      </w:pPr>
    </w:p>
    <w:p>
      <w:pPr>
        <w:jc w:val="both"/>
        <w:ind w:right="20"/>
        <w:spacing w:after="0" w:line="346" w:lineRule="auto"/>
        <w:rPr>
          <w:sz w:val="20"/>
          <w:szCs w:val="20"/>
          <w:color w:val="auto"/>
        </w:rPr>
      </w:pPr>
      <w:r>
        <w:rPr>
          <w:rFonts w:ascii="Times New Roman" w:cs="Times New Roman" w:eastAsia="Times New Roman" w:hAnsi="Times New Roman"/>
          <w:sz w:val="20"/>
          <w:szCs w:val="20"/>
          <w:color w:val="auto"/>
        </w:rPr>
        <w:t xml:space="preserve">For the three and six month period ended September 30, 2025, the Company recorded Nil </w:t>
      </w:r>
      <w:r>
        <w:rPr>
          <w:rFonts w:ascii="Times New Roman" w:cs="Times New Roman" w:eastAsia="Times New Roman" w:hAnsi="Times New Roman"/>
          <w:sz w:val="21"/>
          <w:szCs w:val="21"/>
          <w:color w:val="auto"/>
        </w:rPr>
        <w:t>and $</w:t>
      </w:r>
      <w:r>
        <w:rPr>
          <w:rFonts w:ascii="Times New Roman" w:cs="Times New Roman" w:eastAsia="Times New Roman" w:hAnsi="Times New Roman"/>
          <w:sz w:val="20"/>
          <w:szCs w:val="20"/>
          <w:color w:val="auto"/>
        </w:rPr>
        <w:t>2,917, respectively, related to debt issuance costs incurred as a result of the Convertible Debentures (as defined below) issued on June 30,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Fair Value Loss on Financial Instruments</w:t>
      </w:r>
    </w:p>
    <w:p>
      <w:pPr>
        <w:spacing w:after="0" w:line="256"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For the three and six month period ended September 30, 2025, the Company recorded a fair value loss of $5,138, as a result of the revaluation of the Convertible Debentures.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 Capital Resources and Cash Flows</w:t>
      </w:r>
    </w:p>
    <w:p>
      <w:pPr>
        <w:spacing w:after="0" w:line="18"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2240" w:type="dxa"/>
            <w:vAlign w:val="bottom"/>
            <w:gridSpan w:val="3"/>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Pr>
          <w:p>
            <w:pPr>
              <w:spacing w:after="0"/>
              <w:rPr>
                <w:sz w:val="16"/>
                <w:szCs w:val="16"/>
                <w:color w:val="auto"/>
              </w:rPr>
            </w:pP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12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80" w:type="dxa"/>
            <w:vAlign w:val="bottom"/>
            <w:tcBorders>
              <w:bottom w:val="single" w:sz="8" w:color="auto"/>
            </w:tcBorders>
            <w:gridSpan w:val="2"/>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(U.S. dollars in thousands)</w:t>
            </w:r>
          </w:p>
        </w:tc>
        <w:tc>
          <w:tcPr>
            <w:tcW w:w="1280" w:type="dxa"/>
            <w:vAlign w:val="bottom"/>
            <w:tcBorders>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8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2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(34,485)</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(19,114)</w:t>
            </w:r>
          </w:p>
        </w:tc>
        <w:tc>
          <w:tcPr>
            <w:tcW w:w="11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(15,371)</w:t>
            </w:r>
          </w:p>
        </w:tc>
        <w:tc>
          <w:tcPr>
            <w:tcW w:w="8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80 %</w:t>
            </w: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(64,033)</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(39,002)</w:t>
            </w: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(25,031)</w:t>
            </w:r>
          </w:p>
        </w:tc>
        <w:tc>
          <w:tcPr>
            <w:tcW w:w="460" w:type="dxa"/>
            <w:vAlign w:val="bottom"/>
            <w:shd w:val="clear" w:color="auto" w:fill="DBDBDB"/>
          </w:tcPr>
          <w:p>
            <w:pPr>
              <w:spacing w:after="0"/>
              <w:rPr>
                <w:sz w:val="17"/>
                <w:szCs w:val="17"/>
                <w:color w:val="auto"/>
              </w:rPr>
            </w:pPr>
          </w:p>
        </w:tc>
        <w:tc>
          <w:tcPr>
            <w:tcW w:w="70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(436)</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(251)</w:t>
            </w:r>
          </w:p>
        </w:tc>
        <w:tc>
          <w:tcPr>
            <w:tcW w:w="11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(185)</w:t>
            </w:r>
          </w:p>
        </w:tc>
        <w:tc>
          <w:tcPr>
            <w:tcW w:w="8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74 %</w:t>
            </w: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(657)</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460" w:type="dxa"/>
            <w:vAlign w:val="bottom"/>
            <w:shd w:val="clear" w:color="auto" w:fill="DBDBDB"/>
          </w:tcPr>
          <w:p>
            <w:pPr>
              <w:spacing w:after="0"/>
              <w:rPr>
                <w:sz w:val="18"/>
                <w:szCs w:val="18"/>
                <w:color w:val="auto"/>
              </w:rPr>
            </w:pPr>
          </w:p>
        </w:tc>
        <w:tc>
          <w:tcPr>
            <w:tcW w:w="70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26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Net cash flows provided by (used in)</w:t>
            </w:r>
          </w:p>
        </w:tc>
        <w:tc>
          <w:tcPr>
            <w:tcW w:w="1280" w:type="dxa"/>
            <w:vAlign w:val="bottom"/>
            <w:gridSpan w:val="2"/>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27</w:t>
            </w:r>
          </w:p>
        </w:tc>
        <w:tc>
          <w:tcPr>
            <w:tcW w:w="9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(271)</w:t>
            </w:r>
          </w:p>
        </w:tc>
        <w:tc>
          <w:tcPr>
            <w:tcW w:w="1120" w:type="dxa"/>
            <w:vAlign w:val="bottom"/>
            <w:vMerge w:val="restart"/>
          </w:tcPr>
          <w:p>
            <w:pPr>
              <w:jc w:val="right"/>
              <w:ind w:right="379"/>
              <w:spacing w:after="0"/>
              <w:rPr>
                <w:sz w:val="20"/>
                <w:szCs w:val="20"/>
                <w:color w:val="auto"/>
              </w:rPr>
            </w:pPr>
            <w:r>
              <w:rPr>
                <w:rFonts w:ascii="Times New Roman" w:cs="Times New Roman" w:eastAsia="Times New Roman" w:hAnsi="Times New Roman"/>
                <w:sz w:val="16"/>
                <w:szCs w:val="16"/>
                <w:color w:val="auto"/>
              </w:rPr>
              <w:t>298</w:t>
            </w:r>
          </w:p>
        </w:tc>
        <w:tc>
          <w:tcPr>
            <w:tcW w:w="84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(110)%</w:t>
            </w:r>
          </w:p>
        </w:tc>
        <w:tc>
          <w:tcPr>
            <w:tcW w:w="102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54,660</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82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55,103</w:t>
            </w:r>
          </w:p>
        </w:tc>
        <w:tc>
          <w:tcPr>
            <w:tcW w:w="460" w:type="dxa"/>
            <w:vAlign w:val="bottom"/>
            <w:shd w:val="clear" w:color="auto" w:fill="DBDBDB"/>
          </w:tcPr>
          <w:p>
            <w:pPr>
              <w:spacing w:after="0"/>
              <w:rPr>
                <w:sz w:val="14"/>
                <w:szCs w:val="14"/>
                <w:color w:val="auto"/>
              </w:rPr>
            </w:pPr>
          </w:p>
        </w:tc>
        <w:tc>
          <w:tcPr>
            <w:tcW w:w="54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(12439)</w:t>
            </w:r>
          </w:p>
        </w:tc>
        <w:tc>
          <w:tcPr>
            <w:tcW w:w="1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financing activities</w:t>
            </w:r>
          </w:p>
        </w:tc>
        <w:tc>
          <w:tcPr>
            <w:tcW w:w="1280" w:type="dxa"/>
            <w:vAlign w:val="bottom"/>
            <w:tcBorders>
              <w:bottom w:val="single" w:sz="8" w:color="auto"/>
            </w:tcBorders>
            <w:gridSpan w:val="2"/>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shd w:val="clear" w:color="auto" w:fill="DBDBDB"/>
          </w:tcPr>
          <w:p>
            <w:pPr>
              <w:spacing w:after="0"/>
              <w:rPr>
                <w:sz w:val="18"/>
                <w:szCs w:val="18"/>
                <w:color w:val="auto"/>
              </w:rPr>
            </w:pPr>
          </w:p>
        </w:tc>
        <w:tc>
          <w:tcPr>
            <w:tcW w:w="460" w:type="dxa"/>
            <w:vAlign w:val="bottom"/>
            <w:tcBorders>
              <w:bottom w:val="single" w:sz="8" w:color="auto"/>
            </w:tcBorders>
            <w:shd w:val="clear" w:color="auto" w:fill="DBDBDB"/>
          </w:tcPr>
          <w:p>
            <w:pPr>
              <w:spacing w:after="0"/>
              <w:rPr>
                <w:sz w:val="18"/>
                <w:szCs w:val="18"/>
                <w:color w:val="auto"/>
              </w:rPr>
            </w:pPr>
          </w:p>
        </w:tc>
        <w:tc>
          <w:tcPr>
            <w:tcW w:w="540" w:type="dxa"/>
            <w:vAlign w:val="bottom"/>
            <w:tcBorders>
              <w:bottom w:val="single" w:sz="8" w:color="auto"/>
            </w:tcBorders>
            <w:vMerge w:val="continue"/>
            <w:shd w:val="clear" w:color="auto" w:fill="DBDBDB"/>
          </w:tcPr>
          <w:p>
            <w:pPr>
              <w:spacing w:after="0"/>
              <w:rPr>
                <w:sz w:val="18"/>
                <w:szCs w:val="18"/>
                <w:color w:val="auto"/>
              </w:rPr>
            </w:pPr>
          </w:p>
        </w:tc>
        <w:tc>
          <w:tcPr>
            <w:tcW w:w="160" w:type="dxa"/>
            <w:vAlign w:val="bottom"/>
            <w:tcBorders>
              <w:bottom w:val="single" w:sz="8" w:color="auto"/>
            </w:tcBorders>
            <w:vMerge w:val="continue"/>
            <w:shd w:val="clear" w:color="auto" w:fill="DBDBDB"/>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Decrease in cash</w:t>
            </w:r>
          </w:p>
        </w:tc>
        <w:tc>
          <w:tcPr>
            <w:tcW w:w="12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(34,894)</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(19,636)</w:t>
            </w:r>
          </w:p>
        </w:tc>
        <w:tc>
          <w:tcPr>
            <w:tcW w:w="11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(15,258)</w:t>
            </w:r>
          </w:p>
        </w:tc>
        <w:tc>
          <w:tcPr>
            <w:tcW w:w="8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78 %</w:t>
            </w: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(10,030)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(39,869)</w:t>
            </w: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29,839</w:t>
            </w:r>
          </w:p>
        </w:tc>
        <w:tc>
          <w:tcPr>
            <w:tcW w:w="460" w:type="dxa"/>
            <w:vAlign w:val="bottom"/>
            <w:shd w:val="clear" w:color="auto" w:fill="DBDBDB"/>
          </w:tcPr>
          <w:p>
            <w:pPr>
              <w:spacing w:after="0"/>
              <w:rPr>
                <w:sz w:val="17"/>
                <w:szCs w:val="17"/>
                <w:color w:val="auto"/>
              </w:rPr>
            </w:pPr>
          </w:p>
        </w:tc>
        <w:tc>
          <w:tcPr>
            <w:tcW w:w="5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foreign exchange difference</w:t>
            </w:r>
          </w:p>
        </w:tc>
        <w:tc>
          <w:tcPr>
            <w:tcW w:w="12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(46)</w:t>
            </w: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11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(96)</w:t>
            </w:r>
          </w:p>
        </w:tc>
        <w:tc>
          <w:tcPr>
            <w:tcW w:w="8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(192)%</w:t>
            </w: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460" w:type="dxa"/>
            <w:vAlign w:val="bottom"/>
            <w:shd w:val="clear" w:color="auto" w:fill="DBDBDB"/>
          </w:tcPr>
          <w:p>
            <w:pPr>
              <w:spacing w:after="0"/>
              <w:rPr>
                <w:sz w:val="18"/>
                <w:szCs w:val="18"/>
                <w:color w:val="auto"/>
              </w:rPr>
            </w:pPr>
          </w:p>
        </w:tc>
        <w:tc>
          <w:tcPr>
            <w:tcW w:w="5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26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Cash and cash equivalents,</w:t>
            </w:r>
          </w:p>
        </w:tc>
        <w:tc>
          <w:tcPr>
            <w:tcW w:w="1280" w:type="dxa"/>
            <w:vAlign w:val="bottom"/>
            <w:gridSpan w:val="2"/>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118,692</w:t>
            </w:r>
          </w:p>
        </w:tc>
        <w:tc>
          <w:tcPr>
            <w:tcW w:w="9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133,904</w:t>
            </w:r>
          </w:p>
        </w:tc>
        <w:tc>
          <w:tcPr>
            <w:tcW w:w="112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color w:val="auto"/>
              </w:rPr>
              <w:t>(15,212)</w:t>
            </w:r>
          </w:p>
        </w:tc>
        <w:tc>
          <w:tcPr>
            <w:tcW w:w="84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(11)%</w:t>
            </w:r>
          </w:p>
        </w:tc>
        <w:tc>
          <w:tcPr>
            <w:tcW w:w="102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93,922</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154,238</w:t>
            </w:r>
          </w:p>
        </w:tc>
        <w:tc>
          <w:tcPr>
            <w:tcW w:w="82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(60,316)</w:t>
            </w:r>
          </w:p>
        </w:tc>
        <w:tc>
          <w:tcPr>
            <w:tcW w:w="460" w:type="dxa"/>
            <w:vAlign w:val="bottom"/>
            <w:shd w:val="clear" w:color="auto" w:fill="DBDBDB"/>
          </w:tcPr>
          <w:p>
            <w:pPr>
              <w:spacing w:after="0"/>
              <w:rPr>
                <w:sz w:val="14"/>
                <w:szCs w:val="14"/>
                <w:color w:val="auto"/>
              </w:rPr>
            </w:pPr>
          </w:p>
        </w:tc>
        <w:tc>
          <w:tcPr>
            <w:tcW w:w="54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beginning of period</w:t>
            </w:r>
          </w:p>
        </w:tc>
        <w:tc>
          <w:tcPr>
            <w:tcW w:w="1280" w:type="dxa"/>
            <w:vAlign w:val="bottom"/>
            <w:tcBorders>
              <w:bottom w:val="single" w:sz="8" w:color="auto"/>
            </w:tcBorders>
            <w:gridSpan w:val="2"/>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shd w:val="clear" w:color="auto" w:fill="DBDBDB"/>
          </w:tcPr>
          <w:p>
            <w:pPr>
              <w:spacing w:after="0"/>
              <w:rPr>
                <w:sz w:val="18"/>
                <w:szCs w:val="18"/>
                <w:color w:val="auto"/>
              </w:rPr>
            </w:pPr>
          </w:p>
        </w:tc>
        <w:tc>
          <w:tcPr>
            <w:tcW w:w="460" w:type="dxa"/>
            <w:vAlign w:val="bottom"/>
            <w:tcBorders>
              <w:bottom w:val="single" w:sz="8" w:color="auto"/>
            </w:tcBorders>
            <w:shd w:val="clear" w:color="auto" w:fill="DBDBDB"/>
          </w:tcPr>
          <w:p>
            <w:pPr>
              <w:spacing w:after="0"/>
              <w:rPr>
                <w:sz w:val="18"/>
                <w:szCs w:val="18"/>
                <w:color w:val="auto"/>
              </w:rPr>
            </w:pPr>
          </w:p>
        </w:tc>
        <w:tc>
          <w:tcPr>
            <w:tcW w:w="540" w:type="dxa"/>
            <w:vAlign w:val="bottom"/>
            <w:tcBorders>
              <w:bottom w:val="single" w:sz="8" w:color="auto"/>
            </w:tcBorders>
            <w:vMerge w:val="continue"/>
            <w:shd w:val="clear" w:color="auto" w:fill="DBDBDB"/>
          </w:tcPr>
          <w:p>
            <w:pPr>
              <w:spacing w:after="0"/>
              <w:rPr>
                <w:sz w:val="18"/>
                <w:szCs w:val="18"/>
                <w:color w:val="auto"/>
              </w:rPr>
            </w:pPr>
          </w:p>
        </w:tc>
        <w:tc>
          <w:tcPr>
            <w:tcW w:w="160" w:type="dxa"/>
            <w:vAlign w:val="bottom"/>
            <w:tcBorders>
              <w:bottom w:val="single" w:sz="8" w:color="auto"/>
            </w:tcBorders>
            <w:vMerge w:val="continue"/>
            <w:shd w:val="clear" w:color="auto" w:fill="DBDBDB"/>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6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Cash and cash equivalents,</w:t>
            </w:r>
          </w:p>
        </w:tc>
        <w:tc>
          <w:tcPr>
            <w:tcW w:w="1280" w:type="dxa"/>
            <w:vAlign w:val="bottom"/>
            <w:gridSpan w:val="2"/>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83,752</w:t>
            </w:r>
          </w:p>
        </w:tc>
        <w:tc>
          <w:tcPr>
            <w:tcW w:w="9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114,318</w:t>
            </w:r>
          </w:p>
        </w:tc>
        <w:tc>
          <w:tcPr>
            <w:tcW w:w="112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color w:val="auto"/>
              </w:rPr>
              <w:t>(30,566)</w:t>
            </w:r>
          </w:p>
        </w:tc>
        <w:tc>
          <w:tcPr>
            <w:tcW w:w="84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(27)%</w:t>
            </w:r>
          </w:p>
        </w:tc>
        <w:tc>
          <w:tcPr>
            <w:tcW w:w="102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83,752</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114,318</w:t>
            </w:r>
          </w:p>
        </w:tc>
        <w:tc>
          <w:tcPr>
            <w:tcW w:w="82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(30,566)</w:t>
            </w:r>
          </w:p>
        </w:tc>
        <w:tc>
          <w:tcPr>
            <w:tcW w:w="460" w:type="dxa"/>
            <w:vAlign w:val="bottom"/>
            <w:shd w:val="clear" w:color="auto" w:fill="DBDBDB"/>
          </w:tcPr>
          <w:p>
            <w:pPr>
              <w:spacing w:after="0"/>
              <w:rPr>
                <w:sz w:val="13"/>
                <w:szCs w:val="13"/>
                <w:color w:val="auto"/>
              </w:rPr>
            </w:pPr>
          </w:p>
        </w:tc>
        <w:tc>
          <w:tcPr>
            <w:tcW w:w="54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1280" w:type="dxa"/>
            <w:vAlign w:val="bottom"/>
            <w:tcBorders>
              <w:bottom w:val="single" w:sz="8" w:color="auto"/>
            </w:tcBorders>
            <w:gridSpan w:val="2"/>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shd w:val="clear" w:color="auto" w:fill="DBDBDB"/>
          </w:tcPr>
          <w:p>
            <w:pPr>
              <w:spacing w:after="0"/>
              <w:rPr>
                <w:sz w:val="18"/>
                <w:szCs w:val="18"/>
                <w:color w:val="auto"/>
              </w:rPr>
            </w:pPr>
          </w:p>
        </w:tc>
        <w:tc>
          <w:tcPr>
            <w:tcW w:w="460" w:type="dxa"/>
            <w:vAlign w:val="bottom"/>
            <w:tcBorders>
              <w:bottom w:val="single" w:sz="8" w:color="auto"/>
            </w:tcBorders>
            <w:shd w:val="clear" w:color="auto" w:fill="DBDBDB"/>
          </w:tcPr>
          <w:p>
            <w:pPr>
              <w:spacing w:after="0"/>
              <w:rPr>
                <w:sz w:val="18"/>
                <w:szCs w:val="18"/>
                <w:color w:val="auto"/>
              </w:rPr>
            </w:pPr>
          </w:p>
        </w:tc>
        <w:tc>
          <w:tcPr>
            <w:tcW w:w="540" w:type="dxa"/>
            <w:vAlign w:val="bottom"/>
            <w:tcBorders>
              <w:bottom w:val="single" w:sz="8" w:color="auto"/>
            </w:tcBorders>
            <w:vMerge w:val="continue"/>
            <w:shd w:val="clear" w:color="auto" w:fill="DBDBDB"/>
          </w:tcPr>
          <w:p>
            <w:pPr>
              <w:spacing w:after="0"/>
              <w:rPr>
                <w:sz w:val="18"/>
                <w:szCs w:val="18"/>
                <w:color w:val="auto"/>
              </w:rPr>
            </w:pPr>
          </w:p>
        </w:tc>
        <w:tc>
          <w:tcPr>
            <w:tcW w:w="160" w:type="dxa"/>
            <w:vAlign w:val="bottom"/>
            <w:tcBorders>
              <w:bottom w:val="single" w:sz="8" w:color="auto"/>
            </w:tcBorders>
            <w:vMerge w:val="continue"/>
            <w:shd w:val="clear" w:color="auto" w:fill="DBDBDB"/>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3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gridSpan w:val="11"/>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260" w:type="dxa"/>
            <w:vAlign w:val="bottom"/>
            <w:tcBorders>
              <w:left w:val="single" w:sz="8" w:color="auto"/>
            </w:tcBorders>
            <w:shd w:val="clear" w:color="auto" w:fill="DBDBDB"/>
          </w:tcPr>
          <w:p>
            <w:pPr>
              <w:ind w:left="40"/>
              <w:spacing w:after="0" w:line="169" w:lineRule="exact"/>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440" w:type="dxa"/>
            <w:vAlign w:val="bottom"/>
            <w:shd w:val="clear" w:color="auto" w:fill="DBDBDB"/>
          </w:tcPr>
          <w:p>
            <w:pPr>
              <w:spacing w:after="0"/>
              <w:rPr>
                <w:sz w:val="14"/>
                <w:szCs w:val="14"/>
                <w:color w:val="auto"/>
              </w:rPr>
            </w:pPr>
          </w:p>
        </w:tc>
        <w:tc>
          <w:tcPr>
            <w:tcW w:w="7560" w:type="dxa"/>
            <w:vAlign w:val="bottom"/>
            <w:tcBorders>
              <w:right w:val="single" w:sz="8" w:color="auto"/>
            </w:tcBorders>
            <w:gridSpan w:val="11"/>
          </w:tcPr>
          <w:p>
            <w:pPr>
              <w:ind w:left="20"/>
              <w:spacing w:after="0" w:line="169" w:lineRule="exact"/>
              <w:rPr>
                <w:sz w:val="20"/>
                <w:szCs w:val="20"/>
                <w:color w:val="auto"/>
              </w:rPr>
            </w:pPr>
            <w:r>
              <w:rPr>
                <w:rFonts w:ascii="Times New Roman" w:cs="Times New Roman" w:eastAsia="Times New Roman" w:hAnsi="Times New Roman"/>
                <w:sz w:val="16"/>
                <w:szCs w:val="16"/>
                <w:color w:val="auto"/>
              </w:rPr>
              <w:t>Primarily relates to cash used for operating expenses including research expenses, salaries, and other general and</w:t>
            </w:r>
          </w:p>
        </w:tc>
        <w:tc>
          <w:tcPr>
            <w:tcW w:w="0" w:type="dxa"/>
            <w:vAlign w:val="bottom"/>
          </w:tcPr>
          <w:p>
            <w:pPr>
              <w:spacing w:after="0"/>
              <w:rPr>
                <w:sz w:val="1"/>
                <w:szCs w:val="1"/>
                <w:color w:val="auto"/>
              </w:rPr>
            </w:pPr>
          </w:p>
        </w:tc>
      </w:tr>
      <w:tr>
        <w:trPr>
          <w:trHeight w:val="175"/>
        </w:trPr>
        <w:tc>
          <w:tcPr>
            <w:tcW w:w="3260" w:type="dxa"/>
            <w:vAlign w:val="bottom"/>
            <w:tcBorders>
              <w:left w:val="single" w:sz="8" w:color="auto"/>
            </w:tcBorders>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7560" w:type="dxa"/>
            <w:vAlign w:val="bottom"/>
            <w:tcBorders>
              <w:right w:val="single" w:sz="8" w:color="auto"/>
            </w:tcBorders>
            <w:gridSpan w:val="11"/>
          </w:tcPr>
          <w:p>
            <w:pPr>
              <w:ind w:left="20"/>
              <w:spacing w:after="0" w:line="175" w:lineRule="exact"/>
              <w:rPr>
                <w:sz w:val="20"/>
                <w:szCs w:val="20"/>
                <w:color w:val="auto"/>
              </w:rPr>
            </w:pPr>
            <w:r>
              <w:rPr>
                <w:rFonts w:ascii="Times New Roman" w:cs="Times New Roman" w:eastAsia="Times New Roman" w:hAnsi="Times New Roman"/>
                <w:sz w:val="16"/>
                <w:szCs w:val="16"/>
                <w:color w:val="auto"/>
              </w:rPr>
              <w:t>administration expenses. Cash flows from operating activities exclude expenses not affecting cash, such as share</w:t>
            </w:r>
          </w:p>
        </w:tc>
        <w:tc>
          <w:tcPr>
            <w:tcW w:w="0" w:type="dxa"/>
            <w:vAlign w:val="bottom"/>
          </w:tcPr>
          <w:p>
            <w:pPr>
              <w:spacing w:after="0"/>
              <w:rPr>
                <w:sz w:val="1"/>
                <w:szCs w:val="1"/>
                <w:color w:val="auto"/>
              </w:rPr>
            </w:pPr>
          </w:p>
        </w:tc>
      </w:tr>
      <w:tr>
        <w:trPr>
          <w:trHeight w:val="175"/>
        </w:trPr>
        <w:tc>
          <w:tcPr>
            <w:tcW w:w="3260" w:type="dxa"/>
            <w:vAlign w:val="bottom"/>
            <w:tcBorders>
              <w:left w:val="single" w:sz="8" w:color="auto"/>
            </w:tcBorders>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7560" w:type="dxa"/>
            <w:vAlign w:val="bottom"/>
            <w:tcBorders>
              <w:right w:val="single" w:sz="8" w:color="auto"/>
            </w:tcBorders>
            <w:gridSpan w:val="11"/>
          </w:tcPr>
          <w:p>
            <w:pPr>
              <w:ind w:left="20"/>
              <w:spacing w:after="0" w:line="175" w:lineRule="exact"/>
              <w:rPr>
                <w:sz w:val="20"/>
                <w:szCs w:val="20"/>
                <w:color w:val="auto"/>
              </w:rPr>
            </w:pPr>
            <w:r>
              <w:rPr>
                <w:rFonts w:ascii="Times New Roman" w:cs="Times New Roman" w:eastAsia="Times New Roman" w:hAnsi="Times New Roman"/>
                <w:sz w:val="16"/>
                <w:szCs w:val="16"/>
                <w:color w:val="auto"/>
              </w:rPr>
              <w:t>based compensation expense, depreciation and amortization, lease interest, unrealized foreign exchange gains or</w:t>
            </w:r>
          </w:p>
        </w:tc>
        <w:tc>
          <w:tcPr>
            <w:tcW w:w="0" w:type="dxa"/>
            <w:vAlign w:val="bottom"/>
          </w:tcPr>
          <w:p>
            <w:pPr>
              <w:spacing w:after="0"/>
              <w:rPr>
                <w:sz w:val="1"/>
                <w:szCs w:val="1"/>
                <w:color w:val="auto"/>
              </w:rPr>
            </w:pPr>
          </w:p>
        </w:tc>
      </w:tr>
      <w:tr>
        <w:trPr>
          <w:trHeight w:val="210"/>
        </w:trPr>
        <w:tc>
          <w:tcPr>
            <w:tcW w:w="3260" w:type="dxa"/>
            <w:vAlign w:val="bottom"/>
            <w:tcBorders>
              <w:left w:val="single" w:sz="8" w:color="auto"/>
            </w:tcBorders>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7560" w:type="dxa"/>
            <w:vAlign w:val="bottom"/>
            <w:tcBorders>
              <w:right w:val="single" w:sz="8" w:color="auto"/>
            </w:tcBorders>
            <w:gridSpan w:val="11"/>
          </w:tcPr>
          <w:p>
            <w:pPr>
              <w:ind w:left="20"/>
              <w:spacing w:after="0"/>
              <w:rPr>
                <w:sz w:val="20"/>
                <w:szCs w:val="20"/>
                <w:color w:val="auto"/>
              </w:rPr>
            </w:pPr>
            <w:r>
              <w:rPr>
                <w:rFonts w:ascii="Times New Roman" w:cs="Times New Roman" w:eastAsia="Times New Roman" w:hAnsi="Times New Roman"/>
                <w:sz w:val="16"/>
                <w:szCs w:val="16"/>
                <w:color w:val="auto"/>
              </w:rPr>
              <w:t>losses, fair value loss on financial instruments and net changes in non-cash balances relating to operations.</w:t>
            </w:r>
          </w:p>
        </w:tc>
        <w:tc>
          <w:tcPr>
            <w:tcW w:w="0" w:type="dxa"/>
            <w:vAlign w:val="bottom"/>
          </w:tcPr>
          <w:p>
            <w:pPr>
              <w:spacing w:after="0"/>
              <w:rPr>
                <w:sz w:val="1"/>
                <w:szCs w:val="1"/>
                <w:color w:val="auto"/>
              </w:rPr>
            </w:pPr>
          </w:p>
        </w:tc>
      </w:tr>
      <w:tr>
        <w:trPr>
          <w:trHeight w:val="208"/>
        </w:trPr>
        <w:tc>
          <w:tcPr>
            <w:tcW w:w="3260" w:type="dxa"/>
            <w:vAlign w:val="bottom"/>
            <w:tcBorders>
              <w:left w:val="single" w:sz="8" w:color="auto"/>
            </w:tcBorders>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37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For the three months ended September 30, 2025, cash</w:t>
            </w:r>
          </w:p>
        </w:tc>
        <w:tc>
          <w:tcPr>
            <w:tcW w:w="380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6"/>
                <w:szCs w:val="16"/>
                <w:color w:val="auto"/>
              </w:rPr>
              <w:t>For the six months ended September 30, 2025, cash used</w:t>
            </w:r>
          </w:p>
        </w:tc>
        <w:tc>
          <w:tcPr>
            <w:tcW w:w="0" w:type="dxa"/>
            <w:vAlign w:val="bottom"/>
          </w:tcPr>
          <w:p>
            <w:pPr>
              <w:spacing w:after="0"/>
              <w:rPr>
                <w:sz w:val="1"/>
                <w:szCs w:val="1"/>
                <w:color w:val="auto"/>
              </w:rPr>
            </w:pPr>
          </w:p>
        </w:tc>
      </w:tr>
      <w:tr>
        <w:trPr>
          <w:trHeight w:val="176"/>
        </w:trPr>
        <w:tc>
          <w:tcPr>
            <w:tcW w:w="3260" w:type="dxa"/>
            <w:vAlign w:val="bottom"/>
            <w:tcBorders>
              <w:left w:val="single" w:sz="8" w:color="auto"/>
            </w:tcBorders>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376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6"/>
                <w:szCs w:val="16"/>
                <w:color w:val="auto"/>
              </w:rPr>
              <w:t>used in operating activities was $34,485 driven by a net</w:t>
            </w:r>
          </w:p>
        </w:tc>
        <w:tc>
          <w:tcPr>
            <w:tcW w:w="3800" w:type="dxa"/>
            <w:vAlign w:val="bottom"/>
            <w:tcBorders>
              <w:right w:val="single" w:sz="8" w:color="auto"/>
            </w:tcBorders>
            <w:gridSpan w:val="7"/>
          </w:tcPr>
          <w:p>
            <w:pPr>
              <w:ind w:left="80"/>
              <w:spacing w:after="0" w:line="175" w:lineRule="exact"/>
              <w:rPr>
                <w:sz w:val="20"/>
                <w:szCs w:val="20"/>
                <w:color w:val="auto"/>
              </w:rPr>
            </w:pPr>
            <w:r>
              <w:rPr>
                <w:rFonts w:ascii="Times New Roman" w:cs="Times New Roman" w:eastAsia="Times New Roman" w:hAnsi="Times New Roman"/>
                <w:sz w:val="16"/>
                <w:szCs w:val="16"/>
                <w:color w:val="auto"/>
              </w:rPr>
              <w:t>in operating activities was $64,033 driven by a net loss</w:t>
            </w:r>
          </w:p>
        </w:tc>
        <w:tc>
          <w:tcPr>
            <w:tcW w:w="0" w:type="dxa"/>
            <w:vAlign w:val="bottom"/>
          </w:tcPr>
          <w:p>
            <w:pPr>
              <w:spacing w:after="0"/>
              <w:rPr>
                <w:sz w:val="1"/>
                <w:szCs w:val="1"/>
                <w:color w:val="auto"/>
              </w:rPr>
            </w:pPr>
          </w:p>
        </w:tc>
      </w:tr>
      <w:tr>
        <w:trPr>
          <w:trHeight w:val="175"/>
        </w:trPr>
        <w:tc>
          <w:tcPr>
            <w:tcW w:w="3260" w:type="dxa"/>
            <w:vAlign w:val="bottom"/>
            <w:tcBorders>
              <w:left w:val="single" w:sz="8" w:color="auto"/>
            </w:tcBorders>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376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6"/>
                <w:szCs w:val="16"/>
                <w:color w:val="auto"/>
              </w:rPr>
              <w:t>loss for the period of $33,722 and a decrease in working</w:t>
            </w:r>
          </w:p>
        </w:tc>
        <w:tc>
          <w:tcPr>
            <w:tcW w:w="3800" w:type="dxa"/>
            <w:vAlign w:val="bottom"/>
            <w:tcBorders>
              <w:right w:val="single" w:sz="8" w:color="auto"/>
            </w:tcBorders>
            <w:gridSpan w:val="7"/>
          </w:tcPr>
          <w:p>
            <w:pPr>
              <w:ind w:left="80"/>
              <w:spacing w:after="0" w:line="175" w:lineRule="exact"/>
              <w:rPr>
                <w:sz w:val="20"/>
                <w:szCs w:val="20"/>
                <w:color w:val="auto"/>
              </w:rPr>
            </w:pPr>
            <w:r>
              <w:rPr>
                <w:rFonts w:ascii="Times New Roman" w:cs="Times New Roman" w:eastAsia="Times New Roman" w:hAnsi="Times New Roman"/>
                <w:sz w:val="16"/>
                <w:szCs w:val="16"/>
                <w:color w:val="auto"/>
              </w:rPr>
              <w:t>for the period of $58,335, a decrease in working capital</w:t>
            </w:r>
          </w:p>
        </w:tc>
        <w:tc>
          <w:tcPr>
            <w:tcW w:w="0" w:type="dxa"/>
            <w:vAlign w:val="bottom"/>
          </w:tcPr>
          <w:p>
            <w:pPr>
              <w:spacing w:after="0"/>
              <w:rPr>
                <w:sz w:val="1"/>
                <w:szCs w:val="1"/>
                <w:color w:val="auto"/>
              </w:rPr>
            </w:pPr>
          </w:p>
        </w:tc>
      </w:tr>
      <w:tr>
        <w:trPr>
          <w:trHeight w:val="175"/>
        </w:trPr>
        <w:tc>
          <w:tcPr>
            <w:tcW w:w="3260" w:type="dxa"/>
            <w:vAlign w:val="bottom"/>
            <w:tcBorders>
              <w:left w:val="single" w:sz="8" w:color="auto"/>
            </w:tcBorders>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376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6"/>
                <w:szCs w:val="16"/>
                <w:color w:val="auto"/>
              </w:rPr>
              <w:t>capital of $7,062, partially offset by the following non-</w:t>
            </w:r>
          </w:p>
        </w:tc>
        <w:tc>
          <w:tcPr>
            <w:tcW w:w="3800" w:type="dxa"/>
            <w:vAlign w:val="bottom"/>
            <w:tcBorders>
              <w:right w:val="single" w:sz="8" w:color="auto"/>
            </w:tcBorders>
            <w:gridSpan w:val="7"/>
          </w:tcPr>
          <w:p>
            <w:pPr>
              <w:ind w:left="80"/>
              <w:spacing w:after="0" w:line="175" w:lineRule="exact"/>
              <w:rPr>
                <w:sz w:val="20"/>
                <w:szCs w:val="20"/>
                <w:color w:val="auto"/>
              </w:rPr>
            </w:pPr>
            <w:r>
              <w:rPr>
                <w:rFonts w:ascii="Times New Roman" w:cs="Times New Roman" w:eastAsia="Times New Roman" w:hAnsi="Times New Roman"/>
                <w:sz w:val="16"/>
                <w:szCs w:val="16"/>
                <w:color w:val="auto"/>
              </w:rPr>
              <w:t>of $10,837, a non-cash unrealized foreign exchange gain</w:t>
            </w:r>
          </w:p>
        </w:tc>
        <w:tc>
          <w:tcPr>
            <w:tcW w:w="0" w:type="dxa"/>
            <w:vAlign w:val="bottom"/>
          </w:tcPr>
          <w:p>
            <w:pPr>
              <w:spacing w:after="0"/>
              <w:rPr>
                <w:sz w:val="1"/>
                <w:szCs w:val="1"/>
                <w:color w:val="auto"/>
              </w:rPr>
            </w:pPr>
          </w:p>
        </w:tc>
      </w:tr>
      <w:tr>
        <w:trPr>
          <w:trHeight w:val="189"/>
        </w:trPr>
        <w:tc>
          <w:tcPr>
            <w:tcW w:w="3260" w:type="dxa"/>
            <w:vAlign w:val="bottom"/>
            <w:tcBorders>
              <w:left w:val="single" w:sz="8" w:color="auto"/>
            </w:tcBorders>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37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cash items: fair value loss on financial instruments of</w:t>
            </w:r>
          </w:p>
        </w:tc>
        <w:tc>
          <w:tcPr>
            <w:tcW w:w="380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6"/>
                <w:szCs w:val="16"/>
                <w:color w:val="auto"/>
              </w:rPr>
              <w:t>of $1,189 and a gain on sale of lab equipment of $7,</w:t>
            </w:r>
          </w:p>
        </w:tc>
        <w:tc>
          <w:tcPr>
            <w:tcW w:w="0" w:type="dxa"/>
            <w:vAlign w:val="bottom"/>
          </w:tcPr>
          <w:p>
            <w:pPr>
              <w:spacing w:after="0"/>
              <w:rPr>
                <w:sz w:val="1"/>
                <w:szCs w:val="1"/>
                <w:color w:val="auto"/>
              </w:rPr>
            </w:pPr>
          </w:p>
        </w:tc>
      </w:tr>
      <w:tr>
        <w:trPr>
          <w:trHeight w:val="176"/>
        </w:trPr>
        <w:tc>
          <w:tcPr>
            <w:tcW w:w="3260" w:type="dxa"/>
            <w:vAlign w:val="bottom"/>
            <w:tcBorders>
              <w:left w:val="single" w:sz="8" w:color="auto"/>
            </w:tcBorders>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376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6"/>
                <w:szCs w:val="16"/>
                <w:color w:val="auto"/>
              </w:rPr>
              <w:t>$5,138, a non-cash unrealized foreign exchange loss of</w:t>
            </w:r>
          </w:p>
        </w:tc>
        <w:tc>
          <w:tcPr>
            <w:tcW w:w="3800" w:type="dxa"/>
            <w:vAlign w:val="bottom"/>
            <w:tcBorders>
              <w:right w:val="single" w:sz="8" w:color="auto"/>
            </w:tcBorders>
            <w:gridSpan w:val="7"/>
          </w:tcPr>
          <w:p>
            <w:pPr>
              <w:ind w:left="80"/>
              <w:spacing w:after="0" w:line="175" w:lineRule="exact"/>
              <w:rPr>
                <w:sz w:val="20"/>
                <w:szCs w:val="20"/>
                <w:color w:val="auto"/>
              </w:rPr>
            </w:pPr>
            <w:r>
              <w:rPr>
                <w:rFonts w:ascii="Times New Roman" w:cs="Times New Roman" w:eastAsia="Times New Roman" w:hAnsi="Times New Roman"/>
                <w:sz w:val="16"/>
                <w:szCs w:val="16"/>
                <w:color w:val="auto"/>
              </w:rPr>
              <w:t>partially offset by the following non-cash items: fair</w:t>
            </w:r>
          </w:p>
        </w:tc>
        <w:tc>
          <w:tcPr>
            <w:tcW w:w="0" w:type="dxa"/>
            <w:vAlign w:val="bottom"/>
          </w:tcPr>
          <w:p>
            <w:pPr>
              <w:spacing w:after="0"/>
              <w:rPr>
                <w:sz w:val="1"/>
                <w:szCs w:val="1"/>
                <w:color w:val="auto"/>
              </w:rPr>
            </w:pPr>
          </w:p>
        </w:tc>
      </w:tr>
      <w:tr>
        <w:trPr>
          <w:trHeight w:val="175"/>
        </w:trPr>
        <w:tc>
          <w:tcPr>
            <w:tcW w:w="3260" w:type="dxa"/>
            <w:vAlign w:val="bottom"/>
            <w:tcBorders>
              <w:left w:val="single" w:sz="8" w:color="auto"/>
            </w:tcBorders>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376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6"/>
                <w:szCs w:val="16"/>
                <w:color w:val="auto"/>
              </w:rPr>
              <w:t>$755,  share-based  compensation  of  $377  and</w:t>
            </w:r>
          </w:p>
        </w:tc>
        <w:tc>
          <w:tcPr>
            <w:tcW w:w="3800" w:type="dxa"/>
            <w:vAlign w:val="bottom"/>
            <w:tcBorders>
              <w:right w:val="single" w:sz="8" w:color="auto"/>
            </w:tcBorders>
            <w:gridSpan w:val="7"/>
          </w:tcPr>
          <w:p>
            <w:pPr>
              <w:ind w:left="80"/>
              <w:spacing w:after="0" w:line="175" w:lineRule="exact"/>
              <w:rPr>
                <w:sz w:val="20"/>
                <w:szCs w:val="20"/>
                <w:color w:val="auto"/>
              </w:rPr>
            </w:pPr>
            <w:r>
              <w:rPr>
                <w:rFonts w:ascii="Times New Roman" w:cs="Times New Roman" w:eastAsia="Times New Roman" w:hAnsi="Times New Roman"/>
                <w:sz w:val="16"/>
                <w:szCs w:val="16"/>
                <w:color w:val="auto"/>
              </w:rPr>
              <w:t>value loss on financial instruments of $5,138, share-</w:t>
            </w:r>
          </w:p>
        </w:tc>
        <w:tc>
          <w:tcPr>
            <w:tcW w:w="0" w:type="dxa"/>
            <w:vAlign w:val="bottom"/>
          </w:tcPr>
          <w:p>
            <w:pPr>
              <w:spacing w:after="0"/>
              <w:rPr>
                <w:sz w:val="1"/>
                <w:szCs w:val="1"/>
                <w:color w:val="auto"/>
              </w:rPr>
            </w:pPr>
          </w:p>
        </w:tc>
      </w:tr>
      <w:tr>
        <w:trPr>
          <w:trHeight w:val="175"/>
        </w:trPr>
        <w:tc>
          <w:tcPr>
            <w:tcW w:w="3260" w:type="dxa"/>
            <w:vAlign w:val="bottom"/>
            <w:tcBorders>
              <w:left w:val="single" w:sz="8" w:color="auto"/>
            </w:tcBorders>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292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color w:val="auto"/>
              </w:rPr>
              <w:t>depreciation and amortization of $29.</w:t>
            </w:r>
          </w:p>
        </w:tc>
        <w:tc>
          <w:tcPr>
            <w:tcW w:w="840" w:type="dxa"/>
            <w:vAlign w:val="bottom"/>
          </w:tcPr>
          <w:p>
            <w:pPr>
              <w:spacing w:after="0"/>
              <w:rPr>
                <w:sz w:val="15"/>
                <w:szCs w:val="15"/>
                <w:color w:val="auto"/>
              </w:rPr>
            </w:pPr>
          </w:p>
        </w:tc>
        <w:tc>
          <w:tcPr>
            <w:tcW w:w="3800" w:type="dxa"/>
            <w:vAlign w:val="bottom"/>
            <w:tcBorders>
              <w:right w:val="single" w:sz="8" w:color="auto"/>
            </w:tcBorders>
            <w:gridSpan w:val="7"/>
          </w:tcPr>
          <w:p>
            <w:pPr>
              <w:ind w:left="80"/>
              <w:spacing w:after="0" w:line="175" w:lineRule="exact"/>
              <w:rPr>
                <w:sz w:val="20"/>
                <w:szCs w:val="20"/>
                <w:color w:val="auto"/>
              </w:rPr>
            </w:pPr>
            <w:r>
              <w:rPr>
                <w:rFonts w:ascii="Times New Roman" w:cs="Times New Roman" w:eastAsia="Times New Roman" w:hAnsi="Times New Roman"/>
                <w:sz w:val="16"/>
                <w:szCs w:val="16"/>
                <w:color w:val="auto"/>
              </w:rPr>
              <w:t>based compensation of $1,130 and depreciation and</w:t>
            </w:r>
          </w:p>
        </w:tc>
        <w:tc>
          <w:tcPr>
            <w:tcW w:w="0" w:type="dxa"/>
            <w:vAlign w:val="bottom"/>
          </w:tcPr>
          <w:p>
            <w:pPr>
              <w:spacing w:after="0"/>
              <w:rPr>
                <w:sz w:val="1"/>
                <w:szCs w:val="1"/>
                <w:color w:val="auto"/>
              </w:rPr>
            </w:pPr>
          </w:p>
        </w:tc>
      </w:tr>
      <w:tr>
        <w:trPr>
          <w:trHeight w:val="223"/>
        </w:trPr>
        <w:tc>
          <w:tcPr>
            <w:tcW w:w="3260" w:type="dxa"/>
            <w:vAlign w:val="bottom"/>
            <w:tcBorders>
              <w:left w:val="single" w:sz="8" w:color="auto"/>
              <w:bottom w:val="single" w:sz="8" w:color="DBDBDB"/>
            </w:tcBorders>
            <w:shd w:val="clear" w:color="auto" w:fill="DBDBDB"/>
          </w:tcPr>
          <w:p>
            <w:pPr>
              <w:spacing w:after="0"/>
              <w:rPr>
                <w:sz w:val="19"/>
                <w:szCs w:val="19"/>
                <w:color w:val="auto"/>
              </w:rPr>
            </w:pPr>
          </w:p>
        </w:tc>
        <w:tc>
          <w:tcPr>
            <w:tcW w:w="440" w:type="dxa"/>
            <w:vAlign w:val="bottom"/>
            <w:tcBorders>
              <w:bottom w:val="single" w:sz="8" w:color="DBDBDB"/>
            </w:tcBorders>
            <w:shd w:val="clear" w:color="auto" w:fill="DBDBDB"/>
          </w:tcPr>
          <w:p>
            <w:pPr>
              <w:spacing w:after="0"/>
              <w:rPr>
                <w:sz w:val="19"/>
                <w:szCs w:val="19"/>
                <w:color w:val="auto"/>
              </w:rPr>
            </w:pP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amortization of $67.</w:t>
            </w: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260"/>
          </w:cols>
          <w:pgMar w:left="320" w:top="1440" w:right="319" w:bottom="1440" w:gutter="0" w:footer="0" w:header="0"/>
        </w:sectPr>
      </w:pPr>
    </w:p>
    <w:bookmarkStart w:id="98" w:name="page99"/>
    <w:bookmarkEnd w:id="9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700" w:type="dxa"/>
            <w:vAlign w:val="bottom"/>
            <w:tcBorders>
              <w:top w:val="single" w:sz="8" w:color="auto"/>
              <w:left w:val="single" w:sz="8" w:color="auto"/>
            </w:tcBorders>
            <w:shd w:val="clear" w:color="auto" w:fill="DBDBDB"/>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For the three months ended September 30, 2025, cash</w:t>
            </w:r>
          </w:p>
        </w:tc>
        <w:tc>
          <w:tcPr>
            <w:tcW w:w="38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For the six months ended September 30, 2025, cash used</w:t>
            </w:r>
          </w:p>
        </w:tc>
      </w:tr>
      <w:tr>
        <w:trPr>
          <w:trHeight w:val="189"/>
        </w:trPr>
        <w:tc>
          <w:tcPr>
            <w:tcW w:w="3700" w:type="dxa"/>
            <w:vAlign w:val="bottom"/>
            <w:tcBorders>
              <w:left w:val="single" w:sz="8" w:color="auto"/>
            </w:tcBorders>
            <w:shd w:val="clear" w:color="auto" w:fill="DBDBDB"/>
          </w:tcPr>
          <w:p>
            <w:pPr>
              <w:spacing w:after="0"/>
              <w:rPr>
                <w:sz w:val="16"/>
                <w:szCs w:val="16"/>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in investing activities was driven by the purchase</w:t>
            </w:r>
          </w:p>
        </w:tc>
        <w:tc>
          <w:tcPr>
            <w:tcW w:w="3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in investing activities was driven by the purchase of</w:t>
            </w:r>
          </w:p>
        </w:tc>
      </w:tr>
      <w:tr>
        <w:trPr>
          <w:trHeight w:val="175"/>
        </w:trPr>
        <w:tc>
          <w:tcPr>
            <w:tcW w:w="3700" w:type="dxa"/>
            <w:vAlign w:val="bottom"/>
            <w:tcBorders>
              <w:left w:val="single" w:sz="8" w:color="auto"/>
            </w:tcBorders>
            <w:shd w:val="clear" w:color="auto" w:fill="DBDBDB"/>
          </w:tcPr>
          <w:p>
            <w:pPr>
              <w:spacing w:after="0"/>
              <w:rPr>
                <w:sz w:val="15"/>
                <w:szCs w:val="15"/>
                <w:color w:val="auto"/>
              </w:rPr>
            </w:pPr>
          </w:p>
        </w:tc>
        <w:tc>
          <w:tcPr>
            <w:tcW w:w="37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of intangible assets and equipment of $436.</w:t>
            </w:r>
          </w:p>
        </w:tc>
        <w:tc>
          <w:tcPr>
            <w:tcW w:w="3800" w:type="dxa"/>
            <w:vAlign w:val="bottom"/>
            <w:tcBorders>
              <w:right w:val="single" w:sz="8" w:color="auto"/>
            </w:tcBorders>
          </w:tcPr>
          <w:p>
            <w:pPr>
              <w:ind w:left="80"/>
              <w:spacing w:after="0" w:line="175" w:lineRule="exact"/>
              <w:rPr>
                <w:sz w:val="20"/>
                <w:szCs w:val="20"/>
                <w:color w:val="auto"/>
              </w:rPr>
            </w:pPr>
            <w:r>
              <w:rPr>
                <w:rFonts w:ascii="Times New Roman" w:cs="Times New Roman" w:eastAsia="Times New Roman" w:hAnsi="Times New Roman"/>
                <w:sz w:val="16"/>
                <w:szCs w:val="16"/>
                <w:color w:val="auto"/>
              </w:rPr>
              <w:t>intangible assets and equipment of $667 offset by the</w:t>
            </w:r>
          </w:p>
        </w:tc>
      </w:tr>
      <w:tr>
        <w:trPr>
          <w:trHeight w:val="223"/>
        </w:trPr>
        <w:tc>
          <w:tcPr>
            <w:tcW w:w="3700" w:type="dxa"/>
            <w:vAlign w:val="bottom"/>
            <w:tcBorders>
              <w:left w:val="single" w:sz="8" w:color="auto"/>
              <w:bottom w:val="single" w:sz="8" w:color="auto"/>
            </w:tcBorders>
            <w:shd w:val="clear" w:color="auto" w:fill="DBDBDB"/>
          </w:tcPr>
          <w:p>
            <w:pPr>
              <w:spacing w:after="0"/>
              <w:rPr>
                <w:sz w:val="19"/>
                <w:szCs w:val="19"/>
                <w:color w:val="auto"/>
              </w:rPr>
            </w:pPr>
          </w:p>
        </w:tc>
        <w:tc>
          <w:tcPr>
            <w:tcW w:w="3760" w:type="dxa"/>
            <w:vAlign w:val="bottom"/>
            <w:tcBorders>
              <w:bottom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proceeds received from sale of lab equipment of $10.</w:t>
            </w:r>
          </w:p>
        </w:tc>
      </w:tr>
      <w:tr>
        <w:trPr>
          <w:trHeight w:val="175"/>
        </w:trPr>
        <w:tc>
          <w:tcPr>
            <w:tcW w:w="3700" w:type="dxa"/>
            <w:vAlign w:val="bottom"/>
            <w:tcBorders>
              <w:left w:val="single" w:sz="8" w:color="auto"/>
            </w:tcBorders>
            <w:shd w:val="clear" w:color="auto" w:fill="DBDBDB"/>
          </w:tcPr>
          <w:p>
            <w:pPr>
              <w:ind w:left="40"/>
              <w:spacing w:after="0" w:line="175" w:lineRule="exact"/>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37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For the three months ended September 30, 2025, cash</w:t>
            </w:r>
          </w:p>
        </w:tc>
        <w:tc>
          <w:tcPr>
            <w:tcW w:w="3800" w:type="dxa"/>
            <w:vAlign w:val="bottom"/>
            <w:tcBorders>
              <w:right w:val="single" w:sz="8" w:color="auto"/>
            </w:tcBorders>
          </w:tcPr>
          <w:p>
            <w:pPr>
              <w:ind w:left="80"/>
              <w:spacing w:after="0" w:line="175" w:lineRule="exact"/>
              <w:rPr>
                <w:sz w:val="20"/>
                <w:szCs w:val="20"/>
                <w:color w:val="auto"/>
              </w:rPr>
            </w:pPr>
            <w:r>
              <w:rPr>
                <w:rFonts w:ascii="Times New Roman" w:cs="Times New Roman" w:eastAsia="Times New Roman" w:hAnsi="Times New Roman"/>
                <w:sz w:val="16"/>
                <w:szCs w:val="16"/>
                <w:color w:val="auto"/>
              </w:rPr>
              <w:t>For the six months ended September 30, 2025, cash</w:t>
            </w:r>
          </w:p>
        </w:tc>
      </w:tr>
      <w:tr>
        <w:trPr>
          <w:trHeight w:val="189"/>
        </w:trPr>
        <w:tc>
          <w:tcPr>
            <w:tcW w:w="3700" w:type="dxa"/>
            <w:vAlign w:val="bottom"/>
            <w:tcBorders>
              <w:left w:val="single" w:sz="8" w:color="auto"/>
            </w:tcBorders>
            <w:shd w:val="clear" w:color="auto" w:fill="DBDBDB"/>
          </w:tcPr>
          <w:p>
            <w:pPr>
              <w:spacing w:after="0"/>
              <w:rPr>
                <w:sz w:val="16"/>
                <w:szCs w:val="16"/>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from financing activities was driven by proceeds from</w:t>
            </w:r>
          </w:p>
        </w:tc>
        <w:tc>
          <w:tcPr>
            <w:tcW w:w="3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from financing activities was driven by the net cash</w:t>
            </w:r>
          </w:p>
        </w:tc>
      </w:tr>
      <w:tr>
        <w:trPr>
          <w:trHeight w:val="176"/>
        </w:trPr>
        <w:tc>
          <w:tcPr>
            <w:tcW w:w="3700" w:type="dxa"/>
            <w:vAlign w:val="bottom"/>
            <w:tcBorders>
              <w:left w:val="single" w:sz="8" w:color="auto"/>
            </w:tcBorders>
            <w:shd w:val="clear" w:color="auto" w:fill="DBDBDB"/>
          </w:tcPr>
          <w:p>
            <w:pPr>
              <w:spacing w:after="0"/>
              <w:rPr>
                <w:sz w:val="15"/>
                <w:szCs w:val="15"/>
                <w:color w:val="auto"/>
              </w:rPr>
            </w:pPr>
          </w:p>
        </w:tc>
        <w:tc>
          <w:tcPr>
            <w:tcW w:w="37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options  exercised  of  $53,  partially  offset  by  share</w:t>
            </w:r>
          </w:p>
        </w:tc>
        <w:tc>
          <w:tcPr>
            <w:tcW w:w="3800" w:type="dxa"/>
            <w:vAlign w:val="bottom"/>
            <w:tcBorders>
              <w:right w:val="single" w:sz="8" w:color="auto"/>
            </w:tcBorders>
          </w:tcPr>
          <w:p>
            <w:pPr>
              <w:ind w:left="80"/>
              <w:spacing w:after="0" w:line="175" w:lineRule="exact"/>
              <w:rPr>
                <w:sz w:val="20"/>
                <w:szCs w:val="20"/>
                <w:color w:val="auto"/>
              </w:rPr>
            </w:pPr>
            <w:r>
              <w:rPr>
                <w:rFonts w:ascii="Times New Roman" w:cs="Times New Roman" w:eastAsia="Times New Roman" w:hAnsi="Times New Roman"/>
                <w:sz w:val="16"/>
                <w:szCs w:val="16"/>
                <w:color w:val="auto"/>
              </w:rPr>
              <w:t>received  from  the  issuance  of  the  Convertible</w:t>
            </w:r>
          </w:p>
        </w:tc>
      </w:tr>
      <w:tr>
        <w:trPr>
          <w:trHeight w:val="175"/>
        </w:trPr>
        <w:tc>
          <w:tcPr>
            <w:tcW w:w="3700" w:type="dxa"/>
            <w:vAlign w:val="bottom"/>
            <w:tcBorders>
              <w:left w:val="single" w:sz="8" w:color="auto"/>
            </w:tcBorders>
            <w:shd w:val="clear" w:color="auto" w:fill="DBDBDB"/>
          </w:tcPr>
          <w:p>
            <w:pPr>
              <w:spacing w:after="0"/>
              <w:rPr>
                <w:sz w:val="15"/>
                <w:szCs w:val="15"/>
                <w:color w:val="auto"/>
              </w:rPr>
            </w:pPr>
          </w:p>
        </w:tc>
        <w:tc>
          <w:tcPr>
            <w:tcW w:w="37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issuance cost $26.</w:t>
            </w:r>
          </w:p>
        </w:tc>
        <w:tc>
          <w:tcPr>
            <w:tcW w:w="3800" w:type="dxa"/>
            <w:vAlign w:val="bottom"/>
            <w:tcBorders>
              <w:right w:val="single" w:sz="8" w:color="auto"/>
            </w:tcBorders>
          </w:tcPr>
          <w:p>
            <w:pPr>
              <w:ind w:left="80"/>
              <w:spacing w:after="0" w:line="175" w:lineRule="exact"/>
              <w:rPr>
                <w:sz w:val="20"/>
                <w:szCs w:val="20"/>
                <w:color w:val="auto"/>
              </w:rPr>
            </w:pPr>
            <w:r>
              <w:rPr>
                <w:rFonts w:ascii="Times New Roman" w:cs="Times New Roman" w:eastAsia="Times New Roman" w:hAnsi="Times New Roman"/>
                <w:sz w:val="16"/>
                <w:szCs w:val="16"/>
                <w:color w:val="auto"/>
              </w:rPr>
              <w:t>Debentures of $44,500, the net proceeds on the issuance</w:t>
            </w:r>
          </w:p>
        </w:tc>
      </w:tr>
      <w:tr>
        <w:trPr>
          <w:trHeight w:val="176"/>
        </w:trPr>
        <w:tc>
          <w:tcPr>
            <w:tcW w:w="3700" w:type="dxa"/>
            <w:vAlign w:val="bottom"/>
            <w:tcBorders>
              <w:left w:val="single" w:sz="8" w:color="auto"/>
            </w:tcBorders>
            <w:shd w:val="clear" w:color="auto" w:fill="DBDBDB"/>
          </w:tcPr>
          <w:p>
            <w:pPr>
              <w:spacing w:after="0"/>
              <w:rPr>
                <w:sz w:val="15"/>
                <w:szCs w:val="15"/>
                <w:color w:val="auto"/>
              </w:rPr>
            </w:pPr>
          </w:p>
        </w:tc>
        <w:tc>
          <w:tcPr>
            <w:tcW w:w="3760" w:type="dxa"/>
            <w:vAlign w:val="bottom"/>
          </w:tcPr>
          <w:p>
            <w:pPr>
              <w:spacing w:after="0"/>
              <w:rPr>
                <w:sz w:val="15"/>
                <w:szCs w:val="15"/>
                <w:color w:val="auto"/>
              </w:rPr>
            </w:pPr>
          </w:p>
        </w:tc>
        <w:tc>
          <w:tcPr>
            <w:tcW w:w="3800" w:type="dxa"/>
            <w:vAlign w:val="bottom"/>
            <w:tcBorders>
              <w:right w:val="single" w:sz="8" w:color="auto"/>
            </w:tcBorders>
          </w:tcPr>
          <w:p>
            <w:pPr>
              <w:ind w:left="80"/>
              <w:spacing w:after="0" w:line="175" w:lineRule="exact"/>
              <w:rPr>
                <w:sz w:val="20"/>
                <w:szCs w:val="20"/>
                <w:color w:val="auto"/>
              </w:rPr>
            </w:pPr>
            <w:r>
              <w:rPr>
                <w:rFonts w:ascii="Times New Roman" w:cs="Times New Roman" w:eastAsia="Times New Roman" w:hAnsi="Times New Roman"/>
                <w:sz w:val="16"/>
                <w:szCs w:val="16"/>
                <w:color w:val="auto"/>
              </w:rPr>
              <w:t>of  common  shares  of  $10,133,  and  proceeds  from</w:t>
            </w:r>
          </w:p>
        </w:tc>
      </w:tr>
      <w:tr>
        <w:trPr>
          <w:trHeight w:val="175"/>
        </w:trPr>
        <w:tc>
          <w:tcPr>
            <w:tcW w:w="3700" w:type="dxa"/>
            <w:vAlign w:val="bottom"/>
            <w:tcBorders>
              <w:left w:val="single" w:sz="8" w:color="auto"/>
            </w:tcBorders>
            <w:shd w:val="clear" w:color="auto" w:fill="DBDBDB"/>
          </w:tcPr>
          <w:p>
            <w:pPr>
              <w:spacing w:after="0"/>
              <w:rPr>
                <w:sz w:val="15"/>
                <w:szCs w:val="15"/>
                <w:color w:val="auto"/>
              </w:rPr>
            </w:pPr>
          </w:p>
        </w:tc>
        <w:tc>
          <w:tcPr>
            <w:tcW w:w="3760" w:type="dxa"/>
            <w:vAlign w:val="bottom"/>
          </w:tcPr>
          <w:p>
            <w:pPr>
              <w:spacing w:after="0"/>
              <w:rPr>
                <w:sz w:val="15"/>
                <w:szCs w:val="15"/>
                <w:color w:val="auto"/>
              </w:rPr>
            </w:pPr>
          </w:p>
        </w:tc>
        <w:tc>
          <w:tcPr>
            <w:tcW w:w="3800" w:type="dxa"/>
            <w:vAlign w:val="bottom"/>
            <w:tcBorders>
              <w:right w:val="single" w:sz="8" w:color="auto"/>
            </w:tcBorders>
          </w:tcPr>
          <w:p>
            <w:pPr>
              <w:ind w:left="80"/>
              <w:spacing w:after="0" w:line="175" w:lineRule="exact"/>
              <w:rPr>
                <w:sz w:val="20"/>
                <w:szCs w:val="20"/>
                <w:color w:val="auto"/>
              </w:rPr>
            </w:pPr>
            <w:r>
              <w:rPr>
                <w:rFonts w:ascii="Times New Roman" w:cs="Times New Roman" w:eastAsia="Times New Roman" w:hAnsi="Times New Roman"/>
                <w:sz w:val="16"/>
                <w:szCs w:val="16"/>
                <w:color w:val="auto"/>
              </w:rPr>
              <w:t>options  exercised  of  $53,  partially  offset  by  share</w:t>
            </w:r>
          </w:p>
        </w:tc>
      </w:tr>
      <w:tr>
        <w:trPr>
          <w:trHeight w:val="223"/>
        </w:trPr>
        <w:tc>
          <w:tcPr>
            <w:tcW w:w="3700" w:type="dxa"/>
            <w:vAlign w:val="bottom"/>
            <w:tcBorders>
              <w:left w:val="single" w:sz="8" w:color="auto"/>
              <w:bottom w:val="single" w:sz="8" w:color="auto"/>
            </w:tcBorders>
            <w:shd w:val="clear" w:color="auto" w:fill="DBDBDB"/>
          </w:tcPr>
          <w:p>
            <w:pPr>
              <w:spacing w:after="0"/>
              <w:rPr>
                <w:sz w:val="19"/>
                <w:szCs w:val="19"/>
                <w:color w:val="auto"/>
              </w:rPr>
            </w:pPr>
          </w:p>
        </w:tc>
        <w:tc>
          <w:tcPr>
            <w:tcW w:w="3760" w:type="dxa"/>
            <w:vAlign w:val="bottom"/>
            <w:tcBorders>
              <w:bottom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issuance costs of $26.</w:t>
            </w: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2023 ATM Program</w:t>
      </w:r>
    </w:p>
    <w:p>
      <w:pPr>
        <w:spacing w:after="0" w:line="49"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20"/>
          <w:szCs w:val="20"/>
          <w:color w:val="auto"/>
        </w:rPr>
        <w:t>On August 23, 2023, the Company announced the filing of a prospectus supplement (the “</w:t>
      </w:r>
      <w:r>
        <w:rPr>
          <w:rFonts w:ascii="Times New Roman" w:cs="Times New Roman" w:eastAsia="Times New Roman" w:hAnsi="Times New Roman"/>
          <w:sz w:val="20"/>
          <w:szCs w:val="20"/>
          <w:b w:val="1"/>
          <w:bCs w:val="1"/>
          <w:color w:val="auto"/>
        </w:rPr>
        <w:t>ATM Prospectus Supplement</w:t>
      </w:r>
      <w:r>
        <w:rPr>
          <w:rFonts w:ascii="Times New Roman" w:cs="Times New Roman" w:eastAsia="Times New Roman" w:hAnsi="Times New Roman"/>
          <w:sz w:val="20"/>
          <w:szCs w:val="20"/>
          <w:color w:val="auto"/>
        </w:rPr>
        <w:t>”) under the 2023 Base Shelf Prospectus to renew its previously established at-the-market equity program (the “</w:t>
      </w:r>
      <w:r>
        <w:rPr>
          <w:rFonts w:ascii="Times New Roman" w:cs="Times New Roman" w:eastAsia="Times New Roman" w:hAnsi="Times New Roman"/>
          <w:sz w:val="20"/>
          <w:szCs w:val="20"/>
          <w:b w:val="1"/>
          <w:bCs w:val="1"/>
          <w:color w:val="auto"/>
        </w:rPr>
        <w:t>2023 ATM Program</w:t>
      </w:r>
      <w:r>
        <w:rPr>
          <w:rFonts w:ascii="Times New Roman" w:cs="Times New Roman" w:eastAsia="Times New Roman" w:hAnsi="Times New Roman"/>
          <w:sz w:val="20"/>
          <w:szCs w:val="20"/>
          <w:color w:val="auto"/>
        </w:rPr>
        <w:t>”) that allowed the Company to issue and sell up to US$35,000 of Common Shares from treasury to the public, from time to time. Distributions of Common Shares under the 2023 ATM Program were made pursuant to the terms and conditions of an at-the-market equity distribution agreement dated August 23, 2023 among the Company, Cantor Fitzgerald Canada Corporation and Cantor Fitzgerald &amp; Co. (the “</w:t>
      </w:r>
      <w:r>
        <w:rPr>
          <w:rFonts w:ascii="Times New Roman" w:cs="Times New Roman" w:eastAsia="Times New Roman" w:hAnsi="Times New Roman"/>
          <w:sz w:val="20"/>
          <w:szCs w:val="20"/>
          <w:b w:val="1"/>
          <w:bCs w:val="1"/>
          <w:color w:val="auto"/>
        </w:rPr>
        <w:t>2023 Distribution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The 2023 ATM Program was effective until February 10, 2025, when it was terminated in accordance with the terms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2023 Distribution Agreement.</w:t>
      </w:r>
    </w:p>
    <w:p>
      <w:pPr>
        <w:spacing w:after="0" w:line="205"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20"/>
          <w:szCs w:val="20"/>
          <w:color w:val="auto"/>
        </w:rPr>
        <w:t>From August 23, 2023, being the date of the launch of the 2023 ATM Program to February 10, 2025, the Company sold 1,653,320 Common Shares under the 2023 ATM Program, at an average price of $11.05 per Common Share, for aggregate gross proceeds of $18,265. Share issuance costs related to the 2023 ATM Program were US$829.</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LPC Agreement</w:t>
      </w:r>
    </w:p>
    <w:p>
      <w:pPr>
        <w:spacing w:after="0" w:line="251"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20"/>
          <w:szCs w:val="20"/>
          <w:color w:val="auto"/>
        </w:rPr>
        <w:t>On May 30, 2023, the Company entered into a Common Share purchase agreement (the “</w:t>
      </w:r>
      <w:r>
        <w:rPr>
          <w:rFonts w:ascii="Times New Roman" w:cs="Times New Roman" w:eastAsia="Times New Roman" w:hAnsi="Times New Roman"/>
          <w:sz w:val="20"/>
          <w:szCs w:val="20"/>
          <w:b w:val="1"/>
          <w:bCs w:val="1"/>
          <w:color w:val="auto"/>
        </w:rPr>
        <w:t>LPC Purchase Agreement</w:t>
      </w:r>
      <w:r>
        <w:rPr>
          <w:rFonts w:ascii="Times New Roman" w:cs="Times New Roman" w:eastAsia="Times New Roman" w:hAnsi="Times New Roman"/>
          <w:sz w:val="20"/>
          <w:szCs w:val="20"/>
          <w:color w:val="auto"/>
        </w:rPr>
        <w:t>”) with Lincoln Park Capital Fund, LLC (“</w:t>
      </w:r>
      <w:r>
        <w:rPr>
          <w:rFonts w:ascii="Times New Roman" w:cs="Times New Roman" w:eastAsia="Times New Roman" w:hAnsi="Times New Roman"/>
          <w:sz w:val="20"/>
          <w:szCs w:val="20"/>
          <w:b w:val="1"/>
          <w:bCs w:val="1"/>
          <w:color w:val="auto"/>
        </w:rPr>
        <w:t>LPC</w:t>
      </w:r>
      <w:r>
        <w:rPr>
          <w:rFonts w:ascii="Times New Roman" w:cs="Times New Roman" w:eastAsia="Times New Roman" w:hAnsi="Times New Roman"/>
          <w:sz w:val="20"/>
          <w:szCs w:val="20"/>
          <w:color w:val="auto"/>
        </w:rPr>
        <w:t>”). Subject to the terms and conditions of the LPC Purchase Agreement, the Company has the right to sell, and LPC is obligated to purchase, up to US$30,000 of Common Shares over a 36-month period at prices that are based on the market price at the time of each sale to LPC. Cybin, in its sole discretion, controls the timing and amount of all sales of Common Shares under the LPC Purchase Agreement. Cybin has the right to terminate the LPC Purchase Agreement at any time at no cost or penalty. LPC has agreed not to engage in any short selling or hedging activity of any kind in the Common Shares. As consideration for LPC’s obligation to purchase Common Shares from the Company at its direction under the LPC Purchase Agreement, Cybin issued 66,812 Common Shares to LPC as a commitment fee on May 30, 2023. The LPC Purchase Agreement provides that Cybin may not issue or sell any Common Shares to LPC under the LPC Purchase Agreement which, when aggregated with all other Common Shares then beneficially owned by LPC and its affiliates (as calculated pursuant to Section 13(d) of the U.S. Securities Exchange Act of 1934, as amended, and Rule 13d-3 thereunder), would result in LPC beneficially owning more than 9.99% of the outstanding Common Shares. On July 31, 2023, Cybin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260"/>
          </w:cols>
          <w:pgMar w:left="320" w:top="1440" w:right="319" w:bottom="1440" w:gutter="0" w:footer="0" w:header="0"/>
        </w:sectPr>
      </w:pPr>
    </w:p>
    <w:bookmarkStart w:id="99" w:name="page100"/>
    <w:bookmarkEnd w:id="99"/>
    <w:p>
      <w:pPr>
        <w:jc w:val="both"/>
        <w:spacing w:after="0" w:line="296" w:lineRule="auto"/>
        <w:rPr>
          <w:sz w:val="20"/>
          <w:szCs w:val="20"/>
          <w:color w:val="auto"/>
        </w:rPr>
      </w:pPr>
      <w:r>
        <w:rPr>
          <w:rFonts w:ascii="Times New Roman" w:cs="Times New Roman" w:eastAsia="Times New Roman" w:hAnsi="Times New Roman"/>
          <w:sz w:val="20"/>
          <w:szCs w:val="20"/>
          <w:color w:val="auto"/>
        </w:rPr>
        <w:t>announced that it had suspended all sales under the LPC Purchase Agreement in connection with the August 2023 Offering (as defined herein). On August 23, 2023, the Company also announced the filing of a prospectus supplement under the 2023 Base Shelf Prospectus, requalifying the LPC Purchase Agreement on the same terms as those entered into on May 30, 2023, with LPC. On November 9, 2023, the Company announced that it has, again, suspended all sales under the LPC Agreement.</w:t>
      </w:r>
    </w:p>
    <w:p>
      <w:pPr>
        <w:spacing w:after="0" w:line="21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During the six months ended September 30, 2025, no Common Shares were issued under the LPC Purchase Agreement. As at September 30, 2025, the Company has sold 50,658 Common Shares, at an average price of $9.18 per Common Share, for aggregate gross proceeds of $465 pursuant to the LPC Purchase Agreement.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2025 ATM Program</w:t>
      </w:r>
    </w:p>
    <w:p>
      <w:pPr>
        <w:spacing w:after="0" w:line="25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On February 10, 2025, the Company launched a new at-the-market equity program (the “</w:t>
      </w:r>
      <w:r>
        <w:rPr>
          <w:rFonts w:ascii="Times New Roman" w:cs="Times New Roman" w:eastAsia="Times New Roman" w:hAnsi="Times New Roman"/>
          <w:sz w:val="20"/>
          <w:szCs w:val="20"/>
          <w:b w:val="1"/>
          <w:bCs w:val="1"/>
          <w:color w:val="auto"/>
        </w:rPr>
        <w:t>2025 ATM Program</w:t>
      </w:r>
      <w:r>
        <w:rPr>
          <w:rFonts w:ascii="Times New Roman" w:cs="Times New Roman" w:eastAsia="Times New Roman" w:hAnsi="Times New Roman"/>
          <w:sz w:val="20"/>
          <w:szCs w:val="20"/>
          <w:color w:val="auto"/>
        </w:rPr>
        <w:t>”) to allow the Company to issue and sell up to US$100,000 of Common Shares from treasury to the public. In connection with the 2025 ATM Program, the Company entered into an at-the-market equity distribution agreement (the “</w:t>
      </w:r>
      <w:r>
        <w:rPr>
          <w:rFonts w:ascii="Times New Roman" w:cs="Times New Roman" w:eastAsia="Times New Roman" w:hAnsi="Times New Roman"/>
          <w:sz w:val="20"/>
          <w:szCs w:val="20"/>
          <w:b w:val="1"/>
          <w:bCs w:val="1"/>
          <w:color w:val="auto"/>
        </w:rPr>
        <w:t>2025 Distribution Agreement</w:t>
      </w:r>
      <w:r>
        <w:rPr>
          <w:rFonts w:ascii="Times New Roman" w:cs="Times New Roman" w:eastAsia="Times New Roman" w:hAnsi="Times New Roman"/>
          <w:sz w:val="20"/>
          <w:szCs w:val="20"/>
          <w:color w:val="auto"/>
        </w:rPr>
        <w:t>”) dated February 10, 2025, among the Company, Cantor Fitzgerald Canada Corporation and Cantor Fitzgerald &amp; Co. The 2025 ATM Program was effective until September 17, 2025, when it was terminated in accordance with the terms of the 2025 Distribution Agreement.</w:t>
      </w:r>
    </w:p>
    <w:p>
      <w:pPr>
        <w:spacing w:after="0" w:line="22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From February 10, 2025, being the date of the launch of the 2025 ATM Program to September 17, 2025, the Company sold 1,997,205 Common Shares under the 2025 ATM Program, at an average price of $7.83 per Common Share, for aggregate gross proceeds of $15,631. Share issuance costs related to the 2025 ATM Program were $470. During the six months ended September 30, 2025, the Company sold 1,422,423 Common Shares under the 2025 ATM Program at an average price of $7.36 per Common Share, for aggregate gross proceeds of $10,465.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Convertible Debentures</w:t>
      </w:r>
    </w:p>
    <w:p>
      <w:pPr>
        <w:spacing w:after="0" w:line="25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On June 30, 2025, the Company announced that it has entered into a securities purchase agreement (the “</w:t>
      </w:r>
      <w:r>
        <w:rPr>
          <w:rFonts w:ascii="Times New Roman" w:cs="Times New Roman" w:eastAsia="Times New Roman" w:hAnsi="Times New Roman"/>
          <w:sz w:val="20"/>
          <w:szCs w:val="20"/>
          <w:b w:val="1"/>
          <w:bCs w:val="1"/>
          <w:color w:val="auto"/>
        </w:rPr>
        <w:t>Securities Purchase Agreement</w:t>
      </w:r>
      <w:r>
        <w:rPr>
          <w:rFonts w:ascii="Times New Roman" w:cs="Times New Roman" w:eastAsia="Times New Roman" w:hAnsi="Times New Roman"/>
          <w:sz w:val="20"/>
          <w:szCs w:val="20"/>
          <w:color w:val="auto"/>
        </w:rPr>
        <w:t>”) with High Trail Special Situations LLC (“</w:t>
      </w:r>
      <w:r>
        <w:rPr>
          <w:rFonts w:ascii="Times New Roman" w:cs="Times New Roman" w:eastAsia="Times New Roman" w:hAnsi="Times New Roman"/>
          <w:sz w:val="20"/>
          <w:szCs w:val="20"/>
          <w:b w:val="1"/>
          <w:bCs w:val="1"/>
          <w:color w:val="auto"/>
        </w:rPr>
        <w:t>High Trail</w:t>
      </w:r>
      <w:r>
        <w:rPr>
          <w:rFonts w:ascii="Times New Roman" w:cs="Times New Roman" w:eastAsia="Times New Roman" w:hAnsi="Times New Roman"/>
          <w:sz w:val="20"/>
          <w:szCs w:val="20"/>
          <w:color w:val="auto"/>
        </w:rPr>
        <w:t>”), pursuant to which the Company agreed to sell and issue to High Trail up to US$500,000 aggregate principal amount of unsecured convertible debentures (the “</w:t>
      </w:r>
      <w:r>
        <w:rPr>
          <w:rFonts w:ascii="Times New Roman" w:cs="Times New Roman" w:eastAsia="Times New Roman" w:hAnsi="Times New Roman"/>
          <w:sz w:val="20"/>
          <w:szCs w:val="20"/>
          <w:b w:val="1"/>
          <w:bCs w:val="1"/>
          <w:color w:val="auto"/>
        </w:rPr>
        <w:t>Convertible Debentures</w:t>
      </w:r>
      <w:r>
        <w:rPr>
          <w:rFonts w:ascii="Times New Roman" w:cs="Times New Roman" w:eastAsia="Times New Roman" w:hAnsi="Times New Roman"/>
          <w:sz w:val="20"/>
          <w:szCs w:val="20"/>
          <w:color w:val="auto"/>
        </w:rPr>
        <w:t>”). The sale and issue of US$50,000 principal amount of Convertible Debentures was completed on June 30, 2025 (the “</w:t>
      </w:r>
      <w:r>
        <w:rPr>
          <w:rFonts w:ascii="Times New Roman" w:cs="Times New Roman" w:eastAsia="Times New Roman" w:hAnsi="Times New Roman"/>
          <w:sz w:val="20"/>
          <w:szCs w:val="20"/>
          <w:b w:val="1"/>
          <w:bCs w:val="1"/>
          <w:color w:val="auto"/>
        </w:rPr>
        <w:t>Convertible Debenture Private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Placement</w:t>
      </w:r>
      <w:r>
        <w:rPr>
          <w:rFonts w:ascii="Times New Roman" w:cs="Times New Roman" w:eastAsia="Times New Roman" w:hAnsi="Times New Roman"/>
          <w:sz w:val="20"/>
          <w:szCs w:val="20"/>
          <w:color w:val="auto"/>
        </w:rPr>
        <w:t>”). The sale and issue of US$450,000 principal amount of Convertible Debentures shall be determined at a future date,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mutual agreement of the parties.</w:t>
      </w:r>
    </w:p>
    <w:p>
      <w:pPr>
        <w:spacing w:after="0" w:line="20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The Convertible Debentures have a two-year term from the closing date (the “</w:t>
      </w:r>
      <w:r>
        <w:rPr>
          <w:rFonts w:ascii="Times New Roman" w:cs="Times New Roman" w:eastAsia="Times New Roman" w:hAnsi="Times New Roman"/>
          <w:sz w:val="20"/>
          <w:szCs w:val="20"/>
          <w:b w:val="1"/>
          <w:bCs w:val="1"/>
          <w:color w:val="auto"/>
        </w:rPr>
        <w:t>Convertible Denture Term</w:t>
      </w:r>
      <w:r>
        <w:rPr>
          <w:rFonts w:ascii="Times New Roman" w:cs="Times New Roman" w:eastAsia="Times New Roman" w:hAnsi="Times New Roman"/>
          <w:sz w:val="20"/>
          <w:szCs w:val="20"/>
          <w:color w:val="auto"/>
        </w:rPr>
        <w:t>”). On closing, the Company pre-paid guaranteed interest of $5,500, equal to 11% of the amount issued for the Convertible Debenture Term (the equivalent of 5.5% per annum). Upon the occurrence of an event of default, interest shall increase to a rate of 18% on the outstanding principal balance. Pursuant to the terms of the Securities Purchase Agreement, the Company and High Tail may, upon mutual consent, enter into subsequent securities purchase agreements for the purchase and sale of up to an additional US$450,000 principal amount of Convertible Debentures, in tranches, in amounts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240"/>
          </w:cols>
          <w:pgMar w:left="320" w:top="1440"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color w:val="auto"/>
        </w:rPr>
        <w:t>such dates as may be mutually agreed and each subsequent tranche shall include prepaid interest at a rate of 9.5%.</w:t>
      </w:r>
    </w:p>
    <w:p>
      <w:pPr>
        <w:spacing w:after="0" w:line="29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Subject to the terms of the Securities Purchase Agreement and the Convertible Debentures, High Trail will be entitled to convert the principal amount and accrued and unpaid interest, if any, on each Convertible Debenture, in whole or in part, from time to time, into Common Shares at a conversion price per Common Share equal to the lower of (a) $10.92, which is 130% of the volume weighted average price (“</w:t>
      </w:r>
      <w:r>
        <w:rPr>
          <w:rFonts w:ascii="Times New Roman" w:cs="Times New Roman" w:eastAsia="Times New Roman" w:hAnsi="Times New Roman"/>
          <w:sz w:val="20"/>
          <w:szCs w:val="20"/>
          <w:b w:val="1"/>
          <w:bCs w:val="1"/>
          <w:color w:val="auto"/>
        </w:rPr>
        <w:t>VWAP</w:t>
      </w:r>
      <w:r>
        <w:rPr>
          <w:rFonts w:ascii="Times New Roman" w:cs="Times New Roman" w:eastAsia="Times New Roman" w:hAnsi="Times New Roman"/>
          <w:sz w:val="20"/>
          <w:szCs w:val="20"/>
          <w:color w:val="auto"/>
        </w:rPr>
        <w:t>”) of the Common Shares on the day prior to the initial issuance of the Convertible Debentures, or (b) the VWAP of the Common Shares during the five trading days immediately prior to the date of conversion.</w:t>
      </w:r>
    </w:p>
    <w:p>
      <w:pPr>
        <w:spacing w:after="0" w:line="20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The Company, in its sole discretion, may prepay any outstanding amount under the Convertible Debentures, in whole or in part, in cash by providing High Trail with advance written notice prior to such prepayment. The prepayment shall include, (i) if paid during the first year after closing, a 5% prepayment premium on the amount of the prepayment or (ii) if paid during the second year after closing, a 3% prepayment premium on the amount of the prepayment.</w:t>
      </w:r>
    </w:p>
    <w:p>
      <w:pPr>
        <w:spacing w:after="0" w:line="19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terms of the Convertible Debentures restrict the conversion of Convertible Debentures by High Trail if such a conversion or exercise would cause High Trail, together with any affiliate thereof, to beneficially own in excess of 4.99% of the number of Common Shares outstanding immediately after giving effect to such conversion.</w:t>
      </w:r>
    </w:p>
    <w:p>
      <w:pPr>
        <w:spacing w:after="0" w:line="195"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In connection with the offering, the Company and High Trail entered into a customary Registration Rights Agreement pursuant to which the Company has agreed to provide certain registration rights to High Trail under the U.S. Securities Act of 1933, as amended.</w:t>
      </w:r>
    </w:p>
    <w:p>
      <w:pPr>
        <w:spacing w:after="0" w:line="200"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The Company intends to use the net proceeds from the Convertible Debenture Private Placement for working capital and general corporate purposes.</w:t>
      </w:r>
    </w:p>
    <w:p>
      <w:pPr>
        <w:spacing w:after="0" w:line="20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 xml:space="preserve">During the three and six month periods ended September 30, 2025, High Trail converted $20,750 of the Convertible Debentures into 3,069,555 Common Shares at an average conversion price of $6.7599 which represented the VWAP of the Common Shares for the five trading days immediately prior to each conversion. See </w:t>
      </w:r>
      <w:r>
        <w:rPr>
          <w:rFonts w:ascii="Times New Roman" w:cs="Times New Roman" w:eastAsia="Times New Roman" w:hAnsi="Times New Roman"/>
          <w:sz w:val="20"/>
          <w:szCs w:val="20"/>
          <w:i w:val="1"/>
          <w:iCs w:val="1"/>
          <w:color w:val="auto"/>
        </w:rPr>
        <w:t>"Subsequent Events"</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Base Shelf Prospectus</w:t>
      </w:r>
    </w:p>
    <w:p>
      <w:pPr>
        <w:spacing w:after="0" w:line="25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On September 17, 2025, the Company filed a final short form base shelf prospectus dated September 17, 2025 (the “</w:t>
      </w:r>
      <w:r>
        <w:rPr>
          <w:rFonts w:ascii="Times New Roman" w:cs="Times New Roman" w:eastAsia="Times New Roman" w:hAnsi="Times New Roman"/>
          <w:sz w:val="20"/>
          <w:szCs w:val="20"/>
          <w:b w:val="1"/>
          <w:bCs w:val="1"/>
          <w:color w:val="auto"/>
        </w:rPr>
        <w:t>2025 Base Shelf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Prospectus</w:t>
      </w:r>
      <w:r>
        <w:rPr>
          <w:rFonts w:ascii="Times New Roman" w:cs="Times New Roman" w:eastAsia="Times New Roman" w:hAnsi="Times New Roman"/>
          <w:sz w:val="20"/>
          <w:szCs w:val="20"/>
          <w:color w:val="auto"/>
        </w:rPr>
        <w:t>”) in each of the provinces and territories of Canada. The 2025 Base Shelf Prospectus qualifies for distribution, from time to time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during the 25-month period from the date of the 2025 Base Shelf Prospectus, of up to C$800,000 in the aggregate of Common Shares, warrants, units, debt securities and subscription receipts of the Company.</w:t>
      </w:r>
    </w:p>
    <w:p>
      <w:pPr>
        <w:spacing w:after="0" w:line="21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In determining that the Company has a reasonable expectation to distribute, during the 25-month period that the 2025 Base Shelf Prospectus, including any amendments hereto, remains valid, up to C$800,000 in the aggregate of securities, management of the Company considered its ongoing contractual commitments amounting to (i) approximately C$60,083 which will be used to qualify, in the United States pursuant to prospectus supplements to the Company’s registration statement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240"/>
          </w:cols>
          <w:pgMar w:left="320" w:top="1440" w:right="339" w:bottom="1440" w:gutter="0" w:footer="0" w:header="0"/>
        </w:sectPr>
      </w:pPr>
    </w:p>
    <w:bookmarkStart w:id="101" w:name="page102"/>
    <w:bookmarkEnd w:id="101"/>
    <w:p>
      <w:pPr>
        <w:jc w:val="both"/>
        <w:spacing w:after="0" w:line="296" w:lineRule="auto"/>
        <w:rPr>
          <w:sz w:val="20"/>
          <w:szCs w:val="20"/>
          <w:color w:val="auto"/>
        </w:rPr>
      </w:pPr>
      <w:r>
        <w:rPr>
          <w:rFonts w:ascii="Times New Roman" w:cs="Times New Roman" w:eastAsia="Times New Roman" w:hAnsi="Times New Roman"/>
          <w:sz w:val="20"/>
          <w:szCs w:val="20"/>
          <w:color w:val="auto"/>
        </w:rPr>
        <w:t>Form F-10, the Common Shares issuable from time to time upon the exercise of certain Common Share purchase warrants issued by the Company on August 4, 2023 and November 14, 2023 in connection with unit offerings of the Company, and (ii) approximately C$265,999 which will be used to qualify the periodic resale in the United States, pursuant to prospectus supplements to the Registration Statement (as defined below), by certain selling shareholders of previously issued Common Shares (collectively, the “</w:t>
      </w:r>
      <w:r>
        <w:rPr>
          <w:rFonts w:ascii="Times New Roman" w:cs="Times New Roman" w:eastAsia="Times New Roman" w:hAnsi="Times New Roman"/>
          <w:sz w:val="20"/>
          <w:szCs w:val="20"/>
          <w:b w:val="1"/>
          <w:bCs w:val="1"/>
          <w:color w:val="auto"/>
        </w:rPr>
        <w:t>Commitment Amount</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 xml:space="preserve">Further, under the Registered Direct Offering (as defined below) (see </w:t>
      </w:r>
      <w:r>
        <w:rPr>
          <w:rFonts w:ascii="Times New Roman" w:cs="Times New Roman" w:eastAsia="Times New Roman" w:hAnsi="Times New Roman"/>
          <w:sz w:val="20"/>
          <w:szCs w:val="20"/>
          <w:i w:val="1"/>
          <w:iCs w:val="1"/>
          <w:color w:val="auto"/>
        </w:rPr>
        <w:t>“Subsequent Events”</w:t>
      </w:r>
      <w:r>
        <w:rPr>
          <w:rFonts w:ascii="Times New Roman" w:cs="Times New Roman" w:eastAsia="Times New Roman" w:hAnsi="Times New Roman"/>
          <w:sz w:val="20"/>
          <w:szCs w:val="20"/>
          <w:color w:val="auto"/>
        </w:rPr>
        <w:t>), the Company qualified, in the United States pursuant to a prospectus supplement to the Corporation’s registration statement on Form F-10, as amended (File No. 333-289139) (the “</w:t>
      </w:r>
      <w:r>
        <w:rPr>
          <w:rFonts w:ascii="Times New Roman" w:cs="Times New Roman" w:eastAsia="Times New Roman" w:hAnsi="Times New Roman"/>
          <w:sz w:val="20"/>
          <w:szCs w:val="20"/>
          <w:b w:val="1"/>
          <w:bCs w:val="1"/>
          <w:color w:val="auto"/>
        </w:rPr>
        <w:t>Registration Statement</w:t>
      </w:r>
      <w:r>
        <w:rPr>
          <w:rFonts w:ascii="Times New Roman" w:cs="Times New Roman" w:eastAsia="Times New Roman" w:hAnsi="Times New Roman"/>
          <w:sz w:val="20"/>
          <w:szCs w:val="20"/>
          <w:color w:val="auto"/>
        </w:rPr>
        <w:t>”), the Offered Securities (as defined below) (see “</w:t>
      </w:r>
      <w:r>
        <w:rPr>
          <w:rFonts w:ascii="Times New Roman" w:cs="Times New Roman" w:eastAsia="Times New Roman" w:hAnsi="Times New Roman"/>
          <w:sz w:val="20"/>
          <w:szCs w:val="20"/>
          <w:i w:val="1"/>
          <w:iCs w:val="1"/>
          <w:color w:val="auto"/>
        </w:rPr>
        <w:t>Subsequent Events</w:t>
      </w:r>
      <w:r>
        <w:rPr>
          <w:rFonts w:ascii="Times New Roman" w:cs="Times New Roman" w:eastAsia="Times New Roman" w:hAnsi="Times New Roman"/>
          <w:sz w:val="20"/>
          <w:szCs w:val="20"/>
          <w:color w:val="auto"/>
        </w:rPr>
        <w:t>”). Given the Commitment Amount and the closing of the Registered Direct Offering, as of the date hereof, the Company will have approximately C$122,709 available under the 2025 Base Shelf Prospectus, which management of the Company reasonably expects to distribute during the 25-month period that the 2025 Base Shelf Prospectus, including any amendments hereto, remains valid.</w:t>
      </w:r>
      <w:r>
        <w:rPr>
          <w:rFonts w:ascii="Times New Roman" w:cs="Times New Roman" w:eastAsia="Times New Roman" w:hAnsi="Times New Roman"/>
          <w:sz w:val="25"/>
          <w:szCs w:val="25"/>
          <w:color w:val="auto"/>
          <w:vertAlign w:val="superscript"/>
        </w:rPr>
        <w:t>29</w:t>
      </w:r>
    </w:p>
    <w:p>
      <w:pPr>
        <w:spacing w:after="0" w:line="139"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9"/>
          <w:szCs w:val="19"/>
          <w:color w:val="auto"/>
        </w:rPr>
        <w:t xml:space="preserve">The Company believes that the size of its the 2025 Base Shelf Prospectus is reasonable having regard to its current liquidity position, working capital of $101,219 as at September 30, 2025, cash balance of $83,752, its anticipated cash needs over the next 12–24 months (see “Non-Revenue Generating Projects”) and its historical and expected access to the public capital markets (see </w:t>
      </w:r>
      <w:r>
        <w:rPr>
          <w:rFonts w:ascii="Times New Roman" w:cs="Times New Roman" w:eastAsia="Times New Roman" w:hAnsi="Times New Roman"/>
          <w:sz w:val="19"/>
          <w:szCs w:val="19"/>
          <w:i w:val="1"/>
          <w:iCs w:val="1"/>
          <w:color w:val="auto"/>
        </w:rPr>
        <w:t>“Subsequent Events”</w:t>
      </w:r>
      <w:r>
        <w:rPr>
          <w:rFonts w:ascii="Times New Roman" w:cs="Times New Roman" w:eastAsia="Times New Roman" w:hAnsi="Times New Roman"/>
          <w:sz w:val="19"/>
          <w:szCs w:val="19"/>
          <w:color w:val="auto"/>
        </w:rPr>
        <w:t>). The Company’s future funding strategy contemplates continued access to both public and private sources of capital as required to advance its non-revenue-generating research and development programs, fund capital expenditures and meet ongoing operating obligations. The Company will continue to assess, on a prospective basis, its liquidity, capital resources and market conditions to ensure that the total amount of securities qualified under its base shelf prospectus remains appropriate in relation to its business, growth plans and financial condition.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Overview</w:t>
      </w:r>
    </w:p>
    <w:p>
      <w:pPr>
        <w:spacing w:after="0" w:line="29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Company’s main use for liquidity is to fund the development of its research programs as noted above. The primary source of liquidity has been from public financing to date. The ability to fund operations, to make planned capital expenditures and execute the growth/acquisition strategy depends on the future operating performance and cash flows, which are subject to prevailing economic conditions, regulatory and financial, business and other factors, some of which are beyond the Company’s control.</w:t>
      </w:r>
    </w:p>
    <w:p>
      <w:pPr>
        <w:spacing w:after="0" w:line="20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 xml:space="preserve">As at September 30, 2025, the Company had working capital of $101,219 </w:t>
      </w:r>
      <w:r>
        <w:rPr>
          <w:rFonts w:ascii="Times New Roman" w:cs="Times New Roman" w:eastAsia="Times New Roman" w:hAnsi="Times New Roman"/>
          <w:sz w:val="16"/>
          <w:szCs w:val="16"/>
          <w:color w:val="auto"/>
        </w:rPr>
        <w:t>.</w:t>
      </w:r>
      <w:r>
        <w:rPr>
          <w:rFonts w:ascii="Times New Roman" w:cs="Times New Roman" w:eastAsia="Times New Roman" w:hAnsi="Times New Roman"/>
          <w:sz w:val="20"/>
          <w:szCs w:val="20"/>
          <w:color w:val="auto"/>
        </w:rPr>
        <w:t xml:space="preserve"> The Company is in a pre-operative stage as it researches and develops its IP portfolio in anticipation of manufacturing in the near future. Therefore the Company will not be able to generate sufficient amounts of cash and cash equivalents from its operations in the short term.</w:t>
      </w:r>
    </w:p>
    <w:p>
      <w:pPr>
        <w:spacing w:after="0" w:line="20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intends to continue to advance its non-revenue generating programs over the next twelve to twenty-four months. These intended advancements, along with the expectation of operating at a loss for at minimum the next 12 months, will diminish the Company’s working capital.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17145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5" w:lineRule="exact"/>
        <w:rPr>
          <w:sz w:val="20"/>
          <w:szCs w:val="20"/>
          <w:color w:val="auto"/>
        </w:rPr>
      </w:pPr>
    </w:p>
    <w:p>
      <w:pPr>
        <w:ind w:firstLine="8"/>
        <w:spacing w:after="0" w:line="210" w:lineRule="auto"/>
        <w:tabs>
          <w:tab w:leader="none" w:pos="159" w:val="left"/>
        </w:tabs>
        <w:numPr>
          <w:ilvl w:val="0"/>
          <w:numId w:val="6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is a forward-looking statement that involves material assumptions by the Company. There is no certainty as to the Company’s ability to distribute securities or to raise additional funding to support operations. See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240"/>
          </w:cols>
          <w:pgMar w:left="320" w:top="1440" w:right="339" w:bottom="1440" w:gutter="0" w:footer="0" w:header="0"/>
        </w:sectPr>
      </w:pPr>
    </w:p>
    <w:bookmarkStart w:id="102" w:name="page103"/>
    <w:bookmarkEnd w:id="102"/>
    <w:p>
      <w:pPr>
        <w:jc w:val="both"/>
        <w:spacing w:after="0" w:line="303" w:lineRule="auto"/>
        <w:rPr>
          <w:sz w:val="20"/>
          <w:szCs w:val="20"/>
          <w:color w:val="auto"/>
        </w:rPr>
      </w:pPr>
      <w:r>
        <w:rPr>
          <w:rFonts w:ascii="Times New Roman" w:cs="Times New Roman" w:eastAsia="Times New Roman" w:hAnsi="Times New Roman"/>
          <w:sz w:val="20"/>
          <w:szCs w:val="20"/>
          <w:color w:val="auto"/>
        </w:rPr>
        <w:t>further financings may be required to develop the Company’s pipeline, make acquisitions, meet ongoing obligations, and discharge its liabilities in the normal course of business. There is no assurance that additional funds can be raised upon terms acceptable to the Company, or at all, as funding for small companies remains challenging.</w:t>
      </w:r>
    </w:p>
    <w:p>
      <w:pPr>
        <w:spacing w:after="0" w:line="20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Company’s ability to access both public and private capital is dependent upon, among other things, general market conditions and the capital markets generally, market perceptions about the Company and its business operations, and the trading prices of the Company’s securities from time to time. When additional capital is required, the Company intends to raise funds through the issuance of equity or debt securities. Other possible sources include the exercise of stock options and warrants of the Company. There can be no assurance that additional funds can be raised upon terms acceptable to the Company, or at all, as funding for early-stage companies remain challenging generally. Given the nature of the Company’s business as of the date of this MD&amp;A, and in particular, the fact that its operations are undertaken exclusively within a foreign jurisdiction, the Company may face difficulty in accessing traditional sources of financing, notwithstanding that its business operations are conducted in a regulatory environment within which the Company’s activities are neither illegal nor subject to conflicting laws.</w:t>
      </w:r>
    </w:p>
    <w:p>
      <w:pPr>
        <w:spacing w:after="0" w:line="18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Company’s current expenditure obligations include commitments for those projects described in the section entitled “</w:t>
      </w:r>
      <w:r>
        <w:rPr>
          <w:rFonts w:ascii="Times New Roman" w:cs="Times New Roman" w:eastAsia="Times New Roman" w:hAnsi="Times New Roman"/>
          <w:sz w:val="20"/>
          <w:szCs w:val="20"/>
          <w:i w:val="1"/>
          <w:iCs w:val="1"/>
          <w:color w:val="auto"/>
        </w:rPr>
        <w:t>Non-Revenue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Generating Projects</w:t>
      </w:r>
      <w:r>
        <w:rPr>
          <w:rFonts w:ascii="Times New Roman" w:cs="Times New Roman" w:eastAsia="Times New Roman" w:hAnsi="Times New Roman"/>
          <w:sz w:val="20"/>
          <w:szCs w:val="20"/>
          <w:color w:val="auto"/>
        </w:rPr>
        <w:t>” in this MD&amp;A. The Company expects to continue funding these projects with available cash and cash equivalents,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therefore, is subject to risks including, but not limited to, an inability to raise additional funds through debt and/or equity financing to support the Company’s continued development, including capital expenditure requirements, operating requirements and to meet its liabilities and commitments as they become due.</w:t>
      </w:r>
    </w:p>
    <w:p>
      <w:pPr>
        <w:spacing w:after="0" w:line="19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constantly monitors and manages its capital resources to assess the liquidity necessary to fund operations and capacity expansion. As at September 30, 2025, the Company had a cash balance of $83,752 and current liabilities of $13,362. The Company’s current resources are sufficient to settle its current liabilities.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Management continues to raise the capital necessary to become a fully operational enterprise.</w:t>
      </w:r>
    </w:p>
    <w:p>
      <w:pPr>
        <w:spacing w:after="0" w:line="25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19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Company’s primary capital needs are funds to advance its research and development activities and for working capital purposes. These activities include staffing, preclinical studies, clinical trials and administrative costs. The Company has experienced operating losses and cash outflows from operations since incorporation and will require ongoing financing to continue its research and development. The Company has not earned any revenue or reached successful commercialization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240"/>
          </w:cols>
          <w:pgMar w:left="320" w:top="1440" w:right="339" w:bottom="1440" w:gutter="0" w:footer="0" w:header="0"/>
        </w:sectPr>
      </w:pPr>
    </w:p>
    <w:bookmarkStart w:id="103" w:name="page104"/>
    <w:bookmarkEnd w:id="103"/>
    <w:p>
      <w:pPr>
        <w:jc w:val="both"/>
        <w:ind w:right="20"/>
        <w:spacing w:after="0" w:line="303" w:lineRule="auto"/>
        <w:rPr>
          <w:sz w:val="20"/>
          <w:szCs w:val="20"/>
          <w:color w:val="auto"/>
        </w:rPr>
      </w:pPr>
      <w:r>
        <w:rPr>
          <w:rFonts w:ascii="Times New Roman" w:cs="Times New Roman" w:eastAsia="Times New Roman" w:hAnsi="Times New Roman"/>
          <w:sz w:val="20"/>
          <w:szCs w:val="20"/>
          <w:color w:val="auto"/>
        </w:rPr>
        <w:t>any products. The Company’s success is dependent upon the ability to finance its cash requirements to continue its activities. There is no assurance that additional capital or other types of financing will be available if needed or that these financings will be on terms at least as favourable to the Company as those previously obtained, or at all. See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is focused on research and has not seen any major changes to its ability to complete those activities. The Company intends to assess its business and operational needs, and implement cost reductions as needed. The Company is currently focused on the research stage of its projects and will not be generating significant revenues in the short term. The Company believes it has sufficient working capital to manage its short- and long-term cash flow needs as it continues to invest into its intellectual property.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Contractual Obligations and Commitments</w:t>
      </w:r>
    </w:p>
    <w:p>
      <w:pPr>
        <w:spacing w:after="0" w:line="26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As at September 30, 2025, the Company had also entered into agreements for various studies which may require the Company to spend up to an additional $103,947. The Company expects to pay this amount within the next 24 months, however the timing and certainty of the payments are contingent on availability of materials and successful completion of certain milestones. The Company has the right to cancel the studies at its discretion, in which case a cancellation fee may apply, however the Company is not liable to pay the full amount of the study.</w:t>
      </w:r>
    </w:p>
    <w:p>
      <w:pPr>
        <w:spacing w:after="0" w:line="175"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9"/>
          <w:szCs w:val="19"/>
          <w:color w:val="auto"/>
        </w:rPr>
        <w:t>In addition to the above, the Company has entered into an exclusive license agreement with Mindset to acquire an extensive targeted class of tryptamine-based molecules. Upon the successful completion of certain milestones contemplated in the agreement, the Company may have to pay additional consideration of up to $9,500. At the sole discretion of Cybin, the milestones may be paid in cash or in Common Shares, or a combination thereof, subject to the approval of the Cboe Canada. There is no assurance that the aforementioned milestones will be met.</w:t>
      </w:r>
    </w:p>
    <w:p>
      <w:pPr>
        <w:spacing w:after="0" w:line="19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is party to certain employee and management contracts that contain severance obligations. These contracts contain clauses requiring additional payments to be made upon the occurrence of involuntary termination. As the likelihood of these events taking place is not determinable, no contingent liabilities have been recorded in the consolidated financial statements.</w:t>
      </w:r>
    </w:p>
    <w:p>
      <w:pPr>
        <w:spacing w:after="0" w:line="19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As of the September 30, 2025, no litigation or class proceedings have been commenced or certified. The Company is aware that certain U.S. plaintiff law firms have announced that they are investigating the Company following the Company’s news release dated September 2, 2025, announcing the resignation of the Company’s former chief executive officer. Should any litigation or class actions that the Company becomes involved in be unable to be resolved favourably or if any claims or litigation are determined against the Company, the Company’s financial position, operating results and the trading price of the Common Shares could be materially adversely affected.</w:t>
      </w:r>
    </w:p>
    <w:p>
      <w:pPr>
        <w:spacing w:after="0" w:line="202"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In the normal course of business, the Company may be subject to legal proceedings and claims. As at September 30, 2025, there was no ongoing litigation and therefore no contingent liabilities have been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240"/>
          </w:cols>
          <w:pgMar w:left="320" w:top="1440"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b w:val="1"/>
          <w:bCs w:val="1"/>
          <w:u w:val="single" w:color="auto"/>
          <w:color w:val="auto"/>
        </w:rPr>
        <w:t>Outstanding Share Data</w:t>
      </w:r>
    </w:p>
    <w:p>
      <w:pPr>
        <w:spacing w:after="0" w:line="301" w:lineRule="exact"/>
        <w:rPr>
          <w:sz w:val="20"/>
          <w:szCs w:val="20"/>
          <w:color w:val="auto"/>
        </w:rPr>
      </w:pPr>
    </w:p>
    <w:p>
      <w:pPr>
        <w:ind w:right="20"/>
        <w:spacing w:after="0" w:line="311" w:lineRule="auto"/>
        <w:rPr>
          <w:sz w:val="20"/>
          <w:szCs w:val="20"/>
          <w:color w:val="auto"/>
        </w:rPr>
      </w:pPr>
      <w:r>
        <w:rPr>
          <w:rFonts w:ascii="Times New Roman" w:cs="Times New Roman" w:eastAsia="Times New Roman" w:hAnsi="Times New Roman"/>
          <w:sz w:val="20"/>
          <w:szCs w:val="20"/>
          <w:color w:val="auto"/>
        </w:rPr>
        <w:t>On September 19, 2024, the Company completed the Consolidation. As a result, all figures related to shares, warrants, options, restricted share units and earnings per share presented in this MD&amp;A have been restated retrospectively for all periods to reflect the Consolidation.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sets out the outstanding share capital of the Company as at September 30, 2025, and as of the date of this MD&amp;A:</w:t>
      </w:r>
    </w:p>
    <w:p>
      <w:pPr>
        <w:spacing w:after="0" w:line="299"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4340" w:type="dxa"/>
            <w:vAlign w:val="bottom"/>
            <w:tcBorders>
              <w:top w:val="single" w:sz="8" w:color="auto"/>
              <w:left w:val="single" w:sz="8" w:color="auto"/>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6"/>
                <w:szCs w:val="16"/>
                <w:b w:val="1"/>
                <w:bCs w:val="1"/>
                <w:color w:val="auto"/>
              </w:rPr>
              <w:t>Class of Security</w:t>
            </w:r>
          </w:p>
        </w:tc>
        <w:tc>
          <w:tcPr>
            <w:tcW w:w="3240" w:type="dxa"/>
            <w:vAlign w:val="bottom"/>
            <w:tcBorders>
              <w:top w:val="single" w:sz="8" w:color="auto"/>
              <w:bottom w:val="single" w:sz="8" w:color="auto"/>
              <w:right w:val="single" w:sz="8" w:color="auto"/>
            </w:tcBorders>
            <w:shd w:val="clear" w:color="auto" w:fill="DBDBDB"/>
          </w:tcPr>
          <w:p>
            <w:pPr>
              <w:ind w:left="720"/>
              <w:spacing w:after="0"/>
              <w:rPr>
                <w:sz w:val="20"/>
                <w:szCs w:val="20"/>
                <w:color w:val="auto"/>
              </w:rPr>
            </w:pPr>
            <w:r>
              <w:rPr>
                <w:rFonts w:ascii="Times New Roman" w:cs="Times New Roman" w:eastAsia="Times New Roman" w:hAnsi="Times New Roman"/>
                <w:sz w:val="16"/>
                <w:szCs w:val="16"/>
                <w:b w:val="1"/>
                <w:bCs w:val="1"/>
                <w:color w:val="auto"/>
              </w:rPr>
              <w:t>As of September 30, 2025</w:t>
            </w:r>
          </w:p>
        </w:tc>
        <w:tc>
          <w:tcPr>
            <w:tcW w:w="3680" w:type="dxa"/>
            <w:vAlign w:val="bottom"/>
            <w:tcBorders>
              <w:top w:val="single" w:sz="8" w:color="auto"/>
              <w:bottom w:val="single" w:sz="8" w:color="auto"/>
              <w:right w:val="single" w:sz="8" w:color="auto"/>
            </w:tcBorders>
            <w:shd w:val="clear" w:color="auto" w:fill="DBDBDB"/>
          </w:tcPr>
          <w:p>
            <w:pPr>
              <w:ind w:left="840"/>
              <w:spacing w:after="0"/>
              <w:rPr>
                <w:sz w:val="20"/>
                <w:szCs w:val="20"/>
                <w:color w:val="auto"/>
              </w:rPr>
            </w:pPr>
            <w:r>
              <w:rPr>
                <w:rFonts w:ascii="Times New Roman" w:cs="Times New Roman" w:eastAsia="Times New Roman" w:hAnsi="Times New Roman"/>
                <w:sz w:val="16"/>
                <w:szCs w:val="16"/>
                <w:b w:val="1"/>
                <w:bCs w:val="1"/>
                <w:color w:val="auto"/>
              </w:rPr>
              <w:t>As of the date of this MD&amp;A</w:t>
            </w:r>
          </w:p>
        </w:tc>
        <w:tc>
          <w:tcPr>
            <w:tcW w:w="0" w:type="dxa"/>
            <w:vAlign w:val="bottom"/>
          </w:tcPr>
          <w:p>
            <w:pPr>
              <w:spacing w:after="0"/>
              <w:rPr>
                <w:sz w:val="1"/>
                <w:szCs w:val="1"/>
                <w:color w:val="auto"/>
              </w:rPr>
            </w:pPr>
          </w:p>
        </w:tc>
      </w:tr>
      <w:tr>
        <w:trPr>
          <w:trHeight w:val="208"/>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Common Shares</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26,101,080</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49,894,131</w:t>
            </w:r>
          </w:p>
        </w:tc>
        <w:tc>
          <w:tcPr>
            <w:tcW w:w="0" w:type="dxa"/>
            <w:vAlign w:val="bottom"/>
          </w:tcPr>
          <w:p>
            <w:pPr>
              <w:spacing w:after="0"/>
              <w:rPr>
                <w:sz w:val="1"/>
                <w:szCs w:val="1"/>
                <w:color w:val="auto"/>
              </w:rPr>
            </w:pPr>
          </w:p>
        </w:tc>
      </w:tr>
      <w:tr>
        <w:trPr>
          <w:trHeight w:val="209"/>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Pre-funded Common Share purchase warrants</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4,605,500</w:t>
            </w:r>
          </w:p>
        </w:tc>
        <w:tc>
          <w:tcPr>
            <w:tcW w:w="0" w:type="dxa"/>
            <w:vAlign w:val="bottom"/>
          </w:tcPr>
          <w:p>
            <w:pPr>
              <w:spacing w:after="0"/>
              <w:rPr>
                <w:sz w:val="1"/>
                <w:szCs w:val="1"/>
                <w:color w:val="auto"/>
              </w:rPr>
            </w:pPr>
          </w:p>
        </w:tc>
      </w:tr>
      <w:tr>
        <w:trPr>
          <w:trHeight w:val="210"/>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Stock options</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3,987,610</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4,154,283</w:t>
            </w:r>
          </w:p>
        </w:tc>
        <w:tc>
          <w:tcPr>
            <w:tcW w:w="0" w:type="dxa"/>
            <w:vAlign w:val="bottom"/>
          </w:tcPr>
          <w:p>
            <w:pPr>
              <w:spacing w:after="0"/>
              <w:rPr>
                <w:sz w:val="1"/>
                <w:szCs w:val="1"/>
                <w:color w:val="auto"/>
              </w:rPr>
            </w:pPr>
          </w:p>
        </w:tc>
      </w:tr>
      <w:tr>
        <w:trPr>
          <w:trHeight w:val="209"/>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RSUs (as defined below)</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4,164,440</w:t>
            </w:r>
          </w:p>
        </w:tc>
        <w:tc>
          <w:tcPr>
            <w:tcW w:w="0" w:type="dxa"/>
            <w:vAlign w:val="bottom"/>
          </w:tcPr>
          <w:p>
            <w:pPr>
              <w:spacing w:after="0"/>
              <w:rPr>
                <w:sz w:val="1"/>
                <w:szCs w:val="1"/>
                <w:color w:val="auto"/>
              </w:rPr>
            </w:pPr>
          </w:p>
        </w:tc>
      </w:tr>
      <w:tr>
        <w:trPr>
          <w:trHeight w:val="210"/>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Share purchase warrants</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2,796,197</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12,205,334</w:t>
            </w:r>
          </w:p>
        </w:tc>
        <w:tc>
          <w:tcPr>
            <w:tcW w:w="0" w:type="dxa"/>
            <w:vAlign w:val="bottom"/>
          </w:tcPr>
          <w:p>
            <w:pPr>
              <w:spacing w:after="0"/>
              <w:rPr>
                <w:sz w:val="1"/>
                <w:szCs w:val="1"/>
                <w:color w:val="auto"/>
              </w:rPr>
            </w:pPr>
          </w:p>
        </w:tc>
      </w:tr>
      <w:tr>
        <w:trPr>
          <w:trHeight w:val="266"/>
        </w:trPr>
        <w:tc>
          <w:tcPr>
            <w:tcW w:w="4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 xml:space="preserve">Class B Shares (as defined below) </w:t>
            </w:r>
            <w:r>
              <w:rPr>
                <w:rFonts w:ascii="Times New Roman" w:cs="Times New Roman" w:eastAsia="Times New Roman" w:hAnsi="Times New Roman"/>
                <w:sz w:val="21"/>
                <w:szCs w:val="21"/>
                <w:color w:val="auto"/>
                <w:w w:val="99"/>
                <w:vertAlign w:val="superscript"/>
              </w:rPr>
              <w:t>(1)</w:t>
            </w:r>
          </w:p>
        </w:tc>
        <w:tc>
          <w:tcPr>
            <w:tcW w:w="3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51"/>
        </w:trPr>
        <w:tc>
          <w:tcPr>
            <w:tcW w:w="4340" w:type="dxa"/>
            <w:vAlign w:val="bottom"/>
            <w:tcBorders>
              <w:left w:val="single" w:sz="8" w:color="auto"/>
              <w:bottom w:val="single" w:sz="8" w:color="auto"/>
              <w:right w:val="single" w:sz="8" w:color="auto"/>
            </w:tcBorders>
          </w:tcPr>
          <w:p>
            <w:pPr>
              <w:spacing w:after="0"/>
              <w:rPr>
                <w:sz w:val="4"/>
                <w:szCs w:val="4"/>
                <w:color w:val="auto"/>
              </w:rPr>
            </w:pPr>
          </w:p>
        </w:tc>
        <w:tc>
          <w:tcPr>
            <w:tcW w:w="3240" w:type="dxa"/>
            <w:vAlign w:val="bottom"/>
            <w:tcBorders>
              <w:bottom w:val="single" w:sz="8" w:color="auto"/>
              <w:right w:val="single" w:sz="8" w:color="auto"/>
            </w:tcBorders>
            <w:vMerge w:val="continue"/>
          </w:tcPr>
          <w:p>
            <w:pPr>
              <w:spacing w:after="0"/>
              <w:rPr>
                <w:sz w:val="4"/>
                <w:szCs w:val="4"/>
                <w:color w:val="auto"/>
              </w:rPr>
            </w:pPr>
          </w:p>
        </w:tc>
        <w:tc>
          <w:tcPr>
            <w:tcW w:w="368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Note:</w:t>
      </w:r>
    </w:p>
    <w:p>
      <w:pPr>
        <w:spacing w:after="0" w:line="102" w:lineRule="exact"/>
        <w:rPr>
          <w:sz w:val="20"/>
          <w:szCs w:val="20"/>
          <w:color w:val="auto"/>
        </w:rPr>
      </w:pPr>
    </w:p>
    <w:p>
      <w:pPr>
        <w:ind w:left="660" w:right="20" w:hanging="4"/>
        <w:spacing w:after="0" w:line="351" w:lineRule="auto"/>
        <w:tabs>
          <w:tab w:leader="none" w:pos="916"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B Shares were exchangeable for Common Shares, on the basis of 0.26316 Common Shares for each Class B Share, at the option of the holder thereof, subject to customary adjustments.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Common Shares</w:t>
      </w:r>
    </w:p>
    <w:p>
      <w:pPr>
        <w:spacing w:after="0" w:line="260"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20"/>
          <w:szCs w:val="20"/>
          <w:color w:val="auto"/>
        </w:rPr>
        <w:t xml:space="preserve">The authorized capital of the Company consists of an unlimited number of Common Shares without par value and an unlimited number of preferred shares. As of September 30, 2025, 26,101,080 Common Shares were outstanding and no preferred shares were issued and outstanding. As of the date of this MD&amp;A 49,894,131 Common Shares were outstanding and no preferred shares were issued and outstanding. See </w:t>
      </w:r>
      <w:r>
        <w:rPr>
          <w:rFonts w:ascii="Times New Roman" w:cs="Times New Roman" w:eastAsia="Times New Roman" w:hAnsi="Times New Roman"/>
          <w:sz w:val="20"/>
          <w:szCs w:val="20"/>
          <w:i w:val="1"/>
          <w:iCs w:val="1"/>
          <w:color w:val="auto"/>
        </w:rPr>
        <w:t>"Subsequent Events".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Pre-funded Common Share Purchase Warrants</w:t>
      </w:r>
    </w:p>
    <w:p>
      <w:pPr>
        <w:spacing w:after="0" w:line="260"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20"/>
          <w:szCs w:val="20"/>
          <w:color w:val="auto"/>
        </w:rPr>
        <w:t xml:space="preserve">As of September 30, 2025, no pre-funded Common Share purchase warrants were outstanding. As of the date of this MD&amp;A, pre funded warrants to purchase up to 4,605,500 Common Shares are outstanding, exercisable at an exercise price of US$0.00001. See </w:t>
      </w:r>
      <w:r>
        <w:rPr>
          <w:rFonts w:ascii="Times New Roman" w:cs="Times New Roman" w:eastAsia="Times New Roman" w:hAnsi="Times New Roman"/>
          <w:sz w:val="20"/>
          <w:szCs w:val="20"/>
          <w:i w:val="1"/>
          <w:iCs w:val="1"/>
          <w:color w:val="auto"/>
        </w:rPr>
        <w:t>"Subsequent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Events".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260"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As of September 30, 2025, options to purchase up to 3,987,610 Common Shares were outstanding under Cybin’s equity incentive plan. As of the date of this MD&amp;A, options to purchase up to 4,154,283 Common Shares are outstanding under Cybin’s equity incentive plan.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Share Units</w:t>
      </w:r>
    </w:p>
    <w:p>
      <w:pPr>
        <w:spacing w:after="0" w:line="270" w:lineRule="exact"/>
        <w:rPr>
          <w:sz w:val="20"/>
          <w:szCs w:val="20"/>
          <w:color w:val="auto"/>
        </w:rPr>
      </w:pPr>
    </w:p>
    <w:p>
      <w:pPr>
        <w:jc w:val="both"/>
        <w:ind w:right="20"/>
        <w:spacing w:after="0" w:line="315" w:lineRule="auto"/>
        <w:rPr>
          <w:sz w:val="20"/>
          <w:szCs w:val="20"/>
          <w:color w:val="auto"/>
        </w:rPr>
      </w:pPr>
      <w:r>
        <w:rPr>
          <w:rFonts w:ascii="Times New Roman" w:cs="Times New Roman" w:eastAsia="Times New Roman" w:hAnsi="Times New Roman"/>
          <w:sz w:val="20"/>
          <w:szCs w:val="20"/>
          <w:color w:val="auto"/>
        </w:rPr>
        <w:t>As of September 30, 2025, no restricted share units (the "</w:t>
      </w:r>
      <w:r>
        <w:rPr>
          <w:rFonts w:ascii="Times New Roman" w:cs="Times New Roman" w:eastAsia="Times New Roman" w:hAnsi="Times New Roman"/>
          <w:sz w:val="20"/>
          <w:szCs w:val="20"/>
          <w:b w:val="1"/>
          <w:bCs w:val="1"/>
          <w:color w:val="auto"/>
        </w:rPr>
        <w:t>RSUs</w:t>
      </w:r>
      <w:r>
        <w:rPr>
          <w:rFonts w:ascii="Times New Roman" w:cs="Times New Roman" w:eastAsia="Times New Roman" w:hAnsi="Times New Roman"/>
          <w:sz w:val="20"/>
          <w:szCs w:val="20"/>
          <w:color w:val="auto"/>
        </w:rPr>
        <w:t xml:space="preserve">") were outstanding under Cybin’s equity incentive plan. As of the date of this MD&amp;A, 4,164,440 restricted share units are outstanding under Cybin’s equity incentive plan. See </w:t>
      </w:r>
      <w:r>
        <w:rPr>
          <w:rFonts w:ascii="Times New Roman" w:cs="Times New Roman" w:eastAsia="Times New Roman" w:hAnsi="Times New Roman"/>
          <w:sz w:val="20"/>
          <w:szCs w:val="20"/>
          <w:i w:val="1"/>
          <w:iCs w:val="1"/>
          <w:color w:val="auto"/>
        </w:rPr>
        <w:t>"Subsequent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260"/>
          </w:cols>
          <w:pgMar w:left="320" w:top="1436"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0"/>
          <w:szCs w:val="20"/>
          <w:b w:val="1"/>
          <w:bCs w:val="1"/>
          <w:i w:val="1"/>
          <w:iCs w:val="1"/>
          <w:color w:val="auto"/>
        </w:rPr>
        <w:t>Common Share Purchase Warrants</w:t>
      </w:r>
    </w:p>
    <w:p>
      <w:pPr>
        <w:spacing w:after="0" w:line="27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 xml:space="preserve">As of September 30, 2025, warrants to purchase up to 2,796,197 Common Shares were outstanding, exercisable at a weighted average exercise price of $16.75 per Common Share. As of the date of this MD&amp;A, warrants to purchase up to 12,205,334 Common Shares are outstanding, exercisable at a weighted average exercise price of $10.11 per Common Share. See </w:t>
      </w:r>
      <w:r>
        <w:rPr>
          <w:rFonts w:ascii="Times New Roman" w:cs="Times New Roman" w:eastAsia="Times New Roman" w:hAnsi="Times New Roman"/>
          <w:sz w:val="20"/>
          <w:szCs w:val="20"/>
          <w:i w:val="1"/>
          <w:iCs w:val="1"/>
          <w:color w:val="auto"/>
        </w:rPr>
        <w:t>"Subsequent Events".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Class B Shares</w:t>
      </w:r>
    </w:p>
    <w:p>
      <w:pPr>
        <w:spacing w:after="0" w:line="25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In connection with the Adelia Transaction (as defined below) (see “</w:t>
      </w:r>
      <w:r>
        <w:rPr>
          <w:rFonts w:ascii="Times New Roman" w:cs="Times New Roman" w:eastAsia="Times New Roman" w:hAnsi="Times New Roman"/>
          <w:sz w:val="20"/>
          <w:szCs w:val="20"/>
          <w:b w:val="1"/>
          <w:bCs w:val="1"/>
          <w:color w:val="auto"/>
        </w:rPr>
        <w:t>Adelia Acquisition</w:t>
      </w:r>
      <w:r>
        <w:rPr>
          <w:rFonts w:ascii="Times New Roman" w:cs="Times New Roman" w:eastAsia="Times New Roman" w:hAnsi="Times New Roman"/>
          <w:sz w:val="20"/>
          <w:szCs w:val="20"/>
          <w:color w:val="auto"/>
        </w:rPr>
        <w:t>”), Cybin U.S. (a subsidiary of the Company) has issued 1,591,625.3 Class B Shares. Of the Class B Shares issued, 1,555,540.6 have been exchanged into Common Shares, and the remaining 36,084.7 Class B Shares were cancelled, effective August 20, 2025. The Class B Shares were exchangeable at the holder’s option for Common Shares on the basis of 0.26316 Common Shares for 1 Class B Share, subject to customary adjustments. As of the date of this MD&amp;A, no Class B Shares are outstanding.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Adelia Acquisition</w:t>
      </w:r>
    </w:p>
    <w:p>
      <w:pPr>
        <w:spacing w:after="0" w:line="28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On December 4, 2020, Cybin entered into a contribution agreement, as amended on September 24, 2021, (the “</w:t>
      </w:r>
      <w:r>
        <w:rPr>
          <w:rFonts w:ascii="Times New Roman" w:cs="Times New Roman" w:eastAsia="Times New Roman" w:hAnsi="Times New Roman"/>
          <w:sz w:val="20"/>
          <w:szCs w:val="20"/>
          <w:b w:val="1"/>
          <w:bCs w:val="1"/>
          <w:color w:val="auto"/>
        </w:rPr>
        <w:t>Contribution Agreement</w:t>
      </w:r>
      <w:r>
        <w:rPr>
          <w:rFonts w:ascii="Times New Roman" w:cs="Times New Roman" w:eastAsia="Times New Roman" w:hAnsi="Times New Roman"/>
          <w:sz w:val="20"/>
          <w:szCs w:val="20"/>
          <w:color w:val="auto"/>
        </w:rPr>
        <w:t>”) with Cybin Corp., Cybin U.S. (the “</w:t>
      </w:r>
      <w:r>
        <w:rPr>
          <w:rFonts w:ascii="Times New Roman" w:cs="Times New Roman" w:eastAsia="Times New Roman" w:hAnsi="Times New Roman"/>
          <w:sz w:val="20"/>
          <w:szCs w:val="20"/>
          <w:b w:val="1"/>
          <w:bCs w:val="1"/>
          <w:color w:val="auto"/>
        </w:rPr>
        <w:t>Acquiror</w:t>
      </w:r>
      <w:r>
        <w:rPr>
          <w:rFonts w:ascii="Times New Roman" w:cs="Times New Roman" w:eastAsia="Times New Roman" w:hAnsi="Times New Roman"/>
          <w:sz w:val="20"/>
          <w:szCs w:val="20"/>
          <w:color w:val="auto"/>
        </w:rPr>
        <w:t>”), a newly formed fully-controlled subsidiary of Cybin created for the purposes of the Adelia Transaction, and all of the shareholders of Adelia (the “</w:t>
      </w:r>
      <w:r>
        <w:rPr>
          <w:rFonts w:ascii="Times New Roman" w:cs="Times New Roman" w:eastAsia="Times New Roman" w:hAnsi="Times New Roman"/>
          <w:sz w:val="20"/>
          <w:szCs w:val="20"/>
          <w:b w:val="1"/>
          <w:bCs w:val="1"/>
          <w:color w:val="auto"/>
        </w:rPr>
        <w:t>Adelia Shareholders</w:t>
      </w:r>
      <w:r>
        <w:rPr>
          <w:rFonts w:ascii="Times New Roman" w:cs="Times New Roman" w:eastAsia="Times New Roman" w:hAnsi="Times New Roman"/>
          <w:sz w:val="20"/>
          <w:szCs w:val="20"/>
          <w:color w:val="auto"/>
        </w:rPr>
        <w:t>”) whereby the Acquiror has agreed to purchase from the Adelia Shareholders all of the issued and outstanding common shares of Adelia (the “</w:t>
      </w:r>
      <w:r>
        <w:rPr>
          <w:rFonts w:ascii="Times New Roman" w:cs="Times New Roman" w:eastAsia="Times New Roman" w:hAnsi="Times New Roman"/>
          <w:sz w:val="20"/>
          <w:szCs w:val="20"/>
          <w:b w:val="1"/>
          <w:bCs w:val="1"/>
          <w:color w:val="auto"/>
        </w:rPr>
        <w:t>Adelia Shares</w:t>
      </w:r>
      <w:r>
        <w:rPr>
          <w:rFonts w:ascii="Times New Roman" w:cs="Times New Roman" w:eastAsia="Times New Roman" w:hAnsi="Times New Roman"/>
          <w:sz w:val="20"/>
          <w:szCs w:val="20"/>
          <w:color w:val="auto"/>
        </w:rPr>
        <w:t>”) in exchange for non-voting Class B common shares in the capital of the Acquiror (the “</w:t>
      </w:r>
      <w:r>
        <w:rPr>
          <w:rFonts w:ascii="Times New Roman" w:cs="Times New Roman" w:eastAsia="Times New Roman" w:hAnsi="Times New Roman"/>
          <w:sz w:val="20"/>
          <w:szCs w:val="20"/>
          <w:b w:val="1"/>
          <w:bCs w:val="1"/>
          <w:color w:val="auto"/>
        </w:rPr>
        <w:t>Class B Shares</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Adelia Transaction</w:t>
      </w:r>
      <w:r>
        <w:rPr>
          <w:rFonts w:ascii="Times New Roman" w:cs="Times New Roman" w:eastAsia="Times New Roman" w:hAnsi="Times New Roman"/>
          <w:sz w:val="20"/>
          <w:szCs w:val="20"/>
          <w:color w:val="auto"/>
        </w:rPr>
        <w:t>”). The Adelia Transaction closed on December 14, 2020 (the “</w:t>
      </w:r>
      <w:r>
        <w:rPr>
          <w:rFonts w:ascii="Times New Roman" w:cs="Times New Roman" w:eastAsia="Times New Roman" w:hAnsi="Times New Roman"/>
          <w:sz w:val="20"/>
          <w:szCs w:val="20"/>
          <w:b w:val="1"/>
          <w:bCs w:val="1"/>
          <w:color w:val="auto"/>
        </w:rPr>
        <w:t>Closing</w:t>
      </w:r>
      <w:r>
        <w:rPr>
          <w:rFonts w:ascii="Times New Roman" w:cs="Times New Roman" w:eastAsia="Times New Roman" w:hAnsi="Times New Roman"/>
          <w:sz w:val="20"/>
          <w:szCs w:val="20"/>
          <w:color w:val="auto"/>
        </w:rPr>
        <w:t>”).</w:t>
      </w:r>
    </w:p>
    <w:p>
      <w:pPr>
        <w:spacing w:after="0" w:line="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color w:val="auto"/>
        </w:rPr>
        <w:t>Pursuant to the Contribution Agreement, the Adelia Shareholders contributed all of the Adelia Shares to the Acquiror as a capital contribution in exchange for the Acquiror issuing to them, in the aggregate, 868,833 Class B Shares in accordance with their respective pro rata percentages at a price per Class B Share equal to C$12.40 (approximately $9.69). The aggregate value of the Class B Shares to be issued to the Adelia Shareholders on the Closing was C$19,549 (approximately $15.28 million).</w:t>
      </w:r>
    </w:p>
    <w:p>
      <w:pPr>
        <w:spacing w:after="0" w:line="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 xml:space="preserve">The Class B Shares issued by the Acquiror to the Adelia Shareholders are exchangeable for Common Shares on a 0.26316 Common Shares for 1 Class B Share basis, at the option of the holder thereof, subject to customary adjustments. The purpose of issuing exchangeable Class B Shares to the Adelia Shareholders is to allow the Adelia Shareholders to defer a taxable event, which occurs on the exchange of shares of a United States company for the shares of a Canadian company. Notwithstanding the foregoing, no Class B Shares were exchangeable prior to the first anniversary of the Closing and not more than: (i) 33 1/3% of the Class B Shares were exchangeable prior to the second anniversary of Closing; (ii) 66 2/3% of the Class B Shares were exchangeable prior to the third anniversary of Closing; and (iii) thereafter, 100% of the Class B Shares will be exchangeable ((i), (ii) and (iii), collectively, the “Hold Periods”). The Class B Shares issued to the Adelia Shareholders upon the Closing are exchangeable for a total of </w:t>
      </w:r>
      <w:r>
        <w:rPr>
          <w:rFonts w:ascii="Times New Roman" w:cs="Times New Roman" w:eastAsia="Times New Roman" w:hAnsi="Times New Roman"/>
          <w:sz w:val="21"/>
          <w:szCs w:val="21"/>
          <w:color w:val="auto"/>
        </w:rPr>
        <w:t>228,640</w:t>
      </w:r>
      <w:r>
        <w:rPr>
          <w:rFonts w:ascii="Times New Roman" w:cs="Times New Roman" w:eastAsia="Times New Roman" w:hAnsi="Times New Roman"/>
          <w:sz w:val="20"/>
          <w:szCs w:val="20"/>
          <w:color w:val="auto"/>
        </w:rPr>
        <w:t xml:space="preserve"> Common Shares, resulting in an effective issue price of C</w:t>
      </w:r>
      <w:r>
        <w:rPr>
          <w:rFonts w:ascii="Times New Roman" w:cs="Times New Roman" w:eastAsia="Times New Roman" w:hAnsi="Times New Roman"/>
          <w:sz w:val="21"/>
          <w:szCs w:val="21"/>
          <w:color w:val="auto"/>
        </w:rPr>
        <w:t>$47.12</w:t>
      </w:r>
      <w:r>
        <w:rPr>
          <w:rFonts w:ascii="Times New Roman" w:cs="Times New Roman" w:eastAsia="Times New Roman" w:hAnsi="Times New Roman"/>
          <w:sz w:val="20"/>
          <w:szCs w:val="20"/>
          <w:color w:val="auto"/>
        </w:rPr>
        <w:t xml:space="preserve"> per Cybin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240"/>
          </w:cols>
          <w:pgMar w:left="320" w:top="1395" w:right="339" w:bottom="1440" w:gutter="0" w:footer="0" w:header="0"/>
        </w:sectPr>
      </w:pPr>
    </w:p>
    <w:bookmarkStart w:id="106" w:name="page107"/>
    <w:bookmarkEnd w:id="106"/>
    <w:p>
      <w:pPr>
        <w:jc w:val="both"/>
        <w:spacing w:after="0" w:line="289" w:lineRule="auto"/>
        <w:rPr>
          <w:sz w:val="20"/>
          <w:szCs w:val="20"/>
          <w:color w:val="auto"/>
        </w:rPr>
      </w:pPr>
      <w:r>
        <w:rPr>
          <w:rFonts w:ascii="Times New Roman" w:cs="Times New Roman" w:eastAsia="Times New Roman" w:hAnsi="Times New Roman"/>
          <w:sz w:val="20"/>
          <w:szCs w:val="20"/>
          <w:color w:val="auto"/>
        </w:rPr>
        <w:t>On the occurrence of certain milestones as set out in the Contribution Agreement (each a “</w:t>
      </w:r>
      <w:r>
        <w:rPr>
          <w:rFonts w:ascii="Times New Roman" w:cs="Times New Roman" w:eastAsia="Times New Roman" w:hAnsi="Times New Roman"/>
          <w:sz w:val="20"/>
          <w:szCs w:val="20"/>
          <w:b w:val="1"/>
          <w:bCs w:val="1"/>
          <w:color w:val="auto"/>
        </w:rPr>
        <w:t>Milestone</w:t>
      </w:r>
      <w:r>
        <w:rPr>
          <w:rFonts w:ascii="Times New Roman" w:cs="Times New Roman" w:eastAsia="Times New Roman" w:hAnsi="Times New Roman"/>
          <w:sz w:val="20"/>
          <w:szCs w:val="20"/>
          <w:color w:val="auto"/>
        </w:rPr>
        <w:t>”), the Acquiror will issue to the Adelia Shareholders in accordance with their pro rata percentage, within five business days following the relevant date at which there is agreement as to the achievement of the Milestone (the “</w:t>
      </w:r>
      <w:r>
        <w:rPr>
          <w:rFonts w:ascii="Times New Roman" w:cs="Times New Roman" w:eastAsia="Times New Roman" w:hAnsi="Times New Roman"/>
          <w:sz w:val="20"/>
          <w:szCs w:val="20"/>
          <w:b w:val="1"/>
          <w:bCs w:val="1"/>
          <w:color w:val="auto"/>
        </w:rPr>
        <w:t>Milestone Determination Date</w:t>
      </w:r>
      <w:r>
        <w:rPr>
          <w:rFonts w:ascii="Times New Roman" w:cs="Times New Roman" w:eastAsia="Times New Roman" w:hAnsi="Times New Roman"/>
          <w:sz w:val="20"/>
          <w:szCs w:val="20"/>
          <w:color w:val="auto"/>
        </w:rPr>
        <w:t>”), such number of Class B Shares as shall be determined by dividing the applicable Milestone consideration, as set out in the Contribution Agreement (or where some, but not all, of such sub-Milestone’s in the relevant fiscal quarter are achieved, such lesser potion of such milestone consideration) as is determined in accordance with applicable Milestone, by the greater of: (i) C$28.50; (ii) the 10 day volume weighted average trading price of the Common Shares on the Cboe Canada (or, in the event that the Common Shares are no longer traded on the Cboe Canada, such other nationally recognized exchange as the Common Shares may at the applicable time be trading); and (iii) the closing market price of the Common Shares on the Cboe Canada (or, in the event that the Common Shares are no longer traded on the Cboe Canada, such other nationally recognized exchange as the Common may at the applicable time be trading) in each case, on the close of business on the last business day preceding the Milestone Determination Date. If a particular Milestone has not been achieved by the close of the quarter immediately following the quarter in which such Milestone is scheduled for completion pursuant to the Contribution Agreement, the Acquiror’s obligation to issue Class B Shares on the occurrence of the applicable Milestone shall expire. The total value of the Class B Shares issuable pursuant to the Milestones is up to C$9,388 (approximately $7.33 million). Pursuant to the Contribution Agreement, Cybin, the Acquiror and the Adelia Shareholders also entered into a support agreement dated December 14, 2020 (the “</w:t>
      </w:r>
      <w:r>
        <w:rPr>
          <w:rFonts w:ascii="Times New Roman" w:cs="Times New Roman" w:eastAsia="Times New Roman" w:hAnsi="Times New Roman"/>
          <w:sz w:val="20"/>
          <w:szCs w:val="20"/>
          <w:b w:val="1"/>
          <w:bCs w:val="1"/>
          <w:color w:val="auto"/>
        </w:rPr>
        <w:t>Support Agreement</w:t>
      </w:r>
      <w:r>
        <w:rPr>
          <w:rFonts w:ascii="Times New Roman" w:cs="Times New Roman" w:eastAsia="Times New Roman" w:hAnsi="Times New Roman"/>
          <w:sz w:val="20"/>
          <w:szCs w:val="20"/>
          <w:color w:val="auto"/>
        </w:rPr>
        <w:t>”), which for the purpose of Canadian securities law, is deemed a “security” as it is a document evidencing an interest in or to a security (i.e. the Common Shares), and, as such, constitutes a security of Cybin. Upon the signing of the Support Agreement, given that each of the Adelia Shareholders are an “accredited investor”, the prescribed restricted period (of (4) months and one (1) day after the date of issuance) as required under Canadian securities law on the Common Shares (which are exchangeable for Class B Shares at a future date) will commence. Therefore, upon the exchange of the Class B Shares for the Common Shares, subject to the Hold Periods, such Common Shares will no longer be within a restrictive period as prescribed under applicable securities law and free trading securities.</w:t>
      </w:r>
    </w:p>
    <w:p>
      <w:pPr>
        <w:spacing w:after="0" w:line="20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As of August 31, 2022, all of the Milestones contemplated by the terms of the Adelia Contribution Agreement were successfully achieved and as a result 1,591,625.3 Class B Shares have been issued and 1,555,540.6 Class B Shares have been exchanged into Common Shares. Effective August 20, 2025, the remaining 36,084.7 Class B Shares were cancelled. The Milestones focused on bringing Cybin’s psychedelic programs from the lab to the clinic. As Cybin has advanced its research and development pipeline, these milestone achievements have contributed to discovering potential new drug formulations and delivery methods, creating clinical protocols for psychedelic compounds, and most recently, supporting clinical-stage development of the Company’s CYB003 and CYB004 programs for MDD and anxiety disorders, respectively.</w:t>
      </w:r>
    </w:p>
    <w:p>
      <w:pPr>
        <w:spacing w:after="0" w:line="22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Pursuant to the Contribution Agreement certain members of Adelia entered into advisory and/or executive employment arrangements with Cybin upon the Closing and, in such capacity, received, in the aggregate, a grant of options to purchase up to 59,055 Common Shares, pursuant to Cybin’s equity incentive plan, exercisable for a period of five (5) years and subject to vesting, at an exercise price of $66.12 per Cybin Share. An additional 14,629 options to acquire Common Shares were issued to eligible participants at the direction of the Adelia Shareholders following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240"/>
          </w:cols>
          <w:pgMar w:left="320" w:top="1436" w:right="339" w:bottom="1440" w:gutter="0" w:footer="0" w:header="0"/>
        </w:sectPr>
      </w:pPr>
    </w:p>
    <w:bookmarkStart w:id="107" w:name="page108"/>
    <w:bookmarkEnd w:id="107"/>
    <w:p>
      <w:pPr>
        <w:spacing w:after="0" w:line="24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Following the achievement of the final milestones as contemplated by the terms of the Contribution Agreement, Michael Palfreyman Ph.D. and Brett Greene, who joined the Company following the Adelia Transaction, left their roles as Chief R&amp;D Officer and Chief Innovations Officer, respectively, and transitioned into advisory roles at the Company. Alex Nivorozhkin Ph.D., one of Adelia’s founders, is continuing in his role as Chief Scientific Officer of Cybin.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Small Pharma Acquisition</w:t>
      </w:r>
    </w:p>
    <w:p>
      <w:pPr>
        <w:spacing w:after="0" w:line="260"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20"/>
          <w:szCs w:val="20"/>
          <w:color w:val="auto"/>
        </w:rPr>
        <w:t>On August 28, 2023, the Company entered into the Arrangement Agreement with Small Pharma pursuant to which Cybin agreed to acquire all of the issued and outstanding shares of Small Pharma (each, a “</w:t>
      </w:r>
      <w:r>
        <w:rPr>
          <w:rFonts w:ascii="Times New Roman" w:cs="Times New Roman" w:eastAsia="Times New Roman" w:hAnsi="Times New Roman"/>
          <w:sz w:val="20"/>
          <w:szCs w:val="20"/>
          <w:b w:val="1"/>
          <w:bCs w:val="1"/>
          <w:color w:val="auto"/>
        </w:rPr>
        <w:t>Small Pharma Share</w:t>
      </w:r>
      <w:r>
        <w:rPr>
          <w:rFonts w:ascii="Times New Roman" w:cs="Times New Roman" w:eastAsia="Times New Roman" w:hAnsi="Times New Roman"/>
          <w:sz w:val="20"/>
          <w:szCs w:val="20"/>
          <w:color w:val="auto"/>
        </w:rPr>
        <w:t>”) in an all-equity business combination transaction to be completed by way the Arrangement.</w:t>
      </w:r>
    </w:p>
    <w:p>
      <w:pPr>
        <w:spacing w:after="0" w:line="19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On September 13, 2023, Small Pharma was granted an interim order (the “</w:t>
      </w:r>
      <w:r>
        <w:rPr>
          <w:rFonts w:ascii="Times New Roman" w:cs="Times New Roman" w:eastAsia="Times New Roman" w:hAnsi="Times New Roman"/>
          <w:sz w:val="20"/>
          <w:szCs w:val="20"/>
          <w:b w:val="1"/>
          <w:bCs w:val="1"/>
          <w:color w:val="auto"/>
        </w:rPr>
        <w:t>Interim Order</w:t>
      </w:r>
      <w:r>
        <w:rPr>
          <w:rFonts w:ascii="Times New Roman" w:cs="Times New Roman" w:eastAsia="Times New Roman" w:hAnsi="Times New Roman"/>
          <w:sz w:val="20"/>
          <w:szCs w:val="20"/>
          <w:color w:val="auto"/>
        </w:rPr>
        <w:t>”) by the Supreme Court of British Columbia (the “</w:t>
      </w:r>
      <w:r>
        <w:rPr>
          <w:rFonts w:ascii="Times New Roman" w:cs="Times New Roman" w:eastAsia="Times New Roman" w:hAnsi="Times New Roman"/>
          <w:sz w:val="20"/>
          <w:szCs w:val="20"/>
          <w:b w:val="1"/>
          <w:bCs w:val="1"/>
          <w:color w:val="auto"/>
        </w:rPr>
        <w:t>Court</w:t>
      </w:r>
      <w:r>
        <w:rPr>
          <w:rFonts w:ascii="Times New Roman" w:cs="Times New Roman" w:eastAsia="Times New Roman" w:hAnsi="Times New Roman"/>
          <w:sz w:val="20"/>
          <w:szCs w:val="20"/>
          <w:color w:val="auto"/>
        </w:rPr>
        <w:t>”) regarding the Arrangement. The Interim Order authorized Small Pharma to proceed with various matters relating to the Arrangement, including the holding of a special meeting of Small Pharma shareholders to consider and vote on the Arrangement. Completion of the Arrangement was conditional upon receipt of a final order by the Court. Small Pharma was granted a final order by the Court on October 17, 2023.</w:t>
      </w:r>
    </w:p>
    <w:p>
      <w:pPr>
        <w:spacing w:after="0" w:line="21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On October 12, 2023, the Company held an annual and special meeting of shareholders (the “</w:t>
      </w:r>
      <w:r>
        <w:rPr>
          <w:rFonts w:ascii="Times New Roman" w:cs="Times New Roman" w:eastAsia="Times New Roman" w:hAnsi="Times New Roman"/>
          <w:sz w:val="20"/>
          <w:szCs w:val="20"/>
          <w:b w:val="1"/>
          <w:bCs w:val="1"/>
          <w:color w:val="auto"/>
        </w:rPr>
        <w:t>Special Meeting</w:t>
      </w:r>
      <w:r>
        <w:rPr>
          <w:rFonts w:ascii="Times New Roman" w:cs="Times New Roman" w:eastAsia="Times New Roman" w:hAnsi="Times New Roman"/>
          <w:sz w:val="20"/>
          <w:szCs w:val="20"/>
          <w:color w:val="auto"/>
        </w:rPr>
        <w:t>”) in connection with, among other things, the Arrangement. At the Special Meeting, shareholders of the Company passed an ordinary resolution approving the issuance by the Company of up to such number of Common Shares as may be required to be issued pursuant to the Arrangement in accordance with the terms of the Arrangement Agreement.</w:t>
      </w:r>
    </w:p>
    <w:p>
      <w:pPr>
        <w:spacing w:after="0" w:line="18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On October 23, 2023, the Company completed the Arrangement and issued 0.00634 Common Shares for every one Small Pharma Share outstanding, resulting in a total of 2,130,138 Common Shares being issued to Small Pharma shareholders. As a result of the Arrangement, Small Pharma became a wholly-owned subsidiary of Cybin. On April 1, 2024, pursuant to the provisions of the OBCA, Small Pharma completed a horizontal amalgamation with Cybin Corp., with Cybin Corp. being the resulting entity. As a result of this amalgamation, Cybin UK Limited is now a wholly-owned subsidiary of Cybin Corp.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Off-Balance Sheet Arrangements</w:t>
      </w:r>
    </w:p>
    <w:p>
      <w:pPr>
        <w:spacing w:after="0" w:line="26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As at September 30, 2025, and the date of this MD&amp;A, other than these contractual obligations and commitments disclosed in note 11 of the Financial Statements, the Company does not have any off-balance sheet arrangements that have or are reasonably likely to have a current or future effect on the results of operations or financial condition of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Transactions Between Related Parties</w:t>
      </w:r>
    </w:p>
    <w:p>
      <w:pPr>
        <w:spacing w:after="0" w:line="243"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20"/>
          <w:szCs w:val="20"/>
          <w:color w:val="auto"/>
        </w:rPr>
        <w:t>Key management personnel of the Company are the board of directors of the Company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the President, Chief Executive Officer, Chief Financial Officer, Chief Operating Officer, Chief Growth Officer, Chief Legal Officer, and Chief Business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243"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20"/>
          <w:szCs w:val="20"/>
          <w:color w:val="auto"/>
        </w:rPr>
        <w:t>Compensation for key management personnel of the Company for the three and six month periods ended September 30, 2025, consisted of consulting fees, short term benefits and other compensation of $2,218 and $3,447, respectively (three and six-month periods ended September 30, 2024 - $17,158 and $19,807).</w:t>
      </w:r>
    </w:p>
    <w:p>
      <w:pPr>
        <w:spacing w:after="0" w:line="168"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The Board of Directors has formed a committee to conduct a formal search for a Chief Executive Officer to guide the Company through its next phase of growth and clinical advancement.</w:t>
      </w:r>
    </w:p>
    <w:p>
      <w:pPr>
        <w:spacing w:after="0" w:line="14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On September 26, 2025, the Board authorized the Company to enter into amended consulting agreements with the Company’s President and Interim Chief Executive Officer, Eric So, and Chief Growth Officer, Paul Glavine (each, an “</w:t>
      </w:r>
      <w:r>
        <w:rPr>
          <w:rFonts w:ascii="Times New Roman" w:cs="Times New Roman" w:eastAsia="Times New Roman" w:hAnsi="Times New Roman"/>
          <w:sz w:val="20"/>
          <w:szCs w:val="20"/>
          <w:b w:val="1"/>
          <w:bCs w:val="1"/>
          <w:color w:val="auto"/>
        </w:rPr>
        <w:t>Executive</w:t>
      </w:r>
      <w:r>
        <w:rPr>
          <w:rFonts w:ascii="Times New Roman" w:cs="Times New Roman" w:eastAsia="Times New Roman" w:hAnsi="Times New Roman"/>
          <w:sz w:val="20"/>
          <w:szCs w:val="20"/>
          <w:color w:val="auto"/>
        </w:rPr>
        <w:t>”), through their respective consulting corporation, pursuant to which each Executive would be entitled to receive, subject to the approval of the Board and the terms of the Cybin’s equity incentive plan, performance-based awards within the available equity pool on or prior to December 31, 2026 or cash payments in lieu thereof. Such performance awards would vest into Common Shares over a three-year period following the grant date, subject to acceleration upon satisfaction of certain performance-related conditions or other customary events.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Shareholder Rights Plan</w:t>
      </w:r>
    </w:p>
    <w:p>
      <w:pPr>
        <w:spacing w:after="0" w:line="297"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9"/>
          <w:szCs w:val="19"/>
          <w:color w:val="auto"/>
        </w:rPr>
        <w:t>The Board has adopted a shareholder rights plan (the “</w:t>
      </w:r>
      <w:r>
        <w:rPr>
          <w:rFonts w:ascii="Times New Roman" w:cs="Times New Roman" w:eastAsia="Times New Roman" w:hAnsi="Times New Roman"/>
          <w:sz w:val="19"/>
          <w:szCs w:val="19"/>
          <w:b w:val="1"/>
          <w:bCs w:val="1"/>
          <w:color w:val="auto"/>
        </w:rPr>
        <w:t>Rights Plan</w:t>
      </w:r>
      <w:r>
        <w:rPr>
          <w:rFonts w:ascii="Times New Roman" w:cs="Times New Roman" w:eastAsia="Times New Roman" w:hAnsi="Times New Roman"/>
          <w:sz w:val="19"/>
          <w:szCs w:val="19"/>
          <w:color w:val="auto"/>
        </w:rPr>
        <w:t>”) to ensure, to the extent possible, that all shareholders of the Company and the Board have adequate time to consider and evaluate any unsolicited take-over bid for the Company, provide the Board with adequate time to evaluate any such take-over bid and explore and develop value-enhancing alternatives to any such take-over bid, encourage the fair treatment of the Company’s shareholders in connection with any such take-over bid, and generally assist the Board in enhancing shareholder value. The Rights Plan was approved by the Company’s shareholders on, and took effect as of, August 16, 2021. An amended and restated Rights Plan was approved by shareholders at the Company’s annual and special meeting of shareholders held on August 27,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Accounting Estimates</w:t>
      </w:r>
    </w:p>
    <w:p>
      <w:pPr>
        <w:spacing w:after="0" w:line="2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preparation of the Financial Statements requires management to make certain estimates, judgments and assumptions that affect the reported amounts of assets and liabilities at the date of the financial statements and reported amounts of expenses during the reporting year. Actual outcomes could differ from these estimates. The Financial Statements include estimates which, by their nature, are uncertain. The impacts of such estimates are pervasive throughout the Financial Statements and may require accounting adjustments based on future occurrences. Revisions to accounting estimates are recognized in the year in which the estimate is revised and future years if the revision affects both current and future years. These estimates are based on historical experience, current and future economic conditions and other factors, including expectations of future events that are believed to be reasonable under the circumstances. The Company’s significant accounting estimates and assumptions are reported in note 2 of the Financial Statements and in note 3 of the Company’s annual consolidated financial statements for the year ended March 31, 2025 found on SEDAR+ at www.sedarplus.ca.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240"/>
          </w:cols>
          <w:pgMar w:left="320" w:top="1440"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0"/>
          <w:szCs w:val="20"/>
          <w:b w:val="1"/>
          <w:bCs w:val="1"/>
          <w:i w:val="1"/>
          <w:iCs w:val="1"/>
          <w:color w:val="auto"/>
        </w:rPr>
        <w:t>Summary of Significant Accounting Policies</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 xml:space="preserve">The Company’s significant accounting policies are set out in note 2 of the Company’s annual consolidated financial statements for the year ended March 31, 2025, found on SEDAR+ at </w:t>
      </w:r>
      <w:r>
        <w:rPr>
          <w:rFonts w:ascii="Times New Roman" w:cs="Times New Roman" w:eastAsia="Times New Roman" w:hAnsi="Times New Roman"/>
          <w:sz w:val="20"/>
          <w:szCs w:val="20"/>
          <w:i w:val="1"/>
          <w:iCs w:val="1"/>
          <w:color w:val="auto"/>
        </w:rPr>
        <w:t>www.sedarplus.ca</w:t>
      </w:r>
      <w:r>
        <w:rPr>
          <w:rFonts w:ascii="Times New Roman" w:cs="Times New Roman" w:eastAsia="Times New Roman" w:hAnsi="Times New Roman"/>
          <w:sz w:val="20"/>
          <w:szCs w:val="20"/>
          <w:color w:val="auto"/>
        </w:rPr>
        <w:t>. This MD&amp;A should be read in conjunction with the Financial Statements. Other accounting standards or amendments to existing accounting standards that have been issued, but have future effective dates, are either not applicable or are not expected to have a significant impact on the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Disclosure Controls and Procedures</w:t>
      </w:r>
    </w:p>
    <w:p>
      <w:pPr>
        <w:spacing w:after="0" w:line="3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Management maintains appropriate information systems, procedures and controls to provide reasonable assurance that information that is publicly disclosed is complete, reliable and timely. The Chief Executive Officer (the “</w:t>
      </w:r>
      <w:r>
        <w:rPr>
          <w:rFonts w:ascii="Times New Roman" w:cs="Times New Roman" w:eastAsia="Times New Roman" w:hAnsi="Times New Roman"/>
          <w:sz w:val="20"/>
          <w:szCs w:val="20"/>
          <w:b w:val="1"/>
          <w:bCs w:val="1"/>
          <w:color w:val="auto"/>
        </w:rPr>
        <w:t>CEO</w:t>
      </w:r>
      <w:r>
        <w:rPr>
          <w:rFonts w:ascii="Times New Roman" w:cs="Times New Roman" w:eastAsia="Times New Roman" w:hAnsi="Times New Roman"/>
          <w:sz w:val="20"/>
          <w:szCs w:val="20"/>
          <w:color w:val="auto"/>
        </w:rPr>
        <w:t>”) and Chief Financial Officer (the “</w:t>
      </w:r>
      <w:r>
        <w:rPr>
          <w:rFonts w:ascii="Times New Roman" w:cs="Times New Roman" w:eastAsia="Times New Roman" w:hAnsi="Times New Roman"/>
          <w:sz w:val="20"/>
          <w:szCs w:val="20"/>
          <w:b w:val="1"/>
          <w:bCs w:val="1"/>
          <w:color w:val="auto"/>
        </w:rPr>
        <w:t>CFO</w:t>
      </w:r>
      <w:r>
        <w:rPr>
          <w:rFonts w:ascii="Times New Roman" w:cs="Times New Roman" w:eastAsia="Times New Roman" w:hAnsi="Times New Roman"/>
          <w:sz w:val="20"/>
          <w:szCs w:val="20"/>
          <w:color w:val="auto"/>
        </w:rPr>
        <w:t>”) of the Company, along with the assistance of senior management under their supervision, have designed disclosure controls and procedures to provide reasonable assurance that material information relating to the Company is made known to the CEO and CFO, and have designed internal controls over financial reporting to provide reasonable assurance regarding the reliability of financial reporting and the preparation of financial statements for external purposes in accordance with IFRS.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Internal Control Over Financial Reporting</w:t>
      </w:r>
    </w:p>
    <w:p>
      <w:pPr>
        <w:spacing w:after="0" w:line="2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Internal control over financial reporting is a process designed to provide reasonable assurance regarding the reliability of financial reporting and the preparation of financial statements for external purposes in accordance with applicable IFRS. Internal control over financial reporting should include those policies and procedures that establish the following:</w:t>
      </w:r>
    </w:p>
    <w:p>
      <w:pPr>
        <w:spacing w:after="0" w:line="195" w:lineRule="exact"/>
        <w:rPr>
          <w:sz w:val="20"/>
          <w:szCs w:val="20"/>
          <w:color w:val="auto"/>
        </w:rPr>
      </w:pPr>
    </w:p>
    <w:p>
      <w:pPr>
        <w:ind w:left="620" w:hanging="291"/>
        <w:spacing w:after="0"/>
        <w:tabs>
          <w:tab w:leader="none" w:pos="62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maintenance of records in reasonable detail, that accurately and fairly reflect the transactions and dispositions of assets;</w:t>
      </w:r>
    </w:p>
    <w:p>
      <w:pPr>
        <w:spacing w:after="0" w:line="52" w:lineRule="exact"/>
        <w:rPr>
          <w:rFonts w:ascii="Arial" w:cs="Arial" w:eastAsia="Arial" w:hAnsi="Arial"/>
          <w:sz w:val="20"/>
          <w:szCs w:val="20"/>
          <w:color w:val="auto"/>
        </w:rPr>
      </w:pPr>
    </w:p>
    <w:p>
      <w:pPr>
        <w:ind w:left="660" w:hanging="331"/>
        <w:spacing w:after="0" w:line="288" w:lineRule="auto"/>
        <w:tabs>
          <w:tab w:leader="none" w:pos="624"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reasonable assurance that transactions are recorded as necessary to permit preparation of financial statements in accordance with applicable IFRS;</w:t>
      </w:r>
    </w:p>
    <w:p>
      <w:pPr>
        <w:ind w:left="620" w:hanging="291"/>
        <w:spacing w:after="0"/>
        <w:tabs>
          <w:tab w:leader="none" w:pos="62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receipts and expenditures are only being made in accordance with authorizations of management or the Board; and</w:t>
      </w:r>
    </w:p>
    <w:p>
      <w:pPr>
        <w:spacing w:after="0" w:line="39" w:lineRule="exact"/>
        <w:rPr>
          <w:rFonts w:ascii="Arial" w:cs="Arial" w:eastAsia="Arial" w:hAnsi="Arial"/>
          <w:sz w:val="20"/>
          <w:szCs w:val="20"/>
          <w:color w:val="auto"/>
        </w:rPr>
      </w:pPr>
    </w:p>
    <w:p>
      <w:pPr>
        <w:ind w:left="660" w:right="20" w:hanging="331"/>
        <w:spacing w:after="0" w:line="310" w:lineRule="auto"/>
        <w:tabs>
          <w:tab w:leader="none" w:pos="624"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reasonable assurance regarding prevention or timely detection of unauthorized acquisition, use or disposition of the Company’s assets that could have a material effect on the financial instruments.</w:t>
      </w:r>
    </w:p>
    <w:p>
      <w:pPr>
        <w:spacing w:after="0" w:line="18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During the period ended September 30, 2025, the Company did not make any significant changes to its internal controls over financial reporting that would have materially affected, or reasonably likely to materially affect, its internal controls over financial reporting.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Limitations of Disclosure Controls and Procedures and Internal Control Over Financial Reporting</w:t>
      </w:r>
    </w:p>
    <w:p>
      <w:pPr>
        <w:spacing w:after="0" w:line="24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Company’s management, including the CEO and the CFO, believe that due to inherent limitations, any disclosure controls and procedures or internal control over financial reporting, no matter how well designed and operated, can provide only reasonable, not absolute, assurance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240"/>
          </w:cols>
          <w:pgMar w:left="320" w:top="1436" w:right="339" w:bottom="1440" w:gutter="0" w:footer="0" w:header="0"/>
        </w:sectPr>
      </w:pPr>
    </w:p>
    <w:bookmarkStart w:id="110" w:name="page111"/>
    <w:bookmarkEnd w:id="110"/>
    <w:p>
      <w:pPr>
        <w:spacing w:after="0" w:line="288" w:lineRule="auto"/>
        <w:rPr>
          <w:sz w:val="20"/>
          <w:szCs w:val="20"/>
          <w:color w:val="auto"/>
        </w:rPr>
      </w:pPr>
      <w:r>
        <w:rPr>
          <w:rFonts w:ascii="Times New Roman" w:cs="Times New Roman" w:eastAsia="Times New Roman" w:hAnsi="Times New Roman"/>
          <w:sz w:val="20"/>
          <w:szCs w:val="20"/>
          <w:color w:val="auto"/>
        </w:rPr>
        <w:t>achieving the desired control objectives. These inherent limitations include, among other items: (i) that management’s assumptions and judgments could ultimately prove to be incorrect under varying conditions and circumstances; (ii) the impact of any undetected errors; and</w:t>
      </w:r>
    </w:p>
    <w:p>
      <w:pPr>
        <w:spacing w:after="0" w:line="2" w:lineRule="exact"/>
        <w:rPr>
          <w:sz w:val="20"/>
          <w:szCs w:val="20"/>
          <w:color w:val="auto"/>
        </w:rPr>
      </w:pPr>
    </w:p>
    <w:p>
      <w:pPr>
        <w:jc w:val="both"/>
        <w:ind w:right="20" w:firstLine="8"/>
        <w:spacing w:after="0" w:line="288" w:lineRule="auto"/>
        <w:tabs>
          <w:tab w:leader="none" w:pos="373"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controls may be circumvented by the unauthorized acts of individuals, by collusion of two or more people, or by management override. Further, the design of a control system must reflect the fact that there are resource constraints, and the benefits of controls must be</w:t>
      </w:r>
    </w:p>
    <w:p>
      <w:pPr>
        <w:spacing w:after="0" w:line="1" w:lineRule="exact"/>
        <w:rPr>
          <w:rFonts w:ascii="Times New Roman" w:cs="Times New Roman" w:eastAsia="Times New Roman" w:hAnsi="Times New Roman"/>
          <w:sz w:val="20"/>
          <w:szCs w:val="20"/>
          <w:color w:val="auto"/>
        </w:rPr>
      </w:pPr>
    </w:p>
    <w:p>
      <w:pPr>
        <w:spacing w:after="0" w:line="3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considered relative to their costs. Accordingly, because of the inherent limitations in a cost effective control system, misstatements due to error or fraud may occur and not be detected.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New Accounting Standards and Interpretations Not Yet Adopted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IFRS 18, Presentation and Disclosure in Financial Statements</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In April 2024, the IASB issued IFRS 18 that will replace IAS 1, Presentation of Financial Statements. The new standard aims to improve the quality of financial reporting by: (i) requiring defined subtotals in the statement of profit or loss; (ii) requiring disclosure about management defined performance measures; and (iii) adding new principles for aggregation and disaggregation of information. The standard is effective for the annual reporting periods beginning on or after January 1, 2027, with early application permitted. The Company is in the process of assessing the impact of this new standard on its consolidated financial statements.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IFRS 9, Financial Instruments (“IFRS 9”) and IFRS 7, Financial Instruments: Disclosures (“IFRS 7”)</w:t>
      </w:r>
    </w:p>
    <w:p>
      <w:pPr>
        <w:spacing w:after="0" w:line="2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In May 2024, the IASB issued targeted amendments to IFRS 9 and IFRS 7 in response to practical implementation issues and to introduce new requirements applicable to both financial institutions and corporate entities. These amendments aim to enhance the clarity and consistency of financial reporting for various types of financial instruments and their related disclosures by (i) clarifying the date of recognition and derecognition for certain financial assets and liabilities, including a new exception for financial liabilities settled through an electronic cash transfer system (ii) providing help to determine whether a financial asset meets the Solely Payments of Principal and Interest criterion (iii) introducing new disclosures for instruments with contractual terms that may alter cash flows, such as financial instruments linked to the achievement of environmental, social, and governance targets, and (iv) updating the disclosure requirements for equity instruments designated at FVTOCI. The new standard will be effective for annual periods beginning on or after January 1, 2026. The Company is in the process of assessing the impact of the standard on the consolidated financial statements.</w:t>
      </w:r>
    </w:p>
    <w:p>
      <w:pPr>
        <w:spacing w:after="0" w:line="212"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All other IFRSs and amendments issued but not yet effective have been assessed by the Company and are not expected to have a material impact on the Company’s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Financial and Risk Management</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 xml:space="preserve">The Company is exposed to a variety of financial instrument related risks and is exposed to liquidity risk, credit risk, interest rate risk, foreign exchange risk, equity price risk, asset forfeiture risk and banking risk. Management, in conjunction with the Board, mitigates these risks by assessing, monitoring and approving the Company’s risk management processes. See note 13, </w:t>
      </w:r>
      <w:r>
        <w:rPr>
          <w:rFonts w:ascii="Times New Roman" w:cs="Times New Roman" w:eastAsia="Times New Roman" w:hAnsi="Times New Roman"/>
          <w:sz w:val="20"/>
          <w:szCs w:val="20"/>
          <w:i w:val="1"/>
          <w:iCs w:val="1"/>
          <w:color w:val="auto"/>
        </w:rPr>
        <w:t>Financial Instruments</w:t>
      </w:r>
      <w:r>
        <w:rPr>
          <w:rFonts w:ascii="Times New Roman" w:cs="Times New Roman" w:eastAsia="Times New Roman" w:hAnsi="Times New Roman"/>
          <w:sz w:val="20"/>
          <w:szCs w:val="20"/>
          <w:color w:val="auto"/>
        </w:rPr>
        <w:t xml:space="preserve"> in the Financial Statements for the Company’s financial instruments, financial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1240"/>
          </w:cols>
          <w:pgMar w:left="320" w:top="1440" w:right="339" w:bottom="1440" w:gutter="0" w:footer="0" w:header="0"/>
        </w:sectPr>
      </w:pPr>
    </w:p>
    <w:bookmarkStart w:id="111" w:name="page112"/>
    <w:bookmarkEnd w:id="111"/>
    <w:p>
      <w:pPr>
        <w:jc w:val="both"/>
        <w:spacing w:after="0" w:line="325" w:lineRule="auto"/>
        <w:rPr>
          <w:sz w:val="20"/>
          <w:szCs w:val="20"/>
          <w:color w:val="auto"/>
        </w:rPr>
      </w:pPr>
      <w:r>
        <w:rPr>
          <w:rFonts w:ascii="Times New Roman" w:cs="Times New Roman" w:eastAsia="Times New Roman" w:hAnsi="Times New Roman"/>
          <w:sz w:val="20"/>
          <w:szCs w:val="20"/>
          <w:color w:val="auto"/>
        </w:rPr>
        <w:t>factors, and other instruments. The Company’s financial risk activities are governed by the appropriate policy and procedures and financial risks are identified, measured and managed in accordance with the Company’s policies and risk appetite.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the Company noted the following risks specific to the psychedelic industry that it is exposed to:</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 Risk</w:t>
      </w:r>
    </w:p>
    <w:p>
      <w:pPr>
        <w:spacing w:after="0" w:line="26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Liquidity risk is the risk that the Company will not be able to meet its financial obligations as they fall due. The Company is a development stage company and is reliant on external fundraising to support its operations. Once funds have been raised, the Company manages liquidity risk by continuously monitoring actual and projected cash flows. The Board reviews and approves the Company’s operating and capital budgets, as well as any material transactions not in the ordinary course of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Regulatory Risk</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Regulatory risk pertains to the risk that the Company’s business objectives are contingent, in part, upon the compliance with regulatory requirements. Due to the nature of the industry, regulatory requirements can be more stringent than other industries and may also be punitive in nature. Any delays in obtaining, or failure to obtain regulatory approvals can significantly delay operational and product development and can have a material adverse effect on the Company’s business, results of operation, and financial condition.</w:t>
      </w:r>
    </w:p>
    <w:p>
      <w:pPr>
        <w:spacing w:after="0" w:line="20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routinely monitors regulatory changes occurring in the psychedelic industry at the city, state, and national levels. Although the general regulatory outlook for the psychedelic industry has been moving in a positive direction, unforeseen regulatory changes could have a material adverse effect on the business as a whole.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Currency Risk</w:t>
      </w:r>
    </w:p>
    <w:p>
      <w:pPr>
        <w:spacing w:after="0" w:line="2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is exposed to currency risk related to the fluctuation of foreign exchange rates and the degree of volatility of those rates. Currency risk is limited to the portion of the Company’s business transactions and balances denominated in currencies other than the United States dollar.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Subsequent Events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Restricted share units</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October 1, 2025, the Company granted a total of 600,000 RSUs to certain directors and officers under its equity incentive plan. The RSUs were granted at no cost to the recipients and are subject to varying vesting conditions as follows; 100,000 fully vest on November 20, 2025, and 500,000 vest in twelve equal installments over three years, subject to continued engagement or employment. Each RSU entitles the holder to receive one Common Share upon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240"/>
          </w:cols>
          <w:pgMar w:left="320" w:top="1440" w:right="339" w:bottom="1440" w:gutter="0" w:footer="0" w:header="0"/>
        </w:sectPr>
      </w:pPr>
    </w:p>
    <w:bookmarkStart w:id="112" w:name="page113"/>
    <w:bookmarkEnd w:id="112"/>
    <w:p>
      <w:pPr>
        <w:jc w:val="both"/>
        <w:spacing w:after="0" w:line="296" w:lineRule="auto"/>
        <w:rPr>
          <w:sz w:val="20"/>
          <w:szCs w:val="20"/>
          <w:color w:val="auto"/>
        </w:rPr>
      </w:pPr>
      <w:r>
        <w:rPr>
          <w:rFonts w:ascii="Times New Roman" w:cs="Times New Roman" w:eastAsia="Times New Roman" w:hAnsi="Times New Roman"/>
          <w:sz w:val="20"/>
          <w:szCs w:val="20"/>
          <w:color w:val="auto"/>
        </w:rPr>
        <w:t>On November 3, 2025, the Company granted a total of 3,564,440 RSUs to certain directors and officers of the Company under its equity incentive plan. The RSUs were granted on the basis of the officers achieving certain performance conditions on October 31, 2025. The RSUs were granted at no cost to the recipients and vest in three equal tranches on the first, second, and third anniversary of the grant date, subject to acceleration upon satisfaction of certain performance-related conditions or other customary events.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Grant of stock options</w:t>
      </w:r>
    </w:p>
    <w:p>
      <w:pPr>
        <w:spacing w:after="0" w:line="247"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On October 1, 2025, the Company granted 200,000 options to purchase up to 200,000 Common Shares to consultants of the Company. The options have an exercise price of CAD 8.39 per Common Share, expire on October 1, 2035 and vest over two years.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Convertible Debentures</w:t>
      </w:r>
    </w:p>
    <w:p>
      <w:pPr>
        <w:spacing w:after="0" w:line="26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During the period from October 1, 2025 to October 20, 2025, High Trail converted $9,100 of the Convertible Debentures into 1,515,301 Common Shares at an average conversion price of $6.01 representing the VWAP of the Common Shares for the five trading days immediately prior to each conversion. November 3, 2025, the Company repaid the remaining balance outstanding of $20,150 and incurred early repayment fees of $2,615 resulting in a total cash repayment of $22,765. The Company accounted for the repayment as an extinguishment of the remaining Convertible Debentures under IFRS 9, derecognizing the liability in full.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Financing</w:t>
      </w:r>
    </w:p>
    <w:p>
      <w:pPr>
        <w:spacing w:after="0" w:line="24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On October 31, 2025, the Company completed a registered direct offering of 22,277,750 Common Shares and, in lieu of Common Shares to certain investors, 4,605,500 pre-funded Common Share purchase warrants (the "</w:t>
      </w:r>
      <w:r>
        <w:rPr>
          <w:rFonts w:ascii="Times New Roman" w:cs="Times New Roman" w:eastAsia="Times New Roman" w:hAnsi="Times New Roman"/>
          <w:sz w:val="20"/>
          <w:szCs w:val="20"/>
          <w:b w:val="1"/>
          <w:bCs w:val="1"/>
          <w:color w:val="auto"/>
        </w:rPr>
        <w:t>Pre-Funded Warrant</w:t>
      </w:r>
      <w:r>
        <w:rPr>
          <w:rFonts w:ascii="Times New Roman" w:cs="Times New Roman" w:eastAsia="Times New Roman" w:hAnsi="Times New Roman"/>
          <w:sz w:val="20"/>
          <w:szCs w:val="20"/>
          <w:color w:val="auto"/>
        </w:rPr>
        <w:t>") at a price of $6.51 per Common Share or Pre-Funded Warrant for aggregate gross proceeds of approximately $175,010 (the “</w:t>
      </w:r>
      <w:r>
        <w:rPr>
          <w:rFonts w:ascii="Times New Roman" w:cs="Times New Roman" w:eastAsia="Times New Roman" w:hAnsi="Times New Roman"/>
          <w:sz w:val="20"/>
          <w:szCs w:val="20"/>
          <w:b w:val="1"/>
          <w:bCs w:val="1"/>
          <w:color w:val="auto"/>
        </w:rPr>
        <w:t>Registered Direct Offering</w:t>
      </w:r>
      <w:r>
        <w:rPr>
          <w:rFonts w:ascii="Times New Roman" w:cs="Times New Roman" w:eastAsia="Times New Roman" w:hAnsi="Times New Roman"/>
          <w:sz w:val="20"/>
          <w:szCs w:val="20"/>
          <w:color w:val="auto"/>
        </w:rPr>
        <w:t>”).</w:t>
      </w:r>
    </w:p>
    <w:p>
      <w:pPr>
        <w:spacing w:after="0" w:line="195"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Each Pre-Funded Warrant entitles the holder thereof to acquire one Common Share at a nominal exercise price. The Pre-Funded Warrants do not expire.</w:t>
      </w:r>
    </w:p>
    <w:p>
      <w:pPr>
        <w:spacing w:after="0" w:line="17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 xml:space="preserve">Each Common Share and each Pre-Funded Warrant is accompanied by 0.35 of one Common Share purchase warrant (each whole warrant, a “Warrant” and together with the Common Shares and Pre-Funded Warrants, the “ </w:t>
      </w:r>
      <w:r>
        <w:rPr>
          <w:rFonts w:ascii="Times New Roman" w:cs="Times New Roman" w:eastAsia="Times New Roman" w:hAnsi="Times New Roman"/>
          <w:sz w:val="20"/>
          <w:szCs w:val="20"/>
          <w:b w:val="1"/>
          <w:bCs w:val="1"/>
          <w:color w:val="auto"/>
        </w:rPr>
        <w:t>Offered Securities</w:t>
      </w:r>
      <w:r>
        <w:rPr>
          <w:rFonts w:ascii="Times New Roman" w:cs="Times New Roman" w:eastAsia="Times New Roman" w:hAnsi="Times New Roman"/>
          <w:sz w:val="20"/>
          <w:szCs w:val="20"/>
          <w:color w:val="auto"/>
        </w:rPr>
        <w:t>”). Each Warrant is exercisable to acquire one Common Share at a price of $8.14 per Common Share at any time prior to the earlier of: (i) June 30, 2027; (ii) thirty days following the publication by press release of topline data for the APPROACH trial of CYB003 in major depressive disorder; and (iii) thirty days following the date a press release is issued by the Company announcing exercise of its acceleration right, which right can only be exercised if the closing price of the Common Share on NYSE American is equal to or exceeds $19.53 per Common Share for any five consecutive trading days. The Company used a portion of the net proceeds from the Registered Direct Offering to repay the outstanding Convertible Debentures, and intends to use the remaining net proceeds to progress the Company’s CYB003, CYB004, and CYB005 programs, and for working capital and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240"/>
          </w:cols>
          <w:pgMar w:left="320" w:top="1440"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0"/>
          <w:szCs w:val="20"/>
          <w:b w:val="1"/>
          <w:bCs w:val="1"/>
          <w:color w:val="auto"/>
        </w:rPr>
        <w:t>RISK FACTORS</w:t>
      </w:r>
    </w:p>
    <w:p>
      <w:pPr>
        <w:spacing w:after="0" w:line="27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In addition to the risks described herein, reference is made to the section entitled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in the AIF, which is incorporated herein by reference. The risks described herein are not the only risks faced by the Company and securityholders of the Company. Additional risks and uncertainties not currently known to the Company, or that the Company currently deems immaterial, may also materially and adversely affect its business. The business, financial condition, revenues or profitability of the Company could be materially adversely affected by any of the risks set forth in this MD&amp;A. The trading price of the Common Shares could decline due to any of these risks and investors could lose all or part of their investment. This MD&amp;A contains forward-looking statements that involve risks and uncertainties. The Company’s actual results could differ materially from those anticipated in these forward-looking statements as a result of certain factors, including the risks faced by the Company described below and elsewhere in this MD&amp;A. No inference should be drawn, nor should an investor place undue importance on, the risk factors that are included in this MD&amp;A as compared to those included in other documents publicly filed by the Company, as all risk factors are important and should be carefully considered by a potential investor.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Related to the Company’s Business and Industry</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Limited Operating History</w:t>
      </w:r>
    </w:p>
    <w:p>
      <w:pPr>
        <w:spacing w:after="0" w:line="28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Common Shares commenced trading on Cboe Canada on November 10, 2020 on a post-Reverse Takeover basis and therefore the Company has a limited operating history as a public company. To operate effectively, the Company will be required to continue to implement changes in certain aspects of its business, improve information systems and develop, manage and train management-level and other employees to comply with ongoing public company requirements. Failure to take such actions, or delay in implementation thereof, could adversely affect the business, financial condition, liquidity and results of operations of the Company and, more specifically, could result in regulatory penalties, market criticism or the imposition of cease trade orders in respect of the Common Shares.</w:t>
      </w:r>
    </w:p>
    <w:p>
      <w:pPr>
        <w:spacing w:after="0" w:line="20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 will be subject to all of the business risks and uncertainties associated with any new business enterprise, including the risk that it will not achieve its operating goals. In order for the Company to meet future operating and debt service requirements, it will need to be successful in its growth, marketing and sales efforts. Additionally, where the Company experiences increased production and future sales, its current operational infrastructure may require changes to scale its business efficiently and effectively to keep pace with demand and achieve long-term profitability. If the Company’s products and services are not accepted by new customers, the Company’s operating results may be materially and adversely affected.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Achieving Publicly Announced Milestones</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From time to time, the Company may announce the timing of certain events it expects to occur, such as the anticipated timing of results from clinical trials. These statements are forward-looking and are based on the best estimates of management at the time relating to the occurrence of such events. However, the actual timing of such events may differ from what has been publicly disclosed. The timing of events such as initiation or completion of a clinical trial, filing of an application to obtain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1240"/>
          </w:cols>
          <w:pgMar w:left="320" w:top="1436" w:right="339" w:bottom="1440" w:gutter="0" w:footer="0" w:header="0"/>
        </w:sectPr>
      </w:pPr>
    </w:p>
    <w:bookmarkStart w:id="114" w:name="page115"/>
    <w:bookmarkEnd w:id="114"/>
    <w:p>
      <w:pPr>
        <w:jc w:val="both"/>
        <w:spacing w:after="0" w:line="296" w:lineRule="auto"/>
        <w:rPr>
          <w:sz w:val="20"/>
          <w:szCs w:val="20"/>
          <w:color w:val="auto"/>
        </w:rPr>
      </w:pPr>
      <w:r>
        <w:rPr>
          <w:rFonts w:ascii="Times New Roman" w:cs="Times New Roman" w:eastAsia="Times New Roman" w:hAnsi="Times New Roman"/>
          <w:sz w:val="20"/>
          <w:szCs w:val="20"/>
          <w:color w:val="auto"/>
        </w:rPr>
        <w:t>regulatory approval, or announcement of additional clinical trials for a prescription drug product candidate may ultimately vary from what is publicly disclosed. See “Commercial Scale Product Manufacturing”, “Safety and Efficacy of Products”, “Clinical Testing and Commercializing Product Candidates”, “Completion of Clinical Trials”, and “Nature of Regulatory Approvals” as discussed under this heading “Risk Factors” for further disclosure of risks and events that may affect the timing of certain events the Company may announce.</w:t>
      </w:r>
    </w:p>
    <w:p>
      <w:pPr>
        <w:spacing w:after="0" w:line="21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undertakes no obligation to update or revise any forward-looking information or statements, whether as a result of new information, future events or otherwise, except as otherwise required by-law. Any variation in the timing of previously announced milestones could have a material adverse effect on the Company’s business plan, financial condition or operating results and the trading price of the Common Shares.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Speculative Nature of Investment Risk</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An investment in the securities of the Company carries a high degree of risk and should be considered as a speculative investment. The Company has no history of earnings, limited cash reserves, limited operating history, has not paid dividends, and is unlikely to pay dividends in the immediate or near future.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Early Stage of the Industry and Product Development</w:t>
      </w:r>
    </w:p>
    <w:p>
      <w:pPr>
        <w:spacing w:after="0" w:line="28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Given the early stage of its prescription drug product development, the Company can make no assurance that its research and development programs will result in regulatory approval or commercially viable products. To achieve profitable operations, the Company, alone or with others, must successfully develop, gain regulatory approval for, and market its future products. The Company currently has no products that have been approved by Health Canada, the FDA, the MHRA, the EMA, the Pharmaceutical Drugs Directorate (formerly the Therapeutic Drugs Directorate) (the “</w:t>
      </w:r>
      <w:r>
        <w:rPr>
          <w:rFonts w:ascii="Times New Roman" w:cs="Times New Roman" w:eastAsia="Times New Roman" w:hAnsi="Times New Roman"/>
          <w:sz w:val="20"/>
          <w:szCs w:val="20"/>
          <w:b w:val="1"/>
          <w:bCs w:val="1"/>
          <w:color w:val="auto"/>
        </w:rPr>
        <w:t>PDD</w:t>
      </w:r>
      <w:r>
        <w:rPr>
          <w:rFonts w:ascii="Times New Roman" w:cs="Times New Roman" w:eastAsia="Times New Roman" w:hAnsi="Times New Roman"/>
          <w:sz w:val="20"/>
          <w:szCs w:val="20"/>
          <w:color w:val="auto"/>
        </w:rPr>
        <w:t>”) or any similar regulatory authority. To obtain regulatory approvals for its prescription drug product candidates being developed and to achieve commercial success, clinical trials must demonstrate that the prescription drug product candidates are safe for human use and that they demonstrate efficacy.</w:t>
      </w:r>
    </w:p>
    <w:p>
      <w:pPr>
        <w:spacing w:after="0" w:line="22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Many prescription drug product candidates never reach the stage of clinical testing and even those that do have only a small chance of successfully completing clinical development and gaining regulatory approval. Prescription drug product candidates can fail for a number of reasons, including, but not limited to, being unsafe for human use or due to the failure to provide therapeutic benefits equal to or better than the current standard of treatment at the time of testing. Unsatisfactory results obtained from a particular study relating to a research and development program may cause the Company or its collaborators to abandon commitments to that program. Positive results of early preclinical research may not be indicative of the results that will be obtained in later stages of preclinical or clinical research. Similarly, positive results from early-stage clinical trials may not be indicative of favourable outcomes in later-stage clinical trials, and the Company can make no assurance that any future studies, if undertaken, will yield favourable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240"/>
          </w:cols>
          <w:pgMar w:left="320" w:top="1440" w:right="339" w:bottom="1440" w:gutter="0" w:footer="0" w:header="0"/>
        </w:sectPr>
      </w:pPr>
    </w:p>
    <w:bookmarkStart w:id="115" w:name="page116"/>
    <w:bookmarkEnd w:id="115"/>
    <w:p>
      <w:pPr>
        <w:jc w:val="both"/>
        <w:spacing w:after="0" w:line="292" w:lineRule="auto"/>
        <w:rPr>
          <w:sz w:val="20"/>
          <w:szCs w:val="20"/>
          <w:color w:val="auto"/>
        </w:rPr>
      </w:pPr>
      <w:r>
        <w:rPr>
          <w:rFonts w:ascii="Times New Roman" w:cs="Times New Roman" w:eastAsia="Times New Roman" w:hAnsi="Times New Roman"/>
          <w:sz w:val="20"/>
          <w:szCs w:val="20"/>
          <w:color w:val="auto"/>
        </w:rPr>
        <w:t>The early stage of the Company’s product development makes it particularly uncertain whether any of its product development efforts will prove to be successful and meet applicable regulatory requirements, and whether any of its prescription drug product candidates will receive the requisite regulatory approvals, be capable of being manufactured at a reasonable cost or be successfully marketed. If the Company is successful in developing its current and future prescription drug product candidates into approved products, it will still experience many potential obstacles, which would affect its ability to successfully market and commercialize such approved products, such as the need to develop or obtain manufacturing, marketing and distribution capabilities, price pressures from third-party payors, or proposed changes in health care systems. If the Company is unable to successfully market and commercialize any of its products, its financial condition and results of operations may be materially and adversely affected.</w:t>
      </w:r>
    </w:p>
    <w:p>
      <w:pPr>
        <w:spacing w:after="0" w:line="20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The Company can make no assurance that any future studies, if undertaken, will yield favorable results. Many companies in the pharmaceutical and biotechnology industries have suffered significant setbacks in later-stage clinical trials after achieving positive results in early-stage development, and the Company cannot be certain that it will not face similar setbacks. These setbacks have been caused by, among other things, preclinical findings made while clinical trials were underway or safety or efficacy observations made in clinical trials, including previously unreported adverse events or latent defects in the manufactured drug product or the formulation or stability thereof. Moreover, preclinical and clinical data are often susceptible to varying interpretations and analyses, and many companies that believed their prescription drug product candidates performed satisfactorily in preclinical studies and clinical trials nonetheless failed to obtain Health Canada, FDA or EMA approval. If the Company fails to produce positive results in future clinical trials and other programs, the development timeline and regulatory approval and commercialization prospects for the Company’s leading prescription drug product candidates, and, correspondingly, its business and financial prospects, would be materially adversely affected.</w:t>
      </w:r>
    </w:p>
    <w:p>
      <w:pPr>
        <w:spacing w:after="0" w:line="20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Preclinical testing and clinical trials for the Company’s products may not achieve the desired results. The results of preclinical testing and clinical trials are uncertain. Product approvals are subject to a number of contingencies and may not be obtained in the time expected or at all. The Company’s products may not attract a following among patients, retailers and/or providers. The Company expects to face an inherent risk of exposure to product liability claims, regulatory action and litigation if the products it plans to distribute are alleged to have caused loss or injury. There can be no assurance that the Company will be able to obtain or maintain product liability insurance on acceptable terms or with adequate coverage against potential liabilities.</w:t>
      </w:r>
    </w:p>
    <w:p>
      <w:pPr>
        <w:spacing w:after="0" w:line="20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 xml:space="preserve">The Company’s business relies on its ability to access, develop, and sell deuterated psilocin, DMT-based compounds and other psychedelic compounds. Psilocybin, psilocin, DMT-based compounds and other psychedelic compounds are controlled substances in many jurisdictions, including in Canada under Schedule III of the </w:t>
      </w:r>
      <w:r>
        <w:rPr>
          <w:rFonts w:ascii="Times New Roman" w:cs="Times New Roman" w:eastAsia="Times New Roman" w:hAnsi="Times New Roman"/>
          <w:sz w:val="20"/>
          <w:szCs w:val="20"/>
          <w:i w:val="1"/>
          <w:iCs w:val="1"/>
          <w:color w:val="auto"/>
        </w:rPr>
        <w:t>Controlled Drugs and Substances Act</w:t>
      </w:r>
      <w:r>
        <w:rPr>
          <w:rFonts w:ascii="Times New Roman" w:cs="Times New Roman" w:eastAsia="Times New Roman" w:hAnsi="Times New Roman"/>
          <w:sz w:val="20"/>
          <w:szCs w:val="20"/>
          <w:color w:val="auto"/>
        </w:rPr>
        <w:t xml:space="preserve"> and in the United States. The Company may face difficulty accessing the public capital markets in Canada as a result of the response of regulators, stock exchanges, and other market participants to the Company’s development and sale of a controlled substance. The Company may also have limited access to traditional banking services, as well as limited access to debt financing from traditional institutional lenders. The medical efficacy of psilocybin, deuterated psilocin, DMT-based compounds and other psychedelic compounds has not been confirmed and requires further study and scientific rigour.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Regulatory Risks and Uncertainties</w:t>
      </w:r>
    </w:p>
    <w:p>
      <w:pPr>
        <w:spacing w:after="0" w:line="2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color w:val="auto"/>
        </w:rPr>
        <w:t>In Canada, certain psychedelic drugs, including psilocybin/psilocin, are classified as Schedule III drugs under the CDSA and as such, medical and recreational use is illegal under Canadian federal laws. In the United States, certain psychedelic drugs, including psilocybin, psilocin, DMT, and 5-Methoxy-DMT, 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DMT and psilocin as a Schedule I substance under the UN 71 and, as such, a licence is required to produce, dispense, import or export any Schedule I substances, but the specific requirements vary from country to country. Currently in the Netherlands, DMT is classified as a List 1 Drug under the Dutch Opium Act and, as such, subject to express authorization being obtained, the production, trade and possession of DMT are prohibited. In the United Kingdom, psilocin and DMT are controlled as a Class A drug under the MDA and Schedule 1 drug under the MDR. Schedule 1 drugs can only be lawfully manufactured, produced, possessed and supplied under a controlled drugs domestic licence issued by the UK Home Office.</w:t>
      </w:r>
    </w:p>
    <w:p>
      <w:pPr>
        <w:spacing w:after="0" w:line="23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There is no guarantee that psychedelic drugs or psychedelic inspired drugs will ever be approved as medicines in any jurisdiction in which the Company operates. All activities involving such substances by or on behalf of the Company are conducted in accordance with applicable federal, provincial, state and local laws. Further, all facilities engaged with such substances by or on behalf of the Company do so under current licences and permits issued by appropriate federal, provincial and local governmental agencies. While the Company is focused on programs using psychedelic inspired compounds, the Company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Company is involved in may change in ways currently unforeseen. Any amendment to or replacement of existing laws or regulations, including the classification or re-classification of the substances the Company is developing or working with, which are matters beyond the Company’s control, may cause the Company’s business, financial condition, results of operations and prospects to be adversely affected or may cause the Company to incur significant costs in complying with such changes or it may be unable to comply therewith. A violation of any applicable laws and regulations of the jurisdictions in which the Company operates could result in significant fines, penalties, administrative sanctions, convictions or settlements arising from civil proceedings initiated by either government entities in the jurisdictions in which the Company operates, or private citizens or criminal charges.</w:t>
      </w:r>
    </w:p>
    <w:p>
      <w:pPr>
        <w:spacing w:after="0" w:line="213"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The loss of the necessary licences and permits for any of the above scheduled drugs could have an adverse effect on the Company’s operations.</w:t>
      </w:r>
    </w:p>
    <w:p>
      <w:pPr>
        <w:spacing w:after="0" w:line="17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psychedelic drug industry is a fairly new industry and the Company cannot predict the impact of the ever-evolving compliance regime in respect of this industry. Similarly, the Company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240"/>
          </w:cols>
          <w:pgMar w:left="320" w:top="1440" w:right="339" w:bottom="1440" w:gutter="0" w:footer="0" w:header="0"/>
        </w:sectPr>
      </w:pPr>
    </w:p>
    <w:bookmarkStart w:id="117" w:name="page118"/>
    <w:bookmarkEnd w:id="117"/>
    <w:p>
      <w:pPr>
        <w:jc w:val="both"/>
        <w:spacing w:after="0" w:line="325" w:lineRule="auto"/>
        <w:rPr>
          <w:sz w:val="20"/>
          <w:szCs w:val="20"/>
          <w:color w:val="auto"/>
        </w:rPr>
      </w:pPr>
      <w:r>
        <w:rPr>
          <w:rFonts w:ascii="Times New Roman" w:cs="Times New Roman" w:eastAsia="Times New Roman" w:hAnsi="Times New Roman"/>
          <w:sz w:val="20"/>
          <w:szCs w:val="20"/>
          <w:color w:val="auto"/>
        </w:rPr>
        <w:t>approvals may significantly delay or impact the development of markets, its business and products, and sales initiatives and could have a material adverse effect on the business, financial condition and operating results of the Company.</w:t>
      </w:r>
    </w:p>
    <w:p>
      <w:pPr>
        <w:spacing w:after="0" w:line="17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success of the Company’s business is dependent on the reform of controlled substances laws pertaining to deuterated psilocin and deuterated DMT. If controlled substances laws are not favourably reformed in the United States, the UK, the EU, and other global jurisdictions, the commercial opportunity that the Company is pursuing may be highly limited.</w:t>
      </w:r>
    </w:p>
    <w:p>
      <w:pPr>
        <w:spacing w:after="0" w:line="19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Company makes no medical, treatment or health benefit claims about the Company’s proposed products. The FDA, Health Canada, the EMA or other similar regulatory authorities have not evaluated claims regarding deuterated psilocin, deuterated DMT, psilocybin, DMT, psilocybin analogues, or other psychedelic compounds. The efficacy of such 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Company is currently conducting clinical trials for the use of its proposed products. Any references to quality, consistency, efficacy and safety of potential products do not imply that the Company verified such in clinical trials or that the Company will complete such trials. If the Company cannot obtain the approvals or research necessary to commercialize its business, it may have a material adverse effect on the Company’s performance and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of Operating in Australia and European Countries</w:t>
      </w:r>
    </w:p>
    <w:p>
      <w:pPr>
        <w:spacing w:after="0" w:line="28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color w:val="auto"/>
        </w:rPr>
        <w:t>The Company is subject to additional risks related to operating in Australia and certain countries in Europe including: (i) differing regulatory requirements in Australia and Europe; (ii) unexpected changes in price and exchange controls and other regulatory requirements; (iii) increased difficulties in managing the logistics and transportation of collecting and shipping patient material; (iv) import and export requirements and restrictions; (v) compliance with tax, employment, immigration and labour laws for employees living or traveling abroad;</w:t>
      </w:r>
    </w:p>
    <w:p>
      <w:pPr>
        <w:spacing w:after="0" w:line="1" w:lineRule="exact"/>
        <w:rPr>
          <w:sz w:val="20"/>
          <w:szCs w:val="20"/>
          <w:color w:val="auto"/>
        </w:rPr>
      </w:pPr>
    </w:p>
    <w:p>
      <w:pPr>
        <w:ind w:left="380" w:hanging="372"/>
        <w:spacing w:after="0"/>
        <w:tabs>
          <w:tab w:leader="none" w:pos="3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taxes, including withholding of payroll taxes; (vii) foreign currency fluctuations, which could result in increased operating</w:t>
      </w:r>
    </w:p>
    <w:p>
      <w:pPr>
        <w:spacing w:after="0" w:line="53" w:lineRule="exact"/>
        <w:rPr>
          <w:rFonts w:ascii="Times New Roman" w:cs="Times New Roman" w:eastAsia="Times New Roman" w:hAnsi="Times New Roman"/>
          <w:sz w:val="20"/>
          <w:szCs w:val="20"/>
          <w:color w:val="auto"/>
        </w:rPr>
      </w:pPr>
    </w:p>
    <w:p>
      <w:pPr>
        <w:jc w:val="both"/>
        <w:spacing w:after="0" w:line="304"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expenses, and other obligations incident to doing business in another country; (viii) difficulties staffing and managing foreign operations; (ix) potential liability under the Corruption of Foreign Public Officials Act of Canada or comparable foreign regulations; (x) challenges enforcing</w:t>
      </w:r>
    </w:p>
    <w:p>
      <w:pPr>
        <w:jc w:val="both"/>
        <w:spacing w:after="0" w:line="318"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its contractual and intellectual property rights, especially in Australia and those European countries that do not respect and protect intellectual property rights to the same extent as Canada or the United States; (xi) production shortages resulting from any events affecting raw material supply or manufacturing capabilities abroad; and (xii) business interruptions resulting from geo-political actions, including war and terrorism.</w:t>
      </w:r>
    </w:p>
    <w:p>
      <w:pPr>
        <w:spacing w:after="0" w:line="198" w:lineRule="exact"/>
        <w:rPr>
          <w:sz w:val="20"/>
          <w:szCs w:val="20"/>
          <w:color w:val="auto"/>
        </w:rPr>
      </w:pPr>
    </w:p>
    <w:p>
      <w:pPr>
        <w:spacing w:after="0" w:line="311" w:lineRule="auto"/>
        <w:rPr>
          <w:sz w:val="20"/>
          <w:szCs w:val="20"/>
          <w:color w:val="auto"/>
        </w:rPr>
      </w:pPr>
      <w:r>
        <w:rPr>
          <w:rFonts w:ascii="Times New Roman" w:cs="Times New Roman" w:eastAsia="Times New Roman" w:hAnsi="Times New Roman"/>
          <w:sz w:val="20"/>
          <w:szCs w:val="20"/>
          <w:color w:val="auto"/>
        </w:rPr>
        <w:t>These and other risks associated with the Company’s international operations may materially adversely affect its ability to attain or maintain profitable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240"/>
          </w:cols>
          <w:pgMar w:left="320" w:top="1440"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Private Issuer” Status Under the U.S. Securities Laws</w:t>
      </w:r>
    </w:p>
    <w:p>
      <w:pPr>
        <w:spacing w:after="0" w:line="2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0"/>
          <w:szCs w:val="20"/>
          <w:color w:val="auto"/>
        </w:rPr>
        <w:t>The Company is a “foreign private issuer”, under applicable U.S. federal securities laws, and is, therefore, not subject to the same requirements that are imposed upon U.S. domestic issuers by the Securities and Exchange Commission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Under the Exchange Act, the Company is subject to reporting obligations that, in certain respects, are less detailed and less frequent than those of U.S. domestic reporting companies. As a result, the Company does not file the same reports that a U.S. domestic issuer would file with the SEC, although the Company is required to file with or furnish to the SEC the continuous disclosure documents that it is required to file in Canada under Canadian securities laws. In addition, the Company’s officers, directors, and principal shareholders are exempt from the reporting and short-swing profit recovery provisions of Section 16 of the Exchange Act. Therefore, the Company’s shareholders may not know on as timely a basis when the Company’s officers, directors and principal shareholders purchase or sell Common Shares, as the reporting periods under the corresponding Canadian insider reporting requirements are longer.</w:t>
      </w:r>
    </w:p>
    <w:p>
      <w:pPr>
        <w:spacing w:after="0" w:line="21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color w:val="auto"/>
        </w:rPr>
        <w:t>As a foreign private issuer, the Company is exempt from the rules and regulations under the Exchange Act related to the furnishing and content of proxy statements. The Company is also exempt from Regulation FD, which prohibits issuers from making selective disclosures of material non-public information. While the Company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Company may not be required under the Exchange Act to file annual and quarterly reports with the SEC as promptly as U.S. domestic companies whose securities are registered under the Exchange Act.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Plans for Growth</w:t>
      </w:r>
    </w:p>
    <w:p>
      <w:pPr>
        <w:spacing w:after="0" w:line="24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The Company intends to continue to advance its research and development programs and operations over the next 12 to 24 months. This advancement will place a significant strain on the Company’s management systems and resources. The Company may not be able to implement its business strategy in a rapidly evolving market. In particular, the Company may be required to manage multiple relationships with various strategic industry participants and other third parties, which relationships could be strained. Similarly, an increase in the number of third-party relationships the Company has, may lead to management of the Company being unable to manage growth effectively. The occurrence of such events may result in the Company being unable to successfully identify, manage and exploit existing and potential market opportunities.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Limited Products</w:t>
      </w:r>
    </w:p>
    <w:p>
      <w:pPr>
        <w:spacing w:after="0" w:line="287"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The Company will be heavily reliant on the production and distribution of psychedelics and related products. If they do not achieve sufficient market acceptance, it will be difficult for the Company to achieve profitability.</w:t>
      </w:r>
    </w:p>
    <w:p>
      <w:pPr>
        <w:spacing w:after="0" w:line="17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Company’s revenue will be derived almost exclusively from sales of psychedelic pharmaceutical products, and the Company expects that its psychedelic pharmaceutical products will account for substantially all of its revenue for the foreseeable future. If the psychedelic pharmaceutical market declines or psychedelics fail to achieve substantially greater market acceptance than it currently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240"/>
          </w:cols>
          <w:pgMar w:left="320" w:top="1436"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color w:val="auto"/>
        </w:rPr>
        <w:t>enjoys, the Company will not be able to grow its revenues sufficiently for it to achieve consistent profitability.</w:t>
      </w:r>
    </w:p>
    <w:p>
      <w:pPr>
        <w:spacing w:after="0" w:line="29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Even if products to be distributed by the Company conform to international safety and quality standards, sales could be adversely affected if consumers in target markets lose confidence in the safety, efficacy, and quality of psychedelic pharmaceutical products. Adverse publicity about psychedelic pharmaceutical products that the Company sells may discourage consumers from buying products distributed by the 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Limited Marketing and Sales Capabilities</w:t>
      </w:r>
    </w:p>
    <w:p>
      <w:pPr>
        <w:spacing w:after="0" w:line="287"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9"/>
          <w:szCs w:val="19"/>
          <w:color w:val="auto"/>
        </w:rPr>
        <w:t>The Company will, for the immediate future, have limited marketing and sales capabilities, and there can be no assurance that it will be able to develop or acquire these capabilities at the level needed to produce and deliver for sale, through industry partners, its products in sufficient commercial quantities. Further, there can be no assurance that the Company, either on its own or through arrangements with other industry participants, will be able to develop or acquire such capabilities on a cost-effective basis, or at all. Finally, there can be no assurance that the Company’s industry partners will be able to market or sell the Company’s products in compliance with requisite regulatory protocols or on a cost-effective basis. The Company’s dependence upon third parties for the production, and marketing or sale, as applicable, of the Company’s products could have a material adverse effect on the Company’s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 Assurance of Commercial Success</w:t>
      </w:r>
    </w:p>
    <w:p>
      <w:pPr>
        <w:spacing w:after="0" w:line="287"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9"/>
          <w:szCs w:val="19"/>
          <w:color w:val="auto"/>
        </w:rPr>
        <w:t>The successful commercialization of the Company’s products will depend on many factors, including, the Company’s ability to establish and maintain working partnerships with industry participants in order to market its products, the Company’s ability to supply a sufficient amount of its products to meet market demand, and the number of competitors within each jurisdiction within which the Company may from time to time be engaged. There can be no assurance that the Company or its industry partners will be successful in their respective efforts to develop and implement, or assist the Company in developing and implementing, a commercialization strategy for the Company’s products.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 Profits or Significant Revenues</w:t>
      </w:r>
    </w:p>
    <w:p>
      <w:pPr>
        <w:spacing w:after="0" w:line="30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 has no history upon which to evaluate its performance and future prospects. The Company’s proposed operations are subject to all the business risks associated with new enterprises. These include likely fluctuations in operating results as the Company makes significant investments in research, development and product opportunities, and reacts to developments in its market, including purchasing patterns of customers, and the entry of competitors into the market. The Company will only be able to pay dividends on any shares once its directors determine that it is financially able to do so. The Company cannot make any assurance that it will be profitable in the next three years or generate sufficient revenues to pay dividends to the holders of the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240"/>
          </w:cols>
          <w:pgMar w:left="320" w:top="1440"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0"/>
          <w:szCs w:val="20"/>
          <w:b w:val="1"/>
          <w:bCs w:val="1"/>
          <w:i w:val="1"/>
          <w:iCs w:val="1"/>
          <w:color w:val="auto"/>
        </w:rPr>
        <w:t>Reliance on Third Parties for Clinical Development Activities</w:t>
      </w:r>
    </w:p>
    <w:p>
      <w:pPr>
        <w:spacing w:after="0" w:line="3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Company relies and will continue to rely on third parties to conduct a significant portion of its preclinical and clinical development activities. For example, clinical development activities include trial design, regulatory submissions, clinical patient recruitment, clinical trial monitoring, clinical data management and analysis, safety monitoring and project management. If there is any dispute or disruption in its relationship with third parties, or if it is unable to provide quality services in a timely manner and at a feasible cost, the Company’s active development programs will face delays. Further, if any of these third parties fails to perform as the Company expects or if their work fails to meet regulatory requirements, the Company’s testing could be delayed, cancelled or rendered ineffective.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Third Party Relationships</w:t>
      </w:r>
    </w:p>
    <w:p>
      <w:pPr>
        <w:spacing w:after="0" w:line="287"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9"/>
          <w:szCs w:val="19"/>
          <w:color w:val="auto"/>
        </w:rPr>
        <w:t>The Company intends to enter into strategic alliances with third parties that the Company believes will complement or augment its proposed business or will have a beneficial impact on the Company. Strategic alliances could present unforeseen integration obstacles or costs, may not enhance the Company’s business, and may involve risks that could adversely affect the Company,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the Company’s existing strategic alliances will continue to achieve, the expected benefits to the Company’s business or that the Company will be able to consummate future strategic alliances on satisfactory terms, or at all. Any of the foregoing could have a material adverse effect on the Company’s business, financial condition and results of operations.</w:t>
      </w:r>
    </w:p>
    <w:p>
      <w:pPr>
        <w:spacing w:after="0" w:line="19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In addition to the foregoing, the success of the Company’s business will depend, in large part, on the Company’s ability to enter into, and maintain collaborative arrangements with various participants in the psychedelic pharmaceutical industry. There can be no assurance that the Company will be able to enter into collaborative arrangements in the future on acceptable terms, if at all. There can be no assurance that such arrangements will be successful, that the parties with which the Company has or may establish arrangements will adequately or successfully perform their obligations under such arrangements, that potential partners will not compete with the Company by seeking or prioritizing alternate, competitor products. The termination or cancellation of any such collaborative arrangement or the failure of the Company and/or the other parties to these arrangements to fulfill their obligations could have a material adverse effect on the Company’s business, financial condition and results of operations. In addition, disagreements between the Company and any of its industry partners could lead to delays or time consuming and expensive legal proceedings, which could have a material adverse effect on the Company’s business, financial condition and results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Reliance on Contract Manufacturers</w:t>
      </w:r>
    </w:p>
    <w:p>
      <w:pPr>
        <w:spacing w:after="0" w:line="25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The Company has limited manufacturing experience and relies on contract manufacturing organizations (“</w:t>
      </w:r>
      <w:r>
        <w:rPr>
          <w:rFonts w:ascii="Times New Roman" w:cs="Times New Roman" w:eastAsia="Times New Roman" w:hAnsi="Times New Roman"/>
          <w:sz w:val="20"/>
          <w:szCs w:val="20"/>
          <w:b w:val="1"/>
          <w:bCs w:val="1"/>
          <w:color w:val="auto"/>
        </w:rPr>
        <w:t>CMOs</w:t>
      </w:r>
      <w:r>
        <w:rPr>
          <w:rFonts w:ascii="Times New Roman" w:cs="Times New Roman" w:eastAsia="Times New Roman" w:hAnsi="Times New Roman"/>
          <w:sz w:val="20"/>
          <w:szCs w:val="20"/>
          <w:color w:val="auto"/>
        </w:rPr>
        <w:t>”) to manufacture its prescription drug product candidates for preclinical studies and clinical trials. The Company relies on CMOs for manufacturing, filling, packaging, storing and shipping of drug product in compliance with cGMP regulations applicable to its products. All applicable jurisdictions, including Health Canada, the FDA,the MHRA the EMA, and the PDD,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240"/>
          </w:cols>
          <w:pgMar w:left="320" w:top="1436" w:right="339" w:bottom="1440" w:gutter="0" w:footer="0" w:header="0"/>
        </w:sectPr>
      </w:pPr>
    </w:p>
    <w:bookmarkStart w:id="121" w:name="page122"/>
    <w:bookmarkEnd w:id="121"/>
    <w:p>
      <w:pPr>
        <w:jc w:val="both"/>
        <w:spacing w:after="0" w:line="291" w:lineRule="auto"/>
        <w:rPr>
          <w:sz w:val="20"/>
          <w:szCs w:val="20"/>
          <w:color w:val="auto"/>
        </w:rPr>
      </w:pPr>
      <w:r>
        <w:rPr>
          <w:rFonts w:ascii="Times New Roman" w:cs="Times New Roman" w:eastAsia="Times New Roman" w:hAnsi="Times New Roman"/>
          <w:sz w:val="20"/>
          <w:szCs w:val="20"/>
          <w:color w:val="auto"/>
        </w:rPr>
        <w:t>ensure the quality of food, drug products and dietary supplements by carefully monitoring drug manufacturers’ compliance with cGMP regulations. The cGMP regulations for drugs contain minimum requirements for the methods, facilities and controls used in manufacturing, processing and packing of a drug product. There can be no assurances that CMOs will be able to meet the Company’s timetable and requirements. The Company has not contracted with alternate suppliers for drug substance production in the event that the current provider is unable to scale up production, or if it otherwise experiences any other significant problems. If the Company is unable to arrange for alternative third-party manufacturing sources on commercially reasonable terms or in a timely manner, the Company may be delayed in the development of its prescription drug product candidates. Further, CMOs must operate in compliance with cGMP and ensure that their appropriate permits and licences remain in good standing and failure to do so could result in, among other things, the disruption of product supplies. The Company’s dependence upon third parties for the manufacture of its products may adversely affect its profit margins and its ability to develop and deliver products on a timely and competitive basis.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Safety and Efficacy of Products</w:t>
      </w:r>
    </w:p>
    <w:p>
      <w:pPr>
        <w:spacing w:after="0" w:line="28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Before obtaining marketing approval from regulatory authorities for the sale of the Company’s prescription drug product candidates, the Company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trials.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Health Canada, the FDA, the MHRA, the EMA, the PDD or other regulatory authorities, resulting in the Company being unable to derive any commercial revenue from them after investing significant amounts of capital in their development.</w:t>
      </w:r>
    </w:p>
    <w:p>
      <w:pPr>
        <w:spacing w:after="0" w:line="22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such product can be achieved. As with the results of any statistical sampling, the Company cannot be sure that all side effects of its products may be uncovered, and it may be the case that only with a significantly larger number of patients exposed to such product for a longer duration, may a more complete safety profile be identified. Further, even larger clinical trials may not identify rare serious adverse effects, or the duration of such studies may not be sufficient to identify when those events may occur. There have been products that have been approved by the regulatory authorities but for which safety concerns have been uncovered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240"/>
          </w:cols>
          <w:pgMar w:left="320" w:top="1440" w:right="339" w:bottom="1440" w:gutter="0" w:footer="0" w:header="0"/>
        </w:sectPr>
      </w:pPr>
    </w:p>
    <w:bookmarkStart w:id="122" w:name="page123"/>
    <w:bookmarkEnd w:id="122"/>
    <w:p>
      <w:pPr>
        <w:jc w:val="both"/>
        <w:spacing w:after="0" w:line="293" w:lineRule="auto"/>
        <w:rPr>
          <w:sz w:val="20"/>
          <w:szCs w:val="20"/>
          <w:color w:val="auto"/>
        </w:rPr>
      </w:pPr>
      <w:r>
        <w:rPr>
          <w:rFonts w:ascii="Times New Roman" w:cs="Times New Roman" w:eastAsia="Times New Roman" w:hAnsi="Times New Roman"/>
          <w:sz w:val="20"/>
          <w:szCs w:val="20"/>
          <w:color w:val="auto"/>
        </w:rPr>
        <w:t>approval. Such safety concerns have led to labelling changes or withdrawal of such products from the market, and the Company’s products may be subject to similar risks. The Company might have to withdraw or recall its products from the marketplace. The Company may also experience a significant drop in the potential future sales of its products if and when regulatory approvals for such products are obtained, experience harm to its reputation in the marketplace or become subject to lawsuits, including class actions. Any of these results could decrease or prevent any sales of the Company’s products, or substantially increase the costs and expenses of commercializing and marketing its products.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Clinical Testing and Commercializing Products</w:t>
      </w:r>
    </w:p>
    <w:p>
      <w:pPr>
        <w:spacing w:after="0" w:line="30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Before obtaining marketing approval from regulatory authorities for the sale of the Company’s prescription drug product candidates, it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trails.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the FDA, or other regulatory authorities, resulting in the Company being unable to derive any commercial revenue from this business segment after investing significant amounts of capital in its development.</w:t>
      </w:r>
    </w:p>
    <w:p>
      <w:pPr>
        <w:spacing w:after="0" w:line="214"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9"/>
          <w:szCs w:val="19"/>
          <w:color w:val="auto"/>
        </w:rPr>
        <w:t>The Company cannot predict whether any clinical trials will begin as planned, will need to be restructured, or will be completed on schedule, or at all. The Company’s product development costs will increase if it experiences delays in clinical testing. Significant clinical trial delays could shorten any periods during which the Company may have the exclusive right to commercialize its prescription drug product candidates or allow its competitors to bring products to market before the Company, which would impair the Company’s ability to successfully commercialize its prescription drug product candidates and may harm its financial condition, results of operations and prospects.</w:t>
      </w:r>
    </w:p>
    <w:p>
      <w:pPr>
        <w:spacing w:after="0" w:line="191"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The commencement and completion of clinical trials for the Company’s prescription drug product candidates may be delayed for a number of reasons, including but not limited, to:</w:t>
      </w:r>
    </w:p>
    <w:p>
      <w:pPr>
        <w:spacing w:after="0" w:line="174" w:lineRule="exact"/>
        <w:rPr>
          <w:sz w:val="20"/>
          <w:szCs w:val="20"/>
          <w:color w:val="auto"/>
        </w:rPr>
      </w:pPr>
    </w:p>
    <w:p>
      <w:pPr>
        <w:ind w:left="620" w:hanging="291"/>
        <w:spacing w:after="0"/>
        <w:tabs>
          <w:tab w:leader="none" w:pos="62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failure by regulatory authorities to grant permission to proceed or placing clinical trials on hold;</w:t>
      </w:r>
    </w:p>
    <w:p>
      <w:pPr>
        <w:spacing w:after="0" w:line="39" w:lineRule="exact"/>
        <w:rPr>
          <w:rFonts w:ascii="Arial" w:cs="Arial" w:eastAsia="Arial" w:hAnsi="Arial"/>
          <w:sz w:val="20"/>
          <w:szCs w:val="20"/>
          <w:color w:val="auto"/>
        </w:rPr>
      </w:pPr>
    </w:p>
    <w:p>
      <w:pPr>
        <w:ind w:left="660" w:hanging="331"/>
        <w:spacing w:after="0" w:line="324" w:lineRule="auto"/>
        <w:tabs>
          <w:tab w:leader="none" w:pos="624"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suspension or termination of clinical trials by regulators for many reasons, including concerns about patient safety or failure of the Company’s CMOs to comply with cGMP requirements or latent defects in product quality;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1240"/>
          </w:cols>
          <w:pgMar w:left="320" w:top="1440" w:right="339" w:bottom="1440" w:gutter="0" w:footer="0" w:header="0"/>
        </w:sectPr>
      </w:pPr>
    </w:p>
    <w:bookmarkStart w:id="123" w:name="page124"/>
    <w:bookmarkEnd w:id="123"/>
    <w:p>
      <w:pPr>
        <w:ind w:left="660" w:hanging="331"/>
        <w:spacing w:after="0" w:line="288" w:lineRule="auto"/>
        <w:tabs>
          <w:tab w:leader="none" w:pos="624"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any changes to the Company’s manufacturing process that may be necessary or desired, delays or failure to obtain clinical supply from CMOs of the Company’s products necessary to conduct clinical trials;</w:t>
      </w:r>
    </w:p>
    <w:p>
      <w:pPr>
        <w:ind w:left="660" w:hanging="331"/>
        <w:spacing w:after="0" w:line="288" w:lineRule="auto"/>
        <w:tabs>
          <w:tab w:leader="none" w:pos="624"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prescription drug product candidates demonstrating a lack of safety or efficacy during clinical trials, reports of clinical testing on similar technologies and products raising safety or efficacy concerns;</w:t>
      </w:r>
    </w:p>
    <w:p>
      <w:pPr>
        <w:jc w:val="both"/>
        <w:ind w:left="660" w:hanging="331"/>
        <w:spacing w:after="0" w:line="286" w:lineRule="auto"/>
        <w:tabs>
          <w:tab w:leader="none" w:pos="624"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clinical investigators not performing the Company’s clinical trials on their anticipated schedule, dropping out of a trial, or employing methods not consistent with the clinical trial protocol, regulatory requirements or other third parties not performing data collection and analysis in a timely or accurate manner;</w:t>
      </w:r>
    </w:p>
    <w:p>
      <w:pPr>
        <w:ind w:left="620" w:hanging="291"/>
        <w:spacing w:after="0"/>
        <w:tabs>
          <w:tab w:leader="none" w:pos="62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failure of the Company’s contract research organizations to satisfy their contractual duties or meet expected deadlines;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inspections of clinical trial sites by regulatory authorities;</w:t>
      </w:r>
    </w:p>
    <w:p>
      <w:pPr>
        <w:spacing w:after="0" w:line="52" w:lineRule="exact"/>
        <w:rPr>
          <w:rFonts w:ascii="Arial" w:cs="Arial" w:eastAsia="Arial" w:hAnsi="Arial"/>
          <w:sz w:val="20"/>
          <w:szCs w:val="20"/>
          <w:color w:val="auto"/>
        </w:rPr>
      </w:pPr>
    </w:p>
    <w:p>
      <w:pPr>
        <w:ind w:left="660" w:hanging="331"/>
        <w:spacing w:after="0" w:line="281" w:lineRule="auto"/>
        <w:tabs>
          <w:tab w:leader="none" w:pos="624"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authorities or ethics committees finding regulatory violations that require the Company to undertake corrective action, resulting in suspension or termination of one or more sites or the imposition of a clinical hold on the entire study;</w:t>
      </w:r>
    </w:p>
    <w:p>
      <w:pPr>
        <w:ind w:left="660" w:hanging="331"/>
        <w:spacing w:after="0" w:line="288" w:lineRule="auto"/>
        <w:tabs>
          <w:tab w:leader="none" w:pos="624"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one or more regulatory authorities or ethics committees rejecting, suspending or terminating the study at an investigational site, precluding enrollment of additional subjects, or withdrawing its approval of the trial; or</w:t>
      </w:r>
    </w:p>
    <w:p>
      <w:pPr>
        <w:ind w:left="620" w:hanging="291"/>
        <w:spacing w:after="0"/>
        <w:tabs>
          <w:tab w:leader="none" w:pos="62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failure to reach agreement on acceptable terms with prospective clinical trial sites.</w:t>
      </w:r>
    </w:p>
    <w:p>
      <w:pPr>
        <w:spacing w:after="0" w:line="28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Company’s product development costs will increase if it experiences delays in testing or approval or if the Company needs to perform more or larger clinical trials than planned. Additionally, changes in regulatory requirements and policies may occur, and the Company may need to amend study protocols to reflect these changes. Amendments may require the Company to resubmit its study protocols to regulatory authorities or ethics committees for re-examination, which may impact the cost, timing or successful completion of that trial. Delays or increased product development costs may have a material adverse effect on the Company’s business, financial condition and prospects.</w:t>
      </w:r>
    </w:p>
    <w:p>
      <w:pPr>
        <w:spacing w:after="0" w:line="20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Prior to commencing clinical trials in Canada, the United States, the UK, the Netherlands, or other jurisdictions, for any prescription drug product candidates developed by the Company, it may be required to have an IND (or equivalent) for each prescription drug product candidate and to file additional INDs prior to initiating any additional clinical trials. The Company believes that the data from its studies will support the filing of additional INDs to enable the Company to undertake additional clinical studies as it has planned. However, submission of an IND (or equivalent) may not result in the FDA (or equivalent authorities) allowing further clinical trials to begin and, once begun, issues may arise that will require the Company to suspend or terminate such clinical trials.</w:t>
      </w:r>
    </w:p>
    <w:p>
      <w:pPr>
        <w:spacing w:after="0" w:line="21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Additionally, even if relevant regulatory authorities agree with the design and implementation of the clinical trials set forth in an IND, these regulatory authorities may change their requirements in the future. Failure to submit or have effective INDs (or equivalent) and commence or continue clinical programs will significantly limit its opportunity to generate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1240"/>
          </w:cols>
          <w:pgMar w:left="320" w:top="1440"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0"/>
          <w:szCs w:val="20"/>
          <w:b w:val="1"/>
          <w:bCs w:val="1"/>
          <w:i w:val="1"/>
          <w:iCs w:val="1"/>
          <w:color w:val="auto"/>
        </w:rPr>
        <w:t>Completion of Clinical Trials</w:t>
      </w:r>
    </w:p>
    <w:p>
      <w:pPr>
        <w:spacing w:after="0" w:line="30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As the Company’s prescription drug product candidates advance from preclinical testing to clinical testing, and then through progressively larger and more complex clinical trials, the Company will need to enroll an increasing number of patients that meet its eligibility criteria. There is significant competition for recruiting patients in clinical trials, and the Company may be unable to enroll the patients it needs to complete clinical trials on a timely basis or at all. The factors that affect the Company’s ability to enroll patients are largely uncontrollable and include, but are not limited to, the size and nature of the patient population, eligibility and exclusion criteria for the trial, design of the clinical trial, competition with other companies for clinical sites or patients, perceived risks and benefits of the prescription drug product candidate, and the number, availability, location and accessibility of clinical trial sites.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Commercial Grade Product Manufacturing</w:t>
      </w:r>
    </w:p>
    <w:p>
      <w:pPr>
        <w:spacing w:after="0" w:line="30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auto"/>
        </w:rPr>
        <w:t>The Company’s prescription drug products will be manufactured in small quantities for preclinical studies and clinical trials by third party manufacturers. In order to commercialize its product, the Company needs to manufacture commercial quality drug supply for use in registration clinical trials. Most, if not all, of the clinical material used in phase III/pivotal/registration studies must be derived from the defined commercial process including scale, manufacturing site, process controls and batch size. If the Company has not scaled up and validated the commercial production of its product prior to the commencement of pivotal clinical trials, it may have to employ a bridging strategy during the trial to demonstrate equivalency of early-stage material to commercial drug product, or potentially delay the initiation or completion of the trial until drug supply is available. The manufacturing of commercial quality product may have long lead times, may be very expensive and requires significant efforts including, but not limited to, scale-up of production to anticipated commercial scale, process characterization and validation, analytical method validation, identification of critical process parameters and product quality attributes, and multiple process performance and validation runs. If the Company does not have commercial drug supply available when needed for pivotal clinical trials, the Company’s regulatory and commercial progress may be delayed, and it may incur increased product development costs. This may have a material adverse effect on the Company’s business, financial condition and prospects, and may delay marketing of the product.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Nature of Regulatory Approvals</w:t>
      </w:r>
    </w:p>
    <w:p>
      <w:pPr>
        <w:spacing w:after="0" w:line="3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Company’s development and commercialization activities and prescription drug product candidates are significantly regulated by a number of governmental entities, including Health Canada, the FDA, the MHRA, the EMA and the PDD. Regulatory approvals are required prior to each clinical trial and the Company may fail to obtain the necessary approvals to commence or continue clinical testing. The Company must comply with regulations concerning the manufacture, testing, safety, effectiveness, labeling, documentation, advertising, and sale of products and prescription drug product candidates and ultimately must obtain regulatory approval before it can commercialize a prescription drug product candidate. The time required to obtain approval by such regulatory authorities is unpredictable but typically takes many years following the commencement of preclinical studies and clinical trials. Any analysis of data from clinical activities the Company performs is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1240"/>
          </w:cols>
          <w:pgMar w:left="320" w:top="1436" w:right="339" w:bottom="1440" w:gutter="0" w:footer="0" w:header="0"/>
        </w:sectPr>
      </w:pPr>
    </w:p>
    <w:bookmarkStart w:id="125" w:name="page126"/>
    <w:bookmarkEnd w:id="125"/>
    <w:p>
      <w:pPr>
        <w:jc w:val="both"/>
        <w:spacing w:after="0" w:line="296" w:lineRule="auto"/>
        <w:rPr>
          <w:sz w:val="20"/>
          <w:szCs w:val="20"/>
          <w:color w:val="auto"/>
        </w:rPr>
      </w:pPr>
      <w:r>
        <w:rPr>
          <w:rFonts w:ascii="Times New Roman" w:cs="Times New Roman" w:eastAsia="Times New Roman" w:hAnsi="Times New Roman"/>
          <w:sz w:val="20"/>
          <w:szCs w:val="20"/>
          <w:color w:val="auto"/>
        </w:rPr>
        <w:t>confirmation and interpretation by regulatory authorities, which could delay, limit or prevent regulatory approval. Even if the Company believes results from its sponsored clinical trials are favorable to support the marketing of its prescription drug product candidates, Health Canada, the FDA, the MHRA, the EMA the PDD or other regulatory authorities may disagree. In addition, approval policies, regulations, or the type and amount of clinical data necessary to gain approval may change during the course of a prescription drug product candidate’s clinical development and may vary among jurisdictions.</w:t>
      </w:r>
    </w:p>
    <w:p>
      <w:pPr>
        <w:spacing w:after="0" w:line="20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The Company has not obtained regulatory approval for any prescription drug product candidate and it is possible that none of its existing prescription drug product candidates or any future prescription drug product candidates will ever obtain regulatory approval. The Company could fail to receive regulatory approval for its prescription drug product candidates for many reasons, including, but not limited to failure to demonstrate that a prescription drug product candidate is safe and effective for its proposed indication, failure of clinical trials to meet the level of statistical significance required for approval, failure to demonstrate that a prescription drug product candidate’s clinical and other benefits outweigh its safety risks, or deficiencies in the manufacturing processes or the failure of facilities of CMOs with whom the Company contracts for clinical and commercial supplies to pass a pre-approval inspection.</w:t>
      </w:r>
    </w:p>
    <w:p>
      <w:pPr>
        <w:spacing w:after="0" w:line="22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A regulatory authority may require more information, including additional preclinical or clinical data to support approval, which may delay or prevent approval and the Company’s commercialization plans, or the Company may decide to abandon the development program. If the Company were to obtain approval, regulatory authorities may approve any of its prescription drug product candidates for fewer or more limited indications than the Company request, may grant approval contingent on the performance of costly post-marketing clinical trials, or may approve a prescription drug product candidate with a label that does not include the labeling claims necessary or desirable for the successful commercialization of that prescription drug product candidate. Moreover, depending on any safety issues associated with the Company’s prescription drug product candidates that garner approval, Health Canada, the FDA, the MHRA, the EMA, the PDD or other regulatory authorities may impose a risk evaluation and mitigation strategy, thereby imposing certain restrictions on the sale and marketability of such products.</w:t>
      </w:r>
    </w:p>
    <w:p>
      <w:pPr>
        <w:spacing w:after="0" w:line="21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If there are changes in the application of legislation, regulations or regulatory policies, or if problems are discovered with the Company products, or if one of its distributors, licensees or co-marketers fails to comply with regulatory requirements, the regulators could take various actions. These include imposing fines on the Company, imposing restrictions on the Company’s products or its manufacture and requiring the Company to recall or remove its products from the market. The regulators could also suspend or withdraw the Company’s Co-marketing authorizations, requiring it to conduct additional clinical trials, change its labeling or submit additional applications for marketing authorization. If any of these events occurs, the Company’s ability to sell its products may be impaired, and it may incur substantial additional expense to comply with regulatory requirements, which could materially adversely affect its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900" w:h="16838" w:orient="portrait"/>
          <w:cols w:equalWidth="0" w:num="1">
            <w:col w:w="11240"/>
          </w:cols>
          <w:pgMar w:left="320" w:top="1440"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b w:val="1"/>
          <w:bCs w:val="1"/>
          <w:i w:val="1"/>
          <w:iCs w:val="1"/>
          <w:color w:val="auto"/>
        </w:rPr>
        <w:t>Market Access and Acceptance</w:t>
      </w:r>
    </w:p>
    <w:p>
      <w:pPr>
        <w:spacing w:after="0" w:line="30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auto"/>
        </w:rPr>
        <w:t>The Company may never have a product that is commercially successful. To date, the Company has no product authorized for marketing. The Company’s future products require further clinical investigation, regulatory review, significant market access and marketing efforts and substantial investment before it can produce any revenue. Furthermore, if approved, the Company’s product may not achieve an adequate level of acceptance by payors, health technology assessment bodies, healthcare professionals, patients and the medical community at large, and the Company may not become profitable. The level of acceptance the Company ultimately achieves may be affected by negative public perceptions and historic media coverage of psychedelic substances. Because of this history, efforts to educate the medical community and third-party payors and health technologies assessment bodies on the benefits of company’s product compounds may require significant resources and may never be successful, which would prevent the Company from generating significant revenue or becoming profitable. Market acceptance of the Company’s future products by healthcare professionals, patients, healthcare payors and health technology assessment bodies will depend on a number of factors, many of which are beyond the Company’s control, including, but not limited to, the following:</w:t>
      </w:r>
    </w:p>
    <w:p>
      <w:pPr>
        <w:spacing w:after="0" w:line="231" w:lineRule="exact"/>
        <w:rPr>
          <w:sz w:val="20"/>
          <w:szCs w:val="20"/>
          <w:color w:val="auto"/>
        </w:rPr>
      </w:pPr>
    </w:p>
    <w:p>
      <w:pPr>
        <w:ind w:left="620" w:hanging="291"/>
        <w:spacing w:after="0"/>
        <w:tabs>
          <w:tab w:leader="none" w:pos="620" w:val="left"/>
        </w:tabs>
        <w:numPr>
          <w:ilvl w:val="0"/>
          <w:numId w:val="70"/>
        </w:numPr>
        <w:rPr>
          <w:rFonts w:ascii="Arial" w:cs="Arial" w:eastAsia="Arial" w:hAnsi="Arial"/>
          <w:sz w:val="20"/>
          <w:szCs w:val="20"/>
          <w:color w:val="auto"/>
        </w:rPr>
      </w:pPr>
      <w:r>
        <w:rPr>
          <w:rFonts w:ascii="Times New Roman" w:cs="Times New Roman" w:eastAsia="Times New Roman" w:hAnsi="Times New Roman"/>
          <w:sz w:val="20"/>
          <w:szCs w:val="20"/>
          <w:color w:val="auto"/>
        </w:rPr>
        <w:t>acceptance by healthcare professionals, patients and healthcare payors of each product as safe, effective and cost-effective;</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70"/>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standard of care for the targeted indications for any product;</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70"/>
        </w:numPr>
        <w:rPr>
          <w:rFonts w:ascii="Arial" w:cs="Arial" w:eastAsia="Arial" w:hAnsi="Arial"/>
          <w:sz w:val="20"/>
          <w:szCs w:val="20"/>
          <w:color w:val="auto"/>
        </w:rPr>
      </w:pPr>
      <w:r>
        <w:rPr>
          <w:rFonts w:ascii="Times New Roman" w:cs="Times New Roman" w:eastAsia="Times New Roman" w:hAnsi="Times New Roman"/>
          <w:sz w:val="20"/>
          <w:szCs w:val="20"/>
          <w:color w:val="auto"/>
        </w:rPr>
        <w:t>the strength of sales, marketing and distribution support;</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70"/>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product liability claims;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70"/>
        </w:numPr>
        <w:rPr>
          <w:rFonts w:ascii="Arial" w:cs="Arial" w:eastAsia="Arial" w:hAnsi="Arial"/>
          <w:sz w:val="20"/>
          <w:szCs w:val="20"/>
          <w:color w:val="auto"/>
        </w:rPr>
      </w:pPr>
      <w:r>
        <w:rPr>
          <w:rFonts w:ascii="Times New Roman" w:cs="Times New Roman" w:eastAsia="Times New Roman" w:hAnsi="Times New Roman"/>
          <w:sz w:val="20"/>
          <w:szCs w:val="20"/>
          <w:color w:val="auto"/>
        </w:rPr>
        <w:t>the product’s relative convenience, ease of use, ease of administration and other perceived advantages over alternatives;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70"/>
        </w:numPr>
        <w:rPr>
          <w:rFonts w:ascii="Arial" w:cs="Arial" w:eastAsia="Arial" w:hAnsi="Arial"/>
          <w:sz w:val="20"/>
          <w:szCs w:val="20"/>
          <w:color w:val="auto"/>
        </w:rPr>
      </w:pPr>
      <w:r>
        <w:rPr>
          <w:rFonts w:ascii="Times New Roman" w:cs="Times New Roman" w:eastAsia="Times New Roman" w:hAnsi="Times New Roman"/>
          <w:sz w:val="20"/>
          <w:szCs w:val="20"/>
          <w:color w:val="auto"/>
        </w:rPr>
        <w:t>the prevalence and severity of adverse events or publicity;</w:t>
      </w:r>
    </w:p>
    <w:p>
      <w:pPr>
        <w:spacing w:after="0" w:line="39" w:lineRule="exact"/>
        <w:rPr>
          <w:rFonts w:ascii="Arial" w:cs="Arial" w:eastAsia="Arial" w:hAnsi="Arial"/>
          <w:sz w:val="20"/>
          <w:szCs w:val="20"/>
          <w:color w:val="auto"/>
        </w:rPr>
      </w:pPr>
    </w:p>
    <w:p>
      <w:pPr>
        <w:ind w:left="660" w:right="20" w:hanging="331"/>
        <w:spacing w:after="0" w:line="288" w:lineRule="auto"/>
        <w:tabs>
          <w:tab w:leader="none" w:pos="624" w:val="left"/>
        </w:tabs>
        <w:numPr>
          <w:ilvl w:val="0"/>
          <w:numId w:val="70"/>
        </w:numPr>
        <w:rPr>
          <w:rFonts w:ascii="Arial" w:cs="Arial" w:eastAsia="Arial" w:hAnsi="Arial"/>
          <w:sz w:val="20"/>
          <w:szCs w:val="20"/>
          <w:color w:val="auto"/>
        </w:rPr>
      </w:pPr>
      <w:r>
        <w:rPr>
          <w:rFonts w:ascii="Times New Roman" w:cs="Times New Roman" w:eastAsia="Times New Roman" w:hAnsi="Times New Roman"/>
          <w:sz w:val="20"/>
          <w:szCs w:val="20"/>
          <w:color w:val="auto"/>
        </w:rPr>
        <w:t>limitations, precautions or warnings listed in the summary of product characteristics, patient information leaflet, package labeling or instructions for use;</w:t>
      </w:r>
    </w:p>
    <w:p>
      <w:pPr>
        <w:ind w:left="620" w:hanging="291"/>
        <w:spacing w:after="0"/>
        <w:tabs>
          <w:tab w:leader="none" w:pos="620" w:val="left"/>
        </w:tabs>
        <w:numPr>
          <w:ilvl w:val="0"/>
          <w:numId w:val="70"/>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treatment with the Company’s product in relation to alternatives;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70"/>
        </w:numPr>
        <w:rPr>
          <w:rFonts w:ascii="Arial" w:cs="Arial" w:eastAsia="Arial" w:hAnsi="Arial"/>
          <w:sz w:val="20"/>
          <w:szCs w:val="20"/>
          <w:color w:val="auto"/>
        </w:rPr>
      </w:pPr>
      <w:r>
        <w:rPr>
          <w:rFonts w:ascii="Times New Roman" w:cs="Times New Roman" w:eastAsia="Times New Roman" w:hAnsi="Times New Roman"/>
          <w:sz w:val="20"/>
          <w:szCs w:val="20"/>
          <w:color w:val="auto"/>
        </w:rPr>
        <w:t>the steps that prescribers and dispensers must take, as well as the perceived risks based upon its controlled substance status;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70"/>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to manufacture the Company’s product in sufficient quantities and yields with adequate purity;</w:t>
      </w:r>
    </w:p>
    <w:p>
      <w:pPr>
        <w:spacing w:after="0" w:line="52" w:lineRule="exact"/>
        <w:rPr>
          <w:rFonts w:ascii="Arial" w:cs="Arial" w:eastAsia="Arial" w:hAnsi="Arial"/>
          <w:sz w:val="20"/>
          <w:szCs w:val="20"/>
          <w:color w:val="auto"/>
        </w:rPr>
      </w:pPr>
    </w:p>
    <w:p>
      <w:pPr>
        <w:ind w:left="660" w:right="20" w:hanging="331"/>
        <w:spacing w:after="0" w:line="288" w:lineRule="auto"/>
        <w:tabs>
          <w:tab w:leader="none" w:pos="624" w:val="left"/>
        </w:tabs>
        <w:numPr>
          <w:ilvl w:val="0"/>
          <w:numId w:val="70"/>
        </w:numPr>
        <w:rPr>
          <w:rFonts w:ascii="Arial" w:cs="Arial" w:eastAsia="Arial" w:hAnsi="Arial"/>
          <w:sz w:val="20"/>
          <w:szCs w:val="20"/>
          <w:color w:val="auto"/>
        </w:rPr>
      </w:pPr>
      <w:r>
        <w:rPr>
          <w:rFonts w:ascii="Times New Roman" w:cs="Times New Roman" w:eastAsia="Times New Roman" w:hAnsi="Times New Roman"/>
          <w:sz w:val="20"/>
          <w:szCs w:val="20"/>
          <w:color w:val="auto"/>
        </w:rPr>
        <w:t>the availability and amount of coverage and reimbursement from healthcare payors, and the willingness of patients to pay out of pocket in the absence of healthcare payor coverage or adequate reimbursement;</w:t>
      </w:r>
    </w:p>
    <w:p>
      <w:pPr>
        <w:ind w:left="620" w:hanging="291"/>
        <w:spacing w:after="0"/>
        <w:tabs>
          <w:tab w:leader="none" w:pos="620" w:val="left"/>
        </w:tabs>
        <w:numPr>
          <w:ilvl w:val="0"/>
          <w:numId w:val="70"/>
        </w:numPr>
        <w:rPr>
          <w:rFonts w:ascii="Arial" w:cs="Arial" w:eastAsia="Arial" w:hAnsi="Arial"/>
          <w:sz w:val="20"/>
          <w:szCs w:val="20"/>
          <w:color w:val="auto"/>
        </w:rPr>
      </w:pPr>
      <w:r>
        <w:rPr>
          <w:rFonts w:ascii="Times New Roman" w:cs="Times New Roman" w:eastAsia="Times New Roman" w:hAnsi="Times New Roman"/>
          <w:sz w:val="20"/>
          <w:szCs w:val="20"/>
          <w:color w:val="auto"/>
        </w:rPr>
        <w:t>the willingness of the target patient population to try, and of healthcare professionals to prescribe, the product;</w:t>
      </w:r>
    </w:p>
    <w:p>
      <w:pPr>
        <w:spacing w:after="0" w:line="39" w:lineRule="exact"/>
        <w:rPr>
          <w:rFonts w:ascii="Arial" w:cs="Arial" w:eastAsia="Arial" w:hAnsi="Arial"/>
          <w:sz w:val="20"/>
          <w:szCs w:val="20"/>
          <w:color w:val="auto"/>
        </w:rPr>
      </w:pPr>
    </w:p>
    <w:p>
      <w:pPr>
        <w:ind w:left="660" w:hanging="331"/>
        <w:spacing w:after="0" w:line="288" w:lineRule="auto"/>
        <w:tabs>
          <w:tab w:leader="none" w:pos="624" w:val="left"/>
        </w:tabs>
        <w:numPr>
          <w:ilvl w:val="0"/>
          <w:numId w:val="70"/>
        </w:numPr>
        <w:rPr>
          <w:rFonts w:ascii="Arial" w:cs="Arial" w:eastAsia="Arial" w:hAnsi="Arial"/>
          <w:sz w:val="20"/>
          <w:szCs w:val="20"/>
          <w:color w:val="auto"/>
        </w:rPr>
      </w:pPr>
      <w:r>
        <w:rPr>
          <w:rFonts w:ascii="Times New Roman" w:cs="Times New Roman" w:eastAsia="Times New Roman" w:hAnsi="Times New Roman"/>
          <w:sz w:val="20"/>
          <w:szCs w:val="20"/>
          <w:color w:val="auto"/>
        </w:rPr>
        <w:t>any potential unfavorable publicity, including negative publicity associated with recreational use or abuse of psilocybin, psilocin, DMT-based compounds and other psychedelic compounds; and</w:t>
      </w:r>
    </w:p>
    <w:p>
      <w:pPr>
        <w:ind w:left="620" w:hanging="291"/>
        <w:spacing w:after="0"/>
        <w:tabs>
          <w:tab w:leader="none" w:pos="620" w:val="left"/>
        </w:tabs>
        <w:numPr>
          <w:ilvl w:val="0"/>
          <w:numId w:val="70"/>
        </w:numPr>
        <w:rPr>
          <w:rFonts w:ascii="Arial" w:cs="Arial" w:eastAsia="Arial" w:hAnsi="Arial"/>
          <w:sz w:val="20"/>
          <w:szCs w:val="20"/>
          <w:color w:val="auto"/>
        </w:rPr>
      </w:pPr>
      <w:r>
        <w:rPr>
          <w:rFonts w:ascii="Times New Roman" w:cs="Times New Roman" w:eastAsia="Times New Roman" w:hAnsi="Times New Roman"/>
          <w:sz w:val="20"/>
          <w:szCs w:val="20"/>
          <w:color w:val="auto"/>
        </w:rPr>
        <w:t>any restrictions on the use, sale or distribution of the Company’s future products.</w:t>
      </w:r>
    </w:p>
    <w:p>
      <w:pPr>
        <w:spacing w:after="0" w:line="282"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color w:val="auto"/>
        </w:rPr>
        <w:t>If the Company’s future products fail to gain market access and acceptance, this will have a material adverse impact on the Company’s ability to generate revenue to provide a satisfactory, or any,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1240"/>
          </w:cols>
          <w:pgMar w:left="320" w:top="1436" w:right="339" w:bottom="1440" w:gutter="0" w:footer="0" w:header="0"/>
        </w:sectPr>
      </w:pPr>
    </w:p>
    <w:bookmarkStart w:id="127" w:name="page128"/>
    <w:bookmarkEnd w:id="127"/>
    <w:p>
      <w:pPr>
        <w:jc w:val="both"/>
        <w:spacing w:after="0" w:line="325" w:lineRule="auto"/>
        <w:rPr>
          <w:sz w:val="20"/>
          <w:szCs w:val="20"/>
          <w:color w:val="auto"/>
        </w:rPr>
      </w:pPr>
      <w:r>
        <w:rPr>
          <w:rFonts w:ascii="Times New Roman" w:cs="Times New Roman" w:eastAsia="Times New Roman" w:hAnsi="Times New Roman"/>
          <w:sz w:val="20"/>
          <w:szCs w:val="20"/>
          <w:color w:val="auto"/>
        </w:rPr>
        <w:t>on the Company’s investments. Even if some products achieve market access and acceptance, the market may prove not to be large enough to allow the Company to generate significant revenue.</w:t>
      </w:r>
    </w:p>
    <w:p>
      <w:pPr>
        <w:spacing w:after="0" w:line="17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must rely largely on its own market research to forecast sales as detailed forecasts are not generally obtainable from other sources at this early stage of the psychedelic industry. A failure in the demand for the Company’s psychedelic based products to materialize as a result of competition, technological change or other factors could have a material adverse effect on the business, results of operations and financial condition of the Company.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Unfavourable Publicity or Consumer Perception</w:t>
      </w:r>
    </w:p>
    <w:p>
      <w:pPr>
        <w:spacing w:after="0" w:line="28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The Company believes the psychedelic pharmaceutical industry is highly dependent upon consumer perception regarding the safety, efficacy and quality of psychedelic pharmaceutical products. Consumer perception of the Company’s psychedelic pharmaceutical products can be significantly influenced by scientific research or findings, regulatory investigations, litigation, media attention and other publicity regarding the consumption of psychedelics. There can be no assurance that future scientific research, findings, regulatory proceedings, litigation, media attention or other research findings or publicity will be favourable to the psychedelic pharmaceutical industry or any particular product, or consistent with earlier publicity. Future research reports, findings, regulatory proceedings, litigation, media attention or other publicity that are perceived as less favourable than, or that question, earlier research reports, findings or publicity could have a material adverse effect on the demand for the Company’s psychedelic products and the business, results of operations, financial condition and cash flows of the Company. The Company’s dependence upon consumer perceptions means that adverse scientific research reports, findings, regulatory proceedings, litigation, media attention or other publicity, whether or not accurate or with merit, could have a material adverse effect on the Company, the demand for the Company’s psychedelic products, and the business, results of operations, financial condition and cash flows of the Company. Further, adverse publicity reports or other media attention regarding the safety, efficacy and quality of psychedelic products in general, or the Company’s psychedelic products and services specifically or associating the consumption of psychedelics with illness or other negative effects or events, could have such a material adverse effect. Such adverse publicity reports or other media attention could arise even if the adverse effects associated with such products resulted from consumers’ failure to consume such products legally, appropriately or as directed.</w:t>
      </w:r>
    </w:p>
    <w:p>
      <w:pPr>
        <w:spacing w:after="0" w:line="21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psychedelic medicine industry is highly dependent upon consumer perception regarding the medical benefits, safety, efficacy and quality of the psychedelic medicine distributed for medical purposes to such consumers. There can be no assurance that future scientific research or findings on the medical benefits, viability, safety, efficacy and dosing of psilocybin, psilocin, DMT or isolated constituents, regulatory proceedings, litigation, media attention or other research findings or publicity will be favourable to the industry or the Company or any particular product, or consistent with earlier publicity.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1240"/>
          </w:cols>
          <w:pgMar w:left="320" w:top="1440"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0"/>
          <w:szCs w:val="20"/>
          <w:b w:val="1"/>
          <w:bCs w:val="1"/>
          <w:i w:val="1"/>
          <w:iCs w:val="1"/>
          <w:color w:val="auto"/>
        </w:rPr>
        <w:t>Social Media</w:t>
      </w:r>
    </w:p>
    <w:p>
      <w:pPr>
        <w:spacing w:after="0" w:line="30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There has been a marked increase in the use of social media platforms and similar channels that provide individuals with access to a broad audience of consumers and other interested persons. The availability and impact of information on social media platforms is virtually immediate and many social media platforms publish user-generated content without filters or independent verification as to the accuracy of the content posted. Information posted about the Company may be adverse to the Company’s interests or may be inaccurate, each of which may harm the Company’s business, financial condition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Biotechnology and Pharmaceutical Market Competition</w:t>
      </w:r>
    </w:p>
    <w:p>
      <w:pPr>
        <w:spacing w:after="0" w:line="30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biotechnology and pharmaceutical industries are intensely competitive and subject to rapid and significant technological change. The Company’s competitors include large, well-established pharmaceutical companies, biotechnology companies, and academic and research institutions developing therapeutics for the same indications the Company is targeting and competitors with existing marketed therapies. Many other companies are developing or commercializing therapies to treat the same diseases or indications for which the Company’s prescription drug product candidates may be useful. Although there are no approved therapies that specifically target opioid addiction, some competitors use therapeutic approaches that may compete directly with the Company’s prescription drug product candidates.</w:t>
      </w:r>
    </w:p>
    <w:p>
      <w:pPr>
        <w:spacing w:after="0" w:line="20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Many of the Company’s competitors have substantially greater financial, technical and human resources than the Company does and have significantly greater experience than the Company in conducting preclinical testing and human clinical trials of product candidates, scaling up manufacturing operations and obtaining regulatory approvals of products. Accordingly, the Company’s competitors may succeed in obtaining regulatory approval for products more rapidly than the Company does. The Company’s ability to compete successfully will largely depend on:</w:t>
      </w:r>
    </w:p>
    <w:p>
      <w:pPr>
        <w:spacing w:after="0" w:line="202" w:lineRule="exact"/>
        <w:rPr>
          <w:sz w:val="20"/>
          <w:szCs w:val="20"/>
          <w:color w:val="auto"/>
        </w:rPr>
      </w:pPr>
    </w:p>
    <w:p>
      <w:pPr>
        <w:ind w:left="660" w:hanging="331"/>
        <w:spacing w:after="0" w:line="288" w:lineRule="auto"/>
        <w:tabs>
          <w:tab w:leader="none" w:pos="624" w:val="left"/>
        </w:tabs>
        <w:numPr>
          <w:ilvl w:val="0"/>
          <w:numId w:val="71"/>
        </w:numPr>
        <w:rPr>
          <w:rFonts w:ascii="Arial" w:cs="Arial" w:eastAsia="Arial" w:hAnsi="Arial"/>
          <w:sz w:val="20"/>
          <w:szCs w:val="20"/>
          <w:color w:val="auto"/>
        </w:rPr>
      </w:pPr>
      <w:r>
        <w:rPr>
          <w:rFonts w:ascii="Times New Roman" w:cs="Times New Roman" w:eastAsia="Times New Roman" w:hAnsi="Times New Roman"/>
          <w:sz w:val="20"/>
          <w:szCs w:val="20"/>
          <w:color w:val="auto"/>
        </w:rPr>
        <w:t>the efficacy and safety profile of its prescription drug product candidates relative to marketed products and other prescription drug product candidates in development;</w:t>
      </w:r>
    </w:p>
    <w:p>
      <w:pPr>
        <w:ind w:left="620" w:hanging="291"/>
        <w:spacing w:after="0"/>
        <w:tabs>
          <w:tab w:leader="none" w:pos="620" w:val="left"/>
        </w:tabs>
        <w:numPr>
          <w:ilvl w:val="0"/>
          <w:numId w:val="71"/>
        </w:numPr>
        <w:rPr>
          <w:rFonts w:ascii="Arial" w:cs="Arial" w:eastAsia="Arial" w:hAnsi="Arial"/>
          <w:sz w:val="19"/>
          <w:szCs w:val="19"/>
          <w:color w:val="auto"/>
        </w:rPr>
      </w:pPr>
      <w:r>
        <w:rPr>
          <w:rFonts w:ascii="Times New Roman" w:cs="Times New Roman" w:eastAsia="Times New Roman" w:hAnsi="Times New Roman"/>
          <w:sz w:val="19"/>
          <w:szCs w:val="19"/>
          <w:color w:val="auto"/>
        </w:rPr>
        <w:t>the Company’s ability to develop and maintain a competitive position in the product categories and technologies on which it focuses;</w:t>
      </w:r>
    </w:p>
    <w:p>
      <w:pPr>
        <w:spacing w:after="0" w:line="50" w:lineRule="exact"/>
        <w:rPr>
          <w:rFonts w:ascii="Arial" w:cs="Arial" w:eastAsia="Arial" w:hAnsi="Arial"/>
          <w:sz w:val="19"/>
          <w:szCs w:val="19"/>
          <w:color w:val="auto"/>
        </w:rPr>
      </w:pPr>
    </w:p>
    <w:p>
      <w:pPr>
        <w:ind w:left="660" w:hanging="331"/>
        <w:spacing w:after="0" w:line="288" w:lineRule="auto"/>
        <w:tabs>
          <w:tab w:leader="none" w:pos="624" w:val="left"/>
        </w:tabs>
        <w:numPr>
          <w:ilvl w:val="0"/>
          <w:numId w:val="71"/>
        </w:numPr>
        <w:rPr>
          <w:rFonts w:ascii="Arial" w:cs="Arial" w:eastAsia="Arial" w:hAnsi="Arial"/>
          <w:sz w:val="20"/>
          <w:szCs w:val="20"/>
          <w:color w:val="auto"/>
        </w:rPr>
      </w:pPr>
      <w:r>
        <w:rPr>
          <w:rFonts w:ascii="Times New Roman" w:cs="Times New Roman" w:eastAsia="Times New Roman" w:hAnsi="Times New Roman"/>
          <w:sz w:val="20"/>
          <w:szCs w:val="20"/>
          <w:color w:val="auto"/>
        </w:rPr>
        <w:t>the time it takes for the Company’s prescription drug product candidates to complete clinical development and receive marketing approval;</w:t>
      </w:r>
    </w:p>
    <w:p>
      <w:pPr>
        <w:ind w:left="620" w:hanging="291"/>
        <w:spacing w:after="0"/>
        <w:tabs>
          <w:tab w:leader="none" w:pos="620" w:val="left"/>
        </w:tabs>
        <w:numPr>
          <w:ilvl w:val="0"/>
          <w:numId w:val="71"/>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ability to obtain required regulatory approvals;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71"/>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ability to commercialize any of its prescription drug product candidates that receive regulatory approval;</w:t>
      </w:r>
    </w:p>
    <w:p>
      <w:pPr>
        <w:spacing w:after="0" w:line="52" w:lineRule="exact"/>
        <w:rPr>
          <w:rFonts w:ascii="Arial" w:cs="Arial" w:eastAsia="Arial" w:hAnsi="Arial"/>
          <w:sz w:val="20"/>
          <w:szCs w:val="20"/>
          <w:color w:val="auto"/>
        </w:rPr>
      </w:pPr>
    </w:p>
    <w:p>
      <w:pPr>
        <w:ind w:left="660" w:hanging="331"/>
        <w:spacing w:after="0" w:line="281" w:lineRule="auto"/>
        <w:tabs>
          <w:tab w:leader="none" w:pos="624" w:val="left"/>
        </w:tabs>
        <w:numPr>
          <w:ilvl w:val="0"/>
          <w:numId w:val="71"/>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ability to establish, maintain and protect intellectual property rights related to its prescription drug product candidates; and</w:t>
      </w:r>
    </w:p>
    <w:p>
      <w:pPr>
        <w:ind w:left="660" w:hanging="331"/>
        <w:spacing w:after="0" w:line="324" w:lineRule="auto"/>
        <w:tabs>
          <w:tab w:leader="none" w:pos="624" w:val="left"/>
        </w:tabs>
        <w:numPr>
          <w:ilvl w:val="0"/>
          <w:numId w:val="71"/>
        </w:numPr>
        <w:rPr>
          <w:rFonts w:ascii="Arial" w:cs="Arial" w:eastAsia="Arial" w:hAnsi="Arial"/>
          <w:sz w:val="20"/>
          <w:szCs w:val="20"/>
          <w:color w:val="auto"/>
        </w:rPr>
      </w:pPr>
      <w:r>
        <w:rPr>
          <w:rFonts w:ascii="Times New Roman" w:cs="Times New Roman" w:eastAsia="Times New Roman" w:hAnsi="Times New Roman"/>
          <w:sz w:val="20"/>
          <w:szCs w:val="20"/>
          <w:color w:val="auto"/>
        </w:rPr>
        <w:t>acceptance of any of the Company’s prescription drug product candidates that receive regulatory approval by physicians and other healthcare providers and payers.</w:t>
      </w:r>
    </w:p>
    <w:p>
      <w:pPr>
        <w:spacing w:after="0" w:line="17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Competitors have developed and may develop technologies that could be the basis for products that challenge the discovery research capabilities of prescription drug product candidates the Company is developing. Some of those products may have an entirely different approach or means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11240"/>
          </w:cols>
          <w:pgMar w:left="320" w:top="1436" w:right="339" w:bottom="1440" w:gutter="0" w:footer="0" w:header="0"/>
        </w:sectPr>
      </w:pPr>
    </w:p>
    <w:bookmarkStart w:id="129" w:name="page130"/>
    <w:bookmarkEnd w:id="129"/>
    <w:p>
      <w:pPr>
        <w:jc w:val="both"/>
        <w:spacing w:after="0" w:line="293" w:lineRule="auto"/>
        <w:rPr>
          <w:sz w:val="20"/>
          <w:szCs w:val="20"/>
          <w:color w:val="auto"/>
        </w:rPr>
      </w:pPr>
      <w:r>
        <w:rPr>
          <w:rFonts w:ascii="Times New Roman" w:cs="Times New Roman" w:eastAsia="Times New Roman" w:hAnsi="Times New Roman"/>
          <w:sz w:val="20"/>
          <w:szCs w:val="20"/>
          <w:color w:val="auto"/>
        </w:rPr>
        <w:t>accomplishing the same desired therapeutic effect than the Company’s prescription drug product candidates and may be more effective or less costly than its prescription drug product candidates. The success of the Company’s competitors and their products and technologies relative to the Company’s technological capabilities and competitiveness could have a material adverse effect on the future preclinical studies and clinical trials of the Company’s prescription drug product candidates, including its ability to obtain the necessary regulatory approvals for the conduct of such clinical trials. This may further negatively impact the Company’s ability to generate future product development programs using psychedelic based compounds.</w:t>
      </w:r>
    </w:p>
    <w:p>
      <w:pPr>
        <w:spacing w:after="0" w:line="205"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If the Company is not able to compete effectively against its current and future competitors, the Company’s business will not grow, and its financial condition and operations will substantially suffer.</w:t>
      </w:r>
    </w:p>
    <w:p>
      <w:pPr>
        <w:spacing w:after="0" w:line="17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Further, there can be no assurance that potential competitors of the Company, which may have greater financial, cultivation, production, sales and marketing experience, and personnel and resources than the Company, are not currently developing, or will not in the future develop, products and strategies that are equally or more effective and/or economical as any products or strategies developed by the Company or which would otherwise render the Company’s business, products and strategies, as applicable, ineffective, or obsolete. Increased competition by larger and better financed competitors could materially and adversely affect the business, financial condition and results of operations of the Company.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Reliance on Key Executives and Scientists</w:t>
      </w:r>
    </w:p>
    <w:p>
      <w:pPr>
        <w:spacing w:after="0" w:line="301"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9"/>
          <w:szCs w:val="19"/>
          <w:color w:val="auto"/>
        </w:rPr>
        <w:t>The loss of key members of the Company’s staff, could harm the Company. The Company does not have employment agreements with all members of its staff, although such employment agreements do not guarantee their retention. The Company also depends on its scientific and clinical collaborators and advisors, all of whom have outside commitments that may limit their availability to the Company. In addition, the Company believes that its future success will depend in large part upon its ability to attract and retain highly skilled scientific, managerial, medical, manufacturing, clinical and regulatory personnel, particularly as the Company expands its activities and seeks regulatory approvals for clinical trials. The Company enters into agreements with its scientific and clinical collaborators and advisors, key opinion leaders and academic partners in the ordinary course of its business. Should key academic and scientific personnel including employees or collaborative partners who work on the development of the Company’s research activities leave, the Company’s current and future development programs may be delayed or adversely affected. Notwithstanding these arrangements, the Company faces significant competition for these types of personnel from other companies, research and academic institutions, government entities and other organizations. The Company cannot predict its success in hiring or retaining the personnel it requires for continued growth. In addition, due to limited financial resources, the Company may not be able to successfully expand its operations due to challenges in recruiting and training qualified new staff. Expansion of personnel may result in significant diversion of management time and resources. The loss of the services of any of the Company’s executive officers or other key personnel could potentially harm its business, operating results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1240"/>
          </w:cols>
          <w:pgMar w:left="320" w:top="1440"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Misconduct</w:t>
      </w:r>
    </w:p>
    <w:p>
      <w:pPr>
        <w:spacing w:after="0" w:line="30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auto"/>
        </w:rPr>
        <w:t>Notwithstanding having established an insider trading policy and code of ethics and business conduct (see the AIF for further details), the Company is exposed to the risk of employee fraud or other misconduct. Misconduct by employees could include failures to comply with Health Canada, the FDA the MHRA the EMA the PDD, and other comparable international authorities’ regulations, provide accurate information to Health Canada, the FDA the MHRA, the EMA, and/or the PDD provide accurate information to Health Canada, the FDA, the MHRA, the EMA and the PDD, comply with manufacturing standards the Company has established, comply with federal and provincial healthcare fraud and abuse laws and regulations, report financial information or data accurately or disclose unauthorized activities to the Company.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the Company’s reputation. If any such actions are instituted against the Company, and the Company is not successful in defending itself or asserting its rights, those actions could have a substantial impact on the Company’s business and results of operations, including the imposition of substantial fines or other sanctions.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Expansion and Growth</w:t>
      </w:r>
    </w:p>
    <w:p>
      <w:pPr>
        <w:spacing w:after="0" w:line="30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 may in the future seek to expand its pipeline and capabilities by acquiring one or more companies or businesses, entering into collaborations, or in-licensing one or more prescription drug product candidates. Acquisitions, collaborations and in-licences involve numerous risks, including, but not limited to substantial cash expenditures, technology development risks, potentially dilutive issuances of equity securities, incurrence of debt and contingent liabilities, some of which may be difficult or impossible to identify at the time of acquisition, difficulties in assimilating the operations of the acquired companies, entering markets in which the Company has limited or no direct experience, and potential loss of the Company’s key employees or key employees of the acquired companies or businesses.</w:t>
      </w:r>
    </w:p>
    <w:p>
      <w:pPr>
        <w:spacing w:after="0" w:line="20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The Company has experience in making acquisitions, entering collaborations and in-licensing prescription drug product candidates; however, the Company cannot provide assurance that any acquisition, collaboration or in-licence will result in short-term or long-term benefits to it. The Company may incorrectly judge the value or worth of an acquired company or business or in-licensed prescription drug product candidate. In addition, the Company’s future success would depend in part on its ability to manage the rapid growth associated with some of these acquisitions, collaborations and in-licences. The Company cannot provide assurance that it would be able to successfully combine its business with that of acquired businesses, manage a collaboration or integrate in-licensed prescription drug product candidates. Furthermore, the development or expansion of the Company’s business may require a substantial capital investment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1900" w:h="16838" w:orient="portrait"/>
          <w:cols w:equalWidth="0" w:num="1">
            <w:col w:w="11240"/>
          </w:cols>
          <w:pgMar w:left="320" w:top="1436"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b w:val="1"/>
          <w:bCs w:val="1"/>
          <w:i w:val="1"/>
          <w:iCs w:val="1"/>
          <w:color w:val="auto"/>
        </w:rPr>
        <w:t>Negative Results of External Clinical Trials or Studies</w:t>
      </w:r>
    </w:p>
    <w:p>
      <w:pPr>
        <w:spacing w:after="0" w:line="3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From time to time, studies or clinical trials on various aspects of breakthrough neuropsychiatry products are conducted by academic researchers, competitors or others. The results of these studies or trials, when published, may have a significant effect on the market for the breakthrough neuropsychiatry product that is the subject of the study. The publication of negative results of studies or clinical trials or adverse safety events related to the Company’s prescription drug product candidates, or the therapeutic areas in which the Company’s prescription drug product candidates compete, could adversely affect its share price and the Company’s ability to finance future development of its prescription drug product candidates, and its business and financial results could be materially and adversely affected.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Liability</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currently does not carry any product liability insurance coverage. Even though the Company is not aware of any product liability claims at this time, its business exposes itself to potential product liability, recalls and other liability risks that are inherent in the sale of consumer products. The Company can provide no assurance that such potential claims will not be asserted against it. A successful liability claim or series of claims brought against the Company could have a material adverse effect on its business, financial condition and results of operations.</w:t>
      </w:r>
    </w:p>
    <w:p>
      <w:pPr>
        <w:spacing w:after="0" w:line="20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Although the Company intends to obtain adequate product liability insurance, it cannot provide any assurances that it will be able to obtain or maintain adequate product liability insurance of on acceptable terms, if at all, or that such insurance will provide adequate coverage against potential liabilities. Claims or losses in excess of any product liability cover that may be obtained by the Company could have a material adverse effect on its business, financial conditional and results of operations.</w:t>
      </w:r>
    </w:p>
    <w:p>
      <w:pPr>
        <w:spacing w:after="0" w:line="21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Some of the Company’s agreements with third parties might require it to maintain product liability insurance. If the Company cannot obtain acceptable amounts of coverage on commercially reasonable terms in accordance with the terms set forth in these agreements, the corresponding agreements would be subject to termination, which could have a material adverse impact on its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Enforcing Contracts</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Due to the nature of the business of the Company and the fact that certain of its contracts involve psilocybin/psilocin, the use of which is not legal under Canadian or U.S. federal law and in certain other jurisdictions, the Company may face difficulties in enforcing its contracts in Canadian or U.S. federal and state courts. The inability to enforce any of its contracts could have a material adverse effect on its business, operating results, financial condition or prospects.</w:t>
      </w:r>
    </w:p>
    <w:p>
      <w:pPr>
        <w:spacing w:after="0" w:line="21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In order to manage its contracts with contractors, the Company will ensure that such contractors are appropriately licensed. Were such contractors to operate outside the terms of these licences, the Company may experience an adverse effect on its business, including the pace of development of its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1900" w:h="16838" w:orient="portrait"/>
          <w:cols w:equalWidth="0" w:num="1">
            <w:col w:w="11240"/>
          </w:cols>
          <w:pgMar w:left="320" w:top="1436" w:right="339" w:bottom="1440" w:gutter="0" w:footer="0" w:header="0"/>
        </w:sectPr>
      </w:pPr>
    </w:p>
    <w:bookmarkStart w:id="132" w:name="page133"/>
    <w:bookmarkEnd w:id="132"/>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and Material Recalls</w:t>
      </w:r>
    </w:p>
    <w:p>
      <w:pPr>
        <w:spacing w:after="0" w:line="3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Manufacturers, producers and distributors of products are sometimes subject to the recall or return of their products for a variety of reasons, including product defects, such as contamination, unintended harmful side effects or interactions with other substances, packaging safety storage deficiencies and inadequate or inaccurate labelling disclosure. If any of the Company’s products are recalled due to an alleged product defect or for any other reason, the Company could be required to incur the unexpected expense of the recall and any legal proceedings that might arise in connection with the recall. Company may have to recall material being used in a clinical trial resulting in delays to the trial and additional manufacturing expenses, if further drug product is required. If the product is already commercialized, the Company may lose a significant amount of sales and may not be able to replace those sales at an acceptable margin or at all. In addition, a product recall may require significant management attention.</w:t>
      </w:r>
    </w:p>
    <w:p>
      <w:pPr>
        <w:spacing w:after="0" w:line="22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Although the Company’s suppliers have detailed procedures in place for testing its products, there can be no assurance that any quality, potency or contamination problems will be detected in time to avoid unforeseen product recalls, regulatory action or lawsuits. Additionally, if the Company is subject to recall, the image of the Company could be harmed. A recall for any of the foregoing reasons could lead to decreased demand for the Company’s products and could have a material adverse effect on the results of operations and financial condition of the Company. Additionally, product recalls may lead to increased scrutiny of the Company’s operations by regulatory agencies, requiring further management attention, potential loss of applicable licences and potential legal fees and other expenses.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Distribution and Supply Chain Interruption</w:t>
      </w:r>
    </w:p>
    <w:p>
      <w:pPr>
        <w:spacing w:after="0" w:line="28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 is susceptible to risks relating to distributor and supply chain interruptions. Distribution in the U.S., Canada, the EU, the UK and other jurisdictions will be largely accomplished through independent contractors, therefore, an interruption (e.g., a labour strike) for any length of time affecting such independent contractors may have a significant impact on the Company’s ability to sell or manufacture its products. Supply chain interruptions, including a production or inventory disruption, could impact product quality and availability. Inherent to producing products is a potential for shortages or surpluses in future years if demand and supply are materially different from long-term forecasts. The Company monitors category trends and regularly reviews maturing inventory levels.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Difficulty to Forecast</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must rely largely on its own market research to forecast sales as detailed forecasts are not generally obtainable from other sources at this early stage of the psychedelic pharmaceutical industry. A failure in the demand for the Company’s psychedelic pharmaceutical industry products to materialize as a result of competition, technological change or other factors could have a material adverse effect on the business, results of operations and financial condition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1900" w:h="16838" w:orient="portrait"/>
          <w:cols w:equalWidth="0" w:num="1">
            <w:col w:w="11240"/>
          </w:cols>
          <w:pgMar w:left="320" w:top="1440"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0"/>
          <w:szCs w:val="20"/>
          <w:b w:val="1"/>
          <w:bCs w:val="1"/>
          <w:i w:val="1"/>
          <w:iCs w:val="1"/>
          <w:color w:val="auto"/>
        </w:rPr>
        <w:t>Promoting the Brand</w:t>
      </w:r>
    </w:p>
    <w:p>
      <w:pPr>
        <w:spacing w:after="0" w:line="30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Promoting the Company’s brand will be critical to creating and expanding a customer base. Promoting the brand will depend largely on the Company’s ability to provide psychedelic pharmaceutical products to the market. Further, the Company may, in the future, introduce new products or services that its customers do not like, which may negatively affect the brand and reputation. If the Company fails to successfully promote its brand or if it incurs excessive expenses in this effort, its business and financial results from operations could be materially adversely affected.</w:t>
      </w:r>
    </w:p>
    <w:p>
      <w:pPr>
        <w:spacing w:after="0" w:line="20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If there are changes in the applicable regulatory framework governing the promotion, branding and marketing of the Company’s products, the Company’s ability to promote and sell its products may be impaired, and it may incur substantial additional expense to comply with regulatory requirements, which could materially adversely affect its business, financial condition and results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Viability</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If the Company’s psychedelic pharmaceutical products are not perceived to have the effects intended by the end user, the Company’s business may suffer. In general, psychedelic pharmaceutical products have minimal long-term data with respect to efficacy, unknown side effects and/or interaction with individual human biochemistry or other supplements or medications. As a result, the Company’s psychedelic pharmaceutical products could have certain side effects if not used as directed or if taken by an end user that has certain known or unknown medical conditions.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Success of Quality Control Systems</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quality and safety of the Company’s products are critical to the success of its business and operations. As such, it is imperative that the Company (and its service providers’) quality control systems operate effectively and successfully. Quality control systems can be negatively impacted by the design of the quality control systems, the quality of training programs and adherence by employees to quality control guidelines. Any significant failure or deterioration of such quality control systems could have a material adverse effect on the Company’s business and operating results.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Reliance on Key Inputs</w:t>
      </w:r>
    </w:p>
    <w:p>
      <w:pPr>
        <w:spacing w:after="0" w:line="301"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9"/>
          <w:szCs w:val="19"/>
          <w:color w:val="auto"/>
        </w:rPr>
        <w:t>The Company’s business is expected to be dependent on a number of key inputs and their related costs including raw materials and supplies. Any significant interruption or negative change in the availability or economics of the supply chain for key inputs could materially impact the business, financial condition and operating results of the Company. Any inability to secure required supplies and services or to do so on appropriate terms could have a materially adverse impact on the business, financial condition and operating results of the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Liability Arising from Fraudulent or Illegal Activity</w:t>
      </w:r>
    </w:p>
    <w:p>
      <w:pPr>
        <w:spacing w:after="0" w:line="2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is exposed to the risk that its employees, independent contractors, consultants, service providers and licensors may engage in fraudulent or other illegal activity. Misconduct by these parties could include intentional undertakings of unauthorized activities, or reckless or negligent undertakings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1900" w:h="16838" w:orient="portrait"/>
          <w:cols w:equalWidth="0" w:num="1">
            <w:col w:w="11240"/>
          </w:cols>
          <w:pgMar w:left="320" w:top="1436" w:right="339" w:bottom="1440" w:gutter="0" w:footer="0" w:header="0"/>
        </w:sectPr>
      </w:pPr>
    </w:p>
    <w:bookmarkStart w:id="134" w:name="page135"/>
    <w:bookmarkEnd w:id="134"/>
    <w:p>
      <w:pPr>
        <w:jc w:val="both"/>
        <w:spacing w:after="0" w:line="296" w:lineRule="auto"/>
        <w:rPr>
          <w:sz w:val="20"/>
          <w:szCs w:val="20"/>
          <w:color w:val="auto"/>
        </w:rPr>
      </w:pPr>
      <w:r>
        <w:rPr>
          <w:rFonts w:ascii="Times New Roman" w:cs="Times New Roman" w:eastAsia="Times New Roman" w:hAnsi="Times New Roman"/>
          <w:sz w:val="20"/>
          <w:szCs w:val="20"/>
          <w:color w:val="auto"/>
        </w:rPr>
        <w:t>of authorized activities, in each case on the Company’s behalf or in its service that violate (i) various laws and regulations, including healthcare laws and regulations, (ii) laws that require the true, complete and accurate reporting of financial information or data, (iii) the terms of the Company’s agreements with third parties. Such misconduct could expose the Company to, among other things, class actions and other litigation, increased regulatory inspections and related sanctions, and lost sales and revenue or reputational damage.</w:t>
      </w:r>
    </w:p>
    <w:p>
      <w:pPr>
        <w:spacing w:after="0" w:line="21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The precautions taken by the Company to detect and prevent this activity may not be effective in controlling unknown or unmanaged risks or losses or in protecting the Company from governmental investigations or other actions or lawsuits stemming from a failure to be in compliance with such laws or regulations. Such misconduct may result in legal action, significant fines or other sanctions and could result in loss of any regulatory licence held by the Company at such time. The Company may be subject to security breaches at its facilities or in respect of electronic document or data storage, which could lead to breaches of applicable privacy laws and associated sanctions or civil or criminal penalties; events, including those beyond the control of the Company, may damage its operations. In addition, these events may negatively affect customers’ demand for the Company’s products. Such events include, but are not limited to, non-performance by third party contractors; increases in materials or labour costs; breakdown or failure of equipment; failure of quality control processes; contractor or operator errors; and major incidents and/or catastrophic events such as fires, explosions, earthquakes or storms. As a result, there is a risk that the Company may not have the capacity to meet customer demand or to meet future demand when it arises. Failure to comply with health and safety laws and regulations may result in additional costs for corrective measures, penalties or in restrictions on the Company’s manufacturing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Risk and Insurance Coverage</w:t>
      </w:r>
    </w:p>
    <w:p>
      <w:pPr>
        <w:spacing w:after="0" w:line="30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 has directors and officers insurance to protect its assets, operations and employees. The Company’s insurance is subject to coverage limits and exclusions and may not be available for the risks and hazards to which the Company is expected to be exposed. In addition, no assurance can be given that such insurance will be adequate to cover the Company’s liabilities or will be generally available in the future, or if available, that premiums will be commercially justifiable. If the Company were to incur substantial liability and such damages were not covered by insurance or were in excess of policy limits, or if the Company were to incur such liability at a time when it is not able to obtain liability insurance, its business, results of operations and financial condition could be materially adversely affected.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Costs of Operating as Public Company</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As a public company, the Company will incur significant legal, accounting and other expenses. As a public company, the Company is subject to various securities rules and regulations, which impose various requirements on the Company, including the requirement to establish and maintain effective disclosure and financial controls and corporate governance practices. The Company’s management and other personnel need to devote a substantial amount of time to these compliance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1900" w:h="16838" w:orient="portrait"/>
          <w:cols w:equalWidth="0" w:num="1">
            <w:col w:w="11240"/>
          </w:cols>
          <w:pgMar w:left="320" w:top="1440" w:right="339" w:bottom="1440" w:gutter="0" w:footer="0" w:header="0"/>
        </w:sectPr>
      </w:pPr>
    </w:p>
    <w:bookmarkStart w:id="135" w:name="page136"/>
    <w:bookmarkEnd w:id="135"/>
    <w:p>
      <w:pPr>
        <w:jc w:val="both"/>
        <w:spacing w:after="0" w:line="325" w:lineRule="auto"/>
        <w:rPr>
          <w:sz w:val="20"/>
          <w:szCs w:val="20"/>
          <w:color w:val="auto"/>
        </w:rPr>
      </w:pPr>
      <w:r>
        <w:rPr>
          <w:rFonts w:ascii="Times New Roman" w:cs="Times New Roman" w:eastAsia="Times New Roman" w:hAnsi="Times New Roman"/>
          <w:sz w:val="20"/>
          <w:szCs w:val="20"/>
          <w:color w:val="auto"/>
        </w:rPr>
        <w:t>Moreover, these rules and regulations will increase the Company’s legal and financial compliance costs and make some activities more time-consuming and costly.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 of Growth</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may be subject to growth-related risks, including capacity constraints and pressure on its internal systems and controls. The ability of the Company to manage growth effectively will require it to continue to implement and improve its operational and financial systems and to expand, train and manage its employee base. The inability of the Company to deal with this growth may have a material adverse effect on the Company’s business, financial condition, results of operations and prospects.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Conflicts of Interest</w:t>
      </w:r>
    </w:p>
    <w:p>
      <w:pPr>
        <w:spacing w:after="0" w:line="28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 may be subject to various potential conflicts of interest because of the fact that some of its officers and directors may be engaged in a range of business activities. The Company’s executive officers and directors may devote time to their outside business interests, so long as such activities do not materially or adversely interfere with their duties to the Company. In some cases, the Company’s executive officers and directors may have fiduciary obligations associated with these business interests that interfere with their ability to devote time to the Company’s business and affairs and that could adversely affect the Company’s operations. These outside business interests could require significant time and attention of the Company’s executive officers and directors.</w:t>
      </w:r>
    </w:p>
    <w:p>
      <w:pPr>
        <w:spacing w:after="0" w:line="20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In addition, the Company may also become involved in other transactions which conflict with the interests of its directors and the officers who may from time-to-time deal with persons, firms, institutions or companies with which the Company may be dealing, or which may be seeking investments similar to those desired by it. The interests of these persons could conflict with those of the Company, and from time to time, these persons may be competing with the Company for available investment opportunities.</w:t>
      </w:r>
    </w:p>
    <w:p>
      <w:pPr>
        <w:spacing w:after="0" w:line="19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Conflicts of interest, if any, will be subject to the procedures and remedies provided under applicable laws. In particular, in the event that such a conflict of interest arises at a meeting of the Company’s directors, a director who has such a conflict will abstain from voting for or against the approval of such participation or such terms. In accordance with applicable laws, the Board is required to act honestly, in good faith and in the best interests of the 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Operations</w:t>
      </w:r>
    </w:p>
    <w:p>
      <w:pPr>
        <w:spacing w:after="0" w:line="30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In addition to operations carried out in Canada and the UK, the Company intends to carry out international operations through an office in Ireland. As a result, the Company may be subject to political, economic and other uncertainties, including, but not limited to, additional implications that may have a material impact on the Company’s ability to operate in other jurisdictions including:</w:t>
      </w:r>
    </w:p>
    <w:p>
      <w:pPr>
        <w:spacing w:after="0" w:line="195" w:lineRule="exact"/>
        <w:rPr>
          <w:sz w:val="20"/>
          <w:szCs w:val="20"/>
          <w:color w:val="auto"/>
        </w:rPr>
      </w:pPr>
    </w:p>
    <w:p>
      <w:pPr>
        <w:ind w:left="620" w:hanging="291"/>
        <w:spacing w:after="0"/>
        <w:tabs>
          <w:tab w:leader="none" w:pos="620" w:val="left"/>
        </w:tabs>
        <w:numPr>
          <w:ilvl w:val="0"/>
          <w:numId w:val="72"/>
        </w:numPr>
        <w:rPr>
          <w:rFonts w:ascii="Arial" w:cs="Arial" w:eastAsia="Arial" w:hAnsi="Arial"/>
          <w:sz w:val="20"/>
          <w:szCs w:val="20"/>
          <w:color w:val="auto"/>
        </w:rPr>
      </w:pPr>
      <w:r>
        <w:rPr>
          <w:rFonts w:ascii="Times New Roman" w:cs="Times New Roman" w:eastAsia="Times New Roman" w:hAnsi="Times New Roman"/>
          <w:sz w:val="20"/>
          <w:szCs w:val="20"/>
          <w:color w:val="auto"/>
        </w:rPr>
        <w:t>differences in the regulatory requirements for drug approvals;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72"/>
        </w:numPr>
        <w:rPr>
          <w:rFonts w:ascii="Arial" w:cs="Arial" w:eastAsia="Arial" w:hAnsi="Arial"/>
          <w:sz w:val="20"/>
          <w:szCs w:val="20"/>
          <w:color w:val="auto"/>
        </w:rPr>
      </w:pPr>
      <w:r>
        <w:rPr>
          <w:rFonts w:ascii="Times New Roman" w:cs="Times New Roman" w:eastAsia="Times New Roman" w:hAnsi="Times New Roman"/>
          <w:sz w:val="20"/>
          <w:szCs w:val="20"/>
          <w:color w:val="auto"/>
        </w:rPr>
        <w:t>differing requirements for securing, maintaining or obtaining freedom to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1900" w:h="16838" w:orient="portrait"/>
          <w:cols w:equalWidth="0" w:num="1">
            <w:col w:w="11240"/>
          </w:cols>
          <w:pgMar w:left="320" w:top="1440" w:right="339" w:bottom="1440" w:gutter="0" w:footer="0" w:header="0"/>
        </w:sectPr>
      </w:pPr>
    </w:p>
    <w:bookmarkStart w:id="136" w:name="page137"/>
    <w:bookmarkEnd w:id="136"/>
    <w:p>
      <w:pPr>
        <w:ind w:left="620" w:hanging="291"/>
        <w:spacing w:after="0"/>
        <w:tabs>
          <w:tab w:leader="none" w:pos="620" w:val="left"/>
        </w:tabs>
        <w:numPr>
          <w:ilvl w:val="0"/>
          <w:numId w:val="73"/>
        </w:numPr>
        <w:rPr>
          <w:rFonts w:ascii="Arial" w:cs="Arial" w:eastAsia="Arial" w:hAnsi="Arial"/>
          <w:sz w:val="20"/>
          <w:szCs w:val="20"/>
          <w:color w:val="auto"/>
        </w:rPr>
      </w:pPr>
      <w:r>
        <w:rPr>
          <w:rFonts w:ascii="Times New Roman" w:cs="Times New Roman" w:eastAsia="Times New Roman" w:hAnsi="Times New Roman"/>
          <w:sz w:val="20"/>
          <w:szCs w:val="20"/>
          <w:color w:val="auto"/>
        </w:rPr>
        <w:t>the potential for reduced protection for intellectual property rights;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73"/>
        </w:numPr>
        <w:rPr>
          <w:rFonts w:ascii="Arial" w:cs="Arial" w:eastAsia="Arial" w:hAnsi="Arial"/>
          <w:sz w:val="20"/>
          <w:szCs w:val="20"/>
          <w:color w:val="auto"/>
        </w:rPr>
      </w:pPr>
      <w:r>
        <w:rPr>
          <w:rFonts w:ascii="Times New Roman" w:cs="Times New Roman" w:eastAsia="Times New Roman" w:hAnsi="Times New Roman"/>
          <w:sz w:val="20"/>
          <w:szCs w:val="20"/>
          <w:color w:val="auto"/>
        </w:rPr>
        <w:t>challenges with compliance to different regulations and court systems of multiple jurisdictions and</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73"/>
        </w:numPr>
        <w:rPr>
          <w:rFonts w:ascii="Arial" w:cs="Arial" w:eastAsia="Arial" w:hAnsi="Arial"/>
          <w:sz w:val="20"/>
          <w:szCs w:val="20"/>
          <w:color w:val="auto"/>
        </w:rPr>
      </w:pPr>
      <w:r>
        <w:rPr>
          <w:rFonts w:ascii="Times New Roman" w:cs="Times New Roman" w:eastAsia="Times New Roman" w:hAnsi="Times New Roman"/>
          <w:sz w:val="20"/>
          <w:szCs w:val="20"/>
          <w:color w:val="auto"/>
        </w:rPr>
        <w:t>compliance with a wide variety of foreign laws, treaties and regulations;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73"/>
        </w:numPr>
        <w:rPr>
          <w:rFonts w:ascii="Arial" w:cs="Arial" w:eastAsia="Arial" w:hAnsi="Arial"/>
          <w:sz w:val="20"/>
          <w:szCs w:val="20"/>
          <w:color w:val="auto"/>
        </w:rPr>
      </w:pPr>
      <w:r>
        <w:rPr>
          <w:rFonts w:ascii="Times New Roman" w:cs="Times New Roman" w:eastAsia="Times New Roman" w:hAnsi="Times New Roman"/>
          <w:sz w:val="20"/>
          <w:szCs w:val="20"/>
          <w:color w:val="auto"/>
        </w:rPr>
        <w:t>differing reimbursement regimes and price controls in certain international markets;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73"/>
        </w:numPr>
        <w:rPr>
          <w:rFonts w:ascii="Arial" w:cs="Arial" w:eastAsia="Arial" w:hAnsi="Arial"/>
          <w:sz w:val="20"/>
          <w:szCs w:val="20"/>
          <w:color w:val="auto"/>
        </w:rPr>
      </w:pPr>
      <w:r>
        <w:rPr>
          <w:rFonts w:ascii="Times New Roman" w:cs="Times New Roman" w:eastAsia="Times New Roman" w:hAnsi="Times New Roman"/>
          <w:sz w:val="20"/>
          <w:szCs w:val="20"/>
          <w:color w:val="auto"/>
        </w:rPr>
        <w:t>differing labor relations that create challenges with staffing and managing international operations; and</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73"/>
        </w:numPr>
        <w:rPr>
          <w:rFonts w:ascii="Arial" w:cs="Arial" w:eastAsia="Arial" w:hAnsi="Arial"/>
          <w:sz w:val="20"/>
          <w:szCs w:val="20"/>
          <w:color w:val="auto"/>
        </w:rPr>
      </w:pPr>
      <w:r>
        <w:rPr>
          <w:rFonts w:ascii="Times New Roman" w:cs="Times New Roman" w:eastAsia="Times New Roman" w:hAnsi="Times New Roman"/>
          <w:sz w:val="20"/>
          <w:szCs w:val="20"/>
          <w:color w:val="auto"/>
        </w:rPr>
        <w:t>impacts on manufacturing capabilities leading to production shortages.</w:t>
      </w:r>
    </w:p>
    <w:p>
      <w:pPr>
        <w:spacing w:after="0" w:line="282"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The Company’s international operations may also be adversely affected by laws and policies of Canada affecting foreign trade, taxation and investment. In the event of a dispute arising in connection with its foreign operations, the Company may be subject to the exclusive jurisdiction of foreign courts or may not be successful in subjecting foreign persons to the jurisdiction of courts in Canada or enforcing Canadian judgments in foreign jurisdictions.</w:t>
      </w:r>
    </w:p>
    <w:p>
      <w:pPr>
        <w:spacing w:after="0" w:line="19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Similarly, to the extent that the Company’s assets are located outside of Canada, investors may have difficulty collecting from the Company any judgments obtained in the Canadian courts and predicated on the civil liability provisions of securities laws. Consequently, investors may be effectively prevented from pursuing remedies against the Company under Canadian securities laws or otherwise. The Company may also be hindered or prevented from enforcing its rights with respect to a governmental entity or instrumentality because of the doctrine of sovereign immunity.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Exchange Rate Fluctuations</w:t>
      </w:r>
    </w:p>
    <w:p>
      <w:pPr>
        <w:spacing w:after="0" w:line="28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Due to the international scope of the Company’s current and future operations, the Company’s assets, future earnings and cash flows may be influenced by movements in exchange rates of several currencies, particularly the British Pound, the United States dollar, Canadian Dollar and the Euro. The Company’s reporting currency is denominated in United States dollars and the Company’s functional currency is the United States dollar and the majority of the Company’s operating expenses are paid in United States dollars. The Company may also regularly acquire services, consumables and materials in British Pounds, United States dollars, Canadian dollars and other currencies. Further, future revenue may be derived from abroad. As a result, the Company’s business and the price of the Company’s products may be affected by fluctuations in foreign exchange rates between the British Pound, the United States dollar, the Canadian dollar and other currencies, which may also have a significant impact on the Company’s results of operations and cash flows from period to period. Currently, the Company does not have any exchange rate hedging arrangements in place.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Cybersecurity and Privacy Risk</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Company’s information systems and any third-party service providers and vendors are vulnerable to an increasing threat of continually evolving cybersecurity risks. These risks may take the form of malware, computer viruses, cyber threats, extortion, employee error, malfeasance, system errors or other types of risks, and may occur from inside or outside of the respective organizations. Cybersecurity risk is increasingly difficult to identify and quantify and cannot be fully mitigated because of the rapidly evolving nature of the threats, targets and consequences. Additionally,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ectPr>
          <w:pgSz w:w="11900" w:h="16838" w:orient="portrait"/>
          <w:cols w:equalWidth="0" w:num="1">
            <w:col w:w="11240"/>
          </w:cols>
          <w:pgMar w:left="320" w:top="1440" w:right="339" w:bottom="1440" w:gutter="0" w:footer="0" w:header="0"/>
        </w:sectPr>
      </w:pPr>
    </w:p>
    <w:bookmarkStart w:id="137" w:name="page138"/>
    <w:bookmarkEnd w:id="137"/>
    <w:p>
      <w:pPr>
        <w:jc w:val="both"/>
        <w:spacing w:after="0" w:line="292" w:lineRule="auto"/>
        <w:rPr>
          <w:sz w:val="20"/>
          <w:szCs w:val="20"/>
          <w:color w:val="auto"/>
        </w:rPr>
      </w:pPr>
      <w:r>
        <w:rPr>
          <w:rFonts w:ascii="Times New Roman" w:cs="Times New Roman" w:eastAsia="Times New Roman" w:hAnsi="Times New Roman"/>
          <w:sz w:val="20"/>
          <w:szCs w:val="20"/>
          <w:color w:val="auto"/>
        </w:rPr>
        <w:t>unauthorized parties may attempt to gain access to these systems through fraud or other means of deceiving third-party service providers, employees or vendors. The Company’s operations depend, in part, on how well networks, equipment, IT systems and software are protected against damage from a number of threats. These operations also depend on the timely maintenance, upgrade and replacement of networks, equipment, IT systems and software, as well as pre-emptive expenses to mitigate the risks of failures. However, if the Company is unable or delayed in maintaining, upgrading or replacing IT systems and software, the risk of a cybersecurity incident could materially increase. Any of these and other events could result in information system failures, delays and/or increases in capital expenses. The failure of information systems or a component of information systems could, depending on the nature of any such failure, adversely impact the Company’s reputation and results of operations.</w:t>
      </w:r>
    </w:p>
    <w:p>
      <w:pPr>
        <w:spacing w:after="0" w:line="20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may collect and store certain personal information about customers and are responsible for protecting such information from privacy breaches. A privacy breach may occur through procedural or process failure, information technology malfunction, or deliberate unauthorized intrusions. In addition, theft of data is an ongoing risk whether perpetrated via employee collusion or negligence or through deliberate cyber-attack. Any such privacy breach or theft could have a material adverse effect on the Company’s business, financial condition and results of operations.</w:t>
      </w:r>
    </w:p>
    <w:p>
      <w:pPr>
        <w:spacing w:after="0" w:line="20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 xml:space="preserve">In addition, there are a number of laws protecting the confidentiality of certain patient health information, including patient records, and restricting the use and disclosure of that protected information. In particular, the privacy rules under the </w:t>
      </w:r>
      <w:r>
        <w:rPr>
          <w:rFonts w:ascii="Times New Roman" w:cs="Times New Roman" w:eastAsia="Times New Roman" w:hAnsi="Times New Roman"/>
          <w:sz w:val="20"/>
          <w:szCs w:val="20"/>
          <w:i w:val="1"/>
          <w:iCs w:val="1"/>
          <w:color w:val="auto"/>
        </w:rPr>
        <w:t>Personal Information Protection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Electronics Documents Act </w:t>
      </w:r>
      <w:r>
        <w:rPr>
          <w:rFonts w:ascii="Times New Roman" w:cs="Times New Roman" w:eastAsia="Times New Roman" w:hAnsi="Times New Roman"/>
          <w:sz w:val="20"/>
          <w:szCs w:val="20"/>
          <w:color w:val="auto"/>
        </w:rPr>
        <w:t>(Canada) (“</w:t>
      </w:r>
      <w:r>
        <w:rPr>
          <w:rFonts w:ascii="Times New Roman" w:cs="Times New Roman" w:eastAsia="Times New Roman" w:hAnsi="Times New Roman"/>
          <w:sz w:val="20"/>
          <w:szCs w:val="20"/>
          <w:b w:val="1"/>
          <w:bCs w:val="1"/>
          <w:color w:val="auto"/>
        </w:rPr>
        <w:t>PIPEDA</w:t>
      </w:r>
      <w:r>
        <w:rPr>
          <w:rFonts w:ascii="Times New Roman" w:cs="Times New Roman" w:eastAsia="Times New Roman" w:hAnsi="Times New Roman"/>
          <w:sz w:val="20"/>
          <w:szCs w:val="20"/>
          <w:color w:val="auto"/>
        </w:rPr>
        <w:t>”) and where applicable, provincial legislation governing personal health information,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protect medical records and other personal health information by limiting their use and disclosure of health information to the minimum level reasonably necessary to accomplish the intended purpose. If the Company were found to be in violation of the privacy or security rules under PIPEDA or other laws protecting the confidentiality of medical patients health information, the Company could be subject to sanctions and civil or criminal penalties, which could increase its liabilities, harm its reputation and have a material adverse effect on the Company’s business, financial condition and results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Regulation and Risks</w:t>
      </w:r>
    </w:p>
    <w:p>
      <w:pPr>
        <w:spacing w:after="0" w:line="28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Company’s operations are subject to environmental regulations that mandate, among other things, the maintenance of air and water quality standards and land reclamation. They also set forth limitations on the generation, transportation, storage and disposal of solid and hazardous waste. Environmental legislation is evolving in a manner which could include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the Company’s operations.</w:t>
      </w:r>
    </w:p>
    <w:p>
      <w:pPr>
        <w:spacing w:after="0" w:line="219"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20"/>
          <w:szCs w:val="20"/>
          <w:color w:val="auto"/>
        </w:rPr>
        <w:t>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1900" w:h="16838" w:orient="portrait"/>
          <w:cols w:equalWidth="0" w:num="1">
            <w:col w:w="11240"/>
          </w:cols>
          <w:pgMar w:left="320" w:top="1440" w:right="339" w:bottom="1440" w:gutter="0" w:footer="0" w:header="0"/>
        </w:sectPr>
      </w:pPr>
    </w:p>
    <w:bookmarkStart w:id="138" w:name="page139"/>
    <w:bookmarkEnd w:id="138"/>
    <w:p>
      <w:pPr>
        <w:jc w:val="both"/>
        <w:spacing w:after="0" w:line="355" w:lineRule="auto"/>
        <w:rPr>
          <w:sz w:val="20"/>
          <w:szCs w:val="20"/>
          <w:color w:val="auto"/>
        </w:rPr>
      </w:pPr>
      <w:r>
        <w:rPr>
          <w:rFonts w:ascii="Times New Roman" w:cs="Times New Roman" w:eastAsia="Times New Roman" w:hAnsi="Times New Roman"/>
          <w:sz w:val="19"/>
          <w:szCs w:val="19"/>
          <w:color w:val="auto"/>
        </w:rPr>
        <w:t>expenditures, installation of additional equipment, or remedial actions. The Company may be required to compensate those suffering loss or damage by reason of its operations and may have civil or criminal fines or penalties imposed for violations of applicable laws or regulations.</w:t>
      </w:r>
    </w:p>
    <w:p>
      <w:pPr>
        <w:spacing w:after="0" w:line="15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Amendments to current laws, regulations and permits governing psychedelics and related products, or more stringent implementation thereof, could have a material adverse impact on the Company and cause increases in expenses, capital expenditures or production costs or reduction in levels of production or require abandonment or delays in development.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Decriminalization of Psychedelics</w:t>
      </w:r>
    </w:p>
    <w:p>
      <w:pPr>
        <w:spacing w:after="0" w:line="28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Despite the current status of many psychotropic substances as a Schedule II and Schedule I controlled substances in the United States and Canada, respectively, there may be changes in the status of some of these substances under the laws of certain jurisdictions. Possession of psilocybin, for example, was voted to be decriminalized in May 2019 in Denver and in November 2020, voters in Oregon approved the legal medical use of “psilocybin products,” including magic mushrooms, to treat mental health conditions in licensed facilities with registered therapists (Measure 109). The legalization of psychedelics with inadequate regulatory oversight may lead to the development of psychotropic tourism in such states in clinics without proper therapeutic infrastructure or adequate clinical research. The expansion of such an industry which could put patients at risk may bring reputational and regulatory risk to the entire industry, leading to challenges for the Company to achieve regulatory approval. The legalization of psilocybin, psilocin, DMT,and potentially other psychotropic compounds in the future may also impact commercial sales for the Company due to a reduced barrier to entry leading to a risk of increasing competition.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Forward-Looking Statements May Prove to be Inaccurate</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Investors should not place undue reliance on forward-looking statements. By their nature, forward-looking statements involve numerous assumptions, known and unknown risks and uncertainties, of both general and specific nature, that could cause actual results to differ materially from those suggested by the forward-looking statements or contribute to the possibility that predictions, forecasts or projections will prove to be materially inaccurate.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Effects of Inflation</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Global markets have experienced increased rates of inflation. Inflation itself, as well as certain governmental efforts to combat inflation, may have significant negative effects on any economy which the Company does business. Past governmental efforts to curb inflation have involved certain drastic economic measures, which had a materially adverse impact on the level of economic activity in these countries. Any future economic measures to curb inflation could be expected to have similar adverse effects on the level of economic activity in the market which the Company does business and, in turn, on the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ectPr>
          <w:pgSz w:w="11900" w:h="16838" w:orient="portrait"/>
          <w:cols w:equalWidth="0" w:num="1">
            <w:col w:w="11240"/>
          </w:cols>
          <w:pgMar w:left="320" w:top="1440"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20"/>
          <w:szCs w:val="20"/>
          <w:b w:val="1"/>
          <w:bCs w:val="1"/>
          <w:i w:val="1"/>
          <w:iCs w:val="1"/>
          <w:color w:val="auto"/>
        </w:rPr>
        <w:t>Political and Economic Conditions</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Political and economic conditions directly affect the Company’s business and can result in a material adverse effect on the Company. Macroeconomic policies imposed by foreign governments could have significant impact on the Company. As certain global markets experience increased inflation, certain government actions to control inflation may have significant impact on the Company.</w:t>
      </w:r>
    </w:p>
    <w:p>
      <w:pPr>
        <w:spacing w:after="0" w:line="21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cannot control or predict foreign government implementation of changes to existing policies that may impact the Company’s operations in foreign markets and, consequently, its business. The Company’s business, operating results and financial condition and prospects, as well as the market price of its securities, may be adversely affected by changes in government public policies, whether federal, state or local, that affect, without limitation:</w:t>
      </w:r>
    </w:p>
    <w:p>
      <w:pPr>
        <w:spacing w:after="0" w:line="202" w:lineRule="exact"/>
        <w:rPr>
          <w:sz w:val="20"/>
          <w:szCs w:val="20"/>
          <w:color w:val="auto"/>
        </w:rPr>
      </w:pPr>
    </w:p>
    <w:p>
      <w:pPr>
        <w:ind w:left="620" w:hanging="291"/>
        <w:spacing w:after="0"/>
        <w:tabs>
          <w:tab w:leader="none" w:pos="620" w:val="left"/>
        </w:tabs>
        <w:numPr>
          <w:ilvl w:val="0"/>
          <w:numId w:val="74"/>
        </w:numPr>
        <w:rPr>
          <w:rFonts w:ascii="Arial" w:cs="Arial" w:eastAsia="Arial" w:hAnsi="Arial"/>
          <w:sz w:val="20"/>
          <w:szCs w:val="20"/>
          <w:color w:val="auto"/>
        </w:rPr>
      </w:pPr>
      <w:r>
        <w:rPr>
          <w:rFonts w:ascii="Times New Roman" w:cs="Times New Roman" w:eastAsia="Times New Roman" w:hAnsi="Times New Roman"/>
          <w:sz w:val="20"/>
          <w:szCs w:val="20"/>
          <w:color w:val="auto"/>
        </w:rPr>
        <w:t>inflation;</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74"/>
        </w:numPr>
        <w:rPr>
          <w:rFonts w:ascii="Arial" w:cs="Arial" w:eastAsia="Arial" w:hAnsi="Arial"/>
          <w:sz w:val="20"/>
          <w:szCs w:val="20"/>
          <w:color w:val="auto"/>
        </w:rPr>
      </w:pPr>
      <w:r>
        <w:rPr>
          <w:rFonts w:ascii="Times New Roman" w:cs="Times New Roman" w:eastAsia="Times New Roman" w:hAnsi="Times New Roman"/>
          <w:sz w:val="20"/>
          <w:szCs w:val="20"/>
          <w:color w:val="auto"/>
        </w:rPr>
        <w:t>fluctuations in exchange rates;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74"/>
        </w:numPr>
        <w:rPr>
          <w:rFonts w:ascii="Arial" w:cs="Arial" w:eastAsia="Arial" w:hAnsi="Arial"/>
          <w:sz w:val="20"/>
          <w:szCs w:val="20"/>
          <w:color w:val="auto"/>
        </w:rPr>
      </w:pPr>
      <w:r>
        <w:rPr>
          <w:rFonts w:ascii="Times New Roman" w:cs="Times New Roman" w:eastAsia="Times New Roman" w:hAnsi="Times New Roman"/>
          <w:sz w:val="20"/>
          <w:szCs w:val="20"/>
          <w:color w:val="auto"/>
        </w:rPr>
        <w:t>exchange controls and restrictions on remittances abroad;</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74"/>
        </w:numPr>
        <w:rPr>
          <w:rFonts w:ascii="Arial" w:cs="Arial" w:eastAsia="Arial" w:hAnsi="Arial"/>
          <w:sz w:val="20"/>
          <w:szCs w:val="20"/>
          <w:color w:val="auto"/>
        </w:rPr>
      </w:pPr>
      <w:r>
        <w:rPr>
          <w:rFonts w:ascii="Times New Roman" w:cs="Times New Roman" w:eastAsia="Times New Roman" w:hAnsi="Times New Roman"/>
          <w:sz w:val="20"/>
          <w:szCs w:val="20"/>
          <w:color w:val="auto"/>
        </w:rPr>
        <w:t>interest rates and monetary policies;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74"/>
        </w:numPr>
        <w:rPr>
          <w:rFonts w:ascii="Arial" w:cs="Arial" w:eastAsia="Arial" w:hAnsi="Arial"/>
          <w:sz w:val="20"/>
          <w:szCs w:val="20"/>
          <w:color w:val="auto"/>
        </w:rPr>
      </w:pPr>
      <w:r>
        <w:rPr>
          <w:rFonts w:ascii="Times New Roman" w:cs="Times New Roman" w:eastAsia="Times New Roman" w:hAnsi="Times New Roman"/>
          <w:sz w:val="20"/>
          <w:szCs w:val="20"/>
          <w:color w:val="auto"/>
        </w:rPr>
        <w:t>import and export controls;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74"/>
        </w:numPr>
        <w:rPr>
          <w:rFonts w:ascii="Arial" w:cs="Arial" w:eastAsia="Arial" w:hAnsi="Arial"/>
          <w:sz w:val="20"/>
          <w:szCs w:val="20"/>
          <w:color w:val="auto"/>
        </w:rPr>
      </w:pPr>
      <w:r>
        <w:rPr>
          <w:rFonts w:ascii="Times New Roman" w:cs="Times New Roman" w:eastAsia="Times New Roman" w:hAnsi="Times New Roman"/>
          <w:sz w:val="20"/>
          <w:szCs w:val="20"/>
          <w:color w:val="auto"/>
        </w:rPr>
        <w:t>liquidity of domestic capital, credit and financial markets;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74"/>
        </w:numPr>
        <w:rPr>
          <w:rFonts w:ascii="Arial" w:cs="Arial" w:eastAsia="Arial" w:hAnsi="Arial"/>
          <w:sz w:val="20"/>
          <w:szCs w:val="20"/>
          <w:color w:val="auto"/>
        </w:rPr>
      </w:pPr>
      <w:r>
        <w:rPr>
          <w:rFonts w:ascii="Times New Roman" w:cs="Times New Roman" w:eastAsia="Times New Roman" w:hAnsi="Times New Roman"/>
          <w:sz w:val="20"/>
          <w:szCs w:val="20"/>
          <w:color w:val="auto"/>
        </w:rPr>
        <w:t>expansion or contraction of foreign economies, as measured by rates of growth in gross domestic product;</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74"/>
        </w:numPr>
        <w:rPr>
          <w:rFonts w:ascii="Arial" w:cs="Arial" w:eastAsia="Arial" w:hAnsi="Arial"/>
          <w:sz w:val="20"/>
          <w:szCs w:val="20"/>
          <w:color w:val="auto"/>
        </w:rPr>
      </w:pPr>
      <w:r>
        <w:rPr>
          <w:rFonts w:ascii="Times New Roman" w:cs="Times New Roman" w:eastAsia="Times New Roman" w:hAnsi="Times New Roman"/>
          <w:sz w:val="20"/>
          <w:szCs w:val="20"/>
          <w:color w:val="auto"/>
        </w:rPr>
        <w:t>fiscal policies; and</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74"/>
        </w:numPr>
        <w:rPr>
          <w:rFonts w:ascii="Arial" w:cs="Arial" w:eastAsia="Arial" w:hAnsi="Arial"/>
          <w:sz w:val="20"/>
          <w:szCs w:val="20"/>
          <w:color w:val="auto"/>
        </w:rPr>
      </w:pPr>
      <w:r>
        <w:rPr>
          <w:rFonts w:ascii="Times New Roman" w:cs="Times New Roman" w:eastAsia="Times New Roman" w:hAnsi="Times New Roman"/>
          <w:sz w:val="20"/>
          <w:szCs w:val="20"/>
          <w:color w:val="auto"/>
        </w:rPr>
        <w:t>other political, social and economic developments in or affecting foreign markets.</w:t>
      </w:r>
    </w:p>
    <w:p>
      <w:pPr>
        <w:spacing w:after="0" w:line="29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Government policies and measures to combat inflation, along with public speculation about such policies and measures, have often had adverse effects on global economies, have contributed to economic uncertainty and may increase volatility in foreign securities markets. Government action to control inflation may involve actions such as price and salary controls, currency devaluations, capital limitations, limits on imports and other actions which could significantly impact the operations of the Company.</w:t>
      </w:r>
    </w:p>
    <w:p>
      <w:pPr>
        <w:spacing w:after="0" w:line="20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Other policies and measures adopted by governments, include interest rate adjustments, intervention in the currency markets or actions to adjust or fix the value of the local currency may adversely affect the target market’s economy, the Company’s business and results of operations.</w:t>
      </w:r>
    </w:p>
    <w:p>
      <w:pPr>
        <w:spacing w:after="0" w:line="19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Uncertainty over whether federal governments will implement reforms or changes in policy or regulation affecting these or other factors in the future may affect economic performance and contribute to economic uncertainty in markets that the Company operates or relies on, which may in turn have adverse effects on the Company’s operations in the market and consequently on the results of its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Litigation Risk</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As of the date hereof, no litigation or class proceedings have been commenced or certified. The Company is aware that certain U.S. plaintiff law firms have announced that they are investigating the Company following the Company’s news release dated September 2, 2025, announcing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ectPr>
          <w:pgSz w:w="11900" w:h="16838" w:orient="portrait"/>
          <w:cols w:equalWidth="0" w:num="1">
            <w:col w:w="11240"/>
          </w:cols>
          <w:pgMar w:left="320" w:top="1436" w:right="339" w:bottom="1440" w:gutter="0" w:footer="0" w:header="0"/>
        </w:sectPr>
      </w:pPr>
    </w:p>
    <w:bookmarkStart w:id="140" w:name="page141"/>
    <w:bookmarkEnd w:id="140"/>
    <w:p>
      <w:pPr>
        <w:jc w:val="both"/>
        <w:spacing w:after="0" w:line="303" w:lineRule="auto"/>
        <w:rPr>
          <w:sz w:val="20"/>
          <w:szCs w:val="20"/>
          <w:color w:val="auto"/>
        </w:rPr>
      </w:pPr>
      <w:r>
        <w:rPr>
          <w:rFonts w:ascii="Times New Roman" w:cs="Times New Roman" w:eastAsia="Times New Roman" w:hAnsi="Times New Roman"/>
          <w:sz w:val="20"/>
          <w:szCs w:val="20"/>
          <w:color w:val="auto"/>
        </w:rPr>
        <w:t>resignation of the Company’s former chief executive officer. Should any litigation or class actions that the Company becomes involved in be unable to be resolved favourably or if any claims or litigation are determined against the Company, the Company’s financial position, operating results and the trading price of the Common Shares could be materially adversely affected.</w:t>
      </w:r>
    </w:p>
    <w:p>
      <w:pPr>
        <w:spacing w:after="0" w:line="19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faces the risk of various claims, legal proceedings, and class actions. Such actions could result in liabilities or necessitate operational changes, negatively impacting results. Even favorable resolutions can divert resources, generate substantial legal costs, and harm reputation.</w:t>
      </w:r>
    </w:p>
    <w:p>
      <w:pPr>
        <w:spacing w:after="0" w:line="19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The Company may be exposed to securities class action investigations or proceedings, especially following share price volatility or public disclosures. These proceedings could allege violations of securities laws or misrepresentations. Defending such claims are potentially costly and time-consuming and may lead to significant monetary judgments, settlements, or regulatory penalties. Any liability exceeding insurance coverage could materially and adversely affect the Company’s business, financial condition, and results.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Application and Interpretation of Tax Laws</w:t>
      </w:r>
    </w:p>
    <w:p>
      <w:pPr>
        <w:spacing w:after="0" w:line="287"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9"/>
          <w:szCs w:val="19"/>
          <w:color w:val="auto"/>
        </w:rPr>
        <w:t>The Company is subject to direct and indirect taxes in various foreign jurisdictions. The amount of tax that the Company pays, directly or indirectly, is subject to the interpretation of applicable tax laws in the jurisdictions of operations in which the Company has interests. The Company has taken and will continue to take tax positions based on the application and interpretation of tax laws, but tax accounting often involves complex matters and judgment is required in determining the Company’s foreign provisions for taxes and other tax liabilities. There can be no assurance that a taxing authority will not have a different interpretation of the law and assess the Company, or the operations in which the Company has interests, with additional taxes. Further, the Company’s future effective tax rates 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Enforcement of Civil Liabilities</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Certain of the Company’s subsidiaries and assets are located outside of Canada. Accordingly, it may be difficult for investors to enforce within Canada any judgments obtained against the Company, including judgments predicated upon the civil liability provisions of applicable Canadian securities laws or otherwise. Consequently, investors may be effectively prevented from pursuing remedies against the Company under Canadian securities laws or otherwise.</w:t>
      </w:r>
    </w:p>
    <w:p>
      <w:pPr>
        <w:spacing w:after="0" w:line="21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Company has subsidiaries incorporated in the United States and Ireland. It may not be possible for shareholders to effect service of process outside of Canada against the directors and officers of the Company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1900" w:h="16838" w:orient="portrait"/>
          <w:cols w:equalWidth="0" w:num="1">
            <w:col w:w="11240"/>
          </w:cols>
          <w:pgMar w:left="320" w:top="1440" w:right="339" w:bottom="1440" w:gutter="0" w:footer="0" w:header="0"/>
        </w:sectPr>
      </w:pPr>
    </w:p>
    <w:bookmarkStart w:id="141" w:name="page142"/>
    <w:bookmarkEnd w:id="141"/>
    <w:p>
      <w:pPr>
        <w:jc w:val="both"/>
        <w:spacing w:after="0" w:line="296" w:lineRule="auto"/>
        <w:rPr>
          <w:sz w:val="20"/>
          <w:szCs w:val="20"/>
          <w:color w:val="auto"/>
        </w:rPr>
      </w:pPr>
      <w:r>
        <w:rPr>
          <w:rFonts w:ascii="Times New Roman" w:cs="Times New Roman" w:eastAsia="Times New Roman" w:hAnsi="Times New Roman"/>
          <w:sz w:val="20"/>
          <w:szCs w:val="20"/>
          <w:color w:val="auto"/>
        </w:rPr>
        <w:t>in original actions instituted in the United States and Ireland.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Pandemics, Epidemics and Other Health Risks</w:t>
      </w:r>
    </w:p>
    <w:p>
      <w:pPr>
        <w:spacing w:after="0" w:line="2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Pandemics, epidemics and other health risks could have an adverse effect on the Company’s business. Pandemics, epidemics and other health risks could occur, which could adversely affect the Company’s ability to conduct its operations as currently conducted, or the ability of suppliers to provide the Company with products and services needed to operate the business.</w:t>
      </w:r>
    </w:p>
    <w:p>
      <w:pPr>
        <w:spacing w:after="0" w:line="209"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Pandemics, epidemics and other health risks could have an adverse effect on the economy and financial markets, resulting in a decline of commercial activity. Any of these events could have an adverse effect on the Company’s business and financial performance.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Related to Intellectual Property</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Trademark Protection</w:t>
      </w:r>
    </w:p>
    <w:p>
      <w:pPr>
        <w:spacing w:after="0" w:line="260"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Failure to register or maintain trademarks for the Company or its products could require the Company to rebrand its products resulting in a material adverse impact on its business.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Trade Secrets</w:t>
      </w:r>
    </w:p>
    <w:p>
      <w:pPr>
        <w:spacing w:after="0" w:line="2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Company relies on third parties to develop its products and, as a result, must share trade secrets with them. The Company seeks to protect its proprietary technology in part by entering into confidentiality agreements and, if applicable, material transfer agreements, collaborative research agreements, consulting agreements or other similar agreements with its collaborators, advisors, employees and consultants prior to beginning research or disclosing proprietary information. These agreements typically restrict the ability of the Company’s collaborators, advisors, employees and consultants to publish data potentially relating to its trade secrets. Its academic and clinical collaborators typically have rights to publish data, provided that the Company is notified in advance and may delay publication for a specified time in order to secure any intellectual property rights arising from the collaboration. In other cases, publication rights are controlled exclusively by the Company, although in some cases the Company may share these rights with other parties. The Company may also conduct joint research and development programs which may require it to share trade secrets under the terms of research and development collaboration or similar agreements. Despite the Company’s efforts to protect its trade secrets, the Company’s competitors may discover its trade secrets, either through breach of these agreements, independent development or publication of information. A competitor’s discovery of the Company’s trade secrets may impair its competitive position and could have a material adverse effect on its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ectPr>
          <w:pgSz w:w="11900" w:h="16838" w:orient="portrait"/>
          <w:cols w:equalWidth="0" w:num="1">
            <w:col w:w="11240"/>
          </w:cols>
          <w:pgMar w:left="320" w:top="1440"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20"/>
          <w:szCs w:val="20"/>
          <w:b w:val="1"/>
          <w:bCs w:val="1"/>
          <w:i w:val="1"/>
          <w:iCs w:val="1"/>
          <w:color w:val="auto"/>
        </w:rPr>
        <w:t>Patent Law Reform</w:t>
      </w:r>
    </w:p>
    <w:p>
      <w:pPr>
        <w:spacing w:after="0" w:line="27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The Company’s commercial success depends in part on obtaining and maintaining patents and other forms of intellectual property rights for its current and future therapeutic candidates and associated therapies, digital therapies, methods used to manufacture the underlying therapeutic substances, and the methods for treating patients using those substances and therapies, or on licensing in such rights. Failure to obtain, maintain, protect, enforce or extend adequate patent and other intellectual property rights could materially adversely affect the Company’s ability to develop and market its current and future therapeutic candidates. The Company also relies on trade secrets and know-how to develop and maintain its proprietary and intellectual property position. Any failure to protect its trade secrets and know-how could adversely affect the Company’s operations and prospects.</w:t>
      </w:r>
    </w:p>
    <w:p>
      <w:pPr>
        <w:spacing w:after="0" w:line="20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Company cannot be certain that patents will be issued or granted with respect to patent applications that are currently pending, or that issued or granted patents will not later be found to be invalid or unenforceable. The patent position of companies like the Company is generally uncertain because it involves complex legal and factual considerations. The standards applied by the UK Intellectual Property Office, the European Patent Office, the USPTO, the Canadian Intellectual Property Office (the “</w:t>
      </w:r>
      <w:r>
        <w:rPr>
          <w:rFonts w:ascii="Times New Roman" w:cs="Times New Roman" w:eastAsia="Times New Roman" w:hAnsi="Times New Roman"/>
          <w:sz w:val="20"/>
          <w:szCs w:val="20"/>
          <w:b w:val="1"/>
          <w:bCs w:val="1"/>
          <w:color w:val="auto"/>
        </w:rPr>
        <w:t>CIPO</w:t>
      </w:r>
      <w:r>
        <w:rPr>
          <w:rFonts w:ascii="Times New Roman" w:cs="Times New Roman" w:eastAsia="Times New Roman" w:hAnsi="Times New Roman"/>
          <w:sz w:val="20"/>
          <w:szCs w:val="20"/>
          <w:color w:val="auto"/>
        </w:rPr>
        <w:t>”) and foreign patent offices in granting patents are not always applied uniformly or predictably. For example, there is no uniform worldwide policy regarding patentable subject matter or the scope of claims allowable in pharmaceutical patents. Consequently, patents may not issue from the Company’s pending patent applications, and even if they do issue, such patents may not issue in a form that effectively prevents others from developing or commercializing competing therapies. As such, the Company does not know the degree of future protection that it will have on its proprietary therapies.</w:t>
      </w:r>
    </w:p>
    <w:p>
      <w:pPr>
        <w:spacing w:after="0" w:line="22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auto"/>
        </w:rPr>
        <w:t>The patent prosecution process is expensive, complex and time-consuming, and the Company, its current or future third-party partners, licensors, licensees, or collaboration partners may not be able to prepare, file and prosecute all necessary or desirable patent applications at a reasonable cost or in a timely manner. It is also possible that the Company or its licensors, licensees or collaboration partners will fail to identify patentable aspects of inventions made in the course of research, development or commercialization activities before it is too late to pursue patent protection on them. In addition, although the Company enters into non-disclosure and confidentiality agreements with parties who have access to confidential or patentable aspects of its R&amp;D output, such as its employees, corporate collaborators, outside scientific collaborators, contract manufacturers, consultants, advisors, and other third parties, any of these parties may breach the agreements and disclose such output before a patent application is filed, thereby jeopardizing the Company’s ability to seek patent protection. Furthermore, publications of discoveries in the scientific literature often lag behind the actual discoveries, and patent applications in the UK and other jurisdictions are typically not published until 18 months after filing, or in some cases not published until and unless granted. Therefore, the Company cannot be certain that it is the first to make the inventions claimed in its patents or pending patent applications, or that it was the first to file for patent protection of such inventions. Similarly, the Company cannot be certain that for any licensed patents or pending patent applications, the named applicant(s) were the first to make the inventions claimed in such patents or pending patent applications or that the named applicant(s) were the first to file for patent protection for such inventions.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ectPr>
          <w:pgSz w:w="11900" w:h="16838" w:orient="portrait"/>
          <w:cols w:equalWidth="0" w:num="1">
            <w:col w:w="11240"/>
          </w:cols>
          <w:pgMar w:left="320" w:top="1436" w:right="339" w:bottom="1440" w:gutter="0" w:footer="0" w:header="0"/>
        </w:sectPr>
      </w:pPr>
    </w:p>
    <w:bookmarkStart w:id="143" w:name="page144"/>
    <w:bookmarkEnd w:id="143"/>
    <w:p>
      <w:pPr>
        <w:jc w:val="both"/>
        <w:spacing w:after="0" w:line="296" w:lineRule="auto"/>
        <w:rPr>
          <w:sz w:val="20"/>
          <w:szCs w:val="20"/>
          <w:color w:val="auto"/>
        </w:rPr>
      </w:pPr>
      <w:r>
        <w:rPr>
          <w:rFonts w:ascii="Times New Roman" w:cs="Times New Roman" w:eastAsia="Times New Roman" w:hAnsi="Times New Roman"/>
          <w:sz w:val="20"/>
          <w:szCs w:val="20"/>
          <w:color w:val="auto"/>
        </w:rPr>
        <w:t>Further, the issuance, scope, validity, enforceability and commercial value of the Company’s and its current or future licensors’, licensees’ or collaboration partners’ patent rights are highly uncertain. The Company and any potential licensors’ pending and future patent applications may not result in patents being issued that protect the Company’s therapies, in whole or in part, or that effectively prevent others from commercializing competitive technologies and therapies.</w:t>
      </w:r>
    </w:p>
    <w:p>
      <w:pPr>
        <w:spacing w:after="0" w:line="21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Moreover, in some circumstances, the Company may not have the right to control the preparation, filing and prosecution of patent applications, or to maintain such patents, should the Company’s license technology from or to third parties and would be reliant on its licensors, licensees or collaboration partners. If the Company engages with licensors, licensees or collaboration partners and they fail to establish, maintain or protect such patents and other intellectual property rights, such rights may be reduced or eliminated. If such licensors, licensees or collaboration partners were not fully cooperative or disagree with the Company as to the prosecution, maintenance or enforcement of any patent rights, such patent rights could be compromised.</w:t>
      </w:r>
    </w:p>
    <w:p>
      <w:pPr>
        <w:spacing w:after="0" w:line="20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patent examination process may require the Company or its licensors, licensees or collaboration partners to narrow the scope of the claims of the Company or the Company’s licensors’, licensees’ or collaboration partners’ pending and future patent applications, which may limit the scope of patent protection that may be obtained. The Company cannot guarantee that all of the potentially relevant prior art relating to its patents and patent applications has been found. If such prior art exists, it can invalidate a patent or prevent a patent from issuing from a pending patent application.</w:t>
      </w:r>
    </w:p>
    <w:p>
      <w:pPr>
        <w:spacing w:after="0" w:line="22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issuance of a patent is not conclusive as to its inventorship, scope, validity or enforceability, and the Company’s patents may be challenged in the courts or patent offices in the UK and abroad. Even if patents do successfully issue and even if such patents cover the Company’s current and future therapeutic candidates, third parties may initiate an opposition, interference, re-examination, post-grant review, inter parties review, nullification or derivation proceedings in court or before patent offices, or similar proceedings challenging the validity, enforceability or scope of such patents, which may result in the patent claims being narrowed or invalidated.</w:t>
      </w:r>
    </w:p>
    <w:p>
      <w:pPr>
        <w:spacing w:after="0" w:line="22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The Company and the Company’s licensors’, licensees’ or collaboration partners’ patent applications cannot be enforced against third parties practicing the technology claimed in such applications unless and until a patent issues from such applications, and then only to the extent the issued claims cover the technology. In addition, patents and other intellectual property rights also will not protect the Company’s current and any future therapeutic candidates if third parties, including the Company’s competitors, design around the Company’s protected technology and the Company’s current and any future therapeutic candidates without infringing, misappropriating or otherwise violating the Company’s patents or other intellectual property rights. Moreover, some of the Company’s patents and patent applications may in the future be co-owned with third parties. If the Company is unable to obtain an exclusive license to any such third-party co-owners’ interest in such patents or patent applications, such co-owners may be able to license their rights to other third parties, including the Company’s competitors, and the Company’s competitors could market competing therapies and technology. In addition, the Company may need the cooperation of any such co-owners of its patents in order to enforce such patents against third parties, and such cooperation may not be provided. Any of the foregoing could have a material adverse effect on the Company’s competitive position, business, financial conditions,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24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Because patent applications are confidential for a period of time after filing, and some remain so until issued, the Company cannot be certain that the Company or its current or future licensors, licensees or collaborators were or will be the first to file any patent application related to a therapeutic candidate. Even where the Company has a valid and enforceable patent, it may not be able to exclude others from practicing the Company’s invention where the other party can show that they used the invention in commerce before the Company’s filing date or the other party benefits from a compulsory license. In addition, the Company may be subject to third-party challenges regarding the Company’s exclusive ownership of the Company’s intellectual property. If a third party were successful in challenging the Company’s exclusive ownership of any of the Company’s intellectual property, the Company may lose its right to use such intellectual property, such third party may be able to license such intellectual property to other third parties, including the Company’s competitors, and the Company’s competitors could market competing therapies and technology. Any of the foregoing could have a material adverse effect on the Company’s competitive position, business, financial conditions, results of operations, and prospects.</w:t>
      </w:r>
    </w:p>
    <w:p>
      <w:pPr>
        <w:spacing w:after="0" w:line="209"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9"/>
          <w:szCs w:val="19"/>
          <w:color w:val="auto"/>
        </w:rPr>
        <w:t>As is the case with other biotechnology and pharmaceutical companies, the Company’s success is heavily dependent on intellectual property rights, particularly patents. Obtaining and enforcing patents in the breakthrough neuropsychiatry industry is a technologically and legally complex process, and obtaining and enforcing breakthrough neuropsychiatry patents is costly, time consuming and inherently uncertain. Recent patent reform legislation could increase the uncertainties and costs surrounding the prosecution of the Company’s and its licensors’ or collaborators’ patent applications and the enforcement or defense of the Company or its licensors’ or collaborators’ issued patents.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Patent Litigation and Intellectual Property</w:t>
      </w:r>
    </w:p>
    <w:p>
      <w:pPr>
        <w:spacing w:after="0" w:line="26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has filed a number of provisional patent applications but even if regular patent applications are filed claiming priority to one or more of the provisional patent applications, there can be no assurance that any or all of these patent applications will issue into a valid patent. Such failure to issue could have a material adverse effect on the Company. In the event that a patent issued to the Company is challenged, any of the Company’s patents may be invalidated. The Company could also become involved in interference or impeachment proceedings in connection with one or more of its patents or patent applications to determine priority of invention.</w:t>
      </w:r>
    </w:p>
    <w:p>
      <w:pPr>
        <w:spacing w:after="0" w:line="17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Patent litigation is widespread in the pharmaceutical industry and the Company cannot predict how this will affect its efforts to form strategic alliances, conduct clinical testing, or manufacture and market any of its prescription drug product candidates that it may successfully develop. If the Company becomes involved in any litigation, interference, impeachment or other administrative proceedings, it will likely incur substantial expenses and the efforts of its technical and management personnel will be significantly diverted. The Company cannot make any assurances that it will have the financial or other resources necessary to enforce or defend a patent infringement or proprietary rights violation action. Moreover, if the Company’s products infringe patents, trademarks or proprietary rights of others, it could, in certain circumstances, become liable for substantial damages, which also could have a material adverse effect on the business of the Company, its financial condition and results of operation. Patent litigation is less likely during development as many jurisdictions contain exemptions from patent infringement for the purpose of obtaining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ectPr>
          <w:pgSz w:w="11900" w:h="16838" w:orient="portrait"/>
          <w:cols w:equalWidth="0" w:num="1">
            <w:col w:w="11240"/>
          </w:cols>
          <w:pgMar w:left="320" w:top="1440" w:right="339" w:bottom="1440" w:gutter="0" w:footer="0" w:header="0"/>
        </w:sectPr>
      </w:pPr>
    </w:p>
    <w:bookmarkStart w:id="145" w:name="page146"/>
    <w:bookmarkEnd w:id="145"/>
    <w:p>
      <w:pPr>
        <w:jc w:val="both"/>
        <w:spacing w:after="0" w:line="291" w:lineRule="auto"/>
        <w:rPr>
          <w:sz w:val="20"/>
          <w:szCs w:val="20"/>
          <w:color w:val="auto"/>
        </w:rPr>
      </w:pPr>
      <w:r>
        <w:rPr>
          <w:rFonts w:ascii="Times New Roman" w:cs="Times New Roman" w:eastAsia="Times New Roman" w:hAnsi="Times New Roman"/>
          <w:sz w:val="20"/>
          <w:szCs w:val="20"/>
          <w:color w:val="auto"/>
        </w:rPr>
        <w:t>approval of a product. Where there is any sharing of patent rights either through co-ownership or different licensed “fields of use”, one owner’s actions could lead to the invalidity of the entire patent. If the Company is unable to avoid infringing the patent rights of others, the Company may be required to seek a licence, defend an infringement action or challenge the validity of the patents in court. Such results could have a material adverse effect on the Company. Regardless of the outcome, patent litigation is costly and time consuming. In some cases, the Company may not have sufficient resources to bring these actions to a successful conclusion, and, even if the Company is successful in these proceedings, it may incur substantial costs and divert management time and attention in pursuing these proceedings, which could have a material adverse effect on the Company.</w:t>
      </w:r>
    </w:p>
    <w:p>
      <w:pPr>
        <w:spacing w:after="0" w:line="19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Any infringement or misappropriation of the Company’s intellectual property could damage its value and limit its ability to compete. In addition, the Company’s ability to enforce and protect its intellectual property rights may be limited in certain countries outside the U.S., which could make it easier for competitors to capture market position in such countries by utilizing technologies that are similar to those developed or licensed by the Company. Competitors may also harm the Company’s sales by designing products that mirror the capabilities of its products or technology without infringing on its intellectual property rights. If the Company does not obtain sufficient protection for its intellectual property, or if it is unable to effectively enforce its intellectual property rights, its competitiveness could be impaired, which would limit its growth and future revenue. The Company may also find it necessary to bring infringement or other actions against third parties to seek to protect its intellectual property rights. Litigation of this nature, even if successful, is often expensive and time- consuming to prosecute and there can be no assurance that the Company will have the financial or other resources to enforce its rights or be able to enforce its rights or prevent other parties from developing similar technology or designing around its intellectual property.</w:t>
      </w:r>
    </w:p>
    <w:p>
      <w:pPr>
        <w:spacing w:after="0" w:line="2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Company is not aware of any infringement by it of any person’s or entity’s intellectual property rights. In the event that products sold by the Company are deemed to infringe upon the patents or proprietary rights of others, the Company could be required to modify its products or obtain a licence for the manufacture and/or sale of such products or cease selling such products. In such event, there can be no assurance that the Company would be able to do so in a timely manner, upon acceptable terms and conditions, or at all, and the failure to do any of the foregoing could have a material adverse effect upon the Company’s business. If the Company’s products or proposed products are deemed to infringe or likely to infringe upon the patents or proprietary rights of others, the Company could be subject to injunctive relief and, under certain circumstances, become liable for damages, which could also have a material adverse effect on the Company’s business and its financial condition.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Protection of Intellectual Property</w:t>
      </w:r>
    </w:p>
    <w:p>
      <w:pPr>
        <w:spacing w:after="0" w:line="26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will be able to protect its intellectual property from unauthorized use by third parties only to the extent that the Company’s proprietary technologies, key products and any future products are covered by valid and enforceable intellectual property rights including patents or are effectively maintained as trade secrets and provided the Company has the funds to enforce its rights, if necessary.</w:t>
      </w:r>
    </w:p>
    <w:p>
      <w:pPr>
        <w:spacing w:after="0" w:line="16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To protect the Company’s competitive position, the Company may from time to time need to resort to litigation in order to enforce or defend any patents or other intellectual property rights owned by or licensed to the Company from time to time, or to determine or challenge the scope or validity of patents or other intellectual property rights of third parties. Enforcement of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ectPr>
          <w:pgSz w:w="11900" w:h="16838" w:orient="portrait"/>
          <w:cols w:equalWidth="0" w:num="1">
            <w:col w:w="11240"/>
          </w:cols>
          <w:pgMar w:left="320" w:top="1440" w:right="339" w:bottom="1440" w:gutter="0" w:footer="0" w:header="0"/>
        </w:sectPr>
      </w:pPr>
    </w:p>
    <w:bookmarkStart w:id="146" w:name="page147"/>
    <w:bookmarkEnd w:id="146"/>
    <w:p>
      <w:pPr>
        <w:jc w:val="both"/>
        <w:spacing w:after="0" w:line="292" w:lineRule="auto"/>
        <w:rPr>
          <w:sz w:val="20"/>
          <w:szCs w:val="20"/>
          <w:color w:val="auto"/>
        </w:rPr>
      </w:pPr>
      <w:r>
        <w:rPr>
          <w:rFonts w:ascii="Times New Roman" w:cs="Times New Roman" w:eastAsia="Times New Roman" w:hAnsi="Times New Roman"/>
          <w:sz w:val="20"/>
          <w:szCs w:val="20"/>
          <w:color w:val="auto"/>
        </w:rPr>
        <w:t>is difficult, unpredictable and expensive, and many of the Company’s or the Company’s licensors’ or collaboration partners’ adversaries in these proceedings may have the ability to dedicate substantially greater resources to prosecuting these legal actions than the Company or the Company’s licensors or collaboration partners can. Accordingly, despite the Company’s or the Company’s licensors’ or collaboration partners’ efforts, the Company or the Company’s licensors or collaboration partners may not prevent third parties from infringing upon, misappropriating or otherwise violating intellectual property rights. In the event that products sold by the Company own or control, particularly in countries where the laws may not protect those rights as fully as in the UK, EU, the US and Canada. The Company may fail in enforcing its rights, in which case the Company’s competitors and other third parties may be permitted to use the Company’s therapies without payment to the Company.</w:t>
      </w:r>
    </w:p>
    <w:p>
      <w:pPr>
        <w:spacing w:after="0" w:line="20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In addition, litigation involving the Company’s licensed patents carries the risk that one or more of the Company’s licensed patents will be narrowed, held invalid (in whole or in part, on a claim-by-claim basis) or held unenforceable. Such an adverse court ruling could allow third parties to commercialize the Company’s therapies, and then compete directly with the Company, without payment to the Company.</w:t>
      </w:r>
    </w:p>
    <w:p>
      <w:pPr>
        <w:spacing w:after="0" w:line="195"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color w:val="auto"/>
        </w:rPr>
        <w:t>If the Company were to initiate legal proceedings against a third party to enforce a patent covering one of the Company’s investigational therapies, the defendant could counterclaim that the Company’s patent is invalid or unenforceable. In patent litigation in the UK, EU, the US or Canada, defendant counterclaims alleging invalidity or unenforceability are commonplace. A claim for a validity challenge may be based on failure to meet any of several statutory requirements, for example, lack of novelty, obviousness or non-enablement. A claim for unenforceability assertion could be an allegation that someone connected with prosecution of the patent withheld relevant information from the UK Intellectual Property Office, European Patent Office, the USPTO, the CIPO or made a misleading statement, during prosecution. Third parties may also raise challenges to the validity of the Company’s patent claims before administrative bodies in the US or abroad, even outside the context of litigation. Such mechanisms include re-examination, post-grant review, inter partes review, interference proceedings, derivation proceedings, and equivalent proceedings in foreign jurisdictions (i.e., opposition proceedings). Such proceedings could result in the revocation of, cancellation of, or amendment to the Company’s patents in such a way that they no longer cover the Company’s current or any future therapeutic candidates. The outcome following legal assertions of invalidity and unenforceability during patent litigation or other proceedings is unpredictable. With respect to the validity question, for example, the Company cannot be certain that there is no invalidating prior art, of which the Company and the patent examiner were unaware during prosecution. If a defendant or third party were to prevail on a legal assertion of invalidity or unenforceability, the Company would lose at least part, and perhaps all, of the patent protection on the Company’s current or one or more of any future therapeutic candidates. Such a loss of patent protection could have a material adverse impact on the Company’s business financial condition, results of operations, and prospects. Further, litigation could result in substantial costs and diversion of management resources, regardless of the outcome, and this could harm the Company’s business and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ectPr>
          <w:pgSz w:w="11900" w:h="16838" w:orient="portrait"/>
          <w:cols w:equalWidth="0" w:num="1">
            <w:col w:w="11240"/>
          </w:cols>
          <w:pgMar w:left="320" w:top="1440"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20"/>
          <w:szCs w:val="20"/>
          <w:b w:val="1"/>
          <w:bCs w:val="1"/>
          <w:i w:val="1"/>
          <w:iCs w:val="1"/>
          <w:color w:val="auto"/>
        </w:rPr>
        <w:t>Third-Party Licences</w:t>
      </w:r>
    </w:p>
    <w:p>
      <w:pPr>
        <w:spacing w:after="0" w:line="27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A substantial number of patents have already been issued to other biotechnology and pharmaceutical companies. To the extent that valid third-party patent rights cover the Company’s products or services, the Company or its strategic collaborators would be required to seek licences from the holders of these patents in order to manufacture, use or sell these products and services and payments under them would reduce the Company’s profits from these products and services. The Company is currently unable to predict the extent to which it may wish or be required to acquire rights under such patents, the availability and cost of acquiring such rights and whether a licence to such patents will be available on acceptable terms or at all. There may be patents in the U.S. or in foreign countries or patents issued in the future that are unavailable to licence on acceptable terms. The Company’s inability to obtain such licences may hinder or eliminate its ability to manufacture and market its products.</w:t>
      </w:r>
    </w:p>
    <w:p>
      <w:pPr>
        <w:spacing w:after="0" w:line="19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Further, if the Company obtains third-party licences but fails to pay annual maintenance fees, development and sales milestones, or it is determined that the Company does not use commercially reasonable efforts to commercialize licensed products, the Company could lose its licences which could have a material adverse effect on its business and financial condition.</w:t>
      </w:r>
    </w:p>
    <w:p>
      <w:pPr>
        <w:spacing w:after="0" w:line="18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auto"/>
        </w:rPr>
        <w:t>Periodic maintenance and annuity fees on any issued patent are due to be paid to the UK Intellectual Property Office, the European Patent Office, the USPTO, the CIPO and foreign patent agencies in several stages over the lifetime of the patent. The European Patent Office, the USPTO, the CIPO and various foreign governmental patent agencies also require compliance with a number of procedural, documentary, fee payment and other similar provisions during the patent application process. In certain circumstances, the Company may rely on collaboration partners to pay these fees due to US and comparable foreign patent agencies and take the necessary action to comply with such requirements with respect to the Company’s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the Company, its licensors or collaboration partners fail to maintain the patents and patent applications covering the Company’s investigational therapies, third parties, including its competitors might be able to enter the market with similar or identical therapies or technologies, which would have a material adverse effect on the Company’s business, financial condition, results of operations, and prospects.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Financial and Accounting Risks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Substantial Number of Authorized but Unissued Common Shares</w:t>
      </w:r>
    </w:p>
    <w:p>
      <w:pPr>
        <w:spacing w:after="0" w:line="2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has an unlimited number of Common Shares that may be issued by the Board without further action or approval of the Shareholders. While the Board will be required to fulfill its fiduciary obligations in connection with the issuance of such Common Shares, the Common Shares may be issued in transactions with which not all of the shareholders of the Company agree, and the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ectPr>
          <w:pgSz w:w="11900" w:h="16838" w:orient="portrait"/>
          <w:cols w:equalWidth="0" w:num="1">
            <w:col w:w="11240"/>
          </w:cols>
          <w:pgMar w:left="320" w:top="1436"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20"/>
          <w:szCs w:val="20"/>
          <w:color w:val="auto"/>
        </w:rPr>
        <w:t>of such Common Shares will cause dilution to the ownership interests of the shareholders of the Company.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Dilution</w:t>
      </w:r>
    </w:p>
    <w:p>
      <w:pPr>
        <w:spacing w:after="0" w:line="2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Company may issue additional Common Shares in subsequent offerings (including through the sale of securities convertible into or exchangeable for Common Shares) and on the exercise of stock options or other securities exercisable for Common Shares. The Company cannot predict the size of future issuances of Common Shares or the effect that future issuances and sales of Common Shares will have on the market price of the Common Shares. Issuances of a substantial number of additional Common Shares, or the perception that such issuances could occur, may adversely affect prevailing market prices for the Common Shares. With any additional issuance of Common Shares, investors will suffer dilution to their voting power and the Company may experience dilution in its earnings per share, including as a result of issuances under Cybin’s equity incentive plan, convertible or exchangeable securities, or other corporate arrangements, including the Rights Plan.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Negative Cash Flow from Operating Activities</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has had negative cash flow from operating activities since inception. Drug development involves long lead times, is very expensive and involves many variables of uncertainty. As such, significant capital investment will be required to achieve the Company’s existing plans. The Company’s net losses have had and will continue to have an adverse effect on, among other things, shareholder equity, total assets and working capital. The Company expects that losses may fluctuate from quarter to quarter and year to year, and that such fluctuations may be substantial based on the stage of development of its principal programs. The Company cannot predict when it will become profitable, if at all. Accordingly, the Company may be required to obtain additional financing in order to meet its future cash commitments.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Additional Capital Requirements</w:t>
      </w:r>
    </w:p>
    <w:p>
      <w:pPr>
        <w:spacing w:after="0" w:line="28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As a research and development company, the Company expects to spend substantial funds to continue the research, development and testing of its prescription drug product candidates and to prepare to commercialize products subject to applicable regulatory approval. Substantial additional financing may be required if the Company is to be successful in continuing to develop its business and its products. No assurances can be given that the Company will be able to raise the additional capital that it may require for its anticipated future development. Any additional equity financing may be dilutive to investors and debt financing, if available, may involve restrictions on financing and operating activities. There is no assurance that additional financing will be available on terms acceptable to the Company, if at all. If the Company is unable to obtain additional financing as needed, it may be required to reduce the scope of its operations or anticipated expansion. The Company’s ability to successfully raise additional capital and maintain liquidity may by impaired by factors outside of its control, such as a shift in consumer attitudes towards certain therapeutic methods or a downturn in the economy.</w:t>
      </w:r>
    </w:p>
    <w:p>
      <w:pPr>
        <w:spacing w:after="0" w:line="212"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Heightened regulatory scrutiny could have a negative impact on the Company’s ability to raise capital. The Company’s business activities rely on developing laws and regulations in multiple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ectPr>
          <w:pgSz w:w="11900" w:h="16838" w:orient="portrait"/>
          <w:cols w:equalWidth="0" w:num="1">
            <w:col w:w="11240"/>
          </w:cols>
          <w:pgMar w:left="320" w:top="1440" w:right="339" w:bottom="1440" w:gutter="0" w:footer="0" w:header="0"/>
        </w:sectPr>
      </w:pPr>
    </w:p>
    <w:bookmarkStart w:id="149" w:name="page150"/>
    <w:bookmarkEnd w:id="149"/>
    <w:p>
      <w:pPr>
        <w:jc w:val="both"/>
        <w:spacing w:after="0" w:line="303" w:lineRule="auto"/>
        <w:rPr>
          <w:sz w:val="20"/>
          <w:szCs w:val="20"/>
          <w:color w:val="auto"/>
        </w:rPr>
      </w:pPr>
      <w:r>
        <w:rPr>
          <w:rFonts w:ascii="Times New Roman" w:cs="Times New Roman" w:eastAsia="Times New Roman" w:hAnsi="Times New Roman"/>
          <w:sz w:val="20"/>
          <w:szCs w:val="20"/>
          <w:color w:val="auto"/>
        </w:rPr>
        <w:t>jurisdictions. It is impossible to determine the extent of the impact of any new laws, regulations or initiatives that may be proposed, or whether any proposals will become law. The regulatory uncertainty surrounding the Company’s current or any future products may adversely affect the Company’s business and operations, including without limitation, the Company’s ability to raise additional capital.</w:t>
      </w:r>
    </w:p>
    <w:p>
      <w:pPr>
        <w:spacing w:after="0" w:line="19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In addition, the Company may encounter unforeseen expenses, difficulties, complications, delays and other known or unknown factors in achieving its business objectives. The Company will eventually need to transition from a company with a development focus to a company capable of supporting commercial activities. The Company may not be successful in such a transition.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Lack of Significant Product Revenue</w:t>
      </w:r>
    </w:p>
    <w:p>
      <w:pPr>
        <w:spacing w:after="0" w:line="28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To date, the Company has generated little product revenue and cannot predict when and if it will generate significant product revenue. The Company’s ability to generate significant product revenue and ultimately become profitable depends upon its ability, alone or with partners, to successfully develop its prescription drug product candidates, obtain regulatory approval and commercialize products, including any of its current prescription drug product candidates or other prescription drug product candidates that it may develop, in-license or acquire in the future. The Company does not anticipate generating revenue from the sale of products for the foreseeable future. The Company expects its research and development expenses to increase in connection with its ongoing activities, particularly as it advances its prescription drug product candidates through clinical trials.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Estimates or Judgments Relating to Critical Accounting Policies</w:t>
      </w:r>
    </w:p>
    <w:p>
      <w:pPr>
        <w:spacing w:after="0" w:line="28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the International Financial Reporting Standards requires management to make estimates and assumptions that affect the amounts reported in the Financial Statements and accompanying notes. The Company bases its estimates on historical experience and on various other assumptions that it believes to be reasonable under the circumstances, as provided in the notes to the Financial Statements, the results of which form the basis for making judgments about the carrying values of assets, liabilities, equity, revenue and expenses that are not readily apparent from other sources. The Company’s operating results may be adversely affected if the assumptions change or if actual circumstances differ from those in the assumptions, which could cause its operating results to fall below the expectations of securities analysts and investors, resulting in a decline in the share price of the Company. Significant assumptions and estimates used in preparing the Financial Statements include those related to income tax credits receivable, share based payments, impairment of non-financial assets, fair value of biological assets, as well as cost recognition.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Inadequate Internal Controls</w:t>
      </w:r>
    </w:p>
    <w:p>
      <w:pPr>
        <w:spacing w:after="0" w:line="30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If the Company fails to maintain an effective system of internal controls, the Company might not be able to report its financial results accurately or prevent misstatement; and in that case, the Company’s shareholders could lose confidence in its financial reporting, which would harm its business and could negatively impact the value of its shares. While the Company believes that it has sufficient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ectPr>
          <w:pgSz w:w="11900" w:h="16838" w:orient="portrait"/>
          <w:cols w:equalWidth="0" w:num="1">
            <w:col w:w="11240"/>
          </w:cols>
          <w:pgMar w:left="320" w:top="1440" w:right="339" w:bottom="1440" w:gutter="0" w:footer="0" w:header="0"/>
        </w:sectPr>
      </w:pPr>
    </w:p>
    <w:bookmarkStart w:id="150" w:name="page151"/>
    <w:bookmarkEnd w:id="150"/>
    <w:p>
      <w:pPr>
        <w:jc w:val="both"/>
        <w:spacing w:after="0" w:line="325" w:lineRule="auto"/>
        <w:rPr>
          <w:sz w:val="20"/>
          <w:szCs w:val="20"/>
          <w:color w:val="auto"/>
        </w:rPr>
      </w:pPr>
      <w:r>
        <w:rPr>
          <w:rFonts w:ascii="Times New Roman" w:cs="Times New Roman" w:eastAsia="Times New Roman" w:hAnsi="Times New Roman"/>
          <w:sz w:val="20"/>
          <w:szCs w:val="20"/>
          <w:color w:val="auto"/>
        </w:rPr>
        <w:t>and review procedures to allow it to maintain an effective system of internal controls, there can be no assurance that the Company will always successfully detect misstatements or implement necessary improvements in a timely fashion.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Related to the Common Shares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 for the Common Shares</w:t>
      </w:r>
    </w:p>
    <w:p>
      <w:pPr>
        <w:spacing w:after="0" w:line="26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There can be no assurance that an active trading market for the Common Shares will develop or, if developed, that any market will be sustained. The Company cannot predict the prices at which the Common Shares will trade. Fluctuations in the market price of the Common Shares could cause an investor to lose all or part of its investment in Common Shares. Factors that could cause fluctuations in the trading price of the Common Shares include: (i) announcements of new offerings, products, services or technologies; commercial relationships, acquisitions or other events by the Company or its competitors; (ii) price and volume fluctuations in the overall stock market from time to time; (iii) significant volatility in the market price and trading volume of companies commercializing psychedelic pharmaceuticals; (iv) fluctuations in the trading volume of the Common Shares or the size of the Company’s public float; (v) actual or anticipated changes or fluctuations in the Company’s results of operations; (vi) whether the Company’s results of operations meet the expectations of securities analysts or investors; (vii) actual or anticipated changes in the expectations of investors or securities analysts; (viii) litigation involving the Company, its industry, or both; (ix) regulatory developments; (x) general economic conditions and trends; (xi) major catastrophic events; (xii) escrow releases, sales of large blocks of the Common Shares; (xiii) departures of key employees or members of management; or (xiv) an adverse impact on the Company from any of the other risks cited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Significant Sales of the Common Shares</w:t>
      </w:r>
    </w:p>
    <w:p>
      <w:pPr>
        <w:spacing w:after="0" w:line="27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Although Common Shares held by existing shareholders of the Company will be freely tradable under applicable securities legislation, the Common Shares held by the Company’s directors, executive officers, Control persons and certain other security holders may be subject to contractual lock-up restrictions and may also be subject to escrow restrictions pursuant to the policies of Cboe Canada. Sales of a substantial number of the Common Shares in the public market after the expiry of lock-up or escrow restrictions, or the perception that these sales could occur, could adversely affect the market price of the Common Shares and may make it more difficult for investors to sell Common Shares at a favourable time and price.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Volatile Market Price for the Common Shares</w:t>
      </w:r>
    </w:p>
    <w:p>
      <w:pPr>
        <w:spacing w:after="0" w:line="26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securities market in Canada has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Company. The value of the Common Shares distributed hereunder will be affected by such volatility.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122</w:t>
      </w:r>
    </w:p>
    <w:p>
      <w:pPr>
        <w:sectPr>
          <w:pgSz w:w="11900" w:h="16838" w:orient="portrait"/>
          <w:cols w:equalWidth="0" w:num="1">
            <w:col w:w="11240"/>
          </w:cols>
          <w:pgMar w:left="320" w:top="1440" w:right="339" w:bottom="1440" w:gutter="0" w:footer="0" w:header="0"/>
        </w:sectPr>
      </w:pPr>
    </w:p>
    <w:bookmarkStart w:id="151" w:name="page152"/>
    <w:bookmarkEnd w:id="151"/>
    <w:p>
      <w:pPr>
        <w:jc w:val="both"/>
        <w:spacing w:after="0" w:line="291" w:lineRule="auto"/>
        <w:rPr>
          <w:sz w:val="20"/>
          <w:szCs w:val="20"/>
          <w:color w:val="auto"/>
        </w:rPr>
      </w:pPr>
      <w:r>
        <w:rPr>
          <w:rFonts w:ascii="Times New Roman" w:cs="Times New Roman" w:eastAsia="Times New Roman" w:hAnsi="Times New Roman"/>
          <w:sz w:val="20"/>
          <w:szCs w:val="20"/>
          <w:color w:val="auto"/>
        </w:rPr>
        <w:t>The volatility of the Common Shares may affect the ability of holders to sell the Common Shares at an advantageous price or at all. Market price fluctuations in the Common Shares may be adversely affected by a variety of factors relating to the Company’s business, including fluctuations in the Company’s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Company or its competitors, along with a variety of additional factors, including, without limitation, those set forth under the heading “Cautionary Note Regarding Forward-Looking Information”. In addition, the market price for securities on stock markets, including Cboe Canada is 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Company.</w:t>
      </w:r>
    </w:p>
    <w:p>
      <w:pPr>
        <w:spacing w:after="0" w:line="18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Additionally, the value of the Common Shares is subject to market value fluctuations based upon factors that influence the Company’s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Company’s performance.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Issues</w:t>
      </w:r>
    </w:p>
    <w:p>
      <w:pPr>
        <w:spacing w:after="0" w:line="274"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There may be income tax consequences in relation to the Common Shares, which will vary according to circumstances. Independent advice from tax and legal advisers should be obtained.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 Dividends</w:t>
      </w:r>
    </w:p>
    <w:p>
      <w:pPr>
        <w:spacing w:after="0" w:line="26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Company’s current policy is, and will be, to retain earnings to finance the development and enhancement of its products and to otherwise reinvest in the Company. Therefore, the Company does not anticipate paying cash dividends on the Common Shares in the foreseeable future. The Company’s dividend policy will be reviewed from time to time by the Board in the context of its earnings, financial condition and other relevant factors. Until the time that the Company does pay dividends, which it might never do, its shareholders will not be able to receive a return on their Common Shares unless they sell them.</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ADDITIONAL INFORMATION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Additional information on the Company has been filed electronically through SEDAR+ and is available online at </w:t>
      </w:r>
      <w:r>
        <w:rPr>
          <w:rFonts w:ascii="Times New Roman" w:cs="Times New Roman" w:eastAsia="Times New Roman" w:hAnsi="Times New Roman"/>
          <w:sz w:val="20"/>
          <w:szCs w:val="20"/>
          <w:i w:val="1"/>
          <w:iCs w:val="1"/>
          <w:color w:val="auto"/>
        </w:rPr>
        <w:t>www.sedarplus.ca</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Approval</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Board has approved the disclosure in this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ectPr>
          <w:pgSz w:w="11900" w:h="16838" w:orient="portrait"/>
          <w:cols w:equalWidth="0" w:num="1">
            <w:col w:w="11240"/>
          </w:cols>
          <w:pgMar w:left="320" w:top="1440"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b w:val="1"/>
          <w:bCs w:val="1"/>
          <w:color w:val="auto"/>
        </w:rPr>
        <w:t>FORM 52-109F2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INTERIM FILINGS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CERTIFICATE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So, as Interim Chief Executive Officer of Cybin Inc., certify the following:</w:t>
      </w:r>
    </w:p>
    <w:p>
      <w:pPr>
        <w:spacing w:after="0" w:line="248" w:lineRule="exact"/>
        <w:rPr>
          <w:sz w:val="20"/>
          <w:szCs w:val="20"/>
          <w:color w:val="auto"/>
        </w:rPr>
      </w:pPr>
    </w:p>
    <w:p>
      <w:pPr>
        <w:ind w:left="660" w:hanging="328"/>
        <w:spacing w:after="0" w:line="286"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Review: </w:t>
      </w:r>
      <w:r>
        <w:rPr>
          <w:rFonts w:ascii="Times New Roman" w:cs="Times New Roman" w:eastAsia="Times New Roman" w:hAnsi="Times New Roman"/>
          <w:sz w:val="18"/>
          <w:szCs w:val="18"/>
          <w:color w:val="auto"/>
        </w:rPr>
        <w:t>I have reviewed the interim financial statements and interim MD&amp;A (together, the “interim filings”) of Cybin Inc. (the “issuer”)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interim period ended September 30, 2025.</w:t>
      </w:r>
    </w:p>
    <w:p>
      <w:pPr>
        <w:spacing w:after="0" w:line="18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misrepresentations</w:t>
      </w:r>
      <w:r>
        <w:rPr>
          <w:rFonts w:ascii="Times New Roman" w:cs="Times New Roman" w:eastAsia="Times New Roman" w:hAnsi="Times New Roman"/>
          <w:sz w:val="18"/>
          <w:szCs w:val="18"/>
          <w:color w:val="auto"/>
        </w:rPr>
        <w:t>: Based on my knowledge, having exercised reasonable diligence, the interim filings do not contain any untrue statement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material fact or omit to state a material fact required to be stated or that is necessary to make a statement not misleading in light of the circumstances under which it was made, with respect to the period covered by the interim filings.</w:t>
      </w:r>
    </w:p>
    <w:p>
      <w:pPr>
        <w:spacing w:after="0" w:line="197"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Fair presentation: </w:t>
      </w:r>
      <w:r>
        <w:rPr>
          <w:rFonts w:ascii="Times New Roman" w:cs="Times New Roman" w:eastAsia="Times New Roman" w:hAnsi="Times New Roman"/>
          <w:sz w:val="18"/>
          <w:szCs w:val="18"/>
          <w:color w:val="auto"/>
        </w:rPr>
        <w:t>Based on my knowledge, having exercised reasonable diligence, the interim financial statements together with the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information included in the interim filings fairly present in all material respects the financial condition, results of operations and cash flows of the issuer, as of the date of and for the periods presented in the interim filings.</w:t>
      </w:r>
    </w:p>
    <w:p>
      <w:pPr>
        <w:spacing w:after="0" w:line="197"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Responsibility: </w:t>
      </w:r>
      <w:r>
        <w:rPr>
          <w:rFonts w:ascii="Times New Roman" w:cs="Times New Roman" w:eastAsia="Times New Roman" w:hAnsi="Times New Roman"/>
          <w:sz w:val="18"/>
          <w:szCs w:val="18"/>
          <w:color w:val="auto"/>
        </w:rPr>
        <w:t>The issuer’s other certifying officer(s) and I are responsible for establishing and maintaining disclosure controls and procedures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(DC&amp;P) and internal control over financial reporting (ICFR), as those terms are defined in National Instrument 52-109 Certification of Disclosure in Issuers’ Annual and Interim Filings, for the issuer.</w:t>
      </w:r>
    </w:p>
    <w:p>
      <w:pPr>
        <w:spacing w:after="0" w:line="197"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Design: </w:t>
      </w:r>
      <w:r>
        <w:rPr>
          <w:rFonts w:ascii="Times New Roman" w:cs="Times New Roman" w:eastAsia="Times New Roman" w:hAnsi="Times New Roman"/>
          <w:sz w:val="18"/>
          <w:szCs w:val="18"/>
          <w:color w:val="auto"/>
        </w:rPr>
        <w:t>Subject to the limitations, if any, described in paragraphs 5.2 and 5.3, the issuer’s other certifying officer(s) and I have, as at the end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covered by the interim filings</w:t>
      </w:r>
    </w:p>
    <w:p>
      <w:pPr>
        <w:spacing w:after="0" w:line="18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DC&amp;P, or caused it to be designed under our supervision, to provide reasonable assurance that</w:t>
      </w:r>
    </w:p>
    <w:p>
      <w:pPr>
        <w:spacing w:after="0" w:line="252" w:lineRule="exact"/>
        <w:rPr>
          <w:rFonts w:ascii="Times New Roman" w:cs="Times New Roman" w:eastAsia="Times New Roman" w:hAnsi="Times New Roman"/>
          <w:sz w:val="18"/>
          <w:szCs w:val="18"/>
          <w:color w:val="auto"/>
        </w:rPr>
      </w:pPr>
    </w:p>
    <w:p>
      <w:pPr>
        <w:ind w:left="1960" w:hanging="332"/>
        <w:spacing w:after="0" w:line="282" w:lineRule="auto"/>
        <w:tabs>
          <w:tab w:leader="none" w:pos="1960"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relating to the issuer is made known to us by others, particularly during the period in which the interim filings are being prepared; and</w:t>
      </w:r>
    </w:p>
    <w:p>
      <w:pPr>
        <w:spacing w:after="0" w:line="188"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60"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85" w:lineRule="exact"/>
        <w:rPr>
          <w:sz w:val="20"/>
          <w:szCs w:val="20"/>
          <w:color w:val="auto"/>
        </w:rPr>
      </w:pPr>
    </w:p>
    <w:p>
      <w:pPr>
        <w:ind w:left="340"/>
        <w:spacing w:after="0"/>
        <w:tabs>
          <w:tab w:leader="none" w:pos="78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b w:val="1"/>
          <w:bCs w:val="1"/>
          <w:i w:val="1"/>
          <w:iCs w:val="1"/>
          <w:color w:val="auto"/>
        </w:rPr>
        <w:t xml:space="preserve">Control framework: </w:t>
      </w:r>
      <w:r>
        <w:rPr>
          <w:rFonts w:ascii="Times New Roman" w:cs="Times New Roman" w:eastAsia="Times New Roman" w:hAnsi="Times New Roman"/>
          <w:sz w:val="18"/>
          <w:szCs w:val="18"/>
          <w:color w:val="auto"/>
        </w:rPr>
        <w:t>The control framework the issuer’s other certifying officer(s) and I used to design the issuer’s ICFR is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Internal Control</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Integrated Framework (2013) issued by The Committee of Sponsoring Organization of the Treadway Commission (COSO).</w:t>
      </w:r>
    </w:p>
    <w:p>
      <w:pPr>
        <w:spacing w:after="0" w:line="230"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b w:val="1"/>
          <w:bCs w:val="1"/>
          <w:i w:val="1"/>
          <w:iCs w:val="1"/>
          <w:color w:val="auto"/>
        </w:rPr>
        <w:t>N/A.</w:t>
      </w:r>
    </w:p>
    <w:p>
      <w:pPr>
        <w:spacing w:after="0" w:line="252"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b w:val="1"/>
          <w:bCs w:val="1"/>
          <w:i w:val="1"/>
          <w:iCs w:val="1"/>
          <w:color w:val="auto"/>
        </w:rPr>
        <w:t>N/A.</w:t>
      </w:r>
    </w:p>
    <w:p>
      <w:pPr>
        <w:spacing w:after="0" w:line="252" w:lineRule="exact"/>
        <w:rPr>
          <w:sz w:val="20"/>
          <w:szCs w:val="20"/>
          <w:color w:val="auto"/>
        </w:rPr>
      </w:pPr>
    </w:p>
    <w:p>
      <w:pPr>
        <w:jc w:val="both"/>
        <w:ind w:left="660" w:hanging="328"/>
        <w:spacing w:after="0" w:line="268"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Reporting changes in ICFR: </w:t>
      </w:r>
      <w:r>
        <w:rPr>
          <w:rFonts w:ascii="Times New Roman" w:cs="Times New Roman" w:eastAsia="Times New Roman" w:hAnsi="Times New Roman"/>
          <w:sz w:val="18"/>
          <w:szCs w:val="18"/>
          <w:color w:val="auto"/>
        </w:rPr>
        <w:t>The issuer has disclosed in its interim MD&amp;A any change in the issuer’s ICFR that occurred during the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beginning on July 1, 2025 and ended on September 30, 2025 that has materially affected, or is reasonably likely to materially affect, the issuer’s ICFR.</w:t>
      </w:r>
    </w:p>
    <w:p>
      <w:pPr>
        <w:sectPr>
          <w:pgSz w:w="11900" w:h="16838" w:orient="portrait"/>
          <w:cols w:equalWidth="0" w:num="1">
            <w:col w:w="11240"/>
          </w:cols>
          <w:pgMar w:left="320" w:top="1413" w:right="339" w:bottom="1440" w:gutter="0" w:footer="0" w:header="0"/>
        </w:sectPr>
      </w:pPr>
    </w:p>
    <w:bookmarkStart w:id="153" w:name="page154"/>
    <w:bookmarkEnd w:id="153"/>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2025</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Eric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23228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4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Eric So</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Interim Chief Executive Officer</w:t>
      </w:r>
    </w:p>
    <w:p>
      <w:pPr>
        <w:sectPr>
          <w:pgSz w:w="11900" w:h="16838" w:orient="portrait"/>
          <w:cols w:equalWidth="0" w:num="1">
            <w:col w:w="10139"/>
          </w:cols>
          <w:pgMar w:left="320" w:top="1440" w:right="1440"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color w:val="auto"/>
        </w:rPr>
        <w:t>FORM 52-109F2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INTERIM FILINGS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CERTIFICATE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 Cavers, as Chief Financial Officer of Cybin Inc., certify the following:</w:t>
      </w:r>
    </w:p>
    <w:p>
      <w:pPr>
        <w:spacing w:after="0" w:line="221" w:lineRule="exact"/>
        <w:rPr>
          <w:sz w:val="20"/>
          <w:szCs w:val="20"/>
          <w:color w:val="auto"/>
        </w:rPr>
      </w:pPr>
    </w:p>
    <w:p>
      <w:pPr>
        <w:ind w:left="660" w:hanging="328"/>
        <w:spacing w:after="0" w:line="286"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Review: </w:t>
      </w:r>
      <w:r>
        <w:rPr>
          <w:rFonts w:ascii="Times New Roman" w:cs="Times New Roman" w:eastAsia="Times New Roman" w:hAnsi="Times New Roman"/>
          <w:sz w:val="18"/>
          <w:szCs w:val="18"/>
          <w:color w:val="auto"/>
        </w:rPr>
        <w:t>I have reviewed the interim financial statements and interim MD&amp;A (together, the “interim filings”) of Cybin Inc. (the “issuer”)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interim period ended September 30, 2025.</w:t>
      </w:r>
    </w:p>
    <w:p>
      <w:pPr>
        <w:spacing w:after="0" w:line="18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misrepresentations</w:t>
      </w:r>
      <w:r>
        <w:rPr>
          <w:rFonts w:ascii="Times New Roman" w:cs="Times New Roman" w:eastAsia="Times New Roman" w:hAnsi="Times New Roman"/>
          <w:sz w:val="18"/>
          <w:szCs w:val="18"/>
          <w:color w:val="auto"/>
        </w:rPr>
        <w:t>: Based on my knowledge, having exercised reasonable diligence, the interim filings do not contain any untrue statement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material fact or omit to state a material fact required to be stated or that is necessary to make a statement not misleading in light of the circumstances under which it was made, with respect to the period covered by the interim filings.</w:t>
      </w:r>
    </w:p>
    <w:p>
      <w:pPr>
        <w:spacing w:after="0" w:line="197"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Fair presentation: </w:t>
      </w:r>
      <w:r>
        <w:rPr>
          <w:rFonts w:ascii="Times New Roman" w:cs="Times New Roman" w:eastAsia="Times New Roman" w:hAnsi="Times New Roman"/>
          <w:sz w:val="18"/>
          <w:szCs w:val="18"/>
          <w:color w:val="auto"/>
        </w:rPr>
        <w:t>Based on my knowledge, having exercised reasonable diligence, the interim financial statements together with the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information included in the interim filings fairly present in all material respects the financial condition, results of operations and cash flows of the issuer, as of the date of and for the periods presented in the interim filings.</w:t>
      </w:r>
    </w:p>
    <w:p>
      <w:pPr>
        <w:spacing w:after="0" w:line="197"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Responsibility: </w:t>
      </w:r>
      <w:r>
        <w:rPr>
          <w:rFonts w:ascii="Times New Roman" w:cs="Times New Roman" w:eastAsia="Times New Roman" w:hAnsi="Times New Roman"/>
          <w:sz w:val="18"/>
          <w:szCs w:val="18"/>
          <w:color w:val="auto"/>
        </w:rPr>
        <w:t>The issuer’s other certifying officer(s) and I are responsible for establishing and maintaining disclosure controls and procedures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(DC&amp;P) and internal control over financial reporting (ICFR), as those terms are defined in National Instrument 52-109 Certification of Disclosure in Issuers’ Annual and Interim Filings, for the issuer.</w:t>
      </w:r>
    </w:p>
    <w:p>
      <w:pPr>
        <w:spacing w:after="0" w:line="197"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Design: </w:t>
      </w:r>
      <w:r>
        <w:rPr>
          <w:rFonts w:ascii="Times New Roman" w:cs="Times New Roman" w:eastAsia="Times New Roman" w:hAnsi="Times New Roman"/>
          <w:sz w:val="18"/>
          <w:szCs w:val="18"/>
          <w:color w:val="auto"/>
        </w:rPr>
        <w:t>Subject to the limitations, if any, described in paragraphs 5.2 and 5.3, the issuer’s other certifying officer(s) and I have, as at the end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covered by the interim filings</w:t>
      </w:r>
    </w:p>
    <w:p>
      <w:pPr>
        <w:spacing w:after="0" w:line="18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DC&amp;P, or caused it to be designed under our supervision, to provide reasonable assurance that</w:t>
      </w:r>
    </w:p>
    <w:p>
      <w:pPr>
        <w:spacing w:after="0" w:line="252" w:lineRule="exact"/>
        <w:rPr>
          <w:rFonts w:ascii="Times New Roman" w:cs="Times New Roman" w:eastAsia="Times New Roman" w:hAnsi="Times New Roman"/>
          <w:sz w:val="18"/>
          <w:szCs w:val="18"/>
          <w:color w:val="auto"/>
        </w:rPr>
      </w:pPr>
    </w:p>
    <w:p>
      <w:pPr>
        <w:ind w:left="1960" w:hanging="332"/>
        <w:spacing w:after="0" w:line="282" w:lineRule="auto"/>
        <w:tabs>
          <w:tab w:leader="none" w:pos="196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relating to the issuer is made known to us by others, particularly during the period in which the interim filings are being prepared; and</w:t>
      </w:r>
    </w:p>
    <w:p>
      <w:pPr>
        <w:spacing w:after="0" w:line="188"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6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85" w:lineRule="exact"/>
        <w:rPr>
          <w:sz w:val="20"/>
          <w:szCs w:val="20"/>
          <w:color w:val="auto"/>
        </w:rPr>
      </w:pPr>
    </w:p>
    <w:p>
      <w:pPr>
        <w:ind w:left="340"/>
        <w:spacing w:after="0"/>
        <w:tabs>
          <w:tab w:leader="none" w:pos="78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b w:val="1"/>
          <w:bCs w:val="1"/>
          <w:i w:val="1"/>
          <w:iCs w:val="1"/>
          <w:color w:val="auto"/>
        </w:rPr>
        <w:t xml:space="preserve">Control framework: </w:t>
      </w:r>
      <w:r>
        <w:rPr>
          <w:rFonts w:ascii="Times New Roman" w:cs="Times New Roman" w:eastAsia="Times New Roman" w:hAnsi="Times New Roman"/>
          <w:sz w:val="18"/>
          <w:szCs w:val="18"/>
          <w:color w:val="auto"/>
        </w:rPr>
        <w:t>The control framework the issuer’s other certifying officer(s) and I used to design the issuer’s ICFR is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Internal Control</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Integrated Framework (2013) issued by The Committee of Sponsoring Organization of the Treadway Commission (COSO).</w:t>
      </w:r>
    </w:p>
    <w:p>
      <w:pPr>
        <w:spacing w:after="0" w:line="230"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b w:val="1"/>
          <w:bCs w:val="1"/>
          <w:i w:val="1"/>
          <w:iCs w:val="1"/>
          <w:color w:val="auto"/>
        </w:rPr>
        <w:t>N/A.</w:t>
      </w:r>
    </w:p>
    <w:p>
      <w:pPr>
        <w:spacing w:after="0" w:line="252"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b w:val="1"/>
          <w:bCs w:val="1"/>
          <w:i w:val="1"/>
          <w:iCs w:val="1"/>
          <w:color w:val="auto"/>
        </w:rPr>
        <w:t>N/A.</w:t>
      </w:r>
    </w:p>
    <w:p>
      <w:pPr>
        <w:spacing w:after="0" w:line="252" w:lineRule="exact"/>
        <w:rPr>
          <w:sz w:val="20"/>
          <w:szCs w:val="20"/>
          <w:color w:val="auto"/>
        </w:rPr>
      </w:pPr>
    </w:p>
    <w:p>
      <w:pPr>
        <w:jc w:val="both"/>
        <w:ind w:left="660" w:hanging="328"/>
        <w:spacing w:after="0" w:line="268"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Reporting changes in ICFR: </w:t>
      </w:r>
      <w:r>
        <w:rPr>
          <w:rFonts w:ascii="Times New Roman" w:cs="Times New Roman" w:eastAsia="Times New Roman" w:hAnsi="Times New Roman"/>
          <w:sz w:val="18"/>
          <w:szCs w:val="18"/>
          <w:color w:val="auto"/>
        </w:rPr>
        <w:t>The issuer has disclosed in its interim MD&amp;A any change in the issuer’s ICFR that occurred during the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beginning on July 1, 2025 and ended on September 30, 2025 that has materially affected, or is reasonably likely to materially affect, the issuer’s ICFR.</w:t>
      </w:r>
    </w:p>
    <w:p>
      <w:pPr>
        <w:sectPr>
          <w:pgSz w:w="11900" w:h="16838" w:orient="portrait"/>
          <w:cols w:equalWidth="0" w:num="1">
            <w:col w:w="11240"/>
          </w:cols>
          <w:pgMar w:left="320" w:top="1413" w:right="339" w:bottom="1440" w:gutter="0" w:footer="0" w:header="0"/>
        </w:sectPr>
      </w:pPr>
    </w:p>
    <w:bookmarkStart w:id="155" w:name="page156"/>
    <w:bookmarkEnd w:id="155"/>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2025</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/s/ Greg Cavers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19456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1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Greg Cavers</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139"/>
          </w:cols>
          <w:pgMar w:left="320" w:top="1440" w:right="1440" w:bottom="1440" w:gutter="0" w:footer="0" w:header="0"/>
        </w:sectPr>
      </w:pPr>
    </w:p>
    <w:bookmarkStart w:id="156" w:name="page157"/>
    <w:bookmarkEnd w:id="1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911860</wp:posOffset>
            </wp:positionV>
            <wp:extent cx="1765935" cy="1028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340" w:right="380"/>
        <w:spacing w:after="0" w:line="321" w:lineRule="auto"/>
        <w:rPr>
          <w:sz w:val="20"/>
          <w:szCs w:val="20"/>
          <w:color w:val="auto"/>
        </w:rPr>
      </w:pPr>
      <w:r>
        <w:rPr>
          <w:rFonts w:ascii="Arial" w:cs="Arial" w:eastAsia="Arial" w:hAnsi="Arial"/>
          <w:sz w:val="25"/>
          <w:szCs w:val="25"/>
          <w:b w:val="1"/>
          <w:bCs w:val="1"/>
          <w:color w:val="auto"/>
        </w:rPr>
        <w:t>Cybin Reports Second Quarter Fiscal Year 2026 Financial Results and Recent Business Highlights</w:t>
      </w:r>
    </w:p>
    <w:p>
      <w:pPr>
        <w:spacing w:after="0" w:line="125" w:lineRule="exact"/>
        <w:rPr>
          <w:sz w:val="20"/>
          <w:szCs w:val="20"/>
          <w:color w:val="auto"/>
        </w:rPr>
      </w:pPr>
    </w:p>
    <w:p>
      <w:pPr>
        <w:ind w:left="320" w:hanging="123"/>
        <w:spacing w:after="0"/>
        <w:tabs>
          <w:tab w:leader="none" w:pos="320" w:val="left"/>
        </w:tabs>
        <w:numPr>
          <w:ilvl w:val="0"/>
          <w:numId w:val="79"/>
        </w:numPr>
        <w:rPr>
          <w:rFonts w:ascii="Arial" w:cs="Arial" w:eastAsia="Arial" w:hAnsi="Arial"/>
          <w:sz w:val="20"/>
          <w:szCs w:val="20"/>
          <w:i w:val="1"/>
          <w:iCs w:val="1"/>
          <w:color w:val="auto"/>
        </w:rPr>
      </w:pPr>
      <w:r>
        <w:rPr>
          <w:rFonts w:ascii="Arial" w:cs="Arial" w:eastAsia="Arial" w:hAnsi="Arial"/>
          <w:sz w:val="20"/>
          <w:szCs w:val="20"/>
          <w:i w:val="1"/>
          <w:iCs w:val="1"/>
          <w:color w:val="auto"/>
        </w:rPr>
        <w:t>Closed registered direct offering for aggregate gross proceeds of US$175 million (the “Registered Direct Offering”) led by a</w:t>
      </w:r>
    </w:p>
    <w:p>
      <w:pPr>
        <w:spacing w:after="0" w:line="31" w:lineRule="exact"/>
        <w:rPr>
          <w:rFonts w:ascii="Arial" w:cs="Arial" w:eastAsia="Arial" w:hAnsi="Arial"/>
          <w:sz w:val="20"/>
          <w:szCs w:val="20"/>
          <w:i w:val="1"/>
          <w:iCs w:val="1"/>
          <w:color w:val="auto"/>
        </w:rPr>
      </w:pPr>
    </w:p>
    <w:p>
      <w:pPr>
        <w:ind w:left="280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syndicate of prominent biopharmaceutical institutional investors -</w:t>
      </w:r>
    </w:p>
    <w:p>
      <w:pPr>
        <w:spacing w:after="0" w:line="224" w:lineRule="exact"/>
        <w:rPr>
          <w:rFonts w:ascii="Arial" w:cs="Arial" w:eastAsia="Arial" w:hAnsi="Arial"/>
          <w:sz w:val="20"/>
          <w:szCs w:val="20"/>
          <w:i w:val="1"/>
          <w:iCs w:val="1"/>
          <w:color w:val="auto"/>
        </w:rPr>
      </w:pPr>
    </w:p>
    <w:p>
      <w:pPr>
        <w:ind w:left="440" w:hanging="117"/>
        <w:spacing w:after="0"/>
        <w:tabs>
          <w:tab w:leader="none" w:pos="440" w:val="left"/>
        </w:tabs>
        <w:numPr>
          <w:ilvl w:val="1"/>
          <w:numId w:val="79"/>
        </w:numPr>
        <w:rPr>
          <w:rFonts w:ascii="Arial" w:cs="Arial" w:eastAsia="Arial" w:hAnsi="Arial"/>
          <w:sz w:val="20"/>
          <w:szCs w:val="20"/>
          <w:i w:val="1"/>
          <w:iCs w:val="1"/>
          <w:color w:val="auto"/>
        </w:rPr>
      </w:pPr>
      <w:r>
        <w:rPr>
          <w:rFonts w:ascii="Arial" w:cs="Arial" w:eastAsia="Arial" w:hAnsi="Arial"/>
          <w:sz w:val="20"/>
          <w:szCs w:val="20"/>
          <w:i w:val="1"/>
          <w:iCs w:val="1"/>
          <w:color w:val="auto"/>
        </w:rPr>
        <w:t>On track to report topline data from Phase 2 study evaluating CYB004 for the treatment of Generalized Anxiety Disorder</w:t>
      </w:r>
    </w:p>
    <w:p>
      <w:pPr>
        <w:spacing w:after="0" w:line="31" w:lineRule="exact"/>
        <w:rPr>
          <w:rFonts w:ascii="Arial" w:cs="Arial" w:eastAsia="Arial" w:hAnsi="Arial"/>
          <w:sz w:val="20"/>
          <w:szCs w:val="20"/>
          <w:i w:val="1"/>
          <w:iCs w:val="1"/>
          <w:color w:val="auto"/>
        </w:rPr>
      </w:pPr>
    </w:p>
    <w:p>
      <w:pPr>
        <w:ind w:left="468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(“GAD”) in Q1 2026</w:t>
      </w:r>
      <w:r>
        <w:rPr>
          <w:rFonts w:ascii="Arial" w:cs="Arial" w:eastAsia="Arial" w:hAnsi="Arial"/>
          <w:sz w:val="25"/>
          <w:szCs w:val="25"/>
          <w:i w:val="1"/>
          <w:iCs w:val="1"/>
          <w:color w:val="auto"/>
          <w:vertAlign w:val="superscript"/>
        </w:rPr>
        <w:t>1</w:t>
      </w:r>
      <w:r>
        <w:rPr>
          <w:rFonts w:ascii="Arial" w:cs="Arial" w:eastAsia="Arial" w:hAnsi="Arial"/>
          <w:sz w:val="20"/>
          <w:szCs w:val="20"/>
          <w:i w:val="1"/>
          <w:iCs w:val="1"/>
          <w:color w:val="auto"/>
        </w:rPr>
        <w:t xml:space="preserve"> -</w:t>
      </w:r>
    </w:p>
    <w:p>
      <w:pPr>
        <w:spacing w:after="0" w:line="180" w:lineRule="exact"/>
        <w:rPr>
          <w:rFonts w:ascii="Arial" w:cs="Arial" w:eastAsia="Arial" w:hAnsi="Arial"/>
          <w:sz w:val="20"/>
          <w:szCs w:val="20"/>
          <w:i w:val="1"/>
          <w:iCs w:val="1"/>
          <w:color w:val="auto"/>
        </w:rPr>
      </w:pPr>
    </w:p>
    <w:p>
      <w:pPr>
        <w:ind w:left="540" w:hanging="118"/>
        <w:spacing w:after="0"/>
        <w:tabs>
          <w:tab w:leader="none" w:pos="540" w:val="left"/>
        </w:tabs>
        <w:numPr>
          <w:ilvl w:val="3"/>
          <w:numId w:val="79"/>
        </w:numPr>
        <w:rPr>
          <w:rFonts w:ascii="Arial" w:cs="Arial" w:eastAsia="Arial" w:hAnsi="Arial"/>
          <w:sz w:val="20"/>
          <w:szCs w:val="20"/>
          <w:i w:val="1"/>
          <w:iCs w:val="1"/>
          <w:color w:val="auto"/>
        </w:rPr>
      </w:pPr>
      <w:r>
        <w:rPr>
          <w:rFonts w:ascii="Arial" w:cs="Arial" w:eastAsia="Arial" w:hAnsi="Arial"/>
          <w:sz w:val="20"/>
          <w:szCs w:val="20"/>
          <w:i w:val="1"/>
          <w:iCs w:val="1"/>
          <w:color w:val="auto"/>
        </w:rPr>
        <w:t>Continues to advance Phase 3 studies of CYB003 for the adjunctive treatment of major depressive disorder (“MDD”) -</w:t>
      </w:r>
    </w:p>
    <w:p>
      <w:pPr>
        <w:spacing w:after="0" w:line="242" w:lineRule="exact"/>
        <w:rPr>
          <w:rFonts w:ascii="Arial" w:cs="Arial" w:eastAsia="Arial" w:hAnsi="Arial"/>
          <w:sz w:val="20"/>
          <w:szCs w:val="20"/>
          <w:i w:val="1"/>
          <w:iCs w:val="1"/>
          <w:color w:val="auto"/>
        </w:rPr>
      </w:pPr>
    </w:p>
    <w:p>
      <w:pPr>
        <w:ind w:left="500" w:hanging="120"/>
        <w:spacing w:after="0"/>
        <w:tabs>
          <w:tab w:leader="none" w:pos="500" w:val="left"/>
        </w:tabs>
        <w:numPr>
          <w:ilvl w:val="2"/>
          <w:numId w:val="79"/>
        </w:numPr>
        <w:rPr>
          <w:rFonts w:ascii="Arial" w:cs="Arial" w:eastAsia="Arial" w:hAnsi="Arial"/>
          <w:sz w:val="20"/>
          <w:szCs w:val="20"/>
          <w:i w:val="1"/>
          <w:iCs w:val="1"/>
          <w:color w:val="auto"/>
        </w:rPr>
      </w:pPr>
      <w:r>
        <w:rPr>
          <w:rFonts w:ascii="Arial" w:cs="Arial" w:eastAsia="Arial" w:hAnsi="Arial"/>
          <w:sz w:val="20"/>
          <w:szCs w:val="20"/>
          <w:i w:val="1"/>
          <w:iCs w:val="1"/>
          <w:color w:val="auto"/>
        </w:rPr>
        <w:t>The Company’s cash position as at September 30, 2025 after giving effect to the net proceeds of the Registered Direct</w:t>
      </w:r>
    </w:p>
    <w:p>
      <w:pPr>
        <w:spacing w:after="0" w:line="31" w:lineRule="exact"/>
        <w:rPr>
          <w:rFonts w:ascii="Arial" w:cs="Arial" w:eastAsia="Arial" w:hAnsi="Arial"/>
          <w:sz w:val="20"/>
          <w:szCs w:val="20"/>
          <w:i w:val="1"/>
          <w:iCs w:val="1"/>
          <w:color w:val="auto"/>
        </w:rPr>
      </w:pPr>
    </w:p>
    <w:p>
      <w:pPr>
        <w:ind w:left="442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Offering is US$248 million -</w:t>
      </w:r>
    </w:p>
    <w:p>
      <w:pPr>
        <w:spacing w:after="0" w:line="224" w:lineRule="exact"/>
        <w:rPr>
          <w:rFonts w:ascii="Arial" w:cs="Arial" w:eastAsia="Arial" w:hAnsi="Arial"/>
          <w:sz w:val="20"/>
          <w:szCs w:val="20"/>
          <w:i w:val="1"/>
          <w:iCs w:val="1"/>
          <w:color w:val="auto"/>
        </w:rPr>
      </w:pPr>
    </w:p>
    <w:p>
      <w:pPr>
        <w:ind w:left="880" w:hanging="115"/>
        <w:spacing w:after="0"/>
        <w:tabs>
          <w:tab w:leader="none" w:pos="880" w:val="left"/>
        </w:tabs>
        <w:numPr>
          <w:ilvl w:val="4"/>
          <w:numId w:val="79"/>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Repayment of outstanding convertible debentures to High Trail Special Situations LLC and debt retired in full </w:t>
      </w:r>
      <w:r>
        <w:rPr>
          <w:rFonts w:ascii="Arial" w:cs="Arial" w:eastAsia="Arial" w:hAnsi="Arial"/>
          <w:sz w:val="20"/>
          <w:szCs w:val="20"/>
          <w:color w:val="auto"/>
        </w:rPr>
        <w:t>-</w:t>
      </w:r>
    </w:p>
    <w:p>
      <w:pPr>
        <w:spacing w:after="0" w:line="256" w:lineRule="exact"/>
        <w:rPr>
          <w:rFonts w:ascii="Arial" w:cs="Arial" w:eastAsia="Arial" w:hAnsi="Arial"/>
          <w:sz w:val="20"/>
          <w:szCs w:val="20"/>
          <w:i w:val="1"/>
          <w:iCs w:val="1"/>
          <w:color w:val="auto"/>
        </w:rPr>
      </w:pPr>
    </w:p>
    <w:p>
      <w:pPr>
        <w:ind w:left="2620" w:hanging="114"/>
        <w:spacing w:after="0"/>
        <w:tabs>
          <w:tab w:leader="none" w:pos="2620" w:val="left"/>
        </w:tabs>
        <w:numPr>
          <w:ilvl w:val="5"/>
          <w:numId w:val="79"/>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Company to host conference call and webcast at 8:00 a.m. ET today </w:t>
      </w:r>
      <w:r>
        <w:rPr>
          <w:rFonts w:ascii="Arial" w:cs="Arial" w:eastAsia="Arial" w:hAnsi="Arial"/>
          <w:sz w:val="20"/>
          <w:szCs w:val="20"/>
          <w:color w:val="auto"/>
        </w:rPr>
        <w:t>-</w:t>
      </w:r>
    </w:p>
    <w:p>
      <w:pPr>
        <w:spacing w:after="0" w:line="200" w:lineRule="exact"/>
        <w:rPr>
          <w:sz w:val="20"/>
          <w:szCs w:val="20"/>
          <w:color w:val="auto"/>
        </w:rPr>
      </w:pPr>
    </w:p>
    <w:p>
      <w:pPr>
        <w:spacing w:after="0" w:line="311"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November 13, 2025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a clinical-stage breakthrough neuropsychiatry company committed to revolutionizing mental healthcare by developing new and innovative next-generation treatment options, today reported unaudited financial results for its second quarter ended September 30, 2025, and recent business highlights.</w:t>
      </w:r>
    </w:p>
    <w:p>
      <w:pPr>
        <w:spacing w:after="0" w:line="213"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“We are extremely pleased with the strong demand for our recently completed financing,” said Eric So, Interim Chief Executive Officer of Cybin. “The participation of notable institutional investors underscores confidence in the strength of our science, the potential and differentiation of our therapeutic candidates, and our team’s proven ability to execute. This financing enables us to maintain strong momentum as we advance our Phase 2 and Phase 3 clinical trials toward key data readouts in 2026 and work to deliver meaningful clinical outcomes and potentially transformative therapies closer to patients in need.”</w:t>
      </w:r>
    </w:p>
    <w:p>
      <w:pPr>
        <w:sectPr>
          <w:pgSz w:w="11900" w:h="16838" w:orient="portrait"/>
          <w:cols w:equalWidth="0" w:num="1">
            <w:col w:w="11240"/>
          </w:cols>
          <w:pgMar w:left="320" w:top="1440" w:right="339" w:bottom="1440" w:gutter="0" w:footer="0" w:header="0"/>
        </w:sectPr>
      </w:pPr>
    </w:p>
    <w:bookmarkStart w:id="157" w:name="page158"/>
    <w:bookmarkEnd w:id="157"/>
    <w:p>
      <w:pPr>
        <w:jc w:val="both"/>
        <w:spacing w:after="0" w:line="282" w:lineRule="auto"/>
        <w:rPr>
          <w:sz w:val="20"/>
          <w:szCs w:val="20"/>
          <w:color w:val="auto"/>
        </w:rPr>
      </w:pPr>
      <w:r>
        <w:rPr>
          <w:rFonts w:ascii="Arial" w:cs="Arial" w:eastAsia="Arial" w:hAnsi="Arial"/>
          <w:sz w:val="20"/>
          <w:szCs w:val="20"/>
          <w:color w:val="auto"/>
        </w:rPr>
        <w:t>“Across the organization we are focused on a disciplined execution strategy and building a strong foundation leading up to critical clinical milestones in 2026,” said Eric So, Interim Chief Executive Officer of Cybin. “Our recent financing enables us to advance our late-stage programs, prepare for commercialization and retire inefficient capital structures. Coupled with our clinical progress, scientific rigor, dominant IP, measured approach to capital deployment, and leadership continuity, Cybin is well positioned to advance towards our upcoming data readouts and beyond.”</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Business and Pipeline Highlights:</w:t>
      </w:r>
    </w:p>
    <w:p>
      <w:pPr>
        <w:spacing w:after="0" w:line="272" w:lineRule="exact"/>
        <w:rPr>
          <w:sz w:val="20"/>
          <w:szCs w:val="20"/>
          <w:color w:val="auto"/>
        </w:rPr>
      </w:pPr>
    </w:p>
    <w:p>
      <w:pPr>
        <w:ind w:left="660" w:right="20" w:hanging="328"/>
        <w:spacing w:after="0" w:line="313" w:lineRule="auto"/>
        <w:tabs>
          <w:tab w:leader="none" w:pos="648" w:val="left"/>
        </w:tabs>
        <w:numPr>
          <w:ilvl w:val="0"/>
          <w:numId w:val="80"/>
        </w:numPr>
        <w:rPr>
          <w:rFonts w:ascii="Times New Roman" w:cs="Times New Roman" w:eastAsia="Times New Roman" w:hAnsi="Times New Roman"/>
          <w:sz w:val="20"/>
          <w:szCs w:val="20"/>
          <w:color w:val="auto"/>
        </w:rPr>
      </w:pPr>
      <w:r>
        <w:rPr>
          <w:rFonts w:ascii="Arial" w:cs="Arial" w:eastAsia="Arial" w:hAnsi="Arial"/>
          <w:sz w:val="20"/>
          <w:szCs w:val="20"/>
          <w:color w:val="auto"/>
        </w:rPr>
        <w:t>Completed enrollment in its Phase 2 study evaluating CYB004, a proprietary deuterated dimethyltryptamine (“DMT”) program, for the treatment of GAD.</w:t>
      </w:r>
    </w:p>
    <w:p>
      <w:pPr>
        <w:spacing w:after="0" w:line="168" w:lineRule="exact"/>
        <w:rPr>
          <w:rFonts w:ascii="Times New Roman" w:cs="Times New Roman" w:eastAsia="Times New Roman" w:hAnsi="Times New Roman"/>
          <w:sz w:val="20"/>
          <w:szCs w:val="20"/>
          <w:color w:val="auto"/>
        </w:rPr>
      </w:pPr>
    </w:p>
    <w:p>
      <w:pPr>
        <w:jc w:val="both"/>
        <w:ind w:left="660" w:hanging="328"/>
        <w:spacing w:after="0" w:line="260" w:lineRule="auto"/>
        <w:tabs>
          <w:tab w:leader="none" w:pos="648" w:val="left"/>
        </w:tabs>
        <w:numPr>
          <w:ilvl w:val="0"/>
          <w:numId w:val="80"/>
        </w:numPr>
        <w:rPr>
          <w:rFonts w:ascii="Times New Roman" w:cs="Times New Roman" w:eastAsia="Times New Roman" w:hAnsi="Times New Roman"/>
          <w:sz w:val="20"/>
          <w:szCs w:val="20"/>
          <w:color w:val="auto"/>
        </w:rPr>
      </w:pPr>
      <w:r>
        <w:rPr>
          <w:rFonts w:ascii="Arial" w:cs="Arial" w:eastAsia="Arial" w:hAnsi="Arial"/>
          <w:sz w:val="20"/>
          <w:szCs w:val="20"/>
          <w:color w:val="auto"/>
        </w:rPr>
        <w:t>Continues to progress CYB003 through the Phase 3 APPROACH and EXTEND studies. Dosing is currently ongoing in the first pivotal study, APPROACH, which is expected to enroll 220 patients across 45 U.S. clinical sites</w:t>
      </w:r>
      <w:r>
        <w:rPr>
          <w:rFonts w:ascii="Arial" w:cs="Arial" w:eastAsia="Arial" w:hAnsi="Arial"/>
          <w:sz w:val="25"/>
          <w:szCs w:val="25"/>
          <w:i w:val="1"/>
          <w:iCs w:val="1"/>
          <w:color w:val="auto"/>
          <w:vertAlign w:val="superscript"/>
        </w:rPr>
        <w:t>1</w:t>
      </w:r>
      <w:r>
        <w:rPr>
          <w:rFonts w:ascii="Arial" w:cs="Arial" w:eastAsia="Arial" w:hAnsi="Arial"/>
          <w:sz w:val="20"/>
          <w:szCs w:val="20"/>
          <w:color w:val="auto"/>
        </w:rPr>
        <w:t>. Patient rollovers continue into EXTEND, the long-term extension study.</w:t>
      </w:r>
    </w:p>
    <w:p>
      <w:pPr>
        <w:spacing w:after="0" w:line="216" w:lineRule="exact"/>
        <w:rPr>
          <w:rFonts w:ascii="Times New Roman" w:cs="Times New Roman" w:eastAsia="Times New Roman" w:hAnsi="Times New Roman"/>
          <w:sz w:val="20"/>
          <w:szCs w:val="20"/>
          <w:color w:val="auto"/>
        </w:rPr>
      </w:pPr>
    </w:p>
    <w:p>
      <w:pPr>
        <w:jc w:val="both"/>
        <w:ind w:left="660" w:hanging="328"/>
        <w:spacing w:after="0" w:line="265" w:lineRule="auto"/>
        <w:tabs>
          <w:tab w:leader="none" w:pos="648" w:val="left"/>
        </w:tabs>
        <w:numPr>
          <w:ilvl w:val="0"/>
          <w:numId w:val="80"/>
        </w:numPr>
        <w:rPr>
          <w:rFonts w:ascii="Times New Roman" w:cs="Times New Roman" w:eastAsia="Times New Roman" w:hAnsi="Times New Roman"/>
          <w:sz w:val="20"/>
          <w:szCs w:val="20"/>
          <w:color w:val="auto"/>
        </w:rPr>
      </w:pPr>
      <w:r>
        <w:rPr>
          <w:rFonts w:ascii="Arial" w:cs="Arial" w:eastAsia="Arial" w:hAnsi="Arial"/>
          <w:sz w:val="20"/>
          <w:szCs w:val="20"/>
          <w:color w:val="auto"/>
        </w:rPr>
        <w:t>Received approval in Australia to conduct the EMBRACE</w:t>
      </w:r>
      <w:r>
        <w:rPr>
          <w:rFonts w:ascii="Arial" w:cs="Arial" w:eastAsia="Arial" w:hAnsi="Arial"/>
          <w:sz w:val="25"/>
          <w:szCs w:val="25"/>
          <w:color w:val="auto"/>
          <w:vertAlign w:val="superscript"/>
        </w:rPr>
        <w:t>®</w:t>
      </w:r>
      <w:r>
        <w:rPr>
          <w:rFonts w:ascii="Arial" w:cs="Arial" w:eastAsia="Arial" w:hAnsi="Arial"/>
          <w:sz w:val="20"/>
          <w:szCs w:val="20"/>
          <w:color w:val="auto"/>
        </w:rPr>
        <w:t xml:space="preserve"> study, the second Phase 3 study within the PARADIGM program evaluating CYB003, for the adjunctive treatment of MDD. This approval follows other recent regulatory decisions which granted approval to initiate the EMBRACE study in the United States, Ireland, Poland, Greece and the United Kingdom.</w:t>
      </w:r>
    </w:p>
    <w:p>
      <w:pPr>
        <w:spacing w:after="0" w:line="229" w:lineRule="exact"/>
        <w:rPr>
          <w:rFonts w:ascii="Times New Roman" w:cs="Times New Roman" w:eastAsia="Times New Roman" w:hAnsi="Times New Roman"/>
          <w:sz w:val="20"/>
          <w:szCs w:val="20"/>
          <w:color w:val="auto"/>
        </w:rPr>
      </w:pPr>
    </w:p>
    <w:p>
      <w:pPr>
        <w:ind w:left="660" w:hanging="328"/>
        <w:spacing w:after="0" w:line="299" w:lineRule="auto"/>
        <w:tabs>
          <w:tab w:leader="none" w:pos="648" w:val="left"/>
        </w:tabs>
        <w:numPr>
          <w:ilvl w:val="0"/>
          <w:numId w:val="80"/>
        </w:numPr>
        <w:rPr>
          <w:rFonts w:ascii="Times New Roman" w:cs="Times New Roman" w:eastAsia="Times New Roman" w:hAnsi="Times New Roman"/>
          <w:sz w:val="20"/>
          <w:szCs w:val="20"/>
          <w:color w:val="auto"/>
        </w:rPr>
      </w:pPr>
      <w:r>
        <w:rPr>
          <w:rFonts w:ascii="Arial" w:cs="Arial" w:eastAsia="Arial" w:hAnsi="Arial"/>
          <w:sz w:val="20"/>
          <w:szCs w:val="20"/>
          <w:color w:val="auto"/>
        </w:rPr>
        <w:t>The Board of Directors formed a committee to conduct a formal search for a Chief Executive Officer to guide the Company through its next phase of growth and clinical advancement.</w:t>
      </w:r>
    </w:p>
    <w:p>
      <w:pPr>
        <w:spacing w:after="0" w:line="195" w:lineRule="exact"/>
        <w:rPr>
          <w:rFonts w:ascii="Times New Roman" w:cs="Times New Roman" w:eastAsia="Times New Roman" w:hAnsi="Times New Roman"/>
          <w:sz w:val="20"/>
          <w:szCs w:val="20"/>
          <w:color w:val="auto"/>
        </w:rPr>
      </w:pPr>
    </w:p>
    <w:p>
      <w:pPr>
        <w:jc w:val="both"/>
        <w:ind w:left="660" w:hanging="328"/>
        <w:spacing w:after="0" w:line="279" w:lineRule="auto"/>
        <w:tabs>
          <w:tab w:leader="none" w:pos="648" w:val="left"/>
        </w:tabs>
        <w:numPr>
          <w:ilvl w:val="0"/>
          <w:numId w:val="80"/>
        </w:numPr>
        <w:rPr>
          <w:rFonts w:ascii="Times New Roman" w:cs="Times New Roman" w:eastAsia="Times New Roman" w:hAnsi="Times New Roman"/>
          <w:sz w:val="20"/>
          <w:szCs w:val="20"/>
          <w:color w:val="auto"/>
        </w:rPr>
      </w:pPr>
      <w:r>
        <w:rPr>
          <w:rFonts w:ascii="Arial" w:cs="Arial" w:eastAsia="Arial" w:hAnsi="Arial"/>
          <w:sz w:val="20"/>
          <w:szCs w:val="20"/>
          <w:color w:val="auto"/>
        </w:rPr>
        <w:t>Growing intellectual property portfolio with 100+ granted patents and 250+ pending applications providing protection around lead programs, CYB003 and CYB004, until at least 2041. The portfolio extends beyond these programs to cover patents and applications to key pre-clinical research and discovery programs, supporting competitive flexibility and potential blocking positions within the field. Cybin’s IP strategy focuses on expanding and defending a dominant position within the sector through targeted filings based on continued innovation across its clinical, preclinical, and discovery efforts.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Upcoming Key Milestones and Catalysts</w:t>
      </w:r>
      <w:r>
        <w:rPr>
          <w:rFonts w:ascii="Arial" w:cs="Arial" w:eastAsia="Arial" w:hAnsi="Arial"/>
          <w:sz w:val="25"/>
          <w:szCs w:val="25"/>
          <w:b w:val="1"/>
          <w:bCs w:val="1"/>
          <w:i w:val="1"/>
          <w:iCs w:val="1"/>
          <w:color w:val="auto"/>
          <w:vertAlign w:val="superscript"/>
        </w:rPr>
        <w:t>1</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CYB003 Phase 3 PARADIGM Program in MDD</w:t>
      </w:r>
    </w:p>
    <w:p>
      <w:pPr>
        <w:spacing w:after="0" w:line="218" w:lineRule="exact"/>
        <w:rPr>
          <w:sz w:val="20"/>
          <w:szCs w:val="20"/>
          <w:color w:val="auto"/>
        </w:rPr>
      </w:pPr>
    </w:p>
    <w:p>
      <w:pPr>
        <w:ind w:left="660" w:hanging="328"/>
        <w:spacing w:after="0" w:line="297" w:lineRule="auto"/>
        <w:tabs>
          <w:tab w:leader="none" w:pos="648" w:val="left"/>
        </w:tabs>
        <w:numPr>
          <w:ilvl w:val="0"/>
          <w:numId w:val="81"/>
        </w:numPr>
        <w:rPr>
          <w:rFonts w:ascii="Times New Roman" w:cs="Times New Roman" w:eastAsia="Times New Roman" w:hAnsi="Times New Roman"/>
          <w:sz w:val="20"/>
          <w:szCs w:val="20"/>
          <w:color w:val="auto"/>
        </w:rPr>
      </w:pPr>
      <w:r>
        <w:rPr>
          <w:rFonts w:ascii="Arial" w:cs="Arial" w:eastAsia="Arial" w:hAnsi="Arial"/>
          <w:sz w:val="20"/>
          <w:szCs w:val="20"/>
          <w:color w:val="auto"/>
        </w:rPr>
        <w:t>APPROACH™ Study: Dosing is ongoing with expected enrollment of 220 participants across 45 clinical sites in the U.S. Topline data expected in Q4 2026</w:t>
      </w:r>
      <w:r>
        <w:rPr>
          <w:rFonts w:ascii="Arial" w:cs="Arial" w:eastAsia="Arial" w:hAnsi="Arial"/>
          <w:sz w:val="25"/>
          <w:szCs w:val="25"/>
          <w:i w:val="1"/>
          <w:iCs w:val="1"/>
          <w:color w:val="auto"/>
          <w:vertAlign w:val="superscript"/>
        </w:rPr>
        <w:t>1</w:t>
      </w:r>
      <w:r>
        <w:rPr>
          <w:rFonts w:ascii="Arial" w:cs="Arial" w:eastAsia="Arial" w:hAnsi="Arial"/>
          <w:sz w:val="20"/>
          <w:szCs w:val="20"/>
          <w:color w:val="auto"/>
        </w:rPr>
        <w:t>.</w:t>
      </w:r>
    </w:p>
    <w:p>
      <w:pPr>
        <w:sectPr>
          <w:pgSz w:w="11900" w:h="16838" w:orient="portrait"/>
          <w:cols w:equalWidth="0" w:num="1">
            <w:col w:w="11240"/>
          </w:cols>
          <w:pgMar w:left="320" w:top="1428" w:right="339" w:bottom="1440" w:gutter="0" w:footer="0" w:header="0"/>
        </w:sectPr>
      </w:pPr>
    </w:p>
    <w:bookmarkStart w:id="158" w:name="page159"/>
    <w:bookmarkEnd w:id="158"/>
    <w:p>
      <w:pPr>
        <w:jc w:val="both"/>
        <w:ind w:left="660" w:hanging="328"/>
        <w:spacing w:after="0" w:line="235" w:lineRule="auto"/>
        <w:tabs>
          <w:tab w:leader="none" w:pos="648" w:val="left"/>
        </w:tabs>
        <w:numPr>
          <w:ilvl w:val="0"/>
          <w:numId w:val="82"/>
        </w:numPr>
        <w:rPr>
          <w:rFonts w:ascii="Times New Roman" w:cs="Times New Roman" w:eastAsia="Times New Roman" w:hAnsi="Times New Roman"/>
          <w:sz w:val="20"/>
          <w:szCs w:val="20"/>
          <w:color w:val="auto"/>
        </w:rPr>
      </w:pPr>
      <w:r>
        <w:rPr>
          <w:rFonts w:ascii="Arial" w:cs="Arial" w:eastAsia="Arial" w:hAnsi="Arial"/>
          <w:sz w:val="20"/>
          <w:szCs w:val="20"/>
          <w:color w:val="auto"/>
        </w:rPr>
        <w:t>EMBRACE™ Study: Initiation of enrollment expected in Q4 2025, targeting 330 participants with moderate to severe MDD</w:t>
      </w:r>
      <w:r>
        <w:rPr>
          <w:rFonts w:ascii="Arial" w:cs="Arial" w:eastAsia="Arial" w:hAnsi="Arial"/>
          <w:sz w:val="25"/>
          <w:szCs w:val="25"/>
          <w:i w:val="1"/>
          <w:iCs w:val="1"/>
          <w:color w:val="auto"/>
          <w:vertAlign w:val="superscript"/>
        </w:rPr>
        <w:t>1</w:t>
      </w:r>
      <w:r>
        <w:rPr>
          <w:rFonts w:ascii="Arial" w:cs="Arial" w:eastAsia="Arial" w:hAnsi="Arial"/>
          <w:sz w:val="20"/>
          <w:szCs w:val="20"/>
          <w:color w:val="auto"/>
        </w:rPr>
        <w:t>. EMBRACE has been granted approval to initiate in the United States, Australia, Ireland, Poland, Greece, and the United Kingdom.</w:t>
      </w:r>
    </w:p>
    <w:p>
      <w:pPr>
        <w:spacing w:after="0" w:line="225" w:lineRule="exact"/>
        <w:rPr>
          <w:rFonts w:ascii="Times New Roman" w:cs="Times New Roman" w:eastAsia="Times New Roman" w:hAnsi="Times New Roman"/>
          <w:sz w:val="20"/>
          <w:szCs w:val="20"/>
          <w:color w:val="auto"/>
        </w:rPr>
      </w:pPr>
    </w:p>
    <w:p>
      <w:pPr>
        <w:ind w:left="660" w:hanging="328"/>
        <w:spacing w:after="0" w:line="271" w:lineRule="auto"/>
        <w:tabs>
          <w:tab w:leader="none" w:pos="648" w:val="left"/>
        </w:tabs>
        <w:numPr>
          <w:ilvl w:val="0"/>
          <w:numId w:val="82"/>
        </w:numPr>
        <w:rPr>
          <w:rFonts w:ascii="Times New Roman" w:cs="Times New Roman" w:eastAsia="Times New Roman" w:hAnsi="Times New Roman"/>
          <w:sz w:val="20"/>
          <w:szCs w:val="20"/>
          <w:color w:val="auto"/>
        </w:rPr>
      </w:pPr>
      <w:r>
        <w:rPr>
          <w:rFonts w:ascii="Arial" w:cs="Arial" w:eastAsia="Arial" w:hAnsi="Arial"/>
          <w:sz w:val="20"/>
          <w:szCs w:val="20"/>
          <w:color w:val="auto"/>
        </w:rPr>
        <w:t>EXTEND Long-Term Extension Study: Patient rollovers are underway, providing critical long-term safety and durability data.</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CYB004 Phase 2 Program in GAD</w:t>
      </w:r>
    </w:p>
    <w:p>
      <w:pPr>
        <w:spacing w:after="0" w:line="221" w:lineRule="exact"/>
        <w:rPr>
          <w:sz w:val="20"/>
          <w:szCs w:val="20"/>
          <w:color w:val="auto"/>
        </w:rPr>
      </w:pPr>
    </w:p>
    <w:p>
      <w:pPr>
        <w:ind w:left="640" w:hanging="308"/>
        <w:spacing w:after="0"/>
        <w:tabs>
          <w:tab w:leader="none" w:pos="640" w:val="left"/>
        </w:tabs>
        <w:numPr>
          <w:ilvl w:val="0"/>
          <w:numId w:val="83"/>
        </w:numPr>
        <w:rPr>
          <w:rFonts w:ascii="Times New Roman" w:cs="Times New Roman" w:eastAsia="Times New Roman" w:hAnsi="Times New Roman"/>
          <w:sz w:val="20"/>
          <w:szCs w:val="20"/>
          <w:color w:val="auto"/>
        </w:rPr>
      </w:pPr>
      <w:r>
        <w:rPr>
          <w:rFonts w:ascii="Arial" w:cs="Arial" w:eastAsia="Arial" w:hAnsi="Arial"/>
          <w:sz w:val="20"/>
          <w:szCs w:val="20"/>
          <w:color w:val="auto"/>
        </w:rPr>
        <w:t>Successfully completed enrollment in Phase 2 study. Topline data expected in Q1 2026</w:t>
      </w:r>
      <w:r>
        <w:rPr>
          <w:rFonts w:ascii="Arial" w:cs="Arial" w:eastAsia="Arial" w:hAnsi="Arial"/>
          <w:sz w:val="25"/>
          <w:szCs w:val="25"/>
          <w:i w:val="1"/>
          <w:iCs w:val="1"/>
          <w:color w:val="auto"/>
          <w:vertAlign w:val="superscript"/>
        </w:rPr>
        <w:t>1</w:t>
      </w:r>
      <w:r>
        <w:rPr>
          <w:rFonts w:ascii="Arial" w:cs="Arial" w:eastAsia="Arial" w:hAnsi="Arial"/>
          <w:sz w:val="20"/>
          <w:szCs w:val="20"/>
          <w:color w:val="auto"/>
        </w:rPr>
        <w:t>.</w:t>
      </w:r>
    </w:p>
    <w:p>
      <w:pPr>
        <w:spacing w:after="0" w:line="19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3"/>
        </w:numPr>
        <w:rPr>
          <w:rFonts w:ascii="Times New Roman" w:cs="Times New Roman" w:eastAsia="Times New Roman" w:hAnsi="Times New Roman"/>
          <w:sz w:val="20"/>
          <w:szCs w:val="20"/>
          <w:color w:val="auto"/>
        </w:rPr>
      </w:pPr>
      <w:r>
        <w:rPr>
          <w:rFonts w:ascii="Arial" w:cs="Arial" w:eastAsia="Arial" w:hAnsi="Arial"/>
          <w:sz w:val="20"/>
          <w:szCs w:val="20"/>
          <w:color w:val="auto"/>
        </w:rPr>
        <w:t>Differentiated delivery: Intramuscular delivery mechanisms optimized for clinical and commercial scalability</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Second-Quarter Financial Highlights</w:t>
      </w:r>
    </w:p>
    <w:p>
      <w:pPr>
        <w:spacing w:after="0" w:line="272" w:lineRule="exact"/>
        <w:rPr>
          <w:sz w:val="20"/>
          <w:szCs w:val="20"/>
          <w:color w:val="auto"/>
        </w:rPr>
      </w:pPr>
    </w:p>
    <w:p>
      <w:pPr>
        <w:ind w:left="640" w:hanging="308"/>
        <w:spacing w:after="0"/>
        <w:tabs>
          <w:tab w:leader="none" w:pos="640" w:val="left"/>
        </w:tabs>
        <w:numPr>
          <w:ilvl w:val="0"/>
          <w:numId w:val="84"/>
        </w:numPr>
        <w:rPr>
          <w:rFonts w:ascii="Times New Roman" w:cs="Times New Roman" w:eastAsia="Times New Roman" w:hAnsi="Times New Roman"/>
          <w:sz w:val="20"/>
          <w:szCs w:val="20"/>
          <w:color w:val="auto"/>
        </w:rPr>
      </w:pPr>
      <w:r>
        <w:rPr>
          <w:rFonts w:ascii="Arial" w:cs="Arial" w:eastAsia="Arial" w:hAnsi="Arial"/>
          <w:sz w:val="20"/>
          <w:szCs w:val="20"/>
          <w:color w:val="auto"/>
        </w:rPr>
        <w:t>Cash totaled US$83.8 million as of September 30, 2025.</w:t>
      </w:r>
    </w:p>
    <w:p>
      <w:pPr>
        <w:spacing w:after="0" w:line="39" w:lineRule="exact"/>
        <w:rPr>
          <w:rFonts w:ascii="Times New Roman" w:cs="Times New Roman" w:eastAsia="Times New Roman" w:hAnsi="Times New Roman"/>
          <w:sz w:val="20"/>
          <w:szCs w:val="20"/>
          <w:color w:val="auto"/>
        </w:rPr>
      </w:pPr>
    </w:p>
    <w:p>
      <w:pPr>
        <w:jc w:val="both"/>
        <w:ind w:left="660" w:hanging="328"/>
        <w:spacing w:after="0" w:line="274" w:lineRule="auto"/>
        <w:tabs>
          <w:tab w:leader="none" w:pos="648" w:val="left"/>
        </w:tabs>
        <w:numPr>
          <w:ilvl w:val="0"/>
          <w:numId w:val="84"/>
        </w:numPr>
        <w:rPr>
          <w:rFonts w:ascii="Times New Roman" w:cs="Times New Roman" w:eastAsia="Times New Roman" w:hAnsi="Times New Roman"/>
          <w:sz w:val="20"/>
          <w:szCs w:val="20"/>
          <w:color w:val="auto"/>
        </w:rPr>
      </w:pPr>
      <w:r>
        <w:rPr>
          <w:rFonts w:ascii="Arial" w:cs="Arial" w:eastAsia="Arial" w:hAnsi="Arial"/>
          <w:sz w:val="20"/>
          <w:szCs w:val="20"/>
          <w:color w:val="auto"/>
        </w:rPr>
        <w:t>The Company’s cash position as at September 30, 2025 after giving effect to the net proceeds of the Registered Direct Offering is US$248 million, but before adjustment for post quarter events and repayment of the remaining balance outstanding under the Company’s convertible debentures and early repayment fees for a total cash repayment of approximately US$22.8 million.</w:t>
      </w:r>
    </w:p>
    <w:p>
      <w:pPr>
        <w:spacing w:after="0" w:line="1" w:lineRule="exact"/>
        <w:rPr>
          <w:rFonts w:ascii="Times New Roman" w:cs="Times New Roman" w:eastAsia="Times New Roman" w:hAnsi="Times New Roman"/>
          <w:sz w:val="20"/>
          <w:szCs w:val="20"/>
          <w:color w:val="auto"/>
        </w:rPr>
      </w:pPr>
    </w:p>
    <w:p>
      <w:pPr>
        <w:ind w:left="660" w:hanging="328"/>
        <w:spacing w:after="0" w:line="273" w:lineRule="auto"/>
        <w:tabs>
          <w:tab w:leader="none" w:pos="648" w:val="left"/>
        </w:tabs>
        <w:numPr>
          <w:ilvl w:val="0"/>
          <w:numId w:val="84"/>
        </w:numPr>
        <w:rPr>
          <w:rFonts w:ascii="Times New Roman" w:cs="Times New Roman" w:eastAsia="Times New Roman" w:hAnsi="Times New Roman"/>
          <w:sz w:val="20"/>
          <w:szCs w:val="20"/>
          <w:color w:val="auto"/>
        </w:rPr>
      </w:pPr>
      <w:r>
        <w:rPr>
          <w:rFonts w:ascii="Arial" w:cs="Arial" w:eastAsia="Arial" w:hAnsi="Arial"/>
          <w:sz w:val="20"/>
          <w:szCs w:val="20"/>
          <w:color w:val="auto"/>
        </w:rPr>
        <w:t>Net loss was US$33.7 million for the quarter ended September 30, 2025, compared to a net loss of US$41.9 million in the same period last year.</w:t>
      </w:r>
    </w:p>
    <w:p>
      <w:pPr>
        <w:spacing w:after="0" w:line="2" w:lineRule="exact"/>
        <w:rPr>
          <w:rFonts w:ascii="Times New Roman" w:cs="Times New Roman" w:eastAsia="Times New Roman" w:hAnsi="Times New Roman"/>
          <w:sz w:val="20"/>
          <w:szCs w:val="20"/>
          <w:color w:val="auto"/>
        </w:rPr>
      </w:pPr>
    </w:p>
    <w:p>
      <w:pPr>
        <w:ind w:left="660" w:hanging="328"/>
        <w:spacing w:after="0" w:line="273" w:lineRule="auto"/>
        <w:tabs>
          <w:tab w:leader="none" w:pos="648" w:val="left"/>
        </w:tabs>
        <w:numPr>
          <w:ilvl w:val="0"/>
          <w:numId w:val="84"/>
        </w:numPr>
        <w:rPr>
          <w:rFonts w:ascii="Times New Roman" w:cs="Times New Roman" w:eastAsia="Times New Roman" w:hAnsi="Times New Roman"/>
          <w:sz w:val="20"/>
          <w:szCs w:val="20"/>
          <w:color w:val="auto"/>
        </w:rPr>
      </w:pPr>
      <w:r>
        <w:rPr>
          <w:rFonts w:ascii="Arial" w:cs="Arial" w:eastAsia="Arial" w:hAnsi="Arial"/>
          <w:sz w:val="20"/>
          <w:szCs w:val="20"/>
          <w:color w:val="auto"/>
        </w:rPr>
        <w:t>Cash-based operating expenses consisting of research, general, and administrative costs totaled US$28.5 million for the quarter ended September 30, 2025, compared to US$18.2 million, in the same period last year.</w:t>
      </w:r>
    </w:p>
    <w:p>
      <w:pPr>
        <w:spacing w:after="0" w:line="2" w:lineRule="exact"/>
        <w:rPr>
          <w:rFonts w:ascii="Times New Roman" w:cs="Times New Roman" w:eastAsia="Times New Roman" w:hAnsi="Times New Roman"/>
          <w:sz w:val="20"/>
          <w:szCs w:val="20"/>
          <w:color w:val="auto"/>
        </w:rPr>
      </w:pPr>
    </w:p>
    <w:p>
      <w:pPr>
        <w:ind w:left="660" w:hanging="328"/>
        <w:spacing w:after="0" w:line="299" w:lineRule="auto"/>
        <w:tabs>
          <w:tab w:leader="none" w:pos="648" w:val="left"/>
        </w:tabs>
        <w:numPr>
          <w:ilvl w:val="0"/>
          <w:numId w:val="84"/>
        </w:numPr>
        <w:rPr>
          <w:rFonts w:ascii="Times New Roman" w:cs="Times New Roman" w:eastAsia="Times New Roman" w:hAnsi="Times New Roman"/>
          <w:sz w:val="20"/>
          <w:szCs w:val="20"/>
          <w:color w:val="auto"/>
        </w:rPr>
      </w:pPr>
      <w:r>
        <w:rPr>
          <w:rFonts w:ascii="Arial" w:cs="Arial" w:eastAsia="Arial" w:hAnsi="Arial"/>
          <w:sz w:val="20"/>
          <w:szCs w:val="20"/>
          <w:color w:val="auto"/>
        </w:rPr>
        <w:t>Cash flows used in operating activities were US$34.5 million for the quarter ended September 30, 2025, compared to US$19.1 million in the same period last year.</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Details: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Date: Thursday, November 13, 2025</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Time: 8:00 a.m. ET</w:t>
      </w:r>
    </w:p>
    <w:p>
      <w:pPr>
        <w:spacing w:after="0"/>
        <w:rPr>
          <w:sz w:val="20"/>
          <w:szCs w:val="20"/>
          <w:color w:val="auto"/>
        </w:rPr>
      </w:pPr>
      <w:r>
        <w:rPr>
          <w:rFonts w:ascii="Arial" w:cs="Arial" w:eastAsia="Arial" w:hAnsi="Arial"/>
          <w:sz w:val="20"/>
          <w:szCs w:val="20"/>
          <w:color w:val="auto"/>
        </w:rPr>
        <w:t>Dial-in: 800-245-3047 (U.S. toll free) or 203-518-9765 (International)</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Conference ID: CYBN1113</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Webcast: Register for the webcast </w:t>
      </w:r>
      <w:r>
        <w:rPr>
          <w:rFonts w:ascii="Arial" w:cs="Arial" w:eastAsia="Arial" w:hAnsi="Arial"/>
          <w:sz w:val="20"/>
          <w:szCs w:val="20"/>
          <w:u w:val="single" w:color="auto"/>
          <w:color w:val="467886"/>
        </w:rPr>
        <w:t>here</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72"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pacing w:after="0" w:line="206"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With promising class leading data, Cybin is working to change the mental health treatment landscape through the introduction of novel drugs that provide effective and durable results for</w:t>
      </w:r>
    </w:p>
    <w:p>
      <w:pPr>
        <w:sectPr>
          <w:pgSz w:w="11900" w:h="16838" w:orient="portrait"/>
          <w:cols w:equalWidth="0" w:num="1">
            <w:col w:w="11240"/>
          </w:cols>
          <w:pgMar w:left="320" w:top="1414" w:right="339" w:bottom="1440" w:gutter="0" w:footer="0" w:header="0"/>
        </w:sectPr>
      </w:pPr>
    </w:p>
    <w:bookmarkStart w:id="159" w:name="page160"/>
    <w:bookmarkEnd w:id="159"/>
    <w:p>
      <w:pPr>
        <w:jc w:val="both"/>
        <w:spacing w:after="0" w:line="287" w:lineRule="auto"/>
        <w:rPr>
          <w:sz w:val="20"/>
          <w:szCs w:val="20"/>
          <w:color w:val="auto"/>
        </w:rPr>
      </w:pPr>
      <w:r>
        <w:rPr>
          <w:rFonts w:ascii="Arial" w:cs="Arial" w:eastAsia="Arial" w:hAnsi="Arial"/>
          <w:sz w:val="20"/>
          <w:szCs w:val="20"/>
          <w:color w:val="auto"/>
        </w:rPr>
        <w:t>patients. The Company is currently developing CYB003, a proprietary deuterated psilocin analog, in Phase 3 studies for the adjunctive treatment of major depressive disorder that has received Breakthrough Therapy Designation from the U.S. Food and Drug Administration and CYB004, a proprietary deuterated N, N-dimethyltryptamine molecule in a Phase 2 study for generalized anxiety disorder. The Company also has a research pipeline of investigational, 5-HT-receptor focused compounds.</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Founded in 2019, Cybin is operational in Canada, the United States, the United Kingdom and Ireland. For Company updates and to learn more about Cybin, visit www.cybin.com or follow the team on X, LinkedIn, YouTube and Instagram.</w:t>
      </w:r>
    </w:p>
    <w:p>
      <w:pPr>
        <w:spacing w:after="0"/>
        <w:rPr>
          <w:sz w:val="20"/>
          <w:szCs w:val="20"/>
          <w:color w:val="auto"/>
        </w:rPr>
      </w:pPr>
      <w:r>
        <w:rPr>
          <w:rFonts w:ascii="Arial" w:cs="Arial" w:eastAsia="Arial" w:hAnsi="Arial"/>
          <w:sz w:val="20"/>
          <w:szCs w:val="20"/>
          <w:b w:val="1"/>
          <w:bCs w:val="1"/>
          <w:color w:val="auto"/>
        </w:rPr>
        <w:t>Note:</w:t>
      </w:r>
    </w:p>
    <w:p>
      <w:pPr>
        <w:spacing w:after="0" w:line="37" w:lineRule="exact"/>
        <w:rPr>
          <w:sz w:val="20"/>
          <w:szCs w:val="20"/>
          <w:color w:val="auto"/>
        </w:rPr>
      </w:pPr>
    </w:p>
    <w:p>
      <w:pPr>
        <w:jc w:val="both"/>
        <w:ind w:left="660" w:hanging="328"/>
        <w:spacing w:after="0" w:line="290" w:lineRule="auto"/>
        <w:tabs>
          <w:tab w:leader="none" w:pos="649"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There is no assurance that timelines will be met. Anticipated timelines regarding the initiation, advancement and results of clinical trials are based on reasonable assumptions informed by current knowledge and information available to the Company. See “Cautionary Notes and Forward-Looking Statements”.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5"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Company’s expectation to advance towards its upcoming data readouts and beyond; the Company’s expectations to report topline data from Phase 2 study evaluating CYB004 in Q1 2026; enroll 220 patients across 45 U.S. clinical sites in APPROACH study; initiate enrollment in EMBRACE™ Study in Q4 2025 targeting 330 participants with moderate to severe MDD; and the Company’s plans to engineer proprietary drug discovery platforms, innovative drug delivery systems, novel formulation approaches and treatment regimens for mental health conditions.</w:t>
      </w:r>
    </w:p>
    <w:p>
      <w:pPr>
        <w:spacing w:after="0" w:line="217"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w:t>
      </w:r>
    </w:p>
    <w:p>
      <w:pPr>
        <w:sectPr>
          <w:pgSz w:w="11900" w:h="16838" w:orient="portrait"/>
          <w:cols w:equalWidth="0" w:num="1">
            <w:col w:w="11240"/>
          </w:cols>
          <w:pgMar w:left="320" w:top="1428" w:right="339" w:bottom="1440" w:gutter="0" w:footer="0" w:header="0"/>
        </w:sectPr>
      </w:pPr>
    </w:p>
    <w:bookmarkStart w:id="160" w:name="page161"/>
    <w:bookmarkEnd w:id="160"/>
    <w:p>
      <w:pPr>
        <w:jc w:val="both"/>
        <w:spacing w:after="0" w:line="278" w:lineRule="auto"/>
        <w:rPr>
          <w:sz w:val="20"/>
          <w:szCs w:val="20"/>
          <w:color w:val="auto"/>
        </w:rPr>
      </w:pPr>
      <w:r>
        <w:rPr>
          <w:rFonts w:ascii="Arial" w:cs="Arial" w:eastAsia="Arial" w:hAnsi="Arial"/>
          <w:sz w:val="20"/>
          <w:szCs w:val="20"/>
          <w:color w:val="auto"/>
        </w:rPr>
        <w:t>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and six month periods ended September 30, 2025, and the Company’s annual information form for the year ended March 31, 2025, which are available under the Company's profile on SEDAR+ at www.sedarplus.ca and with the U.S. Securities and Exchange Commission on EDGAR at www.sec.gov/edgar.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spacing w:after="0" w:line="205"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deuterated tryptamines, psychedelic tryptamine, tryptamine derivatives or other psychedelic compounds. The efficacy of such products has not been confirmed by approved research. There is no assurance that the use of deuterated tryptamines, psychedelic tryptamine, tryptamine derivatives or other psychedelic compounds can diagnose, treat, cure or prevent any disease or condition. Rigorous scientific research and clinical trials are needed. If Cybin cannot obtain the approvals or research necessary to commercialize its business, it may have a material adverse effect on Cybin’s performance and operations.</w:t>
      </w:r>
    </w:p>
    <w:p>
      <w:pPr>
        <w:spacing w:after="0" w:line="214" w:lineRule="exact"/>
        <w:rPr>
          <w:sz w:val="20"/>
          <w:szCs w:val="20"/>
          <w:color w:val="auto"/>
        </w:rPr>
      </w:pPr>
    </w:p>
    <w:p>
      <w:pPr>
        <w:jc w:val="both"/>
        <w:spacing w:after="0" w:line="300" w:lineRule="auto"/>
        <w:rPr>
          <w:sz w:val="20"/>
          <w:szCs w:val="20"/>
          <w:color w:val="auto"/>
        </w:rPr>
      </w:pPr>
      <w:r>
        <w:rPr>
          <w:rFonts w:ascii="Arial" w:cs="Arial" w:eastAsia="Arial" w:hAnsi="Arial"/>
          <w:sz w:val="20"/>
          <w:szCs w:val="20"/>
          <w:i w:val="1"/>
          <w:iCs w:val="1"/>
          <w:color w:val="auto"/>
        </w:rPr>
        <w:t>Neither Cboe Canada, nor the NYSE American LLC stock exchange have approved or disapproved the contents of this news release and are not responsible for the adequacy and accuracy of the contents herein.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Josh Barer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Astr partners</w:t>
      </w:r>
    </w:p>
    <w:p>
      <w:pPr>
        <w:spacing w:after="0"/>
        <w:rPr>
          <w:sz w:val="20"/>
          <w:szCs w:val="20"/>
          <w:color w:val="auto"/>
        </w:rPr>
      </w:pPr>
      <w:r>
        <w:rPr>
          <w:rFonts w:ascii="Arial" w:cs="Arial" w:eastAsia="Arial" w:hAnsi="Arial"/>
          <w:sz w:val="20"/>
          <w:szCs w:val="20"/>
          <w:color w:val="auto"/>
        </w:rPr>
        <w:t>Managing Director</w:t>
      </w:r>
    </w:p>
    <w:p>
      <w:pPr>
        <w:spacing w:after="0" w:line="13" w:lineRule="exact"/>
        <w:rPr>
          <w:sz w:val="20"/>
          <w:szCs w:val="20"/>
          <w:color w:val="auto"/>
        </w:rPr>
      </w:pPr>
    </w:p>
    <w:p>
      <w:pPr>
        <w:ind w:right="8660" w:firstLine="8"/>
        <w:spacing w:after="0" w:line="279" w:lineRule="auto"/>
        <w:tabs>
          <w:tab w:leader="none" w:pos="517"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578-6478 </w:t>
      </w:r>
      <w:r>
        <w:rPr>
          <w:rFonts w:ascii="Arial" w:cs="Arial" w:eastAsia="Arial" w:hAnsi="Arial"/>
          <w:sz w:val="19"/>
          <w:szCs w:val="19"/>
          <w:color w:val="040A2C"/>
        </w:rPr>
        <w:t>josh.barer@astrpartners.com</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George Tziras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Chief Business Officer</w:t>
      </w:r>
    </w:p>
    <w:p>
      <w:pPr>
        <w:spacing w:after="0"/>
        <w:rPr>
          <w:sz w:val="20"/>
          <w:szCs w:val="20"/>
          <w:color w:val="auto"/>
        </w:rPr>
      </w:pPr>
      <w:r>
        <w:rPr>
          <w:rFonts w:ascii="Arial" w:cs="Arial" w:eastAsia="Arial" w:hAnsi="Arial"/>
          <w:sz w:val="20"/>
          <w:szCs w:val="20"/>
          <w:color w:val="auto"/>
        </w:rPr>
        <w:t>Cybin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rPr>
          <w:sz w:val="20"/>
          <w:szCs w:val="20"/>
          <w:color w:val="auto"/>
        </w:rPr>
      </w:pPr>
      <w:r>
        <w:rPr>
          <w:rFonts w:ascii="Arial" w:cs="Arial" w:eastAsia="Arial" w:hAnsi="Arial"/>
          <w:sz w:val="20"/>
          <w:szCs w:val="20"/>
          <w:color w:val="auto"/>
        </w:rPr>
        <w:t>irteam@cybin.com</w:t>
      </w:r>
    </w:p>
    <w:sectPr>
      <w:pgSz w:w="11900" w:h="16838" w:orient="portrait"/>
      <w:cols w:equalWidth="0" w:num="1">
        <w:col w:w="11240"/>
      </w:cols>
      <w:pgMar w:left="320" w:top="14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1."/>
      <w:numFmt w:val="decimal"/>
      <w:start w:val="1"/>
    </w:lvl>
  </w:abstractNum>
  <w:abstractNum w:abstractNumId="1">
    <w:nsid w:val="725A06FB"/>
    <w:multiLevelType w:val="hybridMultilevel"/>
    <w:lvl w:ilvl="0">
      <w:lvlJc w:val="left"/>
      <w:lvlText w:val="%1."/>
      <w:numFmt w:val="decimal"/>
      <w:start w:val="2"/>
    </w:lvl>
  </w:abstractNum>
  <w:abstractNum w:abstractNumId="2">
    <w:nsid w:val="2CD89A32"/>
    <w:multiLevelType w:val="hybridMultilevel"/>
    <w:lvl w:ilvl="0">
      <w:lvlJc w:val="left"/>
      <w:lvlText w:val="1"/>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1."/>
      <w:numFmt w:val="decimal"/>
      <w:start w:val="6"/>
    </w:lvl>
  </w:abstractNum>
  <w:abstractNum w:abstractNumId="7">
    <w:nsid w:val="6DE91B18"/>
    <w:multiLevelType w:val="hybridMultilevel"/>
    <w:lvl w:ilvl="0">
      <w:lvlJc w:val="left"/>
      <w:lvlText w:val="%1."/>
      <w:numFmt w:val="decimal"/>
      <w:start w:val="7"/>
    </w:lvl>
    <w:lvl w:ilvl="1">
      <w:lvlJc w:val="left"/>
      <w:lvlText w:val="%2)"/>
      <w:numFmt w:val="lowerLetter"/>
      <w:start w:val="1"/>
    </w:lvl>
  </w:abstractNum>
  <w:abstractNum w:abstractNumId="8">
    <w:nsid w:val="38437FDB"/>
    <w:multiLevelType w:val="hybridMultilevel"/>
    <w:lvl w:ilvl="0">
      <w:lvlJc w:val="left"/>
      <w:lvlText w:val="%1)"/>
      <w:numFmt w:val="lowerLetter"/>
      <w:start w:val="2"/>
    </w:lvl>
  </w:abstractNum>
  <w:abstractNum w:abstractNumId="9">
    <w:nsid w:val="7644A45C"/>
    <w:multiLevelType w:val="hybridMultilevel"/>
    <w:lvl w:ilvl="0">
      <w:lvlJc w:val="left"/>
      <w:lvlText w:val="&amp;"/>
      <w:numFmt w:val="bullet"/>
      <w:start w:val="1"/>
    </w:lvl>
  </w:abstractNum>
  <w:abstractNum w:abstractNumId="10">
    <w:nsid w:val="32FFF902"/>
    <w:multiLevelType w:val="hybridMultilevel"/>
    <w:lvl w:ilvl="0">
      <w:lvlJc w:val="left"/>
      <w:lvlText w:val="%1)"/>
      <w:numFmt w:val="lowerLetter"/>
      <w:start w:val="3"/>
    </w:lvl>
  </w:abstractNum>
  <w:abstractNum w:abstractNumId="11">
    <w:nsid w:val="684A481A"/>
    <w:multiLevelType w:val="hybridMultilevel"/>
    <w:lvl w:ilvl="0">
      <w:lvlJc w:val="left"/>
      <w:lvlText w:val="%1."/>
      <w:numFmt w:val="decimal"/>
      <w:start w:val="8"/>
    </w:lvl>
    <w:lvl w:ilvl="1">
      <w:lvlJc w:val="left"/>
      <w:lvlText w:val="1"/>
      <w:numFmt w:val="bullet"/>
      <w:start w:val="1"/>
    </w:lvl>
  </w:abstractNum>
  <w:abstractNum w:abstractNumId="12">
    <w:nsid w:val="579478FE"/>
    <w:multiLevelType w:val="hybridMultilevel"/>
    <w:lvl w:ilvl="0">
      <w:lvlJc w:val="left"/>
      <w:lvlText w:val="%1."/>
      <w:numFmt w:val="decimal"/>
      <w:start w:val="12"/>
    </w:lvl>
  </w:abstractNum>
  <w:abstractNum w:abstractNumId="13">
    <w:nsid w:val="749ABB43"/>
    <w:multiLevelType w:val="hybridMultilevel"/>
    <w:lvl w:ilvl="0">
      <w:lvlJc w:val="left"/>
      <w:lvlText w:val="%1."/>
      <w:numFmt w:val="decimal"/>
      <w:start w:val="13"/>
    </w:lvl>
  </w:abstractNum>
  <w:abstractNum w:abstractNumId="14">
    <w:nsid w:val="3DC240FB"/>
    <w:multiLevelType w:val="hybridMultilevel"/>
    <w:lvl w:ilvl="0">
      <w:lvlJc w:val="left"/>
      <w:lvlText w:val="%1."/>
      <w:numFmt w:val="decimal"/>
      <w:start w:val="14"/>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1"/>
      <w:numFmt w:val="bullet"/>
      <w:start w:val="1"/>
    </w:lvl>
  </w:abstractNum>
  <w:abstractNum w:abstractNumId="22">
    <w:nsid w:val="4F4EF005"/>
    <w:multiLevelType w:val="hybridMultilevel"/>
    <w:lvl w:ilvl="0">
      <w:lvlJc w:val="left"/>
      <w:lvlText w:val="2"/>
      <w:numFmt w:val="bullet"/>
      <w:start w:val="1"/>
    </w:lvl>
  </w:abstractNum>
  <w:abstractNum w:abstractNumId="23">
    <w:nsid w:val="23F9C13C"/>
    <w:multiLevelType w:val="hybridMultilevel"/>
    <w:lvl w:ilvl="0">
      <w:lvlJc w:val="left"/>
      <w:lvlText w:val="4"/>
      <w:numFmt w:val="bullet"/>
      <w:start w:val="1"/>
    </w:lvl>
  </w:abstractNum>
  <w:abstractNum w:abstractNumId="24">
    <w:nsid w:val="649BB77C"/>
    <w:multiLevelType w:val="hybridMultilevel"/>
    <w:lvl w:ilvl="0">
      <w:lvlJc w:val="left"/>
      <w:lvlText w:val="5"/>
      <w:numFmt w:val="bullet"/>
      <w:start w:val="1"/>
    </w:lvl>
  </w:abstractNum>
  <w:abstractNum w:abstractNumId="25">
    <w:nsid w:val="275AC794"/>
    <w:multiLevelType w:val="hybridMultilevel"/>
    <w:lvl w:ilvl="0">
      <w:lvlJc w:val="left"/>
      <w:lvlText w:val="6"/>
      <w:numFmt w:val="bullet"/>
      <w:start w:val="1"/>
    </w:lvl>
  </w:abstractNum>
  <w:abstractNum w:abstractNumId="26">
    <w:nsid w:val="39386575"/>
    <w:multiLevelType w:val="hybridMultilevel"/>
    <w:lvl w:ilvl="0">
      <w:lvlJc w:val="left"/>
      <w:lvlText w:val="%1."/>
      <w:numFmt w:val="decimal"/>
      <w:start w:val="1"/>
    </w:lvl>
  </w:abstractNum>
  <w:abstractNum w:abstractNumId="27">
    <w:nsid w:val="1CF10FD8"/>
    <w:multiLevelType w:val="hybridMultilevel"/>
    <w:lvl w:ilvl="0">
      <w:lvlJc w:val="left"/>
      <w:lvlText w:val="8"/>
      <w:numFmt w:val="bullet"/>
      <w:start w:val="1"/>
    </w:lvl>
  </w:abstractNum>
  <w:abstractNum w:abstractNumId="28">
    <w:nsid w:val="180115BE"/>
    <w:multiLevelType w:val="hybridMultilevel"/>
    <w:lvl w:ilvl="0">
      <w:lvlJc w:val="left"/>
      <w:lvlText w:val="(%1)"/>
      <w:numFmt w:val="lowerRoman"/>
      <w:start w:val="2"/>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9"/>
      <w:numFmt w:val="bullet"/>
      <w:start w:val="1"/>
    </w:lvl>
  </w:abstractNum>
  <w:abstractNum w:abstractNumId="36">
    <w:nsid w:val="3F6AB60F"/>
    <w:multiLevelType w:val="hybridMultilevel"/>
    <w:lvl w:ilvl="0">
      <w:lvlJc w:val="left"/>
      <w:lvlText w:val="%1"/>
      <w:numFmt w:val="decimal"/>
      <w:start w:val="10"/>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1"/>
      <w:numFmt w:val="decimal"/>
      <w:start w:val="13"/>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
      <w:numFmt w:val="bullet"/>
      <w:start w:val="1"/>
    </w:lvl>
  </w:abstractNum>
  <w:abstractNum w:abstractNumId="42">
    <w:nsid w:val="5FF87E05"/>
    <w:multiLevelType w:val="hybridMultilevel"/>
    <w:lvl w:ilvl="0">
      <w:lvlJc w:val="left"/>
      <w:lvlText w:val="%1"/>
      <w:numFmt w:val="decimal"/>
      <w:start w:val="15"/>
    </w:lvl>
  </w:abstractNum>
  <w:abstractNum w:abstractNumId="43">
    <w:nsid w:val="2F305DEF"/>
    <w:multiLevelType w:val="hybridMultilevel"/>
    <w:lvl w:ilvl="0">
      <w:lvlJc w:val="left"/>
      <w:lvlText w:val="%1"/>
      <w:numFmt w:val="decimal"/>
      <w:start w:val="18"/>
    </w:lvl>
  </w:abstractNum>
  <w:abstractNum w:abstractNumId="44">
    <w:nsid w:val="25A70BF7"/>
    <w:multiLevelType w:val="hybridMultilevel"/>
    <w:lvl w:ilvl="0">
      <w:lvlJc w:val="left"/>
      <w:lvlText w:val="%1"/>
      <w:numFmt w:val="decimal"/>
      <w:start w:val="20"/>
    </w:lvl>
  </w:abstractNum>
  <w:abstractNum w:abstractNumId="45">
    <w:nsid w:val="1DBABF00"/>
    <w:multiLevelType w:val="hybridMultilevel"/>
    <w:lvl w:ilvl="0">
      <w:lvlJc w:val="left"/>
      <w:lvlText w:val="%1"/>
      <w:numFmt w:val="decimal"/>
      <w:start w:val="21"/>
    </w:lvl>
  </w:abstractNum>
  <w:abstractNum w:abstractNumId="46">
    <w:nsid w:val="4AD084E9"/>
    <w:multiLevelType w:val="hybridMultilevel"/>
    <w:lvl w:ilvl="0">
      <w:lvlJc w:val="left"/>
      <w:lvlText w:val="%1"/>
      <w:numFmt w:val="decimal"/>
      <w:start w:val="23"/>
    </w:lvl>
  </w:abstractNum>
  <w:abstractNum w:abstractNumId="47">
    <w:nsid w:val="1F48EAA1"/>
    <w:multiLevelType w:val="hybridMultilevel"/>
    <w:lvl w:ilvl="0">
      <w:lvlJc w:val="left"/>
      <w:lvlText w:val="•"/>
      <w:numFmt w:val="bullet"/>
      <w:start w:val="1"/>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1"/>
      <w:numFmt w:val="decimal"/>
      <w:start w:val="24"/>
    </w:lvl>
  </w:abstractNum>
  <w:abstractNum w:abstractNumId="50">
    <w:nsid w:val="100F8FCA"/>
    <w:multiLevelType w:val="hybridMultilevel"/>
    <w:lvl w:ilvl="0">
      <w:lvlJc w:val="left"/>
      <w:lvlText w:val="•"/>
      <w:numFmt w:val="bullet"/>
      <w:start w:val="1"/>
    </w:lvl>
  </w:abstractNum>
  <w:abstractNum w:abstractNumId="51">
    <w:nsid w:val="6590700B"/>
    <w:multiLevelType w:val="hybridMultilevel"/>
    <w:lvl w:ilvl="0">
      <w:lvlJc w:val="left"/>
      <w:lvlText w:val="%1"/>
      <w:numFmt w:val="decimal"/>
      <w:start w:val="25"/>
    </w:lvl>
  </w:abstractNum>
  <w:abstractNum w:abstractNumId="52">
    <w:nsid w:val="15014ACB"/>
    <w:multiLevelType w:val="hybridMultilevel"/>
    <w:lvl w:ilvl="0">
      <w:lvlJc w:val="left"/>
      <w:lvlText w:val="%1"/>
      <w:numFmt w:val="decimal"/>
      <w:start w:val="26"/>
    </w:lvl>
  </w:abstractNum>
  <w:abstractNum w:abstractNumId="53">
    <w:nsid w:val="5F5E7FD0"/>
    <w:multiLevelType w:val="hybridMultilevel"/>
    <w:lvl w:ilvl="0">
      <w:lvlJc w:val="left"/>
      <w:lvlText w:val="%1"/>
      <w:numFmt w:val="decimal"/>
      <w:start w:val="27"/>
    </w:lvl>
  </w:abstractNum>
  <w:abstractNum w:abstractNumId="54">
    <w:nsid w:val="98A3148"/>
    <w:multiLevelType w:val="hybridMultilevel"/>
    <w:lvl w:ilvl="0">
      <w:lvlJc w:val="left"/>
      <w:lvlText w:val="•"/>
      <w:numFmt w:val="bullet"/>
      <w:start w:val="1"/>
    </w:lvl>
  </w:abstractNum>
  <w:abstractNum w:abstractNumId="55">
    <w:nsid w:val="799D0247"/>
    <w:multiLevelType w:val="hybridMultilevel"/>
    <w:lvl w:ilvl="0">
      <w:lvlJc w:val="left"/>
      <w:lvlText w:val="•"/>
      <w:numFmt w:val="bullet"/>
      <w:start w:val="1"/>
    </w:lvl>
  </w:abstractNum>
  <w:abstractNum w:abstractNumId="56">
    <w:nsid w:val="6B94764"/>
    <w:multiLevelType w:val="hybridMultilevel"/>
    <w:lvl w:ilvl="0">
      <w:lvlJc w:val="left"/>
      <w:lvlText w:val="•"/>
      <w:numFmt w:val="bullet"/>
      <w:start w:val="1"/>
    </w:lvl>
  </w:abstractNum>
  <w:abstractNum w:abstractNumId="57">
    <w:nsid w:val="42C296BD"/>
    <w:multiLevelType w:val="hybridMultilevel"/>
    <w:lvl w:ilvl="0">
      <w:lvlJc w:val="left"/>
      <w:lvlText w:val="•"/>
      <w:numFmt w:val="bullet"/>
      <w:start w:val="1"/>
    </w:lvl>
  </w:abstractNum>
  <w:abstractNum w:abstractNumId="58">
    <w:nsid w:val="168E121F"/>
    <w:multiLevelType w:val="hybridMultilevel"/>
    <w:lvl w:ilvl="0">
      <w:lvlJc w:val="left"/>
      <w:lvlText w:val="•"/>
      <w:numFmt w:val="bullet"/>
      <w:start w:val="1"/>
    </w:lvl>
  </w:abstractNum>
  <w:abstractNum w:abstractNumId="59">
    <w:nsid w:val="1EBA5D23"/>
    <w:multiLevelType w:val="hybridMultilevel"/>
    <w:lvl w:ilvl="0">
      <w:lvlJc w:val="left"/>
      <w:lvlText w:val="•"/>
      <w:numFmt w:val="bullet"/>
      <w:start w:val="1"/>
    </w:lvl>
  </w:abstractNum>
  <w:abstractNum w:abstractNumId="60">
    <w:nsid w:val="661E3F1E"/>
    <w:multiLevelType w:val="hybridMultilevel"/>
    <w:lvl w:ilvl="0">
      <w:lvlJc w:val="left"/>
      <w:lvlText w:val="•"/>
      <w:numFmt w:val="bullet"/>
      <w:start w:val="1"/>
    </w:lvl>
  </w:abstractNum>
  <w:abstractNum w:abstractNumId="61">
    <w:nsid w:val="5DC79EA8"/>
    <w:multiLevelType w:val="hybridMultilevel"/>
    <w:lvl w:ilvl="0">
      <w:lvlJc w:val="left"/>
      <w:lvlText w:val="•"/>
      <w:numFmt w:val="bullet"/>
      <w:start w:val="1"/>
    </w:lvl>
  </w:abstractNum>
  <w:abstractNum w:abstractNumId="62">
    <w:nsid w:val="540A471C"/>
    <w:multiLevelType w:val="hybridMultilevel"/>
    <w:lvl w:ilvl="0">
      <w:lvlJc w:val="left"/>
      <w:lvlText w:val="%1"/>
      <w:numFmt w:val="decimal"/>
      <w:start w:val="29"/>
    </w:lvl>
  </w:abstractNum>
  <w:abstractNum w:abstractNumId="63">
    <w:nsid w:val="7BD3EE7B"/>
    <w:multiLevelType w:val="hybridMultilevel"/>
    <w:lvl w:ilvl="0">
      <w:lvlJc w:val="left"/>
      <w:lvlText w:val="(%1)"/>
      <w:numFmt w:val="decimal"/>
      <w:start w:val="1"/>
    </w:lvl>
  </w:abstractNum>
  <w:abstractNum w:abstractNumId="64">
    <w:nsid w:val="51D9C564"/>
    <w:multiLevelType w:val="hybridMultilevel"/>
    <w:lvl w:ilvl="0">
      <w:lvlJc w:val="left"/>
      <w:lvlText w:val="•"/>
      <w:numFmt w:val="bullet"/>
      <w:start w:val="1"/>
    </w:lvl>
  </w:abstractNum>
  <w:abstractNum w:abstractNumId="65">
    <w:nsid w:val="613EFDC5"/>
    <w:multiLevelType w:val="hybridMultilevel"/>
    <w:lvl w:ilvl="0">
      <w:lvlJc w:val="left"/>
      <w:lvlText w:val="(%1)"/>
      <w:numFmt w:val="lowerRoman"/>
      <w:start w:val="3"/>
    </w:lvl>
  </w:abstractNum>
  <w:abstractNum w:abstractNumId="66">
    <w:nsid w:val="BF72B14"/>
    <w:multiLevelType w:val="hybridMultilevel"/>
    <w:lvl w:ilvl="0">
      <w:lvlJc w:val="left"/>
      <w:lvlText w:val="(%1)"/>
      <w:numFmt w:val="lowerRoman"/>
      <w:start w:val="6"/>
    </w:lvl>
  </w:abstractNum>
  <w:abstractNum w:abstractNumId="67">
    <w:nsid w:val="11447B73"/>
    <w:multiLevelType w:val="hybridMultilevel"/>
    <w:lvl w:ilvl="0">
      <w:lvlJc w:val="left"/>
      <w:lvlText w:val="•"/>
      <w:numFmt w:val="bullet"/>
      <w:start w:val="1"/>
    </w:lvl>
  </w:abstractNum>
  <w:abstractNum w:abstractNumId="68">
    <w:nsid w:val="42963E5A"/>
    <w:multiLevelType w:val="hybridMultilevel"/>
    <w:lvl w:ilvl="0">
      <w:lvlJc w:val="left"/>
      <w:lvlText w:val="•"/>
      <w:numFmt w:val="bullet"/>
      <w:start w:val="1"/>
    </w:lvl>
  </w:abstractNum>
  <w:abstractNum w:abstractNumId="69">
    <w:nsid w:val="A0382C5"/>
    <w:multiLevelType w:val="hybridMultilevel"/>
    <w:lvl w:ilvl="0">
      <w:lvlJc w:val="left"/>
      <w:lvlText w:val="•"/>
      <w:numFmt w:val="bullet"/>
      <w:start w:val="1"/>
    </w:lvl>
  </w:abstractNum>
  <w:abstractNum w:abstractNumId="70">
    <w:nsid w:val="8F2B15E"/>
    <w:multiLevelType w:val="hybridMultilevel"/>
    <w:lvl w:ilvl="0">
      <w:lvlJc w:val="left"/>
      <w:lvlText w:val="•"/>
      <w:numFmt w:val="bullet"/>
      <w:start w:val="1"/>
    </w:lvl>
  </w:abstractNum>
  <w:abstractNum w:abstractNumId="71">
    <w:nsid w:val="1A32234B"/>
    <w:multiLevelType w:val="hybridMultilevel"/>
    <w:lvl w:ilvl="0">
      <w:lvlJc w:val="left"/>
      <w:lvlText w:val="•"/>
      <w:numFmt w:val="bullet"/>
      <w:start w:val="1"/>
    </w:lvl>
  </w:abstractNum>
  <w:abstractNum w:abstractNumId="72">
    <w:nsid w:val="3B0FD379"/>
    <w:multiLevelType w:val="hybridMultilevel"/>
    <w:lvl w:ilvl="0">
      <w:lvlJc w:val="left"/>
      <w:lvlText w:val="•"/>
      <w:numFmt w:val="bullet"/>
      <w:start w:val="1"/>
    </w:lvl>
  </w:abstractNum>
  <w:abstractNum w:abstractNumId="73">
    <w:nsid w:val="68EB2F63"/>
    <w:multiLevelType w:val="hybridMultilevel"/>
    <w:lvl w:ilvl="0">
      <w:lvlJc w:val="left"/>
      <w:lvlText w:val="•"/>
      <w:numFmt w:val="bullet"/>
      <w:start w:val="1"/>
    </w:lvl>
  </w:abstractNum>
  <w:abstractNum w:abstractNumId="74">
    <w:nsid w:val="4962813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75">
    <w:nsid w:val="60B6DF70"/>
    <w:multiLevelType w:val="hybridMultilevel"/>
    <w:lvl w:ilvl="0">
      <w:lvlJc w:val="left"/>
      <w:lvlText w:val="%1."/>
      <w:numFmt w:val="decimal"/>
      <w:start w:val="6"/>
    </w:lvl>
  </w:abstractNum>
  <w:abstractNum w:abstractNumId="76">
    <w:nsid w:val="6A5EE6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77">
    <w:nsid w:val="14330624"/>
    <w:multiLevelType w:val="hybridMultilevel"/>
    <w:lvl w:ilvl="0">
      <w:lvlJc w:val="left"/>
      <w:lvlText w:val="%1."/>
      <w:numFmt w:val="decimal"/>
      <w:start w:val="6"/>
    </w:lvl>
  </w:abstractNum>
  <w:abstractNum w:abstractNumId="78">
    <w:nsid w:val="7FFFCA11"/>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lvl w:ilvl="5">
      <w:lvlJc w:val="left"/>
      <w:lvlText w:val="-"/>
      <w:numFmt w:val="bullet"/>
      <w:start w:val="1"/>
    </w:lvl>
  </w:abstractNum>
  <w:abstractNum w:abstractNumId="79">
    <w:nsid w:val="1A27709E"/>
    <w:multiLevelType w:val="hybridMultilevel"/>
    <w:lvl w:ilvl="0">
      <w:lvlJc w:val="left"/>
      <w:lvlText w:val="•"/>
      <w:numFmt w:val="bullet"/>
      <w:start w:val="1"/>
    </w:lvl>
  </w:abstractNum>
  <w:abstractNum w:abstractNumId="80">
    <w:nsid w:val="71EA1109"/>
    <w:multiLevelType w:val="hybridMultilevel"/>
    <w:lvl w:ilvl="0">
      <w:lvlJc w:val="left"/>
      <w:lvlText w:val="•"/>
      <w:numFmt w:val="bullet"/>
      <w:start w:val="1"/>
    </w:lvl>
  </w:abstractNum>
  <w:abstractNum w:abstractNumId="81">
    <w:nsid w:val="100F59DC"/>
    <w:multiLevelType w:val="hybridMultilevel"/>
    <w:lvl w:ilvl="0">
      <w:lvlJc w:val="left"/>
      <w:lvlText w:val="•"/>
      <w:numFmt w:val="bullet"/>
      <w:start w:val="1"/>
    </w:lvl>
  </w:abstractNum>
  <w:abstractNum w:abstractNumId="82">
    <w:nsid w:val="7FB7E0AA"/>
    <w:multiLevelType w:val="hybridMultilevel"/>
    <w:lvl w:ilvl="0">
      <w:lvlJc w:val="left"/>
      <w:lvlText w:val="•"/>
      <w:numFmt w:val="bullet"/>
      <w:start w:val="1"/>
    </w:lvl>
  </w:abstractNum>
  <w:abstractNum w:abstractNumId="83">
    <w:nsid w:val="6EB5BD4"/>
    <w:multiLevelType w:val="hybridMultilevel"/>
    <w:lvl w:ilvl="0">
      <w:lvlJc w:val="left"/>
      <w:lvlText w:val="•"/>
      <w:numFmt w:val="bullet"/>
      <w:start w:val="1"/>
    </w:lvl>
  </w:abstractNum>
  <w:abstractNum w:abstractNumId="84">
    <w:nsid w:val="6F6DD9AC"/>
    <w:multiLevelType w:val="hybridMultilevel"/>
    <w:lvl w:ilvl="0">
      <w:lvlJc w:val="left"/>
      <w:lvlText w:val="%1."/>
      <w:numFmt w:val="decimal"/>
      <w:start w:val="1"/>
    </w:lvl>
  </w:abstractNum>
  <w:abstractNum w:abstractNumId="85">
    <w:nsid w:val="94211F2"/>
    <w:multiLevelType w:val="hybridMultilevel"/>
    <w:lvl w:ilvl="0">
      <w:lvlJc w:val="left"/>
      <w:lvlText w:val="(%1)"/>
      <w:numFmt w:val="decimal"/>
      <w:start w:val="90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9" Type="http://schemas.openxmlformats.org/officeDocument/2006/relationships/image" Target="media/image1.jpe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jpe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jpeg"/><Relationship Id="rId8" Type="http://schemas.openxmlformats.org/officeDocument/2006/relationships/hyperlink" Target="https://www.sec.gov/Archives/edgar/data/1833141/000106299325013362/formf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2025-11-13T06:35:36Z</dcterms:created>
  <dcterms:modified xsi:type="dcterms:W3CDTF">2025-11-13T06:35:36Z</dcterms:modified>
</cp:coreProperties>
</file>