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00" w:hanging="361"/>
        <w:spacing w:after="0" w:line="238" w:lineRule="auto"/>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54"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22356X100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ind w:left="1920" w:hanging="1079"/>
        <w:spacing w:after="0" w:line="227" w:lineRule="auto"/>
        <w:tabs>
          <w:tab w:leader="none" w:pos="192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66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Point72 Asset Management, L.P.</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46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920" w:hanging="1079"/>
        <w:spacing w:after="0" w:line="185" w:lineRule="auto"/>
        <w:tabs>
          <w:tab w:leader="none" w:pos="192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30,061,112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30,061,112</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30,061,112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7.4%</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22356X100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195" w:lineRule="exact"/>
        <w:rPr>
          <w:sz w:val="20"/>
          <w:szCs w:val="20"/>
          <w:color w:val="auto"/>
        </w:rPr>
      </w:pPr>
    </w:p>
    <w:p>
      <w:pPr>
        <w:ind w:left="1920" w:hanging="1079"/>
        <w:spacing w:after="0"/>
        <w:tabs>
          <w:tab w:leader="none" w:pos="192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66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Point72 Capital Advisors, Inc.</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46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920" w:hanging="1079"/>
        <w:spacing w:after="0" w:line="185" w:lineRule="auto"/>
        <w:tabs>
          <w:tab w:leader="none" w:pos="1920" w:val="left"/>
        </w:tabs>
        <w:numPr>
          <w:ilvl w:val="0"/>
          <w:numId w:val="5"/>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30,061,112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30,061,112</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30,061,112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7.4%</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CO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22356X100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195" w:lineRule="exact"/>
        <w:rPr>
          <w:sz w:val="20"/>
          <w:szCs w:val="20"/>
          <w:color w:val="auto"/>
        </w:rPr>
      </w:pPr>
    </w:p>
    <w:p>
      <w:pPr>
        <w:ind w:left="1920" w:hanging="1079"/>
        <w:spacing w:after="0"/>
        <w:tabs>
          <w:tab w:leader="none" w:pos="192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66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Steven A. Cohen</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46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920" w:hanging="1079"/>
        <w:spacing w:after="0" w:line="185" w:lineRule="auto"/>
        <w:tabs>
          <w:tab w:leader="none" w:pos="1920" w:val="left"/>
        </w:tabs>
        <w:numPr>
          <w:ilvl w:val="0"/>
          <w:numId w:val="7"/>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30,061,112</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30,061,112</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30,061,112</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22356X100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980" w:type="dxa"/>
            <w:vAlign w:val="bottom"/>
            <w:gridSpan w:val="13"/>
          </w:tcPr>
          <w:p>
            <w:pPr>
              <w:ind w:left="440"/>
              <w:spacing w:after="0" w:line="212" w:lineRule="exact"/>
              <w:rPr>
                <w:sz w:val="20"/>
                <w:szCs w:val="20"/>
                <w:color w:val="auto"/>
              </w:rPr>
            </w:pPr>
            <w:r>
              <w:rPr>
                <w:rFonts w:ascii="Times New Roman" w:cs="Times New Roman" w:eastAsia="Times New Roman" w:hAnsi="Times New Roman"/>
                <w:sz w:val="20"/>
                <w:szCs w:val="20"/>
                <w:color w:val="auto"/>
              </w:rPr>
              <w:t>Cybin Inc. (the “Issuer”).</w:t>
            </w:r>
          </w:p>
        </w:tc>
      </w:tr>
      <w:tr>
        <w:trPr>
          <w:trHeight w:val="20"/>
        </w:trPr>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4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100 King Street West, Suite 5600, Toronto, Ontario, Canada M5X 1C9.</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12"/>
        </w:trPr>
        <w:tc>
          <w:tcPr>
            <w:tcW w:w="1260" w:type="dxa"/>
            <w:vAlign w:val="bottom"/>
          </w:tcPr>
          <w:p>
            <w:pPr>
              <w:spacing w:after="0"/>
              <w:rPr>
                <w:sz w:val="18"/>
                <w:szCs w:val="18"/>
                <w:color w:val="auto"/>
              </w:rPr>
            </w:pPr>
          </w:p>
        </w:tc>
        <w:tc>
          <w:tcPr>
            <w:tcW w:w="9980" w:type="dxa"/>
            <w:vAlign w:val="bottom"/>
            <w:gridSpan w:val="13"/>
          </w:tcPr>
          <w:p>
            <w:pPr>
              <w:ind w:left="440"/>
              <w:spacing w:after="0" w:line="212" w:lineRule="exact"/>
              <w:rPr>
                <w:sz w:val="20"/>
                <w:szCs w:val="20"/>
                <w:color w:val="auto"/>
              </w:rPr>
            </w:pPr>
            <w:r>
              <w:rPr>
                <w:rFonts w:ascii="Times New Roman" w:cs="Times New Roman" w:eastAsia="Times New Roman" w:hAnsi="Times New Roman"/>
                <w:sz w:val="20"/>
                <w:szCs w:val="20"/>
                <w:color w:val="auto"/>
              </w:rPr>
              <w:t>This statement is filed by: (i) Point72 Asset Management, L.P. (“Point72 Asset Management”) with respect to shares</w:t>
            </w:r>
          </w:p>
        </w:tc>
      </w:tr>
      <w:tr>
        <w:trPr>
          <w:trHeight w:val="20"/>
        </w:trPr>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980" w:type="dxa"/>
            <w:vAlign w:val="bottom"/>
            <w:gridSpan w:val="13"/>
          </w:tcPr>
          <w:p>
            <w:pPr>
              <w:ind w:left="440"/>
              <w:spacing w:after="0" w:line="209" w:lineRule="exact"/>
              <w:rPr>
                <w:sz w:val="20"/>
                <w:szCs w:val="20"/>
                <w:color w:val="auto"/>
              </w:rPr>
            </w:pPr>
            <w:r>
              <w:rPr>
                <w:rFonts w:ascii="Times New Roman" w:cs="Times New Roman" w:eastAsia="Times New Roman" w:hAnsi="Times New Roman"/>
                <w:sz w:val="20"/>
                <w:szCs w:val="20"/>
                <w:color w:val="auto"/>
              </w:rPr>
              <w:t>of common shares, no par value (“Shares”), of the Issuer held by Point72 Associates, LLC, an investment fund it</w:t>
            </w:r>
          </w:p>
        </w:tc>
      </w:tr>
      <w:tr>
        <w:trPr>
          <w:trHeight w:val="20"/>
        </w:trPr>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980" w:type="dxa"/>
            <w:vAlign w:val="bottom"/>
            <w:gridSpan w:val="13"/>
          </w:tcPr>
          <w:p>
            <w:pPr>
              <w:ind w:left="440"/>
              <w:spacing w:after="0" w:line="209" w:lineRule="exact"/>
              <w:rPr>
                <w:sz w:val="20"/>
                <w:szCs w:val="20"/>
                <w:color w:val="auto"/>
              </w:rPr>
            </w:pPr>
            <w:r>
              <w:rPr>
                <w:rFonts w:ascii="Times New Roman" w:cs="Times New Roman" w:eastAsia="Times New Roman" w:hAnsi="Times New Roman"/>
                <w:sz w:val="20"/>
                <w:szCs w:val="20"/>
                <w:color w:val="auto"/>
              </w:rPr>
              <w:t>manages (“Point72 Associates”); (ii) Point72 Capital Advisors, Inc. (“Point72 Capital Advisors Inc.”) with respect to</w:t>
            </w:r>
          </w:p>
        </w:tc>
      </w:tr>
      <w:tr>
        <w:trPr>
          <w:trHeight w:val="20"/>
        </w:trPr>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980" w:type="dxa"/>
            <w:vAlign w:val="bottom"/>
            <w:gridSpan w:val="13"/>
          </w:tcPr>
          <w:p>
            <w:pPr>
              <w:ind w:left="440"/>
              <w:spacing w:after="0" w:line="209" w:lineRule="exact"/>
              <w:rPr>
                <w:sz w:val="20"/>
                <w:szCs w:val="20"/>
                <w:color w:val="auto"/>
              </w:rPr>
            </w:pPr>
            <w:r>
              <w:rPr>
                <w:rFonts w:ascii="Times New Roman" w:cs="Times New Roman" w:eastAsia="Times New Roman" w:hAnsi="Times New Roman"/>
                <w:sz w:val="20"/>
                <w:szCs w:val="20"/>
                <w:color w:val="auto"/>
                <w:w w:val="99"/>
              </w:rPr>
              <w:t>Shares held by Point72 Associates; and (iii) Steven A. Cohen (“Mr. Cohen”) with respect to Shares beneficially owned</w:t>
            </w:r>
          </w:p>
        </w:tc>
      </w:tr>
      <w:tr>
        <w:trPr>
          <w:trHeight w:val="20"/>
        </w:trPr>
        <w:tc>
          <w:tcPr>
            <w:tcW w:w="126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by Point72 Asset Management and Point72 Capital Advisors Inc.</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address of the principal business office of Point72 Asset Management, Point72 Capital Advisors Inc., and Mr.</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Cohen is 72 Cummings Point Road, Stamford, CT 06902.</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r>
      <w:tr>
        <w:trPr>
          <w:trHeight w:val="229"/>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Point72 Asset Management is a Delaware limited partnership. Point72 Capital Advisors Inc. is a Delaware</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corporation. Mr. Cohen is a United States citizen.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Common Shares, no par value.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23256X100</w:t>
            </w: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 is</w:t>
            </w:r>
          </w:p>
        </w:tc>
      </w:tr>
      <w:tr>
        <w:trPr>
          <w:trHeight w:val="233"/>
        </w:trPr>
        <w:tc>
          <w:tcPr>
            <w:tcW w:w="1260" w:type="dxa"/>
            <w:vAlign w:val="bottom"/>
          </w:tcPr>
          <w:p>
            <w:pPr>
              <w:spacing w:after="0"/>
              <w:rPr>
                <w:sz w:val="20"/>
                <w:szCs w:val="20"/>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Ownership.</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Reporting Person. Such information is as of the close of</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business on December 31, 2023.</w:t>
            </w:r>
          </w:p>
        </w:tc>
      </w:tr>
      <w:tr>
        <w:trPr>
          <w:trHeight w:val="430"/>
        </w:trPr>
        <w:tc>
          <w:tcPr>
            <w:tcW w:w="1260" w:type="dxa"/>
            <w:vAlign w:val="bottom"/>
          </w:tcPr>
          <w:p>
            <w:pPr>
              <w:spacing w:after="0"/>
              <w:rPr>
                <w:sz w:val="24"/>
                <w:szCs w:val="24"/>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Point72 Asset Management, Point72 Capital Advisors Inc., and Mr. Cohen own directly no Shares. Pursuant to an</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investment management agreement, Point72 Asset Management maintains investment and voting power with respect</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to the securities held by Point72 Associates. Point72 Capital Advisors Inc. is the general partner of Point72 Asset</w:t>
            </w:r>
          </w:p>
        </w:tc>
      </w:tr>
      <w:tr>
        <w:trPr>
          <w:trHeight w:val="229"/>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Management. Mr. Cohen controls each of Point72 Asset Management and Point72 Capital Advisors Inc. The filing of</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this statement should not be construed as an admission that any of the foregoing persons or any reporting person is, for</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purposes of Section 13 of the Act, the beneficial owner of the Shares reported herein.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230"/>
        </w:trPr>
        <w:tc>
          <w:tcPr>
            <w:tcW w:w="1260" w:type="dxa"/>
            <w:vAlign w:val="bottom"/>
          </w:tcPr>
          <w:p>
            <w:pPr>
              <w:spacing w:after="0"/>
              <w:rPr>
                <w:sz w:val="19"/>
                <w:szCs w:val="19"/>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w:t>
            </w:r>
          </w:p>
        </w:tc>
      </w:tr>
      <w:tr>
        <w:trPr>
          <w:trHeight w:val="258"/>
        </w:trPr>
        <w:tc>
          <w:tcPr>
            <w:tcW w:w="1260" w:type="dxa"/>
            <w:vAlign w:val="bottom"/>
          </w:tcPr>
          <w:p>
            <w:pPr>
              <w:spacing w:after="0"/>
              <w:rPr>
                <w:sz w:val="22"/>
                <w:szCs w:val="22"/>
                <w:color w:val="auto"/>
              </w:rPr>
            </w:pPr>
          </w:p>
        </w:tc>
        <w:tc>
          <w:tcPr>
            <w:tcW w:w="99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beneficial owner of more than 5 percent of the class of securities, check the following [ ].</w:t>
            </w: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22356X100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700"/>
        <w:spacing w:after="0" w:line="246" w:lineRule="auto"/>
        <w:rPr>
          <w:sz w:val="20"/>
          <w:szCs w:val="20"/>
          <w:color w:val="auto"/>
        </w:rPr>
      </w:pPr>
      <w:r>
        <w:rPr>
          <w:rFonts w:ascii="Times New Roman" w:cs="Times New Roman" w:eastAsia="Times New Roman" w:hAnsi="Times New Roman"/>
          <w:sz w:val="20"/>
          <w:szCs w:val="20"/>
          <w:color w:val="auto"/>
        </w:rPr>
        <w:t>Point72 Associates has the right to receive or the power to direct the receipt of dividends from, or the proceeds from the sale of, more than 5 percent of the outstanding Shares.</w:t>
      </w:r>
    </w:p>
    <w:p>
      <w:pPr>
        <w:spacing w:after="0" w:line="191"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w:t>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its knowledge and belief, the securities referred to</w:t>
      </w:r>
    </w:p>
    <w:p>
      <w:pPr>
        <w:ind w:left="1700"/>
        <w:spacing w:after="0"/>
        <w:rPr>
          <w:sz w:val="20"/>
          <w:szCs w:val="20"/>
          <w:color w:val="auto"/>
        </w:rPr>
      </w:pPr>
      <w:r>
        <w:rPr>
          <w:rFonts w:ascii="Times New Roman" w:cs="Times New Roman" w:eastAsia="Times New Roman" w:hAnsi="Times New Roman"/>
          <w:sz w:val="20"/>
          <w:szCs w:val="20"/>
          <w:color w:val="auto"/>
        </w:rPr>
        <w:t>above were not acquired and are not held for the purpose of or with the effect of changing or influencing the control of</w:t>
      </w:r>
    </w:p>
    <w:p>
      <w:pPr>
        <w:ind w:left="1700"/>
        <w:spacing w:after="0"/>
        <w:rPr>
          <w:sz w:val="20"/>
          <w:szCs w:val="20"/>
          <w:color w:val="auto"/>
        </w:rPr>
      </w:pPr>
      <w:r>
        <w:rPr>
          <w:rFonts w:ascii="Times New Roman" w:cs="Times New Roman" w:eastAsia="Times New Roman" w:hAnsi="Times New Roman"/>
          <w:sz w:val="20"/>
          <w:szCs w:val="20"/>
          <w:color w:val="auto"/>
        </w:rPr>
        <w:t>the issuer of the securities and were not acquired and are not held in connection with or as a participant in any</w:t>
      </w:r>
    </w:p>
    <w:p>
      <w:pPr>
        <w:ind w:left="1700"/>
        <w:spacing w:after="0"/>
        <w:rPr>
          <w:sz w:val="20"/>
          <w:szCs w:val="20"/>
          <w:color w:val="auto"/>
        </w:rPr>
      </w:pPr>
      <w:r>
        <w:rPr>
          <w:rFonts w:ascii="Times New Roman" w:cs="Times New Roman" w:eastAsia="Times New Roman" w:hAnsi="Times New Roman"/>
          <w:sz w:val="20"/>
          <w:szCs w:val="20"/>
          <w:color w:val="auto"/>
        </w:rPr>
        <w:t>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22356X100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ý"/>
      <w:numFmt w:val="bullet"/>
      <w:start w:val="1"/>
    </w:lvl>
    <w:lvl w:ilvl="1">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2024-02-14T15:32:07Z</dcterms:created>
  <dcterms:modified xsi:type="dcterms:W3CDTF">2024-02-14T15:32:07Z</dcterms:modified>
</cp:coreProperties>
</file>