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Sirenia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3,029,500.00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3,029,500.00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3,029,500.00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969,500 Common Shares (as defined in Item 2(a))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Alex Silverstein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3,029,500.00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3,029,500.00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3,029,500.00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969,500 Common Shares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Canada M5X 1C9</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Sirenia Capital Management LP ("Sirenia") with respect to the common shares, no par value ("Common Shares"), of Cybin Inc. (the "Issuer") held by, and issuable upon exercise of warrants held by, investment funds it manages (the "Sirenia Funds"); and (ii) Alex Silverstein ("Mr. Silverstein"), the managing member of Sirenia Capital Management GP LLC, the general partner of Sirenia, with respect to the Common Shares held by, and issuable upon exercise of warrants held by, the Sirenia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Sirenia and Mr. Silverstein is 1674 Meridian Avenue, Suite 320, Miami Beach, FL 33139.</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Sirenia is a Delaware limited partnership. Mr. Silverstein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61,984,078 Common Shares outstanding as of June 29, 2026, as reported in Exhibit 99.3 attached to the Issuer's Annual Report on Form 40-F for the fiscal year ended March 31, 2026, filed with the Securities and Exchange Commission on June 29, 2026, and assumes the exercise of the warrants held by the Sirenia Funds.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and Item 3.</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Sirenia Capital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Kolby Loft</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Kolby Loft, General Counsel &amp; Chief Compliance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Alex Silverstein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 Silverstein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 Silverstein, individually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1430</Words>
  <Characters>7266</Characters>
  <CharactersWithSpaces>8669</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